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56"/>
          <w:szCs w:val="160"/>
          <w:highlight w:val="none"/>
        </w:rPr>
      </w:pPr>
      <w:r>
        <w:rPr>
          <w:rFonts w:hint="eastAsia"/>
          <w:sz w:val="56"/>
          <w:szCs w:val="160"/>
          <w:highlight w:val="none"/>
          <w:lang w:eastAsia="zh-CN"/>
        </w:rPr>
        <w:t>巴楚县基础教育设施设备提升-教学仪器及生活设备采购项目（</w:t>
      </w:r>
      <w:r>
        <w:rPr>
          <w:rFonts w:hint="eastAsia"/>
          <w:sz w:val="56"/>
          <w:szCs w:val="160"/>
          <w:highlight w:val="none"/>
          <w:lang w:val="en-US" w:eastAsia="zh-CN"/>
        </w:rPr>
        <w:t>二次</w:t>
      </w:r>
      <w:r>
        <w:rPr>
          <w:rFonts w:hint="eastAsia"/>
          <w:sz w:val="56"/>
          <w:szCs w:val="160"/>
          <w:highlight w:val="none"/>
          <w:lang w:eastAsia="zh-CN"/>
        </w:rPr>
        <w:t>）</w:t>
      </w:r>
    </w:p>
    <w:p>
      <w:pPr>
        <w:spacing w:line="360" w:lineRule="auto"/>
        <w:jc w:val="center"/>
        <w:rPr>
          <w:rFonts w:hint="eastAsia" w:ascii="宋体" w:hAnsi="宋体" w:cs="宋体"/>
          <w:b/>
          <w:sz w:val="32"/>
          <w:szCs w:val="32"/>
          <w:highlight w:val="none"/>
        </w:rPr>
      </w:pPr>
    </w:p>
    <w:p>
      <w:pPr>
        <w:spacing w:line="240" w:lineRule="atLeast"/>
        <w:ind w:left="1079" w:leftChars="257" w:hanging="540"/>
        <w:jc w:val="center"/>
        <w:rPr>
          <w:rFonts w:hint="eastAsia"/>
          <w:b/>
          <w:bCs/>
          <w:kern w:val="0"/>
          <w:sz w:val="32"/>
          <w:szCs w:val="32"/>
          <w:highlight w:val="none"/>
          <w:shd w:val="clear" w:color="auto" w:fill="FFFFFF"/>
          <w:lang w:eastAsia="zh-CN"/>
        </w:rPr>
      </w:pPr>
      <w:r>
        <w:rPr>
          <w:rFonts w:hint="eastAsia" w:ascii="宋体" w:hAnsi="宋体" w:cs="宋体"/>
          <w:b/>
          <w:sz w:val="32"/>
          <w:szCs w:val="32"/>
          <w:highlight w:val="none"/>
        </w:rPr>
        <w:t>项目编号：</w:t>
      </w:r>
      <w:r>
        <w:rPr>
          <w:rFonts w:hint="eastAsia"/>
          <w:b/>
          <w:bCs/>
          <w:kern w:val="0"/>
          <w:sz w:val="32"/>
          <w:szCs w:val="32"/>
          <w:highlight w:val="none"/>
          <w:shd w:val="clear" w:color="auto" w:fill="FFFFFF"/>
          <w:lang w:eastAsia="zh-CN"/>
        </w:rPr>
        <w:t>KSBCX(GK)2022-19号</w:t>
      </w:r>
    </w:p>
    <w:p>
      <w:pPr>
        <w:spacing w:line="360" w:lineRule="auto"/>
        <w:jc w:val="center"/>
        <w:rPr>
          <w:rFonts w:hint="eastAsia" w:ascii="宋体" w:hAnsi="宋体" w:cs="宋体"/>
          <w:b/>
          <w:sz w:val="72"/>
          <w:szCs w:val="72"/>
          <w:highlight w:val="none"/>
        </w:rPr>
      </w:pPr>
    </w:p>
    <w:p>
      <w:pPr>
        <w:spacing w:line="360" w:lineRule="auto"/>
        <w:jc w:val="center"/>
        <w:rPr>
          <w:rFonts w:hint="eastAsia" w:ascii="宋体" w:hAnsi="宋体" w:cs="宋体"/>
          <w:b/>
          <w:sz w:val="48"/>
          <w:szCs w:val="48"/>
          <w:highlight w:val="none"/>
        </w:rPr>
      </w:pPr>
      <w:r>
        <w:rPr>
          <w:rFonts w:hint="eastAsia" w:ascii="宋体" w:hAnsi="宋体" w:cs="宋体"/>
          <w:b/>
          <w:sz w:val="72"/>
          <w:szCs w:val="72"/>
          <w:highlight w:val="none"/>
        </w:rPr>
        <w:t>招标文件</w:t>
      </w:r>
    </w:p>
    <w:p>
      <w:pPr>
        <w:autoSpaceDE w:val="0"/>
        <w:autoSpaceDN w:val="0"/>
        <w:spacing w:line="360" w:lineRule="auto"/>
        <w:jc w:val="center"/>
        <w:rPr>
          <w:rFonts w:hint="eastAsia" w:ascii="宋体" w:hAnsi="宋体" w:cs="宋体"/>
          <w:sz w:val="24"/>
          <w:highlight w:val="none"/>
        </w:rPr>
      </w:pPr>
    </w:p>
    <w:p>
      <w:pPr>
        <w:pStyle w:val="2"/>
        <w:rPr>
          <w:rFonts w:hint="eastAsia" w:ascii="宋体" w:hAnsi="宋体" w:cs="宋体"/>
          <w:b/>
          <w:sz w:val="40"/>
          <w:szCs w:val="40"/>
          <w:highlight w:val="none"/>
        </w:rPr>
      </w:pPr>
    </w:p>
    <w:p>
      <w:pPr>
        <w:pStyle w:val="2"/>
        <w:rPr>
          <w:rFonts w:hint="eastAsia" w:ascii="宋体" w:hAnsi="宋体" w:cs="宋体"/>
          <w:b/>
          <w:sz w:val="40"/>
          <w:szCs w:val="40"/>
          <w:highlight w:val="none"/>
        </w:rPr>
      </w:pPr>
    </w:p>
    <w:p>
      <w:pPr>
        <w:pStyle w:val="2"/>
        <w:rPr>
          <w:rFonts w:hint="eastAsia" w:ascii="宋体" w:hAnsi="宋体" w:cs="宋体"/>
          <w:b/>
          <w:sz w:val="40"/>
          <w:szCs w:val="40"/>
          <w:highlight w:val="none"/>
        </w:rPr>
      </w:pPr>
    </w:p>
    <w:p>
      <w:pPr>
        <w:pStyle w:val="2"/>
        <w:rPr>
          <w:rFonts w:hint="eastAsia" w:ascii="宋体" w:hAnsi="宋体" w:cs="宋体"/>
          <w:b/>
          <w:sz w:val="40"/>
          <w:szCs w:val="40"/>
          <w:highlight w:val="none"/>
        </w:rPr>
      </w:pPr>
    </w:p>
    <w:p>
      <w:pPr>
        <w:spacing w:line="360" w:lineRule="auto"/>
        <w:rPr>
          <w:rFonts w:hint="default" w:ascii="宋体" w:hAnsi="宋体" w:cs="宋体"/>
          <w:b/>
          <w:bCs/>
          <w:color w:val="auto"/>
          <w:sz w:val="32"/>
          <w:szCs w:val="32"/>
          <w:highlight w:val="none"/>
          <w:u w:val="single"/>
          <w:lang w:val="en-US" w:eastAsia="zh-CN"/>
        </w:rPr>
      </w:pPr>
      <w:r>
        <w:rPr>
          <w:rFonts w:hint="eastAsia" w:ascii="宋体" w:hAnsi="宋体" w:cs="宋体"/>
          <w:b/>
          <w:bCs/>
          <w:sz w:val="32"/>
          <w:szCs w:val="32"/>
          <w:highlight w:val="none"/>
        </w:rPr>
        <w:t>采 购单 位：</w:t>
      </w:r>
      <w:r>
        <w:rPr>
          <w:rFonts w:hint="eastAsia" w:ascii="宋体" w:hAnsi="宋体" w:cs="宋体"/>
          <w:b/>
          <w:bCs/>
          <w:sz w:val="32"/>
          <w:szCs w:val="32"/>
          <w:highlight w:val="none"/>
          <w:u w:val="single"/>
        </w:rPr>
        <w:t xml:space="preserve"> </w:t>
      </w:r>
      <w:r>
        <w:rPr>
          <w:rFonts w:hint="eastAsia" w:ascii="宋体" w:hAnsi="宋体" w:cs="宋体"/>
          <w:b/>
          <w:bCs/>
          <w:color w:val="auto"/>
          <w:sz w:val="32"/>
          <w:szCs w:val="32"/>
          <w:highlight w:val="none"/>
          <w:u w:val="single"/>
          <w:lang w:val="en-US" w:eastAsia="zh-CN"/>
        </w:rPr>
        <w:t xml:space="preserve">巴楚县教育局       </w:t>
      </w:r>
    </w:p>
    <w:p>
      <w:pPr>
        <w:spacing w:line="360" w:lineRule="auto"/>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联  系  人：</w:t>
      </w:r>
      <w:r>
        <w:rPr>
          <w:rFonts w:hint="eastAsia" w:ascii="宋体" w:hAnsi="宋体" w:cs="宋体"/>
          <w:b/>
          <w:bCs/>
          <w:sz w:val="32"/>
          <w:szCs w:val="32"/>
          <w:highlight w:val="none"/>
          <w:u w:val="single"/>
        </w:rPr>
        <w:t xml:space="preserve">     </w:t>
      </w:r>
      <w:r>
        <w:rPr>
          <w:rFonts w:hint="eastAsia" w:ascii="宋体" w:hAnsi="宋体" w:cs="宋体"/>
          <w:b/>
          <w:bCs/>
          <w:color w:val="000000"/>
          <w:kern w:val="0"/>
          <w:sz w:val="28"/>
          <w:szCs w:val="28"/>
          <w:highlight w:val="none"/>
          <w:u w:val="single"/>
          <w:lang w:val="en-US" w:eastAsia="zh-CN"/>
        </w:rPr>
        <w:t>赵映鹏</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p>
    <w:p>
      <w:pPr>
        <w:spacing w:line="360" w:lineRule="auto"/>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联 系电 话：</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15292926969           </w:t>
      </w:r>
    </w:p>
    <w:p>
      <w:pPr>
        <w:spacing w:line="360" w:lineRule="auto"/>
        <w:ind w:left="1079" w:leftChars="257" w:hanging="540"/>
        <w:jc w:val="both"/>
        <w:rPr>
          <w:rFonts w:hint="eastAsia" w:ascii="宋体" w:hAnsi="宋体" w:cs="宋体"/>
          <w:b/>
          <w:sz w:val="56"/>
          <w:szCs w:val="28"/>
          <w:highlight w:val="none"/>
        </w:rPr>
      </w:pPr>
    </w:p>
    <w:p>
      <w:pPr>
        <w:spacing w:line="360" w:lineRule="auto"/>
        <w:jc w:val="left"/>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u w:val="single"/>
        </w:rPr>
        <w:t>巴楚县政府采购中心</w:t>
      </w:r>
      <w:r>
        <w:rPr>
          <w:rFonts w:hint="eastAsia" w:ascii="宋体" w:hAnsi="宋体" w:cs="宋体"/>
          <w:b/>
          <w:bCs/>
          <w:sz w:val="32"/>
          <w:szCs w:val="32"/>
          <w:highlight w:val="none"/>
          <w:u w:val="single"/>
          <w:lang w:val="en-US" w:eastAsia="zh-CN"/>
        </w:rPr>
        <w:t xml:space="preserve">     </w:t>
      </w:r>
    </w:p>
    <w:p>
      <w:pPr>
        <w:spacing w:line="360" w:lineRule="auto"/>
        <w:jc w:val="left"/>
        <w:rPr>
          <w:rFonts w:hint="eastAsia" w:ascii="宋体" w:hAnsi="宋体" w:cs="宋体"/>
          <w:b/>
          <w:bCs/>
          <w:sz w:val="32"/>
          <w:szCs w:val="32"/>
          <w:highlight w:val="none"/>
          <w:u w:val="single"/>
        </w:rPr>
      </w:pPr>
      <w:r>
        <w:rPr>
          <w:rFonts w:hint="eastAsia" w:ascii="宋体" w:hAnsi="宋体" w:cs="宋体"/>
          <w:b/>
          <w:bCs/>
          <w:sz w:val="32"/>
          <w:szCs w:val="32"/>
          <w:highlight w:val="none"/>
        </w:rPr>
        <w:t>联  系 电 话：</w:t>
      </w:r>
      <w:r>
        <w:rPr>
          <w:rFonts w:hint="eastAsia" w:ascii="宋体" w:hAnsi="宋体" w:cs="宋体"/>
          <w:b/>
          <w:bCs/>
          <w:sz w:val="32"/>
          <w:szCs w:val="32"/>
          <w:highlight w:val="none"/>
          <w:u w:val="single"/>
        </w:rPr>
        <w:t xml:space="preserve">   </w:t>
      </w:r>
      <w:r>
        <w:rPr>
          <w:rFonts w:hint="eastAsia" w:ascii="宋体" w:hAnsi="宋体" w:cs="宋体"/>
          <w:b/>
          <w:bCs/>
          <w:color w:val="000000"/>
          <w:kern w:val="0"/>
          <w:sz w:val="28"/>
          <w:szCs w:val="28"/>
          <w:highlight w:val="none"/>
          <w:u w:val="single"/>
          <w:lang w:eastAsia="zh-CN"/>
        </w:rPr>
        <w:t>0998-5720880</w:t>
      </w:r>
      <w:r>
        <w:rPr>
          <w:rFonts w:hint="eastAsia" w:ascii="宋体" w:hAnsi="宋体" w:cs="宋体"/>
          <w:b/>
          <w:bCs/>
          <w:sz w:val="32"/>
          <w:szCs w:val="32"/>
          <w:highlight w:val="none"/>
          <w:u w:val="single"/>
        </w:rPr>
        <w:t xml:space="preserve">      </w:t>
      </w:r>
    </w:p>
    <w:p>
      <w:pPr>
        <w:spacing w:line="360" w:lineRule="auto"/>
        <w:jc w:val="center"/>
        <w:rPr>
          <w:rFonts w:hint="eastAsia" w:ascii="宋体" w:hAnsi="宋体" w:cs="宋体"/>
          <w:b/>
          <w:bCs/>
          <w:sz w:val="32"/>
          <w:szCs w:val="32"/>
          <w:highlight w:val="none"/>
        </w:rPr>
      </w:pPr>
    </w:p>
    <w:p>
      <w:pPr>
        <w:spacing w:line="360" w:lineRule="auto"/>
        <w:jc w:val="center"/>
        <w:rPr>
          <w:rFonts w:hint="default" w:ascii="宋体" w:hAnsi="宋体" w:eastAsia="宋体" w:cs="宋体"/>
          <w:b/>
          <w:sz w:val="32"/>
          <w:highlight w:val="none"/>
          <w:lang w:val="en-US" w:eastAsia="zh-CN"/>
        </w:rPr>
        <w:sectPr>
          <w:footerReference r:id="rId3" w:type="default"/>
          <w:pgSz w:w="11906" w:h="16838"/>
          <w:pgMar w:top="1440" w:right="1800" w:bottom="1440" w:left="1800" w:header="851" w:footer="992" w:gutter="0"/>
          <w:cols w:space="720" w:num="1"/>
          <w:docGrid w:type="linesAndChars" w:linePitch="312" w:charSpace="0"/>
        </w:sectPr>
      </w:pPr>
      <w:r>
        <w:rPr>
          <w:rFonts w:hint="eastAsia" w:ascii="宋体" w:hAnsi="宋体" w:cs="宋体"/>
          <w:b/>
          <w:bCs/>
          <w:sz w:val="32"/>
          <w:szCs w:val="32"/>
          <w:highlight w:val="none"/>
        </w:rPr>
        <w:t xml:space="preserve">  日 期：</w:t>
      </w:r>
      <w:r>
        <w:rPr>
          <w:rFonts w:hint="eastAsia" w:ascii="宋体" w:hAnsi="宋体" w:cs="宋体"/>
          <w:b/>
          <w:bCs/>
          <w:sz w:val="32"/>
          <w:szCs w:val="32"/>
          <w:highlight w:val="none"/>
          <w:u w:val="single"/>
        </w:rPr>
        <w:t>202</w:t>
      </w:r>
      <w:r>
        <w:rPr>
          <w:rFonts w:hint="eastAsia" w:ascii="宋体" w:hAnsi="宋体" w:cs="宋体"/>
          <w:b/>
          <w:bCs/>
          <w:sz w:val="32"/>
          <w:szCs w:val="32"/>
          <w:highlight w:val="none"/>
          <w:u w:val="single"/>
          <w:lang w:val="en-US" w:eastAsia="zh-CN"/>
        </w:rPr>
        <w:t>2</w:t>
      </w:r>
      <w:r>
        <w:rPr>
          <w:rFonts w:hint="eastAsia" w:ascii="宋体" w:hAnsi="宋体" w:cs="宋体"/>
          <w:b/>
          <w:bCs/>
          <w:sz w:val="32"/>
          <w:szCs w:val="32"/>
          <w:highlight w:val="none"/>
          <w:u w:val="single"/>
        </w:rPr>
        <w:t>年</w:t>
      </w:r>
      <w:r>
        <w:rPr>
          <w:rFonts w:hint="eastAsia" w:ascii="宋体" w:hAnsi="宋体" w:cs="宋体"/>
          <w:b/>
          <w:bCs/>
          <w:sz w:val="32"/>
          <w:szCs w:val="32"/>
          <w:highlight w:val="none"/>
          <w:u w:val="single"/>
          <w:lang w:val="en-US" w:eastAsia="zh-CN"/>
        </w:rPr>
        <w:t>6月</w:t>
      </w:r>
    </w:p>
    <w:p>
      <w:pPr>
        <w:jc w:val="center"/>
        <w:outlineLvl w:val="9"/>
        <w:rPr>
          <w:rFonts w:hint="eastAsia" w:ascii="仿宋" w:hAnsi="仿宋" w:eastAsia="仿宋" w:cs="仿宋"/>
          <w:b/>
          <w:bCs/>
          <w:sz w:val="36"/>
          <w:szCs w:val="44"/>
          <w:highlight w:val="none"/>
          <w:lang w:val="en-US" w:eastAsia="zh-CN"/>
        </w:rPr>
      </w:pPr>
      <w:bookmarkStart w:id="0" w:name="_Toc30314"/>
      <w:bookmarkStart w:id="1" w:name="_Toc3129"/>
      <w:bookmarkStart w:id="2" w:name="_Toc216582804"/>
      <w:bookmarkStart w:id="3" w:name="_Toc25817"/>
      <w:bookmarkStart w:id="4" w:name="_Toc22782"/>
      <w:bookmarkStart w:id="5" w:name="_Toc17230"/>
      <w:r>
        <w:rPr>
          <w:rFonts w:hint="eastAsia" w:ascii="仿宋" w:hAnsi="仿宋" w:eastAsia="仿宋" w:cs="仿宋"/>
          <w:b/>
          <w:bCs/>
          <w:sz w:val="36"/>
          <w:szCs w:val="44"/>
          <w:highlight w:val="none"/>
          <w:lang w:val="en-US" w:eastAsia="zh-CN"/>
        </w:rPr>
        <w:t>目录</w:t>
      </w:r>
    </w:p>
    <w:p>
      <w:pPr>
        <w:pStyle w:val="5"/>
        <w:rPr>
          <w:rFonts w:hint="default"/>
          <w:highlight w:val="none"/>
          <w:lang w:val="en-US" w:eastAsia="zh-CN"/>
        </w:rPr>
      </w:pPr>
    </w:p>
    <w:p>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sz w:val="22"/>
          <w:szCs w:val="18"/>
          <w:highlight w:val="none"/>
          <w:lang w:val="en-US" w:eastAsia="zh-CN"/>
        </w:rPr>
      </w:pPr>
      <w:r>
        <w:rPr>
          <w:rFonts w:hint="eastAsia" w:ascii="宋体" w:hAnsi="宋体" w:eastAsia="宋体" w:cs="宋体"/>
          <w:b/>
          <w:bCs/>
          <w:kern w:val="2"/>
          <w:sz w:val="21"/>
          <w:szCs w:val="24"/>
          <w:highlight w:val="none"/>
          <w:lang w:val="en-US" w:eastAsia="zh-CN" w:bidi="ar-SA"/>
        </w:rPr>
        <w:t>第一章</w:t>
      </w:r>
      <w:r>
        <w:rPr>
          <w:rFonts w:hint="eastAsia" w:ascii="宋体" w:hAnsi="宋体" w:eastAsia="宋体" w:cs="宋体"/>
          <w:highlight w:val="none"/>
          <w:lang w:val="en-US" w:eastAsia="zh-CN"/>
        </w:rPr>
        <w:t>................................</w:t>
      </w:r>
      <w:r>
        <w:rPr>
          <w:rFonts w:hint="eastAsia" w:hAnsi="宋体" w:eastAsia="宋体" w:cs="宋体"/>
          <w:highlight w:val="none"/>
          <w:lang w:val="en-US" w:eastAsia="zh-CN"/>
        </w:rPr>
        <w:t>....</w:t>
      </w:r>
      <w:r>
        <w:rPr>
          <w:rFonts w:hint="eastAsia" w:ascii="宋体" w:hAnsi="宋体" w:eastAsia="宋体" w:cs="宋体"/>
          <w:highlight w:val="none"/>
          <w:lang w:val="en-US" w:eastAsia="zh-CN"/>
        </w:rPr>
        <w:t>..............................</w:t>
      </w:r>
      <w:r>
        <w:rPr>
          <w:rFonts w:hint="eastAsia" w:hAnsi="宋体" w:eastAsia="宋体" w:cs="宋体"/>
          <w:highlight w:val="none"/>
          <w:lang w:val="en-US" w:eastAsia="zh-CN"/>
        </w:rPr>
        <w:t>..</w:t>
      </w:r>
      <w:r>
        <w:rPr>
          <w:rFonts w:hint="eastAsia" w:ascii="宋体" w:hAnsi="宋体" w:eastAsia="宋体" w:cs="宋体"/>
          <w:highlight w:val="none"/>
          <w:lang w:val="en-US" w:eastAsia="zh-CN"/>
        </w:rPr>
        <w:t>.</w:t>
      </w:r>
      <w:r>
        <w:rPr>
          <w:rFonts w:hint="eastAsia" w:ascii="宋体" w:hAnsi="宋体" w:eastAsia="宋体" w:cs="宋体"/>
          <w:b w:val="0"/>
          <w:bCs w:val="0"/>
          <w:sz w:val="22"/>
          <w:szCs w:val="18"/>
          <w:highlight w:val="none"/>
          <w:lang w:val="en-US" w:eastAsia="zh-CN"/>
        </w:rPr>
        <w:t>..</w:t>
      </w:r>
      <w:r>
        <w:rPr>
          <w:rFonts w:hint="eastAsia" w:ascii="宋体" w:hAnsi="宋体" w:eastAsia="宋体" w:cs="宋体"/>
          <w:b w:val="0"/>
          <w:bCs w:val="0"/>
          <w:sz w:val="24"/>
          <w:szCs w:val="24"/>
          <w:highlight w:val="none"/>
          <w:lang w:val="en-US" w:eastAsia="zh-CN"/>
        </w:rPr>
        <w:t>1</w:t>
      </w:r>
    </w:p>
    <w:p>
      <w:pPr>
        <w:keepNext w:val="0"/>
        <w:keepLines w:val="0"/>
        <w:pageBreakBefore w:val="0"/>
        <w:widowControl w:val="0"/>
        <w:numPr>
          <w:ilvl w:val="0"/>
          <w:numId w:val="0"/>
        </w:numPr>
        <w:kinsoku/>
        <w:wordWrap/>
        <w:overflowPunct/>
        <w:topLinePunct w:val="0"/>
        <w:bidi w:val="0"/>
        <w:snapToGrid/>
        <w:spacing w:line="500" w:lineRule="exact"/>
        <w:ind w:firstLine="44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2"/>
          <w:szCs w:val="18"/>
          <w:highlight w:val="none"/>
          <w:lang w:val="en-US" w:eastAsia="zh-CN" w:bidi="ar-SA"/>
        </w:rPr>
        <w:t>招标公告.......................................................................</w:t>
      </w:r>
      <w:r>
        <w:rPr>
          <w:rFonts w:hint="eastAsia" w:ascii="宋体" w:hAnsi="宋体" w:eastAsia="宋体" w:cs="宋体"/>
          <w:b w:val="0"/>
          <w:bCs w:val="0"/>
          <w:sz w:val="24"/>
          <w:szCs w:val="24"/>
          <w:highlight w:val="none"/>
          <w:lang w:val="en-US" w:eastAsia="zh-CN"/>
        </w:rPr>
        <w:t>1</w:t>
      </w:r>
    </w:p>
    <w:p>
      <w:pPr>
        <w:pStyle w:val="5"/>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投标人须知前附表........................................................3</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总则...............................................................................7</w:t>
      </w:r>
    </w:p>
    <w:p>
      <w:pPr>
        <w:pStyle w:val="5"/>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招标文件................................................................8</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投标文件的编制.....................................................................8</w:t>
      </w:r>
    </w:p>
    <w:p>
      <w:pPr>
        <w:pStyle w:val="5"/>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投标文件的递交.........................................................11</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开标及评标........................................................................12</w:t>
      </w:r>
    </w:p>
    <w:p>
      <w:pPr>
        <w:pStyle w:val="5"/>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确定中标...............................................................15</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第二章</w:t>
      </w:r>
      <w:r>
        <w:rPr>
          <w:rFonts w:hint="eastAsia" w:ascii="宋体" w:hAnsi="宋体" w:eastAsia="宋体" w:cs="宋体"/>
          <w:b/>
          <w:bCs/>
          <w:sz w:val="28"/>
          <w:szCs w:val="28"/>
          <w:highlight w:val="none"/>
          <w:lang w:val="en-US" w:eastAsia="zh-CN"/>
        </w:rPr>
        <w:t>.</w:t>
      </w:r>
      <w:r>
        <w:rPr>
          <w:rFonts w:hint="eastAsia" w:ascii="宋体" w:hAnsi="宋体" w:eastAsia="宋体" w:cs="宋体"/>
          <w:kern w:val="0"/>
          <w:sz w:val="24"/>
          <w:szCs w:val="20"/>
          <w:highlight w:val="none"/>
          <w:lang w:val="en-US" w:eastAsia="zh-CN" w:bidi="ar-SA"/>
        </w:rPr>
        <w:t>.....................................................................</w:t>
      </w:r>
      <w:r>
        <w:rPr>
          <w:rFonts w:hint="eastAsia" w:ascii="宋体" w:hAnsi="宋体" w:eastAsia="宋体" w:cs="宋体"/>
          <w:b/>
          <w:bCs/>
          <w:sz w:val="24"/>
          <w:szCs w:val="24"/>
          <w:highlight w:val="none"/>
          <w:lang w:val="en-US" w:eastAsia="zh-CN"/>
        </w:rPr>
        <w:t>20</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投标文件格式.....................................................................20</w:t>
      </w:r>
    </w:p>
    <w:p>
      <w:pPr>
        <w:pStyle w:val="5"/>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开标一览表及资格证明文件.............................</w:t>
      </w:r>
      <w:r>
        <w:rPr>
          <w:rFonts w:hint="eastAsia" w:hAnsi="宋体" w:eastAsia="宋体" w:cs="宋体"/>
          <w:highlight w:val="none"/>
          <w:lang w:val="en-US" w:eastAsia="zh-CN"/>
        </w:rPr>
        <w:t>.</w:t>
      </w:r>
      <w:r>
        <w:rPr>
          <w:rFonts w:hint="eastAsia" w:ascii="宋体" w:hAnsi="宋体" w:eastAsia="宋体" w:cs="宋体"/>
          <w:highlight w:val="none"/>
          <w:lang w:val="en-US" w:eastAsia="zh-CN"/>
        </w:rPr>
        <w:t>.................2</w:t>
      </w:r>
      <w:r>
        <w:rPr>
          <w:rFonts w:hint="eastAsia" w:hAnsi="宋体" w:eastAsia="宋体" w:cs="宋体"/>
          <w:highlight w:val="none"/>
          <w:lang w:val="en-US" w:eastAsia="zh-CN"/>
        </w:rPr>
        <w:t>1</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商务及技术文件...................................................................28</w:t>
      </w:r>
    </w:p>
    <w:p>
      <w:pPr>
        <w:pStyle w:val="5"/>
        <w:keepNext w:val="0"/>
        <w:keepLines w:val="0"/>
        <w:pageBreakBefore w:val="0"/>
        <w:widowControl w:val="0"/>
        <w:numPr>
          <w:ilvl w:val="0"/>
          <w:numId w:val="0"/>
        </w:numPr>
        <w:kinsoku/>
        <w:wordWrap/>
        <w:overflowPunct/>
        <w:topLinePunct w:val="0"/>
        <w:bidi w:val="0"/>
        <w:snapToGrid/>
        <w:spacing w:line="500" w:lineRule="exact"/>
        <w:textAlignment w:val="auto"/>
        <w:rPr>
          <w:rFonts w:hint="default" w:ascii="宋体" w:hAnsi="宋体" w:eastAsia="宋体" w:cs="宋体"/>
          <w:highlight w:val="none"/>
          <w:lang w:val="en-US" w:eastAsia="zh-CN"/>
        </w:rPr>
      </w:pPr>
      <w:r>
        <w:rPr>
          <w:rFonts w:hint="eastAsia" w:hAnsi="宋体" w:eastAsia="宋体" w:cs="宋体"/>
          <w:b/>
          <w:bCs/>
          <w:highlight w:val="none"/>
          <w:lang w:val="en-US" w:eastAsia="zh-CN"/>
        </w:rPr>
        <w:t>第三章</w:t>
      </w:r>
      <w:r>
        <w:rPr>
          <w:rFonts w:hint="eastAsia" w:ascii="宋体" w:hAnsi="宋体" w:eastAsia="宋体" w:cs="宋体"/>
          <w:highlight w:val="none"/>
          <w:lang w:val="en-US" w:eastAsia="zh-CN"/>
        </w:rPr>
        <w:t>........................</w:t>
      </w:r>
      <w:r>
        <w:rPr>
          <w:rFonts w:hint="eastAsia" w:hAnsi="宋体" w:eastAsia="宋体" w:cs="宋体"/>
          <w:highlight w:val="none"/>
          <w:lang w:val="en-US" w:eastAsia="zh-CN"/>
        </w:rPr>
        <w:t>.....</w:t>
      </w:r>
      <w:r>
        <w:rPr>
          <w:rFonts w:hint="eastAsia" w:ascii="宋体" w:hAnsi="宋体" w:eastAsia="宋体" w:cs="宋体"/>
          <w:highlight w:val="none"/>
          <w:lang w:val="en-US" w:eastAsia="zh-CN"/>
        </w:rPr>
        <w:t>........................................4</w:t>
      </w:r>
      <w:r>
        <w:rPr>
          <w:rFonts w:hint="eastAsia" w:hAnsi="宋体" w:eastAsia="宋体" w:cs="宋体"/>
          <w:highlight w:val="none"/>
          <w:lang w:val="en-US" w:eastAsia="zh-CN"/>
        </w:rPr>
        <w:t>3</w:t>
      </w:r>
    </w:p>
    <w:p>
      <w:pPr>
        <w:pStyle w:val="5"/>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货物需求一览表.........................................................4</w:t>
      </w:r>
      <w:r>
        <w:rPr>
          <w:rFonts w:hint="eastAsia" w:hAnsi="宋体" w:eastAsia="宋体" w:cs="宋体"/>
          <w:highlight w:val="none"/>
          <w:lang w:val="en-US" w:eastAsia="zh-CN"/>
        </w:rPr>
        <w:t>3</w:t>
      </w:r>
    </w:p>
    <w:p>
      <w:pPr>
        <w:keepNext w:val="0"/>
        <w:keepLines w:val="0"/>
        <w:pageBreakBefore w:val="0"/>
        <w:widowControl w:val="0"/>
        <w:kinsoku/>
        <w:wordWrap/>
        <w:overflowPunct/>
        <w:topLinePunct w:val="0"/>
        <w:bidi w:val="0"/>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b/>
          <w:bCs/>
          <w:highlight w:val="none"/>
          <w:lang w:val="en-US" w:eastAsia="zh-CN"/>
        </w:rPr>
        <w:t>第四章.</w:t>
      </w:r>
      <w:r>
        <w:rPr>
          <w:rFonts w:hint="eastAsia" w:ascii="宋体" w:hAnsi="宋体" w:eastAsia="宋体" w:cs="宋体"/>
          <w:highlight w:val="none"/>
          <w:lang w:val="en-US" w:eastAsia="zh-CN"/>
        </w:rPr>
        <w:t>...............................................................................45</w:t>
      </w:r>
    </w:p>
    <w:p>
      <w:pPr>
        <w:pStyle w:val="5"/>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评标方法和标准.........................................................4</w:t>
      </w:r>
      <w:r>
        <w:rPr>
          <w:rFonts w:hint="eastAsia" w:hAnsi="宋体" w:eastAsia="宋体" w:cs="宋体"/>
          <w:highlight w:val="none"/>
          <w:lang w:val="en-US" w:eastAsia="zh-CN"/>
        </w:rPr>
        <w:t>5</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政府采购合同参考范本..............................................................50</w:t>
      </w:r>
    </w:p>
    <w:p>
      <w:pPr>
        <w:keepNext w:val="0"/>
        <w:keepLines w:val="0"/>
        <w:pageBreakBefore w:val="0"/>
        <w:widowControl w:val="0"/>
        <w:kinsoku/>
        <w:wordWrap/>
        <w:overflowPunct/>
        <w:topLinePunct w:val="0"/>
        <w:bidi w:val="0"/>
        <w:snapToGrid/>
        <w:spacing w:line="500" w:lineRule="exact"/>
        <w:jc w:val="center"/>
        <w:textAlignment w:val="auto"/>
        <w:outlineLvl w:val="9"/>
        <w:rPr>
          <w:rFonts w:hint="eastAsia" w:ascii="宋体" w:hAnsi="宋体" w:eastAsia="宋体" w:cs="宋体"/>
          <w:b/>
          <w:bCs/>
          <w:sz w:val="36"/>
          <w:szCs w:val="44"/>
          <w:highlight w:val="none"/>
          <w:lang w:val="en-US" w:eastAsia="zh-CN"/>
        </w:rPr>
      </w:pPr>
    </w:p>
    <w:p>
      <w:pPr>
        <w:spacing w:line="360" w:lineRule="auto"/>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both"/>
        <w:outlineLvl w:val="9"/>
        <w:rPr>
          <w:rFonts w:hint="eastAsia" w:ascii="仿宋" w:hAnsi="仿宋" w:eastAsia="仿宋" w:cs="仿宋"/>
          <w:b/>
          <w:bCs/>
          <w:sz w:val="36"/>
          <w:szCs w:val="44"/>
          <w:highlight w:val="none"/>
          <w:lang w:val="en-US" w:eastAsia="zh-CN"/>
        </w:rPr>
      </w:pPr>
    </w:p>
    <w:p>
      <w:pPr>
        <w:jc w:val="both"/>
        <w:outlineLvl w:val="9"/>
        <w:rPr>
          <w:rFonts w:hint="eastAsia" w:ascii="仿宋" w:hAnsi="仿宋" w:eastAsia="仿宋" w:cs="仿宋"/>
          <w:b/>
          <w:bCs/>
          <w:sz w:val="36"/>
          <w:szCs w:val="44"/>
          <w:highlight w:val="none"/>
          <w:lang w:val="en-US" w:eastAsia="zh-CN"/>
        </w:rPr>
        <w:sectPr>
          <w:footerReference r:id="rId4" w:type="default"/>
          <w:pgSz w:w="11906" w:h="16838"/>
          <w:pgMar w:top="1474" w:right="1304" w:bottom="1474" w:left="1304" w:header="851" w:footer="992" w:gutter="0"/>
          <w:pgNumType w:start="1"/>
          <w:cols w:space="720" w:num="1"/>
          <w:docGrid w:linePitch="312" w:charSpace="0"/>
        </w:sectPr>
      </w:pPr>
    </w:p>
    <w:p>
      <w:pPr>
        <w:jc w:val="center"/>
        <w:outlineLvl w:val="9"/>
        <w:rPr>
          <w:rFonts w:hint="default" w:ascii="仿宋" w:hAnsi="仿宋" w:eastAsia="仿宋" w:cs="仿宋"/>
          <w:b/>
          <w:bCs/>
          <w:sz w:val="36"/>
          <w:szCs w:val="44"/>
          <w:highlight w:val="none"/>
          <w:lang w:val="en-US" w:eastAsia="zh-CN"/>
        </w:rPr>
      </w:pPr>
      <w:r>
        <w:rPr>
          <w:rFonts w:hint="eastAsia" w:ascii="仿宋" w:hAnsi="仿宋" w:eastAsia="仿宋" w:cs="仿宋"/>
          <w:b/>
          <w:bCs/>
          <w:sz w:val="36"/>
          <w:szCs w:val="44"/>
          <w:highlight w:val="none"/>
          <w:lang w:val="en-US" w:eastAsia="zh-CN"/>
        </w:rPr>
        <w:t>第一章</w:t>
      </w:r>
    </w:p>
    <w:p>
      <w:pPr>
        <w:jc w:val="center"/>
        <w:outlineLvl w:val="9"/>
        <w:rPr>
          <w:rFonts w:hint="eastAsia" w:ascii="仿宋" w:hAnsi="仿宋" w:eastAsia="仿宋" w:cs="仿宋"/>
          <w:sz w:val="24"/>
          <w:szCs w:val="32"/>
          <w:highlight w:val="none"/>
        </w:rPr>
      </w:pPr>
      <w:r>
        <w:rPr>
          <w:rFonts w:hint="eastAsia" w:ascii="仿宋" w:hAnsi="仿宋" w:eastAsia="仿宋" w:cs="仿宋"/>
          <w:b/>
          <w:bCs/>
          <w:sz w:val="36"/>
          <w:szCs w:val="44"/>
          <w:highlight w:val="none"/>
          <w:lang w:val="en-US" w:eastAsia="zh-CN"/>
        </w:rPr>
        <w:t>巴楚县基础教育设施设备提升-教学仪器及生活设备采购项目（二次）招标</w:t>
      </w:r>
      <w:r>
        <w:rPr>
          <w:rFonts w:hint="eastAsia" w:ascii="仿宋" w:hAnsi="仿宋" w:eastAsia="仿宋" w:cs="仿宋"/>
          <w:b/>
          <w:bCs/>
          <w:sz w:val="36"/>
          <w:szCs w:val="44"/>
          <w:highlight w:val="none"/>
        </w:rPr>
        <w:t>公告</w:t>
      </w:r>
      <w:bookmarkEnd w:id="0"/>
      <w:bookmarkEnd w:id="1"/>
    </w:p>
    <w:p>
      <w:pPr>
        <w:outlineLvl w:val="9"/>
        <w:rPr>
          <w:rFonts w:hint="eastAsia" w:ascii="仿宋" w:hAnsi="仿宋" w:eastAsia="仿宋" w:cs="仿宋"/>
          <w:highlight w:val="none"/>
        </w:rPr>
      </w:pPr>
    </w:p>
    <w:p>
      <w:pPr>
        <w:pBdr>
          <w:top w:val="single" w:color="auto" w:sz="4" w:space="1"/>
          <w:left w:val="single" w:color="auto" w:sz="4" w:space="4"/>
          <w:bottom w:val="single" w:color="auto" w:sz="4" w:space="1"/>
          <w:right w:val="single" w:color="auto" w:sz="4" w:space="4"/>
        </w:pBdr>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outlineLvl w:val="9"/>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巴楚县基础教育设施设备提升-教学仪器及生活设备采购项目的潜在供应商应在政采云平台（http://www.ccgp-xinjiang.gov.cn/）获取采购文件，并于</w:t>
      </w:r>
      <w:r>
        <w:rPr>
          <w:rFonts w:hint="eastAsia" w:ascii="仿宋" w:hAnsi="仿宋" w:eastAsia="仿宋" w:cs="仿宋"/>
          <w:color w:val="auto"/>
          <w:sz w:val="28"/>
          <w:szCs w:val="28"/>
          <w:highlight w:val="none"/>
          <w:u w:val="single"/>
          <w:lang w:val="en-US" w:eastAsia="zh-CN"/>
        </w:rPr>
        <w:t>2022年6月27日11点00分（北京时间）</w:t>
      </w:r>
      <w:r>
        <w:rPr>
          <w:rFonts w:hint="eastAsia" w:ascii="仿宋" w:hAnsi="仿宋" w:eastAsia="仿宋" w:cs="仿宋"/>
          <w:sz w:val="28"/>
          <w:szCs w:val="28"/>
          <w:highlight w:val="none"/>
          <w:u w:val="none"/>
          <w:lang w:val="en-US" w:eastAsia="zh-CN"/>
        </w:rPr>
        <w:t>前提交响应文件。</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6" w:name="_Toc35393629"/>
      <w:bookmarkStart w:id="7" w:name="_Toc28359012"/>
      <w:bookmarkStart w:id="8" w:name="_Toc7061"/>
      <w:bookmarkStart w:id="9" w:name="_Toc28359089"/>
      <w:bookmarkStart w:id="10" w:name="_Toc35393798"/>
      <w:r>
        <w:rPr>
          <w:rFonts w:hint="eastAsia" w:ascii="仿宋" w:hAnsi="仿宋" w:eastAsia="仿宋" w:cs="仿宋"/>
          <w:b w:val="0"/>
          <w:sz w:val="28"/>
          <w:szCs w:val="28"/>
          <w:highlight w:val="none"/>
        </w:rPr>
        <w:t>一、项目基本情况</w:t>
      </w:r>
      <w:bookmarkEnd w:id="6"/>
      <w:bookmarkEnd w:id="7"/>
      <w:bookmarkEnd w:id="8"/>
      <w:bookmarkEnd w:id="9"/>
      <w:bookmarkEnd w:id="10"/>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：KSBCX(GK)2022-19号</w:t>
      </w:r>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巴楚县基础教育设施设备提升-教学仪器及生活设备采购项目一标段学生课桌椅、讲桌等设施设备采购；第二标段班班通，大门口、食堂、教学楼走廊监控设备，校园广播等设施设备采购；第三标段食堂设备采购</w:t>
      </w:r>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本项目总预算：292.989万元。</w:t>
      </w:r>
    </w:p>
    <w:p>
      <w:pPr>
        <w:pageBreakBefore w:val="0"/>
        <w:kinsoku/>
        <w:wordWrap/>
        <w:overflowPunct/>
        <w:topLinePunct w:val="0"/>
        <w:bidi w:val="0"/>
        <w:snapToGrid/>
        <w:spacing w:line="400" w:lineRule="exact"/>
        <w:ind w:firstLine="560" w:firstLineChars="20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最高限价：二标段</w:t>
      </w:r>
      <w:r>
        <w:rPr>
          <w:rFonts w:hint="eastAsia" w:ascii="仿宋" w:hAnsi="仿宋" w:eastAsia="仿宋" w:cs="仿宋"/>
          <w:kern w:val="2"/>
          <w:sz w:val="28"/>
          <w:szCs w:val="28"/>
          <w:highlight w:val="none"/>
          <w:lang w:val="en-US" w:eastAsia="zh-CN" w:bidi="ar-SA"/>
        </w:rPr>
        <w:t>1522448元（</w:t>
      </w:r>
      <w:r>
        <w:rPr>
          <w:rFonts w:hint="eastAsia" w:ascii="仿宋" w:hAnsi="仿宋" w:eastAsia="仿宋" w:cs="仿宋"/>
          <w:kern w:val="2"/>
          <w:sz w:val="28"/>
          <w:szCs w:val="28"/>
          <w:highlight w:val="none"/>
          <w:lang w:val="en-US" w:eastAsia="zh-CN" w:bidi="ar-SA"/>
        </w:rPr>
        <w:fldChar w:fldCharType="begin"/>
      </w:r>
      <w:r>
        <w:rPr>
          <w:rFonts w:hint="eastAsia" w:ascii="仿宋" w:hAnsi="仿宋" w:eastAsia="仿宋" w:cs="仿宋"/>
          <w:kern w:val="2"/>
          <w:sz w:val="28"/>
          <w:szCs w:val="28"/>
          <w:highlight w:val="none"/>
          <w:lang w:val="en-US" w:eastAsia="zh-CN" w:bidi="ar-SA"/>
        </w:rPr>
        <w:instrText xml:space="preserve"> = 1522448 \* CHINESENUM4 \* MERGEFORMAT </w:instrText>
      </w:r>
      <w:r>
        <w:rPr>
          <w:rFonts w:hint="eastAsia" w:ascii="仿宋" w:hAnsi="仿宋" w:eastAsia="仿宋" w:cs="仿宋"/>
          <w:kern w:val="2"/>
          <w:sz w:val="28"/>
          <w:szCs w:val="28"/>
          <w:highlight w:val="none"/>
          <w:lang w:val="en-US" w:eastAsia="zh-CN" w:bidi="ar-SA"/>
        </w:rPr>
        <w:fldChar w:fldCharType="separate"/>
      </w:r>
      <w:r>
        <w:rPr>
          <w:rFonts w:hint="eastAsia" w:ascii="仿宋" w:hAnsi="仿宋" w:eastAsia="仿宋" w:cs="仿宋"/>
          <w:kern w:val="2"/>
          <w:sz w:val="28"/>
          <w:szCs w:val="28"/>
          <w:highlight w:val="none"/>
          <w:lang w:val="en-US" w:eastAsia="zh-CN" w:bidi="ar-SA"/>
        </w:rPr>
        <w:t>壹佰伍拾贰万贰仟肆佰肆拾捌元整</w:t>
      </w:r>
      <w:r>
        <w:rPr>
          <w:rFonts w:hint="eastAsia" w:ascii="仿宋" w:hAnsi="仿宋" w:eastAsia="仿宋" w:cs="仿宋"/>
          <w:kern w:val="2"/>
          <w:sz w:val="28"/>
          <w:szCs w:val="28"/>
          <w:highlight w:val="none"/>
          <w:lang w:val="en-US" w:eastAsia="zh-CN" w:bidi="ar-SA"/>
        </w:rPr>
        <w:fldChar w:fldCharType="end"/>
      </w:r>
      <w:r>
        <w:rPr>
          <w:rFonts w:hint="eastAsia" w:ascii="仿宋" w:hAnsi="仿宋" w:eastAsia="仿宋" w:cs="仿宋"/>
          <w:kern w:val="2"/>
          <w:sz w:val="28"/>
          <w:szCs w:val="28"/>
          <w:highlight w:val="none"/>
          <w:lang w:val="en-US" w:eastAsia="zh-CN" w:bidi="ar-SA"/>
        </w:rPr>
        <w:t>）</w:t>
      </w:r>
    </w:p>
    <w:p>
      <w:pPr>
        <w:ind w:firstLine="1960" w:firstLineChars="700"/>
        <w:rPr>
          <w:rFonts w:hint="default"/>
          <w:lang w:val="en-US" w:eastAsia="zh-CN"/>
        </w:rPr>
      </w:pPr>
      <w:r>
        <w:rPr>
          <w:rFonts w:hint="eastAsia" w:ascii="仿宋" w:hAnsi="仿宋" w:eastAsia="仿宋" w:cs="仿宋"/>
          <w:sz w:val="28"/>
          <w:szCs w:val="28"/>
          <w:highlight w:val="none"/>
          <w:lang w:val="en-US" w:eastAsia="zh-CN"/>
        </w:rPr>
        <w:t>三标段751952元</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highlight w:val="none"/>
          <w:lang w:val="en-US" w:eastAsia="zh-CN" w:bidi="ar-SA"/>
        </w:rPr>
        <w:fldChar w:fldCharType="begin"/>
      </w:r>
      <w:r>
        <w:rPr>
          <w:rFonts w:hint="eastAsia" w:ascii="仿宋" w:hAnsi="仿宋" w:eastAsia="仿宋" w:cs="仿宋"/>
          <w:kern w:val="2"/>
          <w:sz w:val="28"/>
          <w:szCs w:val="28"/>
          <w:highlight w:val="none"/>
          <w:lang w:val="en-US" w:eastAsia="zh-CN" w:bidi="ar-SA"/>
        </w:rPr>
        <w:instrText xml:space="preserve"> = 751952 \* CHINESENUM4 \* MERGEFORMAT </w:instrText>
      </w:r>
      <w:r>
        <w:rPr>
          <w:rFonts w:hint="eastAsia" w:ascii="仿宋" w:hAnsi="仿宋" w:eastAsia="仿宋" w:cs="仿宋"/>
          <w:kern w:val="2"/>
          <w:sz w:val="28"/>
          <w:szCs w:val="28"/>
          <w:highlight w:val="none"/>
          <w:lang w:val="en-US" w:eastAsia="zh-CN" w:bidi="ar-SA"/>
        </w:rPr>
        <w:fldChar w:fldCharType="separate"/>
      </w:r>
      <w:r>
        <w:rPr>
          <w:rFonts w:hint="eastAsia" w:ascii="仿宋" w:hAnsi="仿宋" w:eastAsia="仿宋" w:cs="仿宋"/>
          <w:kern w:val="2"/>
          <w:sz w:val="28"/>
          <w:szCs w:val="28"/>
          <w:highlight w:val="none"/>
          <w:lang w:val="en-US" w:eastAsia="zh-CN" w:bidi="ar-SA"/>
        </w:rPr>
        <w:t>柒拾伍万壹仟玖佰伍拾贰元整</w:t>
      </w:r>
      <w:r>
        <w:rPr>
          <w:rFonts w:hint="eastAsia" w:ascii="仿宋" w:hAnsi="仿宋" w:eastAsia="仿宋" w:cs="仿宋"/>
          <w:kern w:val="2"/>
          <w:sz w:val="28"/>
          <w:szCs w:val="28"/>
          <w:highlight w:val="none"/>
          <w:lang w:val="en-US" w:eastAsia="zh-CN" w:bidi="ar-SA"/>
        </w:rPr>
        <w:fldChar w:fldCharType="end"/>
      </w:r>
      <w:r>
        <w:rPr>
          <w:rFonts w:hint="eastAsia" w:ascii="仿宋" w:hAnsi="仿宋" w:eastAsia="仿宋" w:cs="仿宋"/>
          <w:kern w:val="2"/>
          <w:sz w:val="28"/>
          <w:szCs w:val="28"/>
          <w:highlight w:val="none"/>
          <w:lang w:val="en-US" w:eastAsia="zh-CN" w:bidi="ar-SA"/>
        </w:rPr>
        <w:t>）</w:t>
      </w:r>
    </w:p>
    <w:p>
      <w:pPr>
        <w:pageBreakBefore w:val="0"/>
        <w:kinsoku/>
        <w:wordWrap/>
        <w:overflowPunct/>
        <w:topLinePunct w:val="0"/>
        <w:bidi w:val="0"/>
        <w:snapToGrid/>
        <w:spacing w:line="400" w:lineRule="exact"/>
        <w:ind w:left="0" w:leftChars="0" w:firstLine="638" w:firstLineChars="228"/>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采购内容：二标段</w:t>
      </w:r>
      <w:r>
        <w:rPr>
          <w:rFonts w:hint="eastAsia" w:ascii="仿宋" w:hAnsi="仿宋" w:eastAsia="仿宋" w:cs="仿宋"/>
          <w:kern w:val="2"/>
          <w:sz w:val="28"/>
          <w:szCs w:val="28"/>
          <w:highlight w:val="none"/>
          <w:lang w:val="en-US" w:eastAsia="zh-CN" w:bidi="ar-SA"/>
        </w:rPr>
        <w:t>班班通，大门口、食堂、教学楼走廊监控设备，校园广播等设施设备采购。</w:t>
      </w:r>
    </w:p>
    <w:p>
      <w:pPr>
        <w:pageBreakBefore w:val="0"/>
        <w:kinsoku/>
        <w:wordWrap/>
        <w:overflowPunct/>
        <w:topLinePunct w:val="0"/>
        <w:bidi w:val="0"/>
        <w:snapToGrid/>
        <w:spacing w:line="400" w:lineRule="exact"/>
        <w:ind w:left="0" w:leftChars="0" w:firstLine="2032" w:firstLineChars="726"/>
        <w:textAlignment w:val="auto"/>
        <w:outlineLvl w:val="9"/>
        <w:rPr>
          <w:rFonts w:hint="eastAsia" w:ascii="仿宋" w:hAnsi="仿宋" w:eastAsia="仿宋" w:cs="仿宋"/>
          <w:sz w:val="28"/>
          <w:szCs w:val="28"/>
          <w:highlight w:val="red"/>
          <w:lang w:val="en-US" w:eastAsia="zh-CN"/>
        </w:rPr>
      </w:pPr>
      <w:r>
        <w:rPr>
          <w:rFonts w:hint="eastAsia" w:ascii="仿宋" w:hAnsi="仿宋" w:eastAsia="仿宋" w:cs="仿宋"/>
          <w:sz w:val="28"/>
          <w:szCs w:val="28"/>
          <w:highlight w:val="none"/>
          <w:lang w:val="en-US" w:eastAsia="zh-CN"/>
        </w:rPr>
        <w:t>三标段食堂设备采购。</w:t>
      </w:r>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本项目不接受联合体投标。</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11" w:name="_Toc8873"/>
      <w:bookmarkStart w:id="12" w:name="_Toc28359090"/>
      <w:bookmarkStart w:id="13" w:name="_Toc28359013"/>
      <w:bookmarkStart w:id="14" w:name="_Toc35393630"/>
      <w:bookmarkStart w:id="15" w:name="_Toc35393799"/>
      <w:r>
        <w:rPr>
          <w:rFonts w:hint="eastAsia" w:ascii="仿宋" w:hAnsi="仿宋" w:eastAsia="仿宋" w:cs="仿宋"/>
          <w:b w:val="0"/>
          <w:sz w:val="28"/>
          <w:szCs w:val="28"/>
          <w:highlight w:val="none"/>
        </w:rPr>
        <w:t>二、申请人的资格要求：</w:t>
      </w:r>
      <w:bookmarkEnd w:id="11"/>
      <w:bookmarkEnd w:id="12"/>
      <w:bookmarkEnd w:id="13"/>
      <w:bookmarkEnd w:id="14"/>
      <w:bookmarkEnd w:id="15"/>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bookmarkStart w:id="16" w:name="_Toc28359091"/>
      <w:bookmarkStart w:id="17" w:name="_Toc35393800"/>
      <w:bookmarkStart w:id="18" w:name="_Toc31654"/>
      <w:bookmarkStart w:id="19" w:name="_Toc28359014"/>
      <w:bookmarkStart w:id="20" w:name="_Toc35393631"/>
      <w:r>
        <w:rPr>
          <w:rFonts w:hint="eastAsia" w:ascii="仿宋" w:hAnsi="仿宋" w:eastAsia="仿宋" w:cs="仿宋"/>
          <w:sz w:val="28"/>
          <w:szCs w:val="28"/>
          <w:highlight w:val="none"/>
          <w:lang w:val="en-US" w:eastAsia="zh-CN"/>
        </w:rPr>
        <w:t>供应商必须符合《中华人民共和国政府采购法》第二十二条的相关规定；</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（1）具有独立承担民事责任的能力（三证合一的营业执照，原件、可扫描的影印件和复印件均可）；</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（2）法人投标需提供本人身份证原件及法人身份证明书，委托代理人投标需提供本人身份证原件及法人授权委托书；</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（3）具有税务局开具依法缴纳近一个月（2022年3月-2022年5月，任意一个月均可）完税证明及2020财务审计报告（新成立公司须提供前一个月的银行资信证明）</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（4）本项目不接受联合体投标。</w:t>
      </w:r>
    </w:p>
    <w:p>
      <w:pPr>
        <w:spacing w:line="480" w:lineRule="exact"/>
        <w:rPr>
          <w:rFonts w:hint="eastAsia" w:ascii="仿宋" w:hAnsi="仿宋" w:eastAsia="仿宋" w:cs="仿宋"/>
          <w:b w:val="0"/>
          <w:sz w:val="28"/>
          <w:szCs w:val="28"/>
          <w:highlight w:val="none"/>
        </w:rPr>
      </w:pPr>
      <w:r>
        <w:rPr>
          <w:rFonts w:hint="eastAsia" w:ascii="仿宋" w:hAnsi="仿宋" w:eastAsia="仿宋" w:cs="仿宋"/>
          <w:b w:val="0"/>
          <w:sz w:val="28"/>
          <w:szCs w:val="28"/>
          <w:highlight w:val="none"/>
          <w:lang w:val="en-US" w:eastAsia="zh-CN"/>
        </w:rPr>
        <w:t>三、</w:t>
      </w:r>
      <w:r>
        <w:rPr>
          <w:rFonts w:hint="eastAsia" w:ascii="仿宋" w:hAnsi="仿宋" w:eastAsia="仿宋" w:cs="仿宋"/>
          <w:b w:val="0"/>
          <w:sz w:val="28"/>
          <w:szCs w:val="28"/>
          <w:highlight w:val="none"/>
        </w:rPr>
        <w:t>落实政府采购政策需满足的资格要求：</w:t>
      </w:r>
    </w:p>
    <w:p>
      <w:pPr>
        <w:spacing w:line="480" w:lineRule="exact"/>
        <w:ind w:firstLine="562" w:firstLineChars="200"/>
        <w:rPr>
          <w:rFonts w:hint="eastAsia"/>
        </w:rPr>
      </w:pPr>
      <w:r>
        <w:rPr>
          <w:rFonts w:hint="eastAsia" w:ascii="仿宋" w:hAnsi="仿宋" w:eastAsia="仿宋" w:cs="宋体"/>
          <w:b/>
          <w:bCs/>
          <w:color w:val="auto"/>
          <w:sz w:val="28"/>
          <w:szCs w:val="28"/>
          <w:highlight w:val="none"/>
          <w:lang w:eastAsia="zh-CN"/>
        </w:rPr>
        <w:t>（</w:t>
      </w:r>
      <w:r>
        <w:rPr>
          <w:rFonts w:hint="eastAsia" w:ascii="仿宋" w:hAnsi="仿宋" w:eastAsia="仿宋" w:cs="宋体"/>
          <w:b/>
          <w:bCs/>
          <w:color w:val="auto"/>
          <w:sz w:val="28"/>
          <w:szCs w:val="28"/>
          <w:highlight w:val="none"/>
          <w:lang w:val="en-US" w:eastAsia="zh-CN"/>
        </w:rPr>
        <w:t>1</w:t>
      </w:r>
      <w:r>
        <w:rPr>
          <w:rFonts w:hint="eastAsia" w:ascii="仿宋" w:hAnsi="仿宋" w:eastAsia="仿宋" w:cs="宋体"/>
          <w:b/>
          <w:bCs/>
          <w:color w:val="auto"/>
          <w:sz w:val="28"/>
          <w:szCs w:val="28"/>
          <w:highlight w:val="none"/>
          <w:lang w:eastAsia="zh-CN"/>
        </w:rPr>
        <w:t>）</w:t>
      </w:r>
      <w:r>
        <w:rPr>
          <w:rFonts w:ascii="仿宋" w:hAnsi="仿宋" w:eastAsia="仿宋" w:cs="宋体"/>
          <w:b/>
          <w:bCs/>
          <w:color w:val="auto"/>
          <w:sz w:val="28"/>
          <w:szCs w:val="28"/>
          <w:highlight w:val="none"/>
        </w:rPr>
        <w:t>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hint="eastAsia" w:ascii="仿宋" w:hAnsi="仿宋" w:eastAsia="仿宋"/>
          <w:bCs/>
          <w:color w:val="auto"/>
          <w:sz w:val="28"/>
          <w:szCs w:val="28"/>
          <w:highlight w:val="none"/>
          <w:lang w:val="en-US" w:eastAsia="zh-CN"/>
        </w:rPr>
        <w:t>2</w:t>
      </w:r>
      <w:r>
        <w:rPr>
          <w:rFonts w:hint="eastAsia" w:ascii="仿宋" w:hAnsi="仿宋" w:eastAsia="仿宋"/>
          <w:bCs/>
          <w:color w:val="auto"/>
          <w:sz w:val="28"/>
          <w:szCs w:val="28"/>
          <w:highlight w:val="none"/>
        </w:rPr>
        <w:t>）《政府采购促进中小企业发展暂行办法》（财库〔2011〕181号），详见</w:t>
      </w:r>
      <w:r>
        <w:rPr>
          <w:rFonts w:hint="eastAsia" w:ascii="仿宋" w:hAnsi="仿宋" w:eastAsia="仿宋"/>
          <w:bCs/>
          <w:color w:val="auto"/>
          <w:sz w:val="28"/>
          <w:szCs w:val="28"/>
          <w:highlight w:val="none"/>
          <w:lang w:val="en-US" w:eastAsia="zh-CN"/>
        </w:rPr>
        <w:t>招标</w:t>
      </w:r>
      <w:r>
        <w:rPr>
          <w:rFonts w:hint="eastAsia" w:ascii="仿宋" w:hAnsi="仿宋" w:eastAsia="仿宋"/>
          <w:bCs/>
          <w:color w:val="auto"/>
          <w:sz w:val="28"/>
          <w:szCs w:val="28"/>
          <w:highlight w:val="none"/>
        </w:rPr>
        <w:t>文件；</w:t>
      </w:r>
    </w:p>
    <w:p>
      <w:pPr>
        <w:spacing w:line="480" w:lineRule="exact"/>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hint="eastAsia" w:ascii="仿宋" w:hAnsi="仿宋" w:eastAsia="仿宋"/>
          <w:bCs/>
          <w:color w:val="auto"/>
          <w:sz w:val="28"/>
          <w:szCs w:val="28"/>
          <w:highlight w:val="none"/>
          <w:lang w:val="en-US" w:eastAsia="zh-CN"/>
        </w:rPr>
        <w:t>3</w:t>
      </w:r>
      <w:r>
        <w:rPr>
          <w:rFonts w:hint="eastAsia" w:ascii="仿宋" w:hAnsi="仿宋" w:eastAsia="仿宋"/>
          <w:bCs/>
          <w:color w:val="auto"/>
          <w:sz w:val="28"/>
          <w:szCs w:val="28"/>
          <w:highlight w:val="none"/>
        </w:rPr>
        <w:t>）《财政部、司法部关于政府采购支持监狱企业发展有关问题的通知》（财库〔2014〕68号），详见</w:t>
      </w:r>
      <w:r>
        <w:rPr>
          <w:rFonts w:hint="eastAsia" w:ascii="仿宋" w:hAnsi="仿宋" w:eastAsia="仿宋"/>
          <w:bCs/>
          <w:color w:val="auto"/>
          <w:sz w:val="28"/>
          <w:szCs w:val="28"/>
          <w:highlight w:val="none"/>
          <w:lang w:val="en-US" w:eastAsia="zh-CN"/>
        </w:rPr>
        <w:t>招标</w:t>
      </w:r>
      <w:r>
        <w:rPr>
          <w:rFonts w:hint="eastAsia" w:ascii="仿宋" w:hAnsi="仿宋" w:eastAsia="仿宋"/>
          <w:bCs/>
          <w:color w:val="auto"/>
          <w:sz w:val="28"/>
          <w:szCs w:val="28"/>
          <w:highlight w:val="none"/>
        </w:rPr>
        <w:t>文件；</w:t>
      </w:r>
    </w:p>
    <w:p>
      <w:pPr>
        <w:spacing w:line="480" w:lineRule="exact"/>
        <w:ind w:firstLine="560" w:firstLineChars="200"/>
        <w:rPr>
          <w:rFonts w:hint="default"/>
          <w:lang w:val="en-US" w:eastAsia="zh-CN"/>
        </w:rPr>
      </w:pPr>
      <w:r>
        <w:rPr>
          <w:rFonts w:hint="eastAsia" w:ascii="仿宋" w:hAnsi="仿宋" w:eastAsia="仿宋"/>
          <w:bCs/>
          <w:color w:val="auto"/>
          <w:sz w:val="28"/>
          <w:szCs w:val="28"/>
          <w:highlight w:val="none"/>
        </w:rPr>
        <w:t>（</w:t>
      </w:r>
      <w:r>
        <w:rPr>
          <w:rFonts w:hint="eastAsia" w:ascii="仿宋" w:hAnsi="仿宋" w:eastAsia="仿宋"/>
          <w:bCs/>
          <w:color w:val="auto"/>
          <w:sz w:val="28"/>
          <w:szCs w:val="28"/>
          <w:highlight w:val="none"/>
          <w:lang w:val="en-US" w:eastAsia="zh-CN"/>
        </w:rPr>
        <w:t>4</w:t>
      </w:r>
      <w:r>
        <w:rPr>
          <w:rFonts w:hint="eastAsia" w:ascii="仿宋" w:hAnsi="仿宋" w:eastAsia="仿宋"/>
          <w:bCs/>
          <w:color w:val="auto"/>
          <w:sz w:val="28"/>
          <w:szCs w:val="28"/>
          <w:highlight w:val="none"/>
        </w:rPr>
        <w:t>）《财政部民政部中国残疾人联合会关于促进残疾人就业政府采购政策的通知》财库〔2017〕141号，详见</w:t>
      </w:r>
      <w:r>
        <w:rPr>
          <w:rFonts w:hint="eastAsia" w:ascii="仿宋" w:hAnsi="仿宋" w:eastAsia="仿宋"/>
          <w:bCs/>
          <w:color w:val="auto"/>
          <w:sz w:val="28"/>
          <w:szCs w:val="28"/>
          <w:highlight w:val="none"/>
          <w:lang w:val="en-US" w:eastAsia="zh-CN"/>
        </w:rPr>
        <w:t>招标</w:t>
      </w:r>
      <w:r>
        <w:rPr>
          <w:rFonts w:hint="eastAsia" w:ascii="仿宋" w:hAnsi="仿宋" w:eastAsia="仿宋"/>
          <w:bCs/>
          <w:color w:val="auto"/>
          <w:sz w:val="28"/>
          <w:szCs w:val="28"/>
          <w:highlight w:val="none"/>
        </w:rPr>
        <w:t>文件。</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lang w:val="en-US" w:eastAsia="zh-CN"/>
        </w:rPr>
        <w:t>四</w:t>
      </w:r>
      <w:r>
        <w:rPr>
          <w:rFonts w:hint="eastAsia" w:ascii="仿宋" w:hAnsi="仿宋" w:eastAsia="仿宋" w:cs="仿宋"/>
          <w:b w:val="0"/>
          <w:sz w:val="28"/>
          <w:szCs w:val="28"/>
          <w:highlight w:val="none"/>
        </w:rPr>
        <w:t>、获取采购文件</w:t>
      </w:r>
      <w:bookmarkEnd w:id="16"/>
      <w:bookmarkEnd w:id="17"/>
      <w:bookmarkEnd w:id="18"/>
      <w:bookmarkEnd w:id="19"/>
      <w:bookmarkEnd w:id="20"/>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lang w:val="en-US" w:eastAsia="zh-CN"/>
        </w:rPr>
        <w:t>时间：</w:t>
      </w:r>
      <w:r>
        <w:rPr>
          <w:rFonts w:hint="eastAsia" w:ascii="仿宋" w:hAnsi="仿宋" w:eastAsia="仿宋" w:cs="仿宋"/>
          <w:color w:val="auto"/>
          <w:sz w:val="28"/>
          <w:szCs w:val="28"/>
          <w:highlight w:val="none"/>
          <w:u w:val="single"/>
          <w:lang w:val="en-US" w:eastAsia="zh-CN"/>
        </w:rPr>
        <w:t>2022年6月6日至2022年6月13日（国家法定节假日除外）</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地点：新疆政府采购网</w:t>
      </w:r>
      <w:r>
        <w:rPr>
          <w:rFonts w:hint="eastAsia" w:ascii="仿宋" w:hAnsi="仿宋" w:eastAsia="仿宋" w:cs="仿宋"/>
          <w:sz w:val="28"/>
          <w:szCs w:val="28"/>
          <w:highlight w:val="none"/>
          <w:u w:val="none"/>
          <w:lang w:val="en-US" w:eastAsia="zh-CN"/>
        </w:rPr>
        <w:t>（http://www.ccgp-xinjiang.gov.cn/）</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方式：线上获取（供应商登陆政采云平台http://www.zcygov.cn/，在线获取招标文件（登录政府采购云平台→ 项目采购 → 获取招标文件 → 提交审核，通过后可下载招标文件，如有操作性问题，可与政采云在线客服进行咨询，咨询电话：400-881-7190）</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lang w:val="en-US" w:eastAsia="zh-CN"/>
        </w:rPr>
      </w:pPr>
      <w:bookmarkStart w:id="21" w:name="_Toc28359092"/>
      <w:bookmarkStart w:id="22" w:name="_Toc28359015"/>
      <w:bookmarkStart w:id="23" w:name="_Toc35393632"/>
      <w:bookmarkStart w:id="24" w:name="_Toc35393801"/>
      <w:bookmarkStart w:id="25" w:name="_Toc15603"/>
      <w:r>
        <w:rPr>
          <w:rFonts w:hint="eastAsia" w:ascii="仿宋" w:hAnsi="仿宋" w:eastAsia="仿宋" w:cs="仿宋"/>
          <w:b w:val="0"/>
          <w:sz w:val="28"/>
          <w:szCs w:val="28"/>
          <w:highlight w:val="none"/>
          <w:lang w:val="en-US" w:eastAsia="zh-CN"/>
        </w:rPr>
        <w:t>四、</w:t>
      </w:r>
      <w:bookmarkEnd w:id="21"/>
      <w:bookmarkEnd w:id="22"/>
      <w:bookmarkEnd w:id="23"/>
      <w:bookmarkEnd w:id="24"/>
      <w:r>
        <w:rPr>
          <w:rFonts w:hint="eastAsia" w:ascii="仿宋" w:hAnsi="仿宋" w:eastAsia="仿宋" w:cs="仿宋"/>
          <w:b w:val="0"/>
          <w:sz w:val="28"/>
          <w:szCs w:val="28"/>
          <w:highlight w:val="none"/>
        </w:rPr>
        <w:t>提交投标文件截止时间、开标时间和地点</w:t>
      </w:r>
      <w:bookmarkEnd w:id="25"/>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color w:val="FF0000"/>
          <w:sz w:val="28"/>
          <w:szCs w:val="28"/>
          <w:highlight w:val="none"/>
          <w:u w:val="single"/>
          <w:lang w:val="en-US" w:eastAsia="zh-CN"/>
        </w:rPr>
      </w:pPr>
      <w:r>
        <w:rPr>
          <w:rFonts w:hint="eastAsia" w:ascii="仿宋" w:hAnsi="仿宋" w:eastAsia="仿宋" w:cs="仿宋"/>
          <w:sz w:val="28"/>
          <w:szCs w:val="28"/>
          <w:highlight w:val="none"/>
          <w:lang w:val="en-US" w:eastAsia="zh-CN"/>
        </w:rPr>
        <w:t>截止时间：</w:t>
      </w:r>
      <w:r>
        <w:rPr>
          <w:rFonts w:hint="eastAsia" w:ascii="仿宋" w:hAnsi="仿宋" w:eastAsia="仿宋" w:cs="仿宋"/>
          <w:color w:val="auto"/>
          <w:sz w:val="28"/>
          <w:szCs w:val="28"/>
          <w:highlight w:val="none"/>
          <w:u w:val="single"/>
          <w:lang w:val="en-US" w:eastAsia="zh-CN"/>
        </w:rPr>
        <w:t>2022年6月27日11点00分（北京时间）</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地点：</w:t>
      </w:r>
      <w:r>
        <w:rPr>
          <w:rFonts w:hint="eastAsia" w:ascii="仿宋" w:hAnsi="仿宋" w:eastAsia="仿宋" w:cs="仿宋"/>
          <w:sz w:val="28"/>
          <w:szCs w:val="28"/>
          <w:highlight w:val="none"/>
          <w:u w:val="single"/>
          <w:lang w:val="en-US" w:eastAsia="zh-CN"/>
        </w:rPr>
        <w:t>详见招标文件</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26" w:name="_Toc35393794"/>
      <w:bookmarkStart w:id="27" w:name="_Toc28359084"/>
      <w:bookmarkStart w:id="28" w:name="_Toc3949"/>
      <w:bookmarkStart w:id="29" w:name="_Toc28359007"/>
      <w:bookmarkStart w:id="30" w:name="_Toc35393625"/>
      <w:r>
        <w:rPr>
          <w:rFonts w:hint="eastAsia" w:ascii="仿宋" w:hAnsi="仿宋" w:eastAsia="仿宋" w:cs="仿宋"/>
          <w:b w:val="0"/>
          <w:sz w:val="28"/>
          <w:szCs w:val="28"/>
          <w:highlight w:val="none"/>
        </w:rPr>
        <w:t>五、公告期限</w:t>
      </w:r>
      <w:bookmarkEnd w:id="26"/>
      <w:bookmarkEnd w:id="27"/>
      <w:bookmarkEnd w:id="28"/>
      <w:bookmarkEnd w:id="29"/>
      <w:bookmarkEnd w:id="30"/>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自本公告发布之日起5个工作日。</w:t>
      </w:r>
    </w:p>
    <w:p>
      <w:pPr>
        <w:pageBreakBefore w:val="0"/>
        <w:numPr>
          <w:ilvl w:val="0"/>
          <w:numId w:val="1"/>
        </w:numPr>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31" w:name="_Toc35393795"/>
      <w:bookmarkStart w:id="32" w:name="_Toc35393626"/>
      <w:bookmarkStart w:id="33" w:name="_Toc9037"/>
      <w:r>
        <w:rPr>
          <w:rFonts w:hint="eastAsia" w:ascii="仿宋" w:hAnsi="仿宋" w:eastAsia="仿宋" w:cs="仿宋"/>
          <w:b w:val="0"/>
          <w:sz w:val="28"/>
          <w:szCs w:val="28"/>
          <w:highlight w:val="none"/>
        </w:rPr>
        <w:t>其他补充事宜</w:t>
      </w:r>
      <w:bookmarkEnd w:id="31"/>
      <w:bookmarkEnd w:id="32"/>
      <w:bookmarkEnd w:id="33"/>
    </w:p>
    <w:p>
      <w:pPr>
        <w:pStyle w:val="5"/>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kern w:val="2"/>
          <w:sz w:val="28"/>
          <w:szCs w:val="28"/>
          <w:highlight w:val="none"/>
          <w:lang w:val="en-US" w:eastAsia="zh-CN" w:bidi="ar-SA"/>
        </w:rPr>
        <w:t xml:space="preserve">  /</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34" w:name="_Toc35393796"/>
      <w:bookmarkStart w:id="35" w:name="_Toc35393627"/>
      <w:bookmarkStart w:id="36" w:name="_Toc28359085"/>
      <w:bookmarkStart w:id="37" w:name="_Toc28359008"/>
      <w:bookmarkStart w:id="38" w:name="_Toc6772"/>
      <w:r>
        <w:rPr>
          <w:rFonts w:hint="eastAsia" w:ascii="仿宋" w:hAnsi="仿宋" w:eastAsia="仿宋" w:cs="仿宋"/>
          <w:b w:val="0"/>
          <w:sz w:val="28"/>
          <w:szCs w:val="28"/>
          <w:highlight w:val="none"/>
        </w:rPr>
        <w:t>七、对本次招标提出询问，请按以下方式联系。</w:t>
      </w:r>
      <w:bookmarkEnd w:id="34"/>
      <w:bookmarkEnd w:id="35"/>
      <w:bookmarkEnd w:id="36"/>
      <w:bookmarkEnd w:id="37"/>
      <w:bookmarkEnd w:id="38"/>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1.采购人信息</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 xml:space="preserve">名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eastAsia="zh-CN"/>
        </w:rPr>
        <w:t>称：</w:t>
      </w:r>
      <w:r>
        <w:rPr>
          <w:rFonts w:hint="eastAsia" w:ascii="仿宋" w:hAnsi="仿宋" w:eastAsia="仿宋" w:cs="仿宋"/>
          <w:sz w:val="28"/>
          <w:szCs w:val="28"/>
          <w:highlight w:val="none"/>
          <w:u w:val="none"/>
          <w:lang w:val="en-US" w:eastAsia="zh-CN"/>
        </w:rPr>
        <w:t xml:space="preserve">巴楚县教育局        </w:t>
      </w:r>
    </w:p>
    <w:p>
      <w:pPr>
        <w:pageBreakBefore w:val="0"/>
        <w:kinsoku/>
        <w:wordWrap/>
        <w:overflowPunct/>
        <w:topLinePunct w:val="0"/>
        <w:bidi w:val="0"/>
        <w:snapToGrid/>
        <w:spacing w:line="400" w:lineRule="exact"/>
        <w:ind w:firstLine="560" w:firstLineChars="200"/>
        <w:jc w:val="left"/>
        <w:textAlignment w:val="auto"/>
        <w:outlineLvl w:val="9"/>
        <w:rPr>
          <w:rFonts w:hint="default" w:ascii="仿宋" w:hAnsi="仿宋" w:eastAsia="仿宋" w:cs="仿宋"/>
          <w:color w:val="auto"/>
          <w:sz w:val="28"/>
          <w:szCs w:val="28"/>
          <w:highlight w:val="none"/>
          <w:u w:val="single"/>
          <w:lang w:val="en-US" w:eastAsia="zh-CN"/>
        </w:rPr>
      </w:pPr>
      <w:r>
        <w:rPr>
          <w:rFonts w:hint="eastAsia" w:ascii="仿宋" w:hAnsi="仿宋" w:eastAsia="仿宋" w:cs="仿宋"/>
          <w:sz w:val="28"/>
          <w:szCs w:val="28"/>
          <w:highlight w:val="none"/>
          <w:lang w:val="en-US" w:eastAsia="zh-CN"/>
        </w:rPr>
        <w:t>联系方式：</w:t>
      </w:r>
      <w:bookmarkStart w:id="39" w:name="_Toc28359009"/>
      <w:bookmarkStart w:id="40" w:name="_Toc28359086"/>
      <w:r>
        <w:rPr>
          <w:rFonts w:hint="eastAsia" w:ascii="仿宋" w:hAnsi="仿宋" w:eastAsia="仿宋" w:cs="仿宋"/>
          <w:sz w:val="28"/>
          <w:szCs w:val="28"/>
          <w:highlight w:val="none"/>
          <w:lang w:val="en-US" w:eastAsia="zh-CN"/>
        </w:rPr>
        <w:t>15292926969</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p>
    <w:bookmarkEnd w:id="39"/>
    <w:bookmarkEnd w:id="40"/>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2.采购代理机构信息</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名 称：巴楚县政府采购中心</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址：巴楚县住房和城乡建设局507室</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联系方式：0998-5720880</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u w:val="single"/>
          <w:lang w:val="en-US" w:eastAsia="zh-CN"/>
        </w:rPr>
      </w:pPr>
      <w:bookmarkStart w:id="41" w:name="_Toc28359010"/>
      <w:bookmarkStart w:id="42" w:name="_Toc28359087"/>
      <w:r>
        <w:rPr>
          <w:rFonts w:hint="eastAsia" w:ascii="仿宋" w:hAnsi="仿宋" w:eastAsia="仿宋" w:cs="仿宋"/>
          <w:sz w:val="28"/>
          <w:szCs w:val="28"/>
          <w:highlight w:val="none"/>
          <w:u w:val="none"/>
          <w:lang w:val="en-US" w:eastAsia="zh-CN"/>
        </w:rPr>
        <w:t xml:space="preserve">     </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3.项目联系方式</w:t>
      </w:r>
      <w:bookmarkEnd w:id="41"/>
      <w:bookmarkEnd w:id="42"/>
    </w:p>
    <w:p>
      <w:pPr>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项目联系人：</w:t>
      </w:r>
      <w:r>
        <w:rPr>
          <w:rFonts w:hint="eastAsia" w:ascii="仿宋" w:hAnsi="仿宋" w:eastAsia="仿宋" w:cs="宋体"/>
          <w:sz w:val="28"/>
          <w:szCs w:val="28"/>
          <w:highlight w:val="none"/>
          <w:lang w:val="en-US" w:eastAsia="zh-CN"/>
        </w:rPr>
        <w:t>赵映鹏</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highlight w:val="none"/>
          <w:u w:val="single"/>
          <w:lang w:val="en-US" w:eastAsia="zh-CN"/>
        </w:rPr>
      </w:pPr>
      <w:r>
        <w:rPr>
          <w:rFonts w:hint="eastAsia" w:ascii="仿宋" w:hAnsi="仿宋" w:eastAsia="仿宋" w:cs="宋体"/>
          <w:sz w:val="28"/>
          <w:szCs w:val="28"/>
          <w:highlight w:val="none"/>
        </w:rPr>
        <w:t>电　话：</w:t>
      </w:r>
      <w:r>
        <w:rPr>
          <w:rFonts w:hint="eastAsia" w:ascii="仿宋" w:hAnsi="仿宋" w:eastAsia="仿宋"/>
          <w:sz w:val="28"/>
          <w:szCs w:val="28"/>
          <w:highlight w:val="none"/>
          <w:lang w:val="en-US" w:eastAsia="zh-CN"/>
        </w:rPr>
        <w:t>0998-6215938</w:t>
      </w:r>
    </w:p>
    <w:p>
      <w:pPr>
        <w:spacing w:line="400" w:lineRule="exact"/>
        <w:ind w:firstLine="560" w:firstLineChars="200"/>
        <w:rPr>
          <w:rFonts w:hint="default" w:ascii="仿宋" w:hAnsi="仿宋" w:eastAsia="仿宋" w:cs="宋体"/>
          <w:sz w:val="28"/>
          <w:szCs w:val="28"/>
          <w:highlight w:val="none"/>
          <w:lang w:val="en-US"/>
        </w:rPr>
      </w:pPr>
    </w:p>
    <w:p>
      <w:pPr>
        <w:pStyle w:val="3"/>
        <w:keepNext w:val="0"/>
        <w:keepLines w:val="0"/>
        <w:tabs>
          <w:tab w:val="left" w:pos="0"/>
        </w:tabs>
        <w:kinsoku w:val="0"/>
        <w:overflowPunct w:val="0"/>
        <w:spacing w:before="0" w:after="0" w:line="240" w:lineRule="atLeast"/>
        <w:rPr>
          <w:rFonts w:hint="eastAsia" w:hAnsi="宋体" w:cs="宋体"/>
          <w:color w:val="000000"/>
          <w:sz w:val="40"/>
          <w:szCs w:val="22"/>
          <w:highlight w:val="none"/>
        </w:rPr>
      </w:pPr>
      <w:r>
        <w:rPr>
          <w:sz w:val="24"/>
          <w:highlight w:val="none"/>
        </w:rPr>
        <w:br w:type="page"/>
      </w:r>
    </w:p>
    <w:p>
      <w:pPr>
        <w:pStyle w:val="3"/>
        <w:keepNext w:val="0"/>
        <w:keepLines w:val="0"/>
        <w:tabs>
          <w:tab w:val="left" w:pos="0"/>
        </w:tabs>
        <w:kinsoku w:val="0"/>
        <w:overflowPunct w:val="0"/>
        <w:spacing w:before="0" w:after="0" w:line="240" w:lineRule="atLeast"/>
        <w:rPr>
          <w:rFonts w:hint="eastAsia" w:hAnsi="宋体" w:cs="宋体"/>
          <w:b w:val="0"/>
          <w:color w:val="000000"/>
          <w:szCs w:val="32"/>
          <w:highlight w:val="none"/>
        </w:rPr>
      </w:pPr>
      <w:r>
        <w:rPr>
          <w:rFonts w:hint="eastAsia" w:hAnsi="宋体" w:cs="宋体"/>
          <w:color w:val="000000"/>
          <w:highlight w:val="none"/>
        </w:rPr>
        <w:t>投标人须知前附表</w:t>
      </w:r>
    </w:p>
    <w:p>
      <w:pPr>
        <w:kinsoku w:val="0"/>
        <w:overflowPunct w:val="0"/>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本表是本招标项目的具体资料，是对投标人须知的具体补充和修改，如有矛盾，应以本资料表为准。</w:t>
      </w:r>
    </w:p>
    <w:bookmarkEnd w:id="2"/>
    <w:bookmarkEnd w:id="3"/>
    <w:bookmarkEnd w:id="4"/>
    <w:bookmarkEnd w:id="5"/>
    <w:p>
      <w:pPr>
        <w:pStyle w:val="4"/>
        <w:keepNext w:val="0"/>
        <w:keepLines w:val="0"/>
        <w:kinsoku w:val="0"/>
        <w:overflowPunct w:val="0"/>
        <w:spacing w:before="0" w:line="240" w:lineRule="atLeast"/>
        <w:jc w:val="left"/>
        <w:rPr>
          <w:rFonts w:hint="eastAsia" w:ascii="宋体" w:hAnsi="宋体" w:eastAsia="宋体" w:cs="宋体"/>
          <w:color w:val="000000"/>
          <w:sz w:val="28"/>
          <w:highlight w:val="none"/>
        </w:rPr>
      </w:pPr>
      <w:bookmarkStart w:id="43" w:name="_Toc520356143"/>
      <w:bookmarkStart w:id="44" w:name="_Toc515647757"/>
      <w:bookmarkStart w:id="45" w:name="_Toc216582805"/>
      <w:bookmarkStart w:id="46" w:name="_Toc21215"/>
      <w:bookmarkStart w:id="47" w:name="_Toc21015"/>
      <w:bookmarkStart w:id="48" w:name="_Toc22145"/>
    </w:p>
    <w:tbl>
      <w:tblPr>
        <w:tblStyle w:val="14"/>
        <w:tblW w:w="9321"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948"/>
        <w:gridCol w:w="6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napToGrid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序号</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名称</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项目编号</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pStyle w:val="13"/>
              <w:keepNext w:val="0"/>
              <w:keepLines w:val="0"/>
              <w:widowControl/>
              <w:suppressLineNumbers w:val="0"/>
              <w:spacing w:before="60" w:beforeAutospacing="0" w:after="60" w:afterAutospacing="0" w:line="240" w:lineRule="atLeast"/>
              <w:ind w:left="0" w:righ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KSBCX(GK) 2022-19号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25" w:type="dxa"/>
            <w:tcBorders>
              <w:top w:val="nil"/>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项目名称</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default" w:ascii="仿宋" w:hAnsi="仿宋" w:eastAsia="仿宋" w:cs="仿宋"/>
                <w:kern w:val="0"/>
                <w:sz w:val="24"/>
                <w:szCs w:val="24"/>
                <w:highlight w:val="none"/>
                <w:lang w:val="en-US"/>
              </w:rPr>
            </w:pPr>
            <w:r>
              <w:rPr>
                <w:rFonts w:hint="eastAsia" w:ascii="仿宋" w:hAnsi="仿宋" w:eastAsia="仿宋" w:cs="仿宋"/>
                <w:kern w:val="0"/>
                <w:sz w:val="24"/>
                <w:szCs w:val="24"/>
                <w:highlight w:val="none"/>
                <w:lang w:eastAsia="zh-CN"/>
              </w:rPr>
              <w:t>巴楚县基础教育设施设备提升-教学仪器及生活设备采购项目</w:t>
            </w:r>
            <w:r>
              <w:rPr>
                <w:rFonts w:hint="eastAsia" w:ascii="仿宋" w:hAnsi="仿宋" w:eastAsia="仿宋" w:cs="仿宋"/>
                <w:kern w:val="0"/>
                <w:sz w:val="24"/>
                <w:szCs w:val="24"/>
                <w:highlight w:val="none"/>
                <w:lang w:val="en-US" w:eastAsia="zh-CN"/>
              </w:rPr>
              <w:t>二标段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采购单位</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采购人：</w:t>
            </w:r>
            <w:r>
              <w:rPr>
                <w:rFonts w:hint="eastAsia" w:ascii="仿宋" w:hAnsi="仿宋" w:eastAsia="仿宋" w:cs="仿宋"/>
                <w:kern w:val="2"/>
                <w:sz w:val="24"/>
                <w:szCs w:val="24"/>
                <w:highlight w:val="none"/>
                <w:u w:val="single"/>
                <w:lang w:val="en-US" w:eastAsia="zh-CN" w:bidi="ar"/>
              </w:rPr>
              <w:t>巴楚县教育局</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地  址：</w:t>
            </w:r>
            <w:r>
              <w:rPr>
                <w:rFonts w:hint="eastAsia" w:ascii="仿宋" w:hAnsi="仿宋" w:eastAsia="仿宋" w:cs="仿宋"/>
                <w:kern w:val="2"/>
                <w:sz w:val="24"/>
                <w:szCs w:val="24"/>
                <w:highlight w:val="none"/>
                <w:u w:val="single"/>
                <w:lang w:val="en-US" w:eastAsia="zh-CN" w:bidi="ar"/>
              </w:rPr>
              <w:t>巴楚县迎宾大道财政大厦4楼</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联系人：</w:t>
            </w:r>
            <w:r>
              <w:rPr>
                <w:rFonts w:hint="eastAsia" w:ascii="仿宋" w:hAnsi="仿宋" w:eastAsia="仿宋" w:cs="仿宋"/>
                <w:kern w:val="2"/>
                <w:sz w:val="24"/>
                <w:szCs w:val="24"/>
                <w:highlight w:val="none"/>
                <w:u w:val="single"/>
                <w:lang w:val="en-US" w:eastAsia="zh-CN" w:bidi="ar"/>
              </w:rPr>
              <w:t>赵映鹏</w:t>
            </w:r>
            <w:r>
              <w:rPr>
                <w:rFonts w:hint="eastAsia" w:ascii="仿宋" w:hAnsi="仿宋" w:eastAsia="仿宋" w:cs="仿宋"/>
                <w:kern w:val="2"/>
                <w:sz w:val="24"/>
                <w:szCs w:val="24"/>
                <w:highlight w:val="none"/>
                <w:lang w:val="en-US" w:eastAsia="zh-CN" w:bidi="ar"/>
              </w:rPr>
              <w:t xml:space="preserve">   电话：15292926969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招标代理机构</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采购代理机构：巴楚县政府采购中心</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地址：巴楚县住房和城乡建设局507室</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联系电话：0998-5720880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5</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采购内容</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40" w:lineRule="exact"/>
              <w:ind w:left="0" w:right="0"/>
              <w:jc w:val="both"/>
              <w:rPr>
                <w:rFonts w:hint="default" w:ascii="仿宋" w:hAnsi="仿宋" w:eastAsia="仿宋" w:cs="仿宋"/>
                <w:kern w:val="2"/>
                <w:sz w:val="24"/>
                <w:szCs w:val="24"/>
                <w:highlight w:val="none"/>
                <w:lang w:val="en-US" w:eastAsia="zh-CN"/>
              </w:rPr>
            </w:pPr>
            <w:r>
              <w:rPr>
                <w:rFonts w:hint="eastAsia" w:ascii="仿宋" w:hAnsi="仿宋" w:eastAsia="仿宋" w:cs="仿宋"/>
                <w:kern w:val="2"/>
                <w:sz w:val="28"/>
                <w:szCs w:val="28"/>
                <w:highlight w:val="none"/>
                <w:lang w:val="en-US" w:eastAsia="zh-CN" w:bidi="ar-SA"/>
              </w:rPr>
              <w:t>班班通，大门口、食堂、教学楼走廊监控设备，校园广播等设施设备采购</w:t>
            </w:r>
            <w:r>
              <w:rPr>
                <w:rFonts w:hint="eastAsia" w:ascii="仿宋" w:hAnsi="仿宋" w:eastAsia="仿宋" w:cs="仿宋"/>
                <w:kern w:val="2"/>
                <w:sz w:val="24"/>
                <w:szCs w:val="24"/>
                <w:highlight w:val="none"/>
                <w:lang w:val="en-US" w:eastAsia="zh-CN"/>
              </w:rPr>
              <w:t>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6</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 xml:space="preserve"> 本包最高限价</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 xml:space="preserve"> 1522448（</w:t>
            </w:r>
            <w:r>
              <w:rPr>
                <w:rFonts w:hint="eastAsia" w:ascii="仿宋" w:hAnsi="仿宋" w:eastAsia="仿宋" w:cs="仿宋"/>
                <w:kern w:val="2"/>
                <w:sz w:val="24"/>
                <w:szCs w:val="24"/>
                <w:highlight w:val="none"/>
                <w:lang w:val="en-US" w:eastAsia="zh-CN"/>
              </w:rPr>
              <w:fldChar w:fldCharType="begin"/>
            </w:r>
            <w:r>
              <w:rPr>
                <w:rFonts w:hint="eastAsia" w:ascii="仿宋" w:hAnsi="仿宋" w:eastAsia="仿宋" w:cs="仿宋"/>
                <w:kern w:val="2"/>
                <w:sz w:val="24"/>
                <w:szCs w:val="24"/>
                <w:highlight w:val="none"/>
                <w:lang w:val="en-US" w:eastAsia="zh-CN"/>
              </w:rPr>
              <w:instrText xml:space="preserve"> = 1522448 \* CHINESENUM4 \* MERGEFORMAT </w:instrText>
            </w:r>
            <w:r>
              <w:rPr>
                <w:rFonts w:hint="eastAsia" w:ascii="仿宋" w:hAnsi="仿宋" w:eastAsia="仿宋" w:cs="仿宋"/>
                <w:kern w:val="2"/>
                <w:sz w:val="24"/>
                <w:szCs w:val="24"/>
                <w:highlight w:val="none"/>
                <w:lang w:val="en-US" w:eastAsia="zh-CN"/>
              </w:rPr>
              <w:fldChar w:fldCharType="separate"/>
            </w:r>
            <w:r>
              <w:rPr>
                <w:rFonts w:hint="eastAsia" w:ascii="仿宋" w:hAnsi="仿宋" w:eastAsia="仿宋" w:cs="仿宋"/>
                <w:kern w:val="2"/>
                <w:sz w:val="24"/>
                <w:szCs w:val="24"/>
                <w:highlight w:val="none"/>
                <w:lang w:val="en-US" w:eastAsia="zh-CN"/>
              </w:rPr>
              <w:t>壹佰伍拾贰万贰仟肆佰肆拾捌元整</w:t>
            </w:r>
            <w:r>
              <w:rPr>
                <w:rFonts w:hint="eastAsia" w:ascii="仿宋" w:hAnsi="仿宋" w:eastAsia="仿宋" w:cs="仿宋"/>
                <w:kern w:val="2"/>
                <w:sz w:val="24"/>
                <w:szCs w:val="24"/>
                <w:highlight w:val="none"/>
                <w:lang w:val="en-US" w:eastAsia="zh-CN"/>
              </w:rPr>
              <w:fldChar w:fldCharType="end"/>
            </w:r>
            <w:r>
              <w:rPr>
                <w:rFonts w:hint="eastAsia" w:ascii="仿宋" w:hAnsi="仿宋" w:eastAsia="仿宋" w:cs="仿宋"/>
                <w:kern w:val="2"/>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7</w:t>
            </w:r>
          </w:p>
        </w:tc>
        <w:tc>
          <w:tcPr>
            <w:tcW w:w="1948" w:type="dxa"/>
            <w:tcBorders>
              <w:top w:val="single" w:color="auto" w:sz="6" w:space="0"/>
              <w:left w:val="single" w:color="auto" w:sz="6" w:space="0"/>
              <w:bottom w:val="single" w:color="auto" w:sz="4" w:space="0"/>
              <w:right w:val="single" w:color="auto" w:sz="4"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投标资格</w:t>
            </w:r>
          </w:p>
        </w:tc>
        <w:tc>
          <w:tcPr>
            <w:tcW w:w="6648" w:type="dxa"/>
            <w:tcBorders>
              <w:top w:val="single" w:color="auto" w:sz="6" w:space="0"/>
              <w:left w:val="nil"/>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投标人资格标准：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1.满足《中华人民共和国政府采购法》第二十二条规定；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2.落实政府采购政策需满足的资格要求：无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3.开标时须携带以下资格条件证明原件：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（1）、具有独立承担民事责任的能力（三证合一的营业执照，原件、可扫描的影印件和复印件均可）；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（2）、法人代表资格证明书及授权书、被授权人身份证(法人投具有法人身份证及法人代表资格证明书)；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（3）、具有税务局开具依法缴纳近一个月（2022年3月-2022年5月，任意一月）完税证明及2020年或2021年财务审计报告（新成立公司须提供前一个月的银行资信证明）；</w:t>
            </w:r>
          </w:p>
          <w:p>
            <w:pPr>
              <w:pStyle w:val="13"/>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（4）投标保证金银行打款（缴纳）凭证</w:t>
            </w:r>
          </w:p>
          <w:p>
            <w:pPr>
              <w:pStyle w:val="13"/>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
              </w:rPr>
              <w:t>（5）本项目不接受联合体</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未通过资格审查的投标人不进入评标；进入评标的投标人不足3家的，不得评标。</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备注：根据政府采购相关法律法规规定如潜在供应商已依法获取其采购招标文件的，自领取7个工作日以内可以对该文件提出质疑。若在届满之日内未提出质疑的，过期不予受理。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8</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投标有效期</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为90日历天（从报价截止之日算起）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2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9</w:t>
            </w:r>
          </w:p>
        </w:tc>
        <w:tc>
          <w:tcPr>
            <w:tcW w:w="194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评标方法</w:t>
            </w:r>
          </w:p>
        </w:tc>
        <w:tc>
          <w:tcPr>
            <w:tcW w:w="664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none"/>
                <w:lang w:val="en-US" w:eastAsia="zh-CN" w:bidi="ar"/>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10</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推荐中标候选投标单位的数量</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val="en-US" w:eastAsia="zh-CN" w:bidi="ar"/>
              </w:rPr>
              <w:t>3</w:t>
            </w:r>
            <w:r>
              <w:rPr>
                <w:rFonts w:hint="eastAsia" w:ascii="仿宋" w:hAnsi="仿宋" w:eastAsia="仿宋" w:cs="仿宋"/>
                <w:kern w:val="2"/>
                <w:sz w:val="24"/>
                <w:szCs w:val="24"/>
                <w:highlight w:val="none"/>
                <w:lang w:val="en-US" w:eastAsia="zh-CN" w:bidi="ar"/>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11</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招标人是否委托评标委员会直接确定中标人</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val="en-US" w:eastAsia="zh-CN" w:bidi="ar"/>
              </w:rPr>
              <w:t>否</w:t>
            </w: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i/>
                <w:iCs w:val="0"/>
                <w:kern w:val="2"/>
                <w:sz w:val="24"/>
                <w:szCs w:val="24"/>
                <w:highlight w:val="none"/>
                <w:lang w:val="en-US" w:eastAsia="zh-CN" w:bidi="ar"/>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12</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both"/>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是否接受</w:t>
            </w:r>
          </w:p>
          <w:p>
            <w:pPr>
              <w:keepNext w:val="0"/>
              <w:keepLines w:val="0"/>
              <w:widowControl w:val="0"/>
              <w:suppressLineNumbers w:val="0"/>
              <w:overflowPunct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0"/>
                <w:sz w:val="24"/>
                <w:szCs w:val="24"/>
                <w:highlight w:val="none"/>
                <w:lang w:val="en-US" w:eastAsia="zh-CN" w:bidi="ar"/>
              </w:rPr>
              <w:t>联合体投标</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是否允许联合体投标：</w:t>
            </w:r>
            <w:r>
              <w:rPr>
                <w:rFonts w:hint="eastAsia" w:ascii="仿宋" w:hAnsi="仿宋" w:eastAsia="仿宋" w:cs="仿宋"/>
                <w:kern w:val="2"/>
                <w:sz w:val="24"/>
                <w:szCs w:val="24"/>
                <w:highlight w:val="none"/>
                <w:u w:val="single"/>
                <w:lang w:val="en-US" w:eastAsia="zh-CN" w:bidi="ar"/>
              </w:rPr>
              <w:t>否</w:t>
            </w:r>
            <w:r>
              <w:rPr>
                <w:rFonts w:hint="eastAsia" w:ascii="仿宋" w:hAnsi="仿宋" w:eastAsia="仿宋" w:cs="仿宋"/>
                <w:i/>
                <w:iCs w:val="0"/>
                <w:kern w:val="2"/>
                <w:sz w:val="24"/>
                <w:szCs w:val="24"/>
                <w:highlight w:val="none"/>
                <w:lang w:val="en-US" w:eastAsia="zh-CN" w:bidi="ar"/>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13</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color w:val="000000"/>
                <w:kern w:val="2"/>
                <w:sz w:val="24"/>
                <w:szCs w:val="24"/>
                <w:highlight w:val="none"/>
                <w:lang w:val="en-US" w:eastAsia="zh-CN" w:bidi="ar"/>
              </w:rPr>
              <w:t>是否采购进口产品</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14</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投标截止时间</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2022年6月27日11点00分（北京时间）</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巴楚县住房和城乡建设局3楼中会议室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15</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开标时间及开标地点</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2022年6月27日11点00分（北京时间）</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巴楚县住房和城乡建设局3楼中会议室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16</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bCs/>
                <w:kern w:val="2"/>
                <w:sz w:val="24"/>
                <w:szCs w:val="24"/>
                <w:highlight w:val="none"/>
                <w:lang w:val="en-US" w:eastAsia="zh-CN" w:bidi="ar"/>
              </w:rPr>
              <w:t>投标文件       密封</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numPr>
                <w:ilvl w:val="0"/>
                <w:numId w:val="2"/>
              </w:numPr>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投标文件包括“开标一览表及资格证明文件”和“商务及技术文件”两部分（第一部分：开标一览表及资格证明文件正、副本单独胶装密封在一起；第二部分：商务及技术文件正、副本单独胶装密封在一起，密封袋封面右上角标明“正本/副本”字样）。</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2、投标文件：正本：壹份、副本：肆份；</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3、投标单位必须制作“开标一览表”并单独密封提交，并在密封袋上标明“开标一览表”的字样。不按要求标注或不单独提交开标一览表，其投标文件将被拒绝。</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4、除上述文件外，还须密封递交投标文件电子文档1份。投标人必须制作“电子版U盘”并单独密封提交。电子版U盘必须是正本扫描件，并制作成与正本完全一致PDF格式文本及Word文档两个格式。不按要求提交电子版U盘，其投标无效。</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投标文件使用A4，胶装，每册装订应牢固、不易拆散和换页，不得采用活页装订。除上述文件外，还须密封递交投标文件电子文档1份。</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5、投标文件的签署及规定：</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投标人应按投标人须知资料表中的规定，准备和递交投标文件资格证明文件、商务和技术文件正本、副本和电子文档，每份资格证明文件、商务和技术文件封皮须清楚地标明“正本”或“副本”。若正本和副本不符，以正本为准。</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6、投标文件的正本需双面打印或用不褪色墨水书写，页码逐页盖章，书脊处注明项目名称，投标单位，并由投标人的法定代表人或经其正式委托代理人按招标文件规定在投标文件上签字并加盖单位印章和骑缝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所有投标文件采用不可拆装的胶订方式装订，否则其投标将被认定为投标无效。</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7、投标文件因字迹潦草、表达不清或装订不当所引起的后果由投标人负责。</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8、投标文件的密封和标记</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所有包装封皮和信封上均应：</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注明招标公告或投标邀请书中指明的采购单位、项目名称、项目编号、包段号、投标人（加盖公章）、法定代表人或授权委托人（签字及加盖法人章）、联系人及电话和“在（开标时间）之前不得启封”的字样。</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如果投标人未按如果投标人未按上述要求密封的，将被拒绝接收。</w:t>
            </w:r>
          </w:p>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资格证明文件密封装订在其他投标文件中，其投标将被认定为投标无效。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
              </w:rPr>
              <w:t>17</w:t>
            </w: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招标代理</w:t>
            </w:r>
          </w:p>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bCs/>
                <w:kern w:val="2"/>
                <w:sz w:val="24"/>
                <w:szCs w:val="24"/>
                <w:highlight w:val="none"/>
              </w:rPr>
            </w:pPr>
            <w:r>
              <w:rPr>
                <w:rFonts w:hint="eastAsia" w:ascii="仿宋" w:hAnsi="仿宋" w:eastAsia="仿宋" w:cs="仿宋"/>
                <w:kern w:val="2"/>
                <w:sz w:val="24"/>
                <w:szCs w:val="24"/>
                <w:highlight w:val="none"/>
                <w:lang w:val="en-US" w:eastAsia="zh-CN" w:bidi="ar"/>
              </w:rPr>
              <w:t>服务费</w:t>
            </w:r>
          </w:p>
        </w:tc>
        <w:tc>
          <w:tcPr>
            <w:tcW w:w="6648" w:type="dxa"/>
            <w:tcBorders>
              <w:top w:val="single" w:color="auto" w:sz="4" w:space="0"/>
              <w:left w:val="single" w:color="auto" w:sz="6" w:space="0"/>
              <w:bottom w:val="single" w:color="auto" w:sz="4" w:space="0"/>
              <w:right w:val="single" w:color="auto" w:sz="6" w:space="0"/>
            </w:tcBorders>
            <w:noWrap w:val="0"/>
            <w:vAlign w:val="center"/>
          </w:tcPr>
          <w:p>
            <w:pPr>
              <w:spacing w:line="240" w:lineRule="atLeast"/>
              <w:rPr>
                <w:rFonts w:hint="eastAsia" w:ascii="仿宋_GB2312" w:eastAsia="仿宋_GB2312"/>
                <w:sz w:val="24"/>
                <w:highlight w:val="none"/>
                <w:u w:val="single"/>
              </w:rPr>
            </w:pPr>
            <w:r>
              <w:rPr>
                <w:rFonts w:hint="eastAsia" w:ascii="仿宋_GB2312" w:eastAsia="仿宋_GB2312"/>
                <w:sz w:val="24"/>
                <w:highlight w:val="none"/>
              </w:rPr>
              <w:t>中标服务费：</w:t>
            </w:r>
            <w:r>
              <w:rPr>
                <w:rFonts w:hint="eastAsia" w:ascii="仿宋_GB2312" w:eastAsia="仿宋_GB2312"/>
                <w:sz w:val="24"/>
                <w:highlight w:val="none"/>
                <w:u w:val="single"/>
              </w:rPr>
              <w:t xml:space="preserve">  无             </w:t>
            </w:r>
          </w:p>
          <w:p>
            <w:pPr>
              <w:spacing w:line="240" w:lineRule="atLeast"/>
              <w:rPr>
                <w:rFonts w:hint="eastAsia" w:ascii="仿宋_GB2312" w:eastAsia="仿宋_GB2312"/>
                <w:sz w:val="24"/>
                <w:highlight w:val="none"/>
              </w:rPr>
            </w:pPr>
            <w:r>
              <w:rPr>
                <w:rFonts w:hint="eastAsia" w:ascii="仿宋_GB2312" w:eastAsia="仿宋_GB2312"/>
                <w:sz w:val="24"/>
                <w:highlight w:val="none"/>
              </w:rPr>
              <w:t>支付形式：</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无</w:t>
            </w:r>
            <w:r>
              <w:rPr>
                <w:rFonts w:ascii="仿宋_GB2312" w:eastAsia="仿宋_GB2312"/>
                <w:sz w:val="24"/>
                <w:highlight w:val="none"/>
                <w:u w:val="single"/>
              </w:rPr>
              <w:t xml:space="preserve">             </w:t>
            </w:r>
          </w:p>
          <w:p>
            <w:pPr>
              <w:keepNext w:val="0"/>
              <w:keepLines w:val="0"/>
              <w:widowControl w:val="0"/>
              <w:suppressLineNumbers w:val="0"/>
              <w:spacing w:before="0" w:beforeAutospacing="0" w:after="0" w:afterAutospacing="0" w:line="360" w:lineRule="exact"/>
              <w:ind w:left="0" w:right="0"/>
              <w:jc w:val="left"/>
              <w:rPr>
                <w:rFonts w:hint="eastAsia" w:ascii="仿宋" w:hAnsi="仿宋" w:eastAsia="仿宋" w:cs="仿宋"/>
                <w:bCs/>
                <w:kern w:val="2"/>
                <w:sz w:val="24"/>
                <w:szCs w:val="24"/>
                <w:highlight w:val="none"/>
              </w:rPr>
            </w:pPr>
            <w:r>
              <w:rPr>
                <w:rFonts w:hint="eastAsia" w:ascii="仿宋_GB2312" w:eastAsia="仿宋_GB2312"/>
                <w:sz w:val="24"/>
                <w:highlight w:val="none"/>
              </w:rPr>
              <w:t>支付时间：</w:t>
            </w:r>
            <w:r>
              <w:rPr>
                <w:rFonts w:ascii="仿宋_GB2312" w:eastAsia="仿宋_GB2312"/>
                <w:sz w:val="24"/>
                <w:highlight w:val="none"/>
                <w:u w:val="single"/>
              </w:rPr>
              <w:t xml:space="preserve">    </w:t>
            </w:r>
            <w:r>
              <w:rPr>
                <w:rFonts w:hint="eastAsia" w:ascii="仿宋_GB2312" w:eastAsia="仿宋_GB2312"/>
                <w:sz w:val="24"/>
                <w:highlight w:val="none"/>
                <w:u w:val="single"/>
              </w:rPr>
              <w:t>无</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725"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18</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付款方式</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宋体" w:hAnsi="宋体" w:eastAsia="宋体" w:cs="宋体"/>
                <w:color w:val="000000"/>
                <w:kern w:val="2"/>
                <w:sz w:val="24"/>
                <w:szCs w:val="24"/>
                <w:highlight w:val="none"/>
                <w:lang w:val="en-US" w:eastAsia="zh-CN" w:bidi="ar-SA"/>
              </w:rPr>
              <w:t>签订合同后付</w:t>
            </w:r>
            <w:r>
              <w:rPr>
                <w:rFonts w:hint="eastAsia" w:ascii="宋体" w:hAnsi="宋体" w:cs="宋体"/>
                <w:color w:val="000000"/>
                <w:kern w:val="2"/>
                <w:sz w:val="24"/>
                <w:szCs w:val="24"/>
                <w:highlight w:val="none"/>
                <w:lang w:val="en-US" w:eastAsia="zh-CN" w:bidi="ar-SA"/>
              </w:rPr>
              <w:t>50</w:t>
            </w:r>
            <w:r>
              <w:rPr>
                <w:rFonts w:hint="eastAsia" w:ascii="宋体" w:hAnsi="宋体" w:eastAsia="宋体" w:cs="宋体"/>
                <w:color w:val="000000"/>
                <w:kern w:val="2"/>
                <w:sz w:val="24"/>
                <w:szCs w:val="24"/>
                <w:highlight w:val="none"/>
                <w:lang w:val="en-US" w:eastAsia="zh-CN" w:bidi="ar-SA"/>
              </w:rPr>
              <w:t>%、设备安装调试完成，达到使用条件后付</w:t>
            </w:r>
            <w:r>
              <w:rPr>
                <w:rFonts w:hint="eastAsia" w:ascii="宋体" w:hAnsi="宋体" w:cs="宋体"/>
                <w:color w:val="000000"/>
                <w:kern w:val="2"/>
                <w:sz w:val="24"/>
                <w:szCs w:val="24"/>
                <w:highlight w:val="none"/>
                <w:lang w:val="en-US" w:eastAsia="zh-CN" w:bidi="ar-SA"/>
              </w:rPr>
              <w:t>30</w:t>
            </w:r>
            <w:r>
              <w:rPr>
                <w:rFonts w:hint="eastAsia" w:ascii="宋体" w:hAnsi="宋体" w:eastAsia="宋体" w:cs="宋体"/>
                <w:color w:val="000000"/>
                <w:kern w:val="2"/>
                <w:sz w:val="24"/>
                <w:szCs w:val="24"/>
                <w:highlight w:val="none"/>
                <w:lang w:val="en-US" w:eastAsia="zh-CN" w:bidi="ar-SA"/>
              </w:rPr>
              <w:t>%，验收合格</w:t>
            </w:r>
            <w:r>
              <w:rPr>
                <w:rFonts w:hint="eastAsia" w:ascii="宋体" w:hAnsi="宋体" w:cs="宋体"/>
                <w:color w:val="000000"/>
                <w:kern w:val="2"/>
                <w:sz w:val="24"/>
                <w:szCs w:val="24"/>
                <w:highlight w:val="none"/>
                <w:lang w:val="en-US" w:eastAsia="zh-CN" w:bidi="ar-SA"/>
              </w:rPr>
              <w:t>完成审计后</w:t>
            </w:r>
            <w:r>
              <w:rPr>
                <w:rFonts w:hint="eastAsia" w:ascii="宋体" w:hAnsi="宋体" w:eastAsia="宋体" w:cs="宋体"/>
                <w:color w:val="000000"/>
                <w:kern w:val="2"/>
                <w:sz w:val="24"/>
                <w:szCs w:val="24"/>
                <w:highlight w:val="none"/>
                <w:lang w:val="en-US" w:eastAsia="zh-CN" w:bidi="ar-SA"/>
              </w:rPr>
              <w:t>支付</w:t>
            </w:r>
            <w:r>
              <w:rPr>
                <w:rFonts w:hint="eastAsia" w:ascii="宋体" w:hAnsi="宋体"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％，质保期满后</w:t>
            </w:r>
            <w:r>
              <w:rPr>
                <w:rFonts w:hint="eastAsia" w:ascii="宋体" w:hAnsi="宋体" w:cs="宋体"/>
                <w:color w:val="000000"/>
                <w:kern w:val="2"/>
                <w:sz w:val="24"/>
                <w:szCs w:val="24"/>
                <w:highlight w:val="none"/>
                <w:lang w:val="en-US" w:eastAsia="zh-CN" w:bidi="ar-SA"/>
              </w:rPr>
              <w:t>支付剩余部分</w:t>
            </w:r>
            <w:r>
              <w:rPr>
                <w:rFonts w:hint="eastAsia" w:ascii="宋体" w:hAnsi="宋体" w:eastAsia="宋体" w:cs="宋体"/>
                <w:color w:val="000000"/>
                <w:kern w:val="2"/>
                <w:sz w:val="24"/>
                <w:szCs w:val="24"/>
                <w:highlight w:val="none"/>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19</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投标保证金</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both"/>
              <w:rPr>
                <w:rFonts w:hint="default" w:ascii="仿宋" w:hAnsi="仿宋" w:eastAsia="仿宋" w:cs="仿宋"/>
                <w:kern w:val="2"/>
                <w:sz w:val="24"/>
                <w:szCs w:val="24"/>
                <w:highlight w:val="none"/>
                <w:lang w:val="en-US"/>
              </w:rPr>
            </w:pPr>
            <w:r>
              <w:rPr>
                <w:rFonts w:hint="eastAsia" w:ascii="仿宋" w:hAnsi="仿宋" w:eastAsia="仿宋" w:cs="仿宋"/>
                <w:b/>
                <w:bCs/>
                <w:kern w:val="2"/>
                <w:sz w:val="24"/>
                <w:szCs w:val="24"/>
                <w:highlight w:val="none"/>
                <w:lang w:val="en-US" w:eastAsia="zh-CN" w:bidi="ar"/>
              </w:rPr>
              <w:t>本项目投标保证金金额为：30000元（大写：</w:t>
            </w:r>
            <w:r>
              <w:rPr>
                <w:rFonts w:hint="eastAsia" w:ascii="仿宋" w:hAnsi="仿宋" w:eastAsia="仿宋" w:cs="仿宋"/>
                <w:b/>
                <w:bCs/>
                <w:kern w:val="2"/>
                <w:sz w:val="24"/>
                <w:szCs w:val="24"/>
                <w:highlight w:val="none"/>
                <w:lang w:val="en-US" w:eastAsia="zh-CN" w:bidi="ar"/>
              </w:rPr>
              <w:fldChar w:fldCharType="begin"/>
            </w:r>
            <w:r>
              <w:rPr>
                <w:rFonts w:hint="eastAsia" w:ascii="仿宋" w:hAnsi="仿宋" w:eastAsia="仿宋" w:cs="仿宋"/>
                <w:b/>
                <w:bCs/>
                <w:kern w:val="2"/>
                <w:sz w:val="24"/>
                <w:szCs w:val="24"/>
                <w:highlight w:val="none"/>
                <w:lang w:val="en-US" w:eastAsia="zh-CN" w:bidi="ar"/>
              </w:rPr>
              <w:instrText xml:space="preserve"> = 30000 \* CHINESENUM4 \* MERGEFORMAT </w:instrText>
            </w:r>
            <w:r>
              <w:rPr>
                <w:rFonts w:hint="eastAsia" w:ascii="仿宋" w:hAnsi="仿宋" w:eastAsia="仿宋" w:cs="仿宋"/>
                <w:b/>
                <w:bCs/>
                <w:kern w:val="2"/>
                <w:sz w:val="24"/>
                <w:szCs w:val="24"/>
                <w:highlight w:val="none"/>
                <w:lang w:val="en-US" w:eastAsia="zh-CN" w:bidi="ar"/>
              </w:rPr>
              <w:fldChar w:fldCharType="separate"/>
            </w:r>
            <w:r>
              <w:rPr>
                <w:rFonts w:hint="eastAsia" w:ascii="仿宋" w:hAnsi="仿宋" w:eastAsia="仿宋" w:cs="仿宋"/>
                <w:b/>
                <w:bCs/>
                <w:kern w:val="2"/>
                <w:sz w:val="24"/>
                <w:szCs w:val="24"/>
                <w:highlight w:val="none"/>
                <w:lang w:val="en-US" w:eastAsia="zh-CN" w:bidi="ar"/>
              </w:rPr>
              <w:t>叁万元整</w:t>
            </w:r>
            <w:r>
              <w:rPr>
                <w:rFonts w:hint="eastAsia" w:ascii="仿宋" w:hAnsi="仿宋" w:eastAsia="仿宋" w:cs="仿宋"/>
                <w:b/>
                <w:bCs/>
                <w:kern w:val="2"/>
                <w:sz w:val="24"/>
                <w:szCs w:val="24"/>
                <w:highlight w:val="none"/>
                <w:lang w:val="en-US" w:eastAsia="zh-CN" w:bidi="ar"/>
              </w:rPr>
              <w:fldChar w:fldCharType="end"/>
            </w:r>
            <w:r>
              <w:rPr>
                <w:rFonts w:hint="eastAsia" w:ascii="仿宋" w:hAnsi="仿宋" w:eastAsia="仿宋" w:cs="仿宋"/>
                <w:b/>
                <w:bCs/>
                <w:kern w:val="2"/>
                <w:sz w:val="24"/>
                <w:szCs w:val="24"/>
                <w:highlight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20</w:t>
            </w:r>
          </w:p>
        </w:tc>
        <w:tc>
          <w:tcPr>
            <w:tcW w:w="194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投标保证金</w:t>
            </w:r>
          </w:p>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保证金形式：☑保函  ☑电汇  □转帐</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保证金数额：</w:t>
            </w:r>
            <w:r>
              <w:rPr>
                <w:rFonts w:hint="eastAsia" w:ascii="仿宋" w:hAnsi="仿宋" w:eastAsia="仿宋" w:cs="仿宋"/>
                <w:kern w:val="2"/>
                <w:sz w:val="24"/>
                <w:szCs w:val="24"/>
                <w:highlight w:val="none"/>
                <w:u w:val="single"/>
                <w:lang w:val="en-US" w:eastAsia="zh-CN" w:bidi="ar"/>
              </w:rPr>
              <w:t>（按照控制金额2%以内的整数计算）</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投标保证金：</w:t>
            </w:r>
            <w:r>
              <w:rPr>
                <w:rFonts w:hint="eastAsia" w:ascii="仿宋" w:hAnsi="仿宋" w:eastAsia="仿宋" w:cs="仿宋"/>
                <w:kern w:val="2"/>
                <w:sz w:val="24"/>
                <w:szCs w:val="24"/>
                <w:highlight w:val="none"/>
                <w:u w:val="single"/>
                <w:lang w:val="en-US" w:eastAsia="zh-CN"/>
              </w:rPr>
              <w:t>30000元（大写：</w:t>
            </w:r>
            <w:r>
              <w:rPr>
                <w:rFonts w:hint="eastAsia" w:ascii="仿宋" w:hAnsi="仿宋" w:eastAsia="仿宋" w:cs="仿宋"/>
                <w:kern w:val="2"/>
                <w:sz w:val="24"/>
                <w:szCs w:val="24"/>
                <w:highlight w:val="none"/>
                <w:u w:val="single"/>
                <w:lang w:val="en-US" w:eastAsia="zh-CN"/>
              </w:rPr>
              <w:fldChar w:fldCharType="begin"/>
            </w:r>
            <w:r>
              <w:rPr>
                <w:rFonts w:hint="eastAsia" w:ascii="仿宋" w:hAnsi="仿宋" w:eastAsia="仿宋" w:cs="仿宋"/>
                <w:kern w:val="2"/>
                <w:sz w:val="24"/>
                <w:szCs w:val="24"/>
                <w:highlight w:val="none"/>
                <w:u w:val="single"/>
                <w:lang w:val="en-US" w:eastAsia="zh-CN"/>
              </w:rPr>
              <w:instrText xml:space="preserve"> = 30000 \* CHINESENUM4 \* MERGEFORMAT </w:instrText>
            </w:r>
            <w:r>
              <w:rPr>
                <w:rFonts w:hint="eastAsia" w:ascii="仿宋" w:hAnsi="仿宋" w:eastAsia="仿宋" w:cs="仿宋"/>
                <w:kern w:val="2"/>
                <w:sz w:val="24"/>
                <w:szCs w:val="24"/>
                <w:highlight w:val="none"/>
                <w:u w:val="single"/>
                <w:lang w:val="en-US" w:eastAsia="zh-CN"/>
              </w:rPr>
              <w:fldChar w:fldCharType="separate"/>
            </w:r>
            <w:r>
              <w:rPr>
                <w:rFonts w:hint="eastAsia" w:ascii="仿宋" w:hAnsi="仿宋" w:eastAsia="仿宋" w:cs="仿宋"/>
                <w:kern w:val="2"/>
                <w:sz w:val="24"/>
                <w:szCs w:val="24"/>
                <w:highlight w:val="none"/>
                <w:u w:val="single"/>
                <w:lang w:val="en-US" w:eastAsia="zh-CN"/>
              </w:rPr>
              <w:t>叁万元整</w:t>
            </w:r>
            <w:r>
              <w:rPr>
                <w:rFonts w:hint="eastAsia" w:ascii="仿宋" w:hAnsi="仿宋" w:eastAsia="仿宋" w:cs="仿宋"/>
                <w:kern w:val="2"/>
                <w:sz w:val="24"/>
                <w:szCs w:val="24"/>
                <w:highlight w:val="none"/>
                <w:u w:val="single"/>
                <w:lang w:val="en-US" w:eastAsia="zh-CN"/>
              </w:rPr>
              <w:fldChar w:fldCharType="end"/>
            </w:r>
            <w:r>
              <w:rPr>
                <w:rFonts w:hint="eastAsia" w:ascii="仿宋" w:hAnsi="仿宋" w:eastAsia="仿宋" w:cs="仿宋"/>
                <w:kern w:val="2"/>
                <w:sz w:val="24"/>
                <w:szCs w:val="24"/>
                <w:highlight w:val="none"/>
                <w:u w:val="single"/>
                <w:lang w:val="en-US" w:eastAsia="zh-CN"/>
              </w:rPr>
              <w:t>）</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收款单位：巴楚县行政服务中心</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开户行：中国农业发展银行巴楚县支行 </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帐  号：20365313000100000449111</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开户行行号：203895214196</w:t>
            </w:r>
          </w:p>
          <w:p>
            <w:pPr>
              <w:widowControl/>
              <w:spacing w:line="420" w:lineRule="atLeast"/>
              <w:ind w:right="32" w:firstLine="482" w:firstLineChars="200"/>
              <w:rPr>
                <w:rFonts w:ascii="仿宋_GB2312" w:eastAsia="仿宋_GB2312"/>
                <w:b/>
                <w:bCs/>
                <w:sz w:val="24"/>
                <w:highlight w:val="none"/>
              </w:rPr>
            </w:pPr>
            <w:r>
              <w:rPr>
                <w:rFonts w:hint="eastAsia" w:ascii="仿宋_GB2312" w:eastAsia="仿宋_GB2312"/>
                <w:b/>
                <w:bCs/>
                <w:sz w:val="24"/>
                <w:highlight w:val="none"/>
              </w:rPr>
              <w:t>备注：</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投标保证金</w:t>
            </w:r>
            <w:r>
              <w:rPr>
                <w:rFonts w:hint="eastAsia" w:ascii="仿宋_GB2312" w:eastAsia="仿宋_GB2312"/>
                <w:b/>
                <w:bCs/>
                <w:sz w:val="24"/>
                <w:highlight w:val="none"/>
                <w:lang w:val="en-US" w:eastAsia="zh-CN"/>
              </w:rPr>
              <w:t>截止日期为开标当天11:00</w:t>
            </w:r>
            <w:r>
              <w:rPr>
                <w:rFonts w:hint="eastAsia" w:ascii="仿宋_GB2312" w:eastAsia="仿宋_GB2312"/>
                <w:b/>
                <w:bCs/>
                <w:sz w:val="24"/>
                <w:highlight w:val="none"/>
              </w:rPr>
              <w:t>（以</w:t>
            </w:r>
            <w:r>
              <w:rPr>
                <w:rFonts w:hint="eastAsia" w:ascii="仿宋_GB2312" w:eastAsia="仿宋_GB2312"/>
                <w:b/>
                <w:bCs/>
                <w:sz w:val="24"/>
                <w:highlight w:val="none"/>
                <w:lang w:val="en-US" w:eastAsia="zh-CN"/>
              </w:rPr>
              <w:t>实际</w:t>
            </w:r>
            <w:r>
              <w:rPr>
                <w:rFonts w:hint="eastAsia" w:ascii="仿宋_GB2312" w:eastAsia="仿宋_GB2312"/>
                <w:b/>
                <w:bCs/>
                <w:sz w:val="24"/>
                <w:highlight w:val="none"/>
              </w:rPr>
              <w:t>到账时间为准</w:t>
            </w:r>
            <w:r>
              <w:rPr>
                <w:rFonts w:ascii="仿宋_GB2312" w:eastAsia="仿宋_GB2312"/>
                <w:b/>
                <w:bCs/>
                <w:sz w:val="24"/>
                <w:highlight w:val="none"/>
              </w:rPr>
              <w:t>)</w:t>
            </w:r>
            <w:r>
              <w:rPr>
                <w:rFonts w:hint="eastAsia" w:ascii="仿宋_GB2312" w:eastAsia="仿宋_GB2312"/>
                <w:b/>
                <w:bCs/>
                <w:sz w:val="24"/>
                <w:highlight w:val="none"/>
                <w:lang w:eastAsia="zh-CN"/>
              </w:rPr>
              <w:t>。</w:t>
            </w:r>
            <w:r>
              <w:rPr>
                <w:rFonts w:hint="eastAsia" w:ascii="仿宋_GB2312" w:eastAsia="仿宋_GB2312"/>
                <w:b/>
                <w:bCs/>
                <w:sz w:val="24"/>
                <w:highlight w:val="none"/>
                <w:lang w:val="en-US" w:eastAsia="zh-CN"/>
              </w:rPr>
              <w:t>投标保证金需</w:t>
            </w:r>
            <w:r>
              <w:rPr>
                <w:rFonts w:hint="eastAsia" w:ascii="仿宋_GB2312" w:eastAsia="仿宋_GB2312"/>
                <w:b/>
                <w:bCs/>
                <w:sz w:val="24"/>
                <w:highlight w:val="none"/>
              </w:rPr>
              <w:t>投标人基本账户以银行电汇</w:t>
            </w:r>
            <w:r>
              <w:rPr>
                <w:rFonts w:hint="eastAsia" w:ascii="仿宋_GB2312" w:eastAsia="仿宋_GB2312"/>
                <w:b/>
                <w:bCs/>
                <w:sz w:val="24"/>
                <w:highlight w:val="none"/>
                <w:lang w:val="en-US" w:eastAsia="zh-CN"/>
              </w:rPr>
              <w:t>或转账</w:t>
            </w:r>
            <w:r>
              <w:rPr>
                <w:rFonts w:hint="eastAsia" w:ascii="仿宋_GB2312" w:eastAsia="仿宋_GB2312"/>
                <w:b/>
                <w:bCs/>
                <w:sz w:val="24"/>
                <w:highlight w:val="none"/>
              </w:rPr>
              <w:t>形式交纳，并注明是投标保证金</w:t>
            </w:r>
            <w:r>
              <w:rPr>
                <w:rFonts w:hint="eastAsia" w:ascii="仿宋_GB2312" w:eastAsia="仿宋_GB2312"/>
                <w:b/>
                <w:bCs/>
                <w:sz w:val="24"/>
                <w:highlight w:val="none"/>
                <w:lang w:val="en-US" w:eastAsia="zh-CN"/>
              </w:rPr>
              <w:t>金额</w:t>
            </w:r>
            <w:r>
              <w:rPr>
                <w:rFonts w:hint="eastAsia" w:ascii="仿宋_GB2312" w:eastAsia="仿宋_GB2312"/>
                <w:b/>
                <w:bCs/>
                <w:sz w:val="24"/>
                <w:highlight w:val="none"/>
              </w:rPr>
              <w:t>和采购项目的招标编号。</w:t>
            </w:r>
            <w:r>
              <w:rPr>
                <w:rFonts w:hint="eastAsia" w:ascii="仿宋_GB2312" w:eastAsia="仿宋_GB2312"/>
                <w:b/>
                <w:bCs/>
                <w:sz w:val="24"/>
                <w:highlight w:val="none"/>
                <w:lang w:val="en-US" w:eastAsia="zh-CN"/>
              </w:rPr>
              <w:t>各投标人应充分考虑投标保证金从提交到入帐的时间风险，提前办理相关事项，以保证投标保证金在招标文件指定的交纳截止时间前汇入指定帐户</w:t>
            </w:r>
            <w:r>
              <w:rPr>
                <w:rFonts w:hint="eastAsia" w:ascii="仿宋_GB2312" w:eastAsia="仿宋_GB2312"/>
                <w:b/>
                <w:bCs/>
                <w:sz w:val="24"/>
                <w:highlight w:val="none"/>
              </w:rPr>
              <w:t>。</w:t>
            </w:r>
          </w:p>
          <w:p>
            <w:pPr>
              <w:pStyle w:val="5"/>
              <w:rPr>
                <w:rFonts w:hint="eastAsia"/>
                <w:highlight w:val="none"/>
              </w:rPr>
            </w:pPr>
            <w:r>
              <w:rPr>
                <w:rFonts w:hint="eastAsia" w:ascii="仿宋_GB2312" w:eastAsia="仿宋_GB2312"/>
                <w:b/>
                <w:bCs/>
                <w:sz w:val="24"/>
                <w:highlight w:val="none"/>
                <w:lang w:val="en-US" w:eastAsia="zh-CN"/>
              </w:rPr>
              <w:t>2、</w:t>
            </w:r>
            <w:r>
              <w:rPr>
                <w:rFonts w:hint="eastAsia" w:ascii="仿宋_GB2312" w:eastAsia="仿宋_GB2312"/>
                <w:b/>
                <w:bCs/>
                <w:sz w:val="24"/>
                <w:highlight w:val="none"/>
              </w:rPr>
              <w:t>投标人未按招标文件规定缴纳投标保证金的</w:t>
            </w:r>
            <w:r>
              <w:rPr>
                <w:rFonts w:ascii="仿宋_GB2312" w:eastAsia="仿宋_GB2312"/>
                <w:b/>
                <w:bCs/>
                <w:sz w:val="24"/>
                <w:highlight w:val="none"/>
              </w:rPr>
              <w:t>,</w:t>
            </w:r>
            <w:r>
              <w:rPr>
                <w:rFonts w:hint="eastAsia" w:ascii="仿宋_GB2312" w:eastAsia="仿宋_GB2312"/>
                <w:b/>
                <w:bCs/>
                <w:sz w:val="24"/>
                <w:highlight w:val="none"/>
              </w:rPr>
              <w:t>投标文件将被拒绝评审。</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投标保证金的退还：</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u w:val="single"/>
                <w:lang w:val="en-US" w:eastAsia="zh-CN" w:bidi="ar"/>
              </w:rPr>
              <w:t>自中标通知书发出之日起5个工作日内退还未成交投标单位的保证金，自采购合同签订之日起5个工作日内退还成交投标单位的保证金。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21</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供货期</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default" w:ascii="仿宋" w:hAnsi="仿宋" w:eastAsia="仿宋" w:cs="仿宋"/>
                <w:kern w:val="0"/>
                <w:sz w:val="24"/>
                <w:szCs w:val="24"/>
                <w:highlight w:val="none"/>
                <w:lang w:val="en-US" w:eastAsia="zh-CN"/>
              </w:rPr>
              <w:t>合同签订后60日内完成供货、安装、调试等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22</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质保期</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default" w:ascii="仿宋" w:hAnsi="仿宋" w:eastAsia="仿宋" w:cs="仿宋"/>
                <w:kern w:val="0"/>
                <w:sz w:val="24"/>
                <w:szCs w:val="24"/>
                <w:highlight w:val="none"/>
                <w:lang w:val="en-US" w:eastAsia="zh-CN"/>
              </w:rPr>
            </w:pPr>
            <w:r>
              <w:rPr>
                <w:rFonts w:hint="eastAsia" w:ascii="仿宋_GB2312" w:eastAsia="仿宋_GB2312"/>
                <w:sz w:val="24"/>
                <w:highlight w:val="none"/>
                <w:lang w:val="en-US" w:eastAsia="zh-CN"/>
              </w:rPr>
              <w:t>1年及以上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
              </w:rPr>
            </w:pP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供货及安装地点</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default"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甲方指定地点（具体详见第3章的其他要求）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23</w:t>
            </w: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履约保证金</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i/>
                <w:iCs w:val="0"/>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履约保证金金额：合同总价的10％</w:t>
            </w:r>
            <w:r>
              <w:rPr>
                <w:rFonts w:hint="eastAsia" w:ascii="仿宋" w:hAnsi="仿宋" w:eastAsia="仿宋" w:cs="仿宋"/>
                <w:i/>
                <w:iCs w:val="0"/>
                <w:kern w:val="2"/>
                <w:sz w:val="24"/>
                <w:szCs w:val="24"/>
                <w:highlight w:val="none"/>
                <w:lang w:val="en-US" w:eastAsia="zh-CN" w:bidi="ar"/>
              </w:rPr>
              <w:t>（不得超过政府采购合同金额的10%）</w:t>
            </w:r>
          </w:p>
          <w:p>
            <w:pPr>
              <w:rPr>
                <w:rFonts w:hint="default"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rPr>
              <w:t>账户名称：</w:t>
            </w:r>
            <w:r>
              <w:rPr>
                <w:rFonts w:hint="eastAsia" w:ascii="仿宋_GB2312" w:eastAsia="仿宋_GB2312" w:cs="Times New Roman"/>
                <w:b/>
                <w:bCs/>
                <w:sz w:val="24"/>
                <w:highlight w:val="none"/>
                <w:lang w:val="en-US" w:eastAsia="zh-CN"/>
              </w:rPr>
              <w:t>巴楚县教育局</w:t>
            </w:r>
          </w:p>
          <w:p>
            <w:pPr>
              <w:rPr>
                <w:rFonts w:hint="default" w:ascii="仿宋_GB2312"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账号：107667845634</w:t>
            </w:r>
          </w:p>
          <w:p>
            <w:pPr>
              <w:rPr>
                <w:rFonts w:hint="eastAsia" w:ascii="仿宋_GB2312"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开户行：中国银行股份有限公司巴楚县支行</w:t>
            </w:r>
          </w:p>
          <w:p>
            <w:pPr>
              <w:rPr>
                <w:rFonts w:hint="default" w:ascii="仿宋_GB2312"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开户行号：104895289523</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履约保证金形式：</w:t>
            </w:r>
            <w:r>
              <w:rPr>
                <w:rFonts w:hint="eastAsia" w:ascii="仿宋" w:hAnsi="仿宋" w:eastAsia="仿宋" w:cs="仿宋"/>
                <w:kern w:val="2"/>
                <w:sz w:val="24"/>
                <w:szCs w:val="24"/>
                <w:highlight w:val="none"/>
                <w:u w:val="single"/>
                <w:lang w:val="en-US" w:eastAsia="zh-CN" w:bidi="ar"/>
              </w:rPr>
              <w:t>转账</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提交履约保证金的时间：签订合同前</w:t>
            </w:r>
            <w:r>
              <w:rPr>
                <w:rFonts w:hint="eastAsia" w:ascii="仿宋" w:hAnsi="仿宋" w:eastAsia="仿宋" w:cs="仿宋"/>
                <w:kern w:val="2"/>
                <w:sz w:val="24"/>
                <w:szCs w:val="24"/>
                <w:highlight w:val="none"/>
                <w:u w:val="single"/>
                <w:lang w:val="en-US" w:eastAsia="zh-CN" w:bidi="ar"/>
              </w:rPr>
              <w:t xml:space="preserve"> 5</w:t>
            </w:r>
            <w:r>
              <w:rPr>
                <w:rFonts w:hint="eastAsia" w:ascii="仿宋" w:hAnsi="仿宋" w:eastAsia="仿宋" w:cs="仿宋"/>
                <w:kern w:val="2"/>
                <w:sz w:val="24"/>
                <w:szCs w:val="24"/>
                <w:highlight w:val="none"/>
                <w:lang w:val="en-US" w:eastAsia="zh-CN" w:bidi="ar"/>
              </w:rPr>
              <w:t>日历日打入甲方指定账户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rPr>
            </w:pPr>
            <w:r>
              <w:rPr>
                <w:rFonts w:hint="eastAsia" w:ascii="仿宋" w:hAnsi="仿宋" w:eastAsia="仿宋" w:cs="仿宋"/>
                <w:kern w:val="2"/>
                <w:sz w:val="24"/>
                <w:szCs w:val="24"/>
                <w:highlight w:val="none"/>
                <w:lang w:val="en-US" w:eastAsia="zh-CN" w:bidi="ar"/>
              </w:rPr>
              <w:t>24</w:t>
            </w: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本项目是否属于信用担保试点范围</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val="en-US" w:eastAsia="zh-CN" w:bidi="ar"/>
              </w:rPr>
              <w:t>否</w:t>
            </w: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i/>
                <w:iCs w:val="0"/>
                <w:kern w:val="2"/>
                <w:sz w:val="24"/>
                <w:szCs w:val="24"/>
                <w:highlight w:val="none"/>
                <w:lang w:val="en-US" w:eastAsia="zh-CN" w:bidi="ar"/>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备注</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_GB2312" w:eastAsia="仿宋_GB2312"/>
                <w:sz w:val="24"/>
                <w:highlight w:val="none"/>
              </w:rPr>
              <w:t>反腐倡廉监督电话/邮箱：</w:t>
            </w:r>
            <w:r>
              <w:rPr>
                <w:rFonts w:hint="eastAsia" w:ascii="仿宋_GB2312" w:eastAsia="仿宋_GB2312"/>
                <w:sz w:val="24"/>
                <w:highlight w:val="none"/>
                <w:u w:val="single"/>
              </w:rPr>
              <w:t xml:space="preserve">0998-6210069 </w:t>
            </w:r>
          </w:p>
        </w:tc>
      </w:tr>
    </w:tbl>
    <w:p>
      <w:pPr>
        <w:pStyle w:val="5"/>
        <w:rPr>
          <w:rFonts w:hint="eastAsia" w:ascii="宋体" w:hAnsi="宋体" w:eastAsia="宋体" w:cs="宋体"/>
          <w:color w:val="000000"/>
          <w:sz w:val="28"/>
          <w:highlight w:val="none"/>
        </w:rPr>
      </w:pPr>
    </w:p>
    <w:p>
      <w:pPr>
        <w:rPr>
          <w:rFonts w:hint="eastAsia" w:ascii="宋体" w:hAnsi="宋体" w:eastAsia="宋体" w:cs="宋体"/>
          <w:color w:val="000000"/>
          <w:sz w:val="28"/>
          <w:highlight w:val="none"/>
        </w:rPr>
      </w:pPr>
    </w:p>
    <w:p>
      <w:pPr>
        <w:pStyle w:val="5"/>
        <w:rPr>
          <w:rFonts w:hint="eastAsia" w:ascii="宋体" w:hAnsi="宋体" w:eastAsia="宋体" w:cs="宋体"/>
          <w:color w:val="000000"/>
          <w:sz w:val="28"/>
          <w:highlight w:val="none"/>
        </w:rPr>
      </w:pPr>
    </w:p>
    <w:p>
      <w:pPr>
        <w:pStyle w:val="4"/>
        <w:keepNext w:val="0"/>
        <w:keepLines w:val="0"/>
        <w:kinsoku w:val="0"/>
        <w:overflowPunct w:val="0"/>
        <w:spacing w:before="0" w:line="240" w:lineRule="atLeast"/>
        <w:jc w:val="center"/>
        <w:rPr>
          <w:rFonts w:hint="eastAsia" w:ascii="宋体" w:hAnsi="宋体" w:eastAsia="宋体" w:cs="宋体"/>
          <w:color w:val="000000"/>
          <w:sz w:val="28"/>
          <w:highlight w:val="none"/>
        </w:rPr>
      </w:pPr>
    </w:p>
    <w:p>
      <w:pPr>
        <w:pStyle w:val="4"/>
        <w:keepNext w:val="0"/>
        <w:keepLines w:val="0"/>
        <w:kinsoku w:val="0"/>
        <w:overflowPunct w:val="0"/>
        <w:spacing w:before="0" w:line="240" w:lineRule="atLeast"/>
        <w:jc w:val="center"/>
        <w:rPr>
          <w:rFonts w:hint="eastAsia" w:ascii="宋体" w:hAnsi="宋体" w:eastAsia="宋体" w:cs="宋体"/>
          <w:color w:val="000000"/>
          <w:sz w:val="28"/>
          <w:highlight w:val="none"/>
        </w:rPr>
      </w:pPr>
    </w:p>
    <w:p>
      <w:pPr>
        <w:pStyle w:val="4"/>
        <w:keepNext w:val="0"/>
        <w:keepLines w:val="0"/>
        <w:kinsoku w:val="0"/>
        <w:overflowPunct w:val="0"/>
        <w:spacing w:before="0" w:line="240" w:lineRule="atLeast"/>
        <w:jc w:val="center"/>
        <w:rPr>
          <w:rFonts w:hint="eastAsia" w:ascii="宋体" w:hAnsi="宋体" w:eastAsia="宋体" w:cs="宋体"/>
          <w:color w:val="000000"/>
          <w:highlight w:val="none"/>
        </w:rPr>
      </w:pPr>
      <w:r>
        <w:rPr>
          <w:rFonts w:hint="eastAsia" w:ascii="宋体" w:hAnsi="宋体" w:eastAsia="宋体" w:cs="宋体"/>
          <w:color w:val="000000"/>
          <w:sz w:val="28"/>
          <w:highlight w:val="none"/>
        </w:rPr>
        <w:t xml:space="preserve">一   </w:t>
      </w:r>
      <w:bookmarkEnd w:id="43"/>
      <w:bookmarkEnd w:id="44"/>
      <w:bookmarkEnd w:id="45"/>
      <w:r>
        <w:rPr>
          <w:rFonts w:hint="eastAsia" w:ascii="宋体" w:hAnsi="宋体" w:eastAsia="宋体" w:cs="宋体"/>
          <w:color w:val="000000"/>
          <w:sz w:val="28"/>
          <w:highlight w:val="none"/>
        </w:rPr>
        <w:t>总 则</w:t>
      </w:r>
      <w:bookmarkEnd w:id="46"/>
      <w:bookmarkEnd w:id="47"/>
      <w:bookmarkEnd w:id="48"/>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49" w:name="_Toc520356144"/>
      <w:bookmarkStart w:id="50" w:name="_Toc32189"/>
      <w:bookmarkStart w:id="51" w:name="_Toc32623"/>
      <w:bookmarkStart w:id="52" w:name="_Toc5999"/>
      <w:bookmarkStart w:id="53" w:name="_Toc515647758"/>
      <w:r>
        <w:rPr>
          <w:rFonts w:hint="eastAsia" w:hAnsi="宋体" w:cs="宋体"/>
          <w:color w:val="000000"/>
          <w:sz w:val="21"/>
          <w:szCs w:val="21"/>
          <w:highlight w:val="none"/>
          <w:u w:val="none"/>
        </w:rPr>
        <w:t>1.采购人、采购代理机构及</w:t>
      </w:r>
      <w:bookmarkEnd w:id="49"/>
      <w:r>
        <w:rPr>
          <w:rFonts w:hint="eastAsia" w:hAnsi="宋体" w:cs="宋体"/>
          <w:color w:val="000000"/>
          <w:sz w:val="21"/>
          <w:szCs w:val="21"/>
          <w:highlight w:val="none"/>
          <w:u w:val="none"/>
        </w:rPr>
        <w:t>投标人</w:t>
      </w:r>
      <w:bookmarkEnd w:id="50"/>
      <w:bookmarkEnd w:id="51"/>
      <w:bookmarkEnd w:id="52"/>
      <w:bookmarkEnd w:id="53"/>
    </w:p>
    <w:p>
      <w:pPr>
        <w:numPr>
          <w:ilvl w:val="1"/>
          <w:numId w:val="3"/>
        </w:numPr>
        <w:tabs>
          <w:tab w:val="left" w:pos="0"/>
          <w:tab w:val="clear" w:pos="900"/>
        </w:tabs>
        <w:kinsoku w:val="0"/>
        <w:overflowPunct w:val="0"/>
        <w:adjustRightInd w:val="0"/>
        <w:snapToGrid w:val="0"/>
        <w:spacing w:line="360" w:lineRule="exact"/>
        <w:ind w:hanging="898"/>
        <w:rPr>
          <w:rFonts w:hint="eastAsia" w:ascii="宋体" w:hAnsi="宋体" w:cs="宋体"/>
          <w:color w:val="000000"/>
          <w:szCs w:val="21"/>
          <w:highlight w:val="none"/>
        </w:rPr>
      </w:pPr>
      <w:r>
        <w:rPr>
          <w:rFonts w:hint="eastAsia" w:ascii="宋体" w:hAnsi="宋体" w:cs="宋体"/>
          <w:color w:val="000000"/>
          <w:szCs w:val="21"/>
          <w:highlight w:val="none"/>
        </w:rPr>
        <w:t xml:space="preserve">    采购人：是指依法开展政府采购活动的国家机关、事业单位、团体组织。</w:t>
      </w:r>
    </w:p>
    <w:p>
      <w:pPr>
        <w:tabs>
          <w:tab w:val="left" w:pos="0"/>
        </w:tabs>
        <w:kinsoku w:val="0"/>
        <w:overflowPunct w:val="0"/>
        <w:adjustRightInd w:val="0"/>
        <w:snapToGrid w:val="0"/>
        <w:spacing w:line="360" w:lineRule="exact"/>
        <w:ind w:left="900"/>
        <w:rPr>
          <w:rFonts w:hint="eastAsia" w:ascii="宋体" w:hAnsi="宋体" w:cs="宋体"/>
          <w:color w:val="000000"/>
          <w:szCs w:val="21"/>
          <w:highlight w:val="none"/>
        </w:rPr>
      </w:pPr>
      <w:r>
        <w:rPr>
          <w:rFonts w:hint="eastAsia" w:ascii="宋体" w:hAnsi="宋体" w:cs="宋体"/>
          <w:color w:val="000000"/>
          <w:szCs w:val="21"/>
          <w:highlight w:val="none"/>
        </w:rPr>
        <w:t>本项目的采购人见</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w:t>
      </w:r>
    </w:p>
    <w:p>
      <w:pPr>
        <w:numPr>
          <w:ilvl w:val="1"/>
          <w:numId w:val="3"/>
        </w:numPr>
        <w:tabs>
          <w:tab w:val="left" w:pos="0"/>
          <w:tab w:val="clear" w:pos="900"/>
        </w:tabs>
        <w:kinsoku w:val="0"/>
        <w:overflowPunct w:val="0"/>
        <w:adjustRightInd w:val="0"/>
        <w:snapToGrid w:val="0"/>
        <w:spacing w:line="360" w:lineRule="exact"/>
        <w:ind w:hanging="898"/>
        <w:rPr>
          <w:rFonts w:hint="eastAsia" w:ascii="宋体" w:hAnsi="宋体" w:cs="宋体"/>
          <w:color w:val="000000"/>
          <w:szCs w:val="21"/>
          <w:highlight w:val="none"/>
        </w:rPr>
      </w:pPr>
      <w:r>
        <w:rPr>
          <w:rFonts w:hint="eastAsia" w:ascii="宋体" w:hAnsi="宋体" w:cs="宋体"/>
          <w:color w:val="000000"/>
          <w:szCs w:val="21"/>
          <w:highlight w:val="none"/>
        </w:rPr>
        <w:t xml:space="preserve">    采购代理机构：是指在集中采购机构或从事采购代理业务的社会中介机构。本项目的采购代理机构见</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w:t>
      </w:r>
    </w:p>
    <w:p>
      <w:pPr>
        <w:numPr>
          <w:ilvl w:val="1"/>
          <w:numId w:val="3"/>
        </w:num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投标人：是指向采购人提供货物、工程或者服务的法人、非法人组织或者自然人。本项目的投标人及其投标货物须满足以下条件：</w:t>
      </w:r>
    </w:p>
    <w:p>
      <w:pPr>
        <w:kinsoku w:val="0"/>
        <w:overflowPunct w:val="0"/>
        <w:adjustRightInd w:val="0"/>
        <w:snapToGrid w:val="0"/>
        <w:spacing w:line="360" w:lineRule="exact"/>
        <w:ind w:left="743" w:hanging="743" w:hangingChars="354"/>
        <w:rPr>
          <w:rFonts w:hint="eastAsia" w:ascii="宋体" w:hAnsi="宋体" w:cs="宋体"/>
          <w:color w:val="000000"/>
          <w:szCs w:val="21"/>
          <w:highlight w:val="none"/>
        </w:rPr>
      </w:pPr>
      <w:r>
        <w:rPr>
          <w:rFonts w:hint="eastAsia" w:ascii="宋体" w:hAnsi="宋体" w:cs="宋体"/>
          <w:color w:val="000000"/>
          <w:szCs w:val="21"/>
          <w:highlight w:val="none"/>
        </w:rPr>
        <w:t>1.3.1</w:t>
      </w:r>
      <w:r>
        <w:rPr>
          <w:rFonts w:hint="eastAsia" w:ascii="宋体" w:hAnsi="宋体" w:cs="宋体"/>
          <w:color w:val="000000"/>
          <w:szCs w:val="21"/>
          <w:highlight w:val="none"/>
        </w:rPr>
        <w:tab/>
      </w:r>
      <w:r>
        <w:rPr>
          <w:rFonts w:hint="eastAsia" w:ascii="宋体" w:hAnsi="宋体" w:cs="宋体"/>
          <w:color w:val="000000"/>
          <w:szCs w:val="21"/>
          <w:highlight w:val="none"/>
        </w:rPr>
        <w:t>在中华人民共和国境内注册，能够独立承担民事责任，有生产或供应能力的本国供应商。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1.3.2  具备《中华人民共和国政府采购法》第二十二条关于供应商条件的规定，遵守本项目采购人本级和上级财政部门政府采购的有关规定。</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1.3.3   以采购代理机构认可的方式获得了本项目的招标文件。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1.3.4   符合</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中规定的其他要求。</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1.3.5   若</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中写明允许采购进口产品，投标人应保证所投产品可履行合法报通关手续进入中国关境内。</w:t>
      </w:r>
    </w:p>
    <w:p>
      <w:pPr>
        <w:kinsoku w:val="0"/>
        <w:overflowPunct w:val="0"/>
        <w:adjustRightInd w:val="0"/>
        <w:snapToGrid w:val="0"/>
        <w:spacing w:line="360" w:lineRule="exact"/>
        <w:ind w:firstLine="840" w:firstLineChars="400"/>
        <w:rPr>
          <w:rFonts w:hint="eastAsia" w:ascii="宋体" w:hAnsi="宋体" w:cs="宋体"/>
          <w:color w:val="000000"/>
          <w:szCs w:val="21"/>
          <w:highlight w:val="none"/>
        </w:rPr>
      </w:pPr>
      <w:r>
        <w:rPr>
          <w:rFonts w:hint="eastAsia" w:ascii="宋体" w:hAnsi="宋体" w:cs="宋体"/>
          <w:color w:val="000000"/>
          <w:szCs w:val="21"/>
          <w:highlight w:val="none"/>
        </w:rPr>
        <w:t>若</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中未写明允许采购进口产品，如投标人所投产品为进口产品，其投标将被认定为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35" w:hanging="735" w:hangingChars="350"/>
        <w:rPr>
          <w:rFonts w:hint="eastAsia" w:ascii="宋体" w:hAnsi="宋体" w:cs="宋体"/>
          <w:color w:val="000000"/>
          <w:szCs w:val="21"/>
          <w:highlight w:val="none"/>
        </w:rPr>
      </w:pPr>
      <w:r>
        <w:rPr>
          <w:rFonts w:hint="eastAsia" w:ascii="宋体" w:hAnsi="宋体" w:cs="宋体"/>
          <w:color w:val="000000"/>
          <w:szCs w:val="21"/>
          <w:highlight w:val="none"/>
        </w:rPr>
        <w:t>1.3.6  若</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中写明专门面向中小企业采购的，如投标人为非中小企业且所投产品为非中小企业产品，其投标将被认定为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     本项目不允许联合体投标；</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1.5    单位负责人为同一人或者存在直接控股、管理关系的不同供应商，其相关投标将被认定为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w:t>
      </w:r>
      <w:r>
        <w:rPr>
          <w:rFonts w:hint="eastAsia" w:ascii="宋体" w:hAnsi="宋体" w:cs="宋体"/>
          <w:color w:val="000000"/>
          <w:szCs w:val="21"/>
          <w:highlight w:val="none"/>
        </w:rPr>
        <w:tab/>
      </w:r>
      <w:r>
        <w:rPr>
          <w:rFonts w:hint="eastAsia" w:ascii="宋体" w:hAnsi="宋体" w:cs="宋体"/>
          <w:color w:val="000000"/>
          <w:szCs w:val="21"/>
          <w:highlight w:val="none"/>
        </w:rPr>
        <w:t>投标人在投标过程中不得向采购人提供、给予任何有价值的物品，影响其正常决策行为。一经发现，其将被认定为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54" w:name="_Toc515647759"/>
      <w:bookmarkStart w:id="55" w:name="_Toc4322"/>
      <w:bookmarkStart w:id="56" w:name="_Toc5286"/>
      <w:bookmarkStart w:id="57" w:name="_Toc12139"/>
      <w:r>
        <w:rPr>
          <w:rFonts w:hint="eastAsia" w:hAnsi="宋体" w:cs="宋体"/>
          <w:color w:val="000000"/>
          <w:sz w:val="21"/>
          <w:szCs w:val="21"/>
          <w:highlight w:val="none"/>
          <w:u w:val="none"/>
        </w:rPr>
        <w:t>2.资金来源</w:t>
      </w:r>
      <w:bookmarkEnd w:id="54"/>
      <w:bookmarkEnd w:id="55"/>
      <w:bookmarkEnd w:id="56"/>
      <w:bookmarkEnd w:id="5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2.1</w:t>
      </w:r>
      <w:r>
        <w:rPr>
          <w:rFonts w:hint="eastAsia" w:ascii="宋体" w:hAnsi="宋体" w:cs="宋体"/>
          <w:color w:val="000000"/>
          <w:szCs w:val="21"/>
          <w:highlight w:val="none"/>
        </w:rPr>
        <w:tab/>
      </w:r>
      <w:r>
        <w:rPr>
          <w:rFonts w:hint="eastAsia" w:ascii="宋体" w:hAnsi="宋体" w:cs="宋体"/>
          <w:color w:val="000000"/>
          <w:szCs w:val="21"/>
          <w:highlight w:val="none"/>
        </w:rPr>
        <w:t>本项目的采购人已获得足以支付本次招标后所签订的合同项下的资金（包括财政性资金和本项目采购中无法与财政性资金分割的非财政性资金）。</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2.2    项目预算金额和分项或分包最高限价</w:t>
      </w:r>
      <w:r>
        <w:rPr>
          <w:rFonts w:hint="eastAsia" w:ascii="宋体" w:hAnsi="宋体" w:cs="宋体"/>
          <w:color w:val="000000"/>
          <w:szCs w:val="21"/>
          <w:highlight w:val="none"/>
          <w:u w:val="single"/>
        </w:rPr>
        <w:t>见投标人须知资料表</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2.3    投标人报价超过招标文件规定的预算金额或者分项、分包最高限价的，其投标将被认定为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58" w:name="_Toc520356145"/>
      <w:bookmarkStart w:id="59" w:name="_Toc515647760"/>
      <w:bookmarkStart w:id="60" w:name="_Toc15936"/>
      <w:bookmarkStart w:id="61" w:name="_Toc20526"/>
      <w:bookmarkStart w:id="62" w:name="_Toc13828"/>
      <w:r>
        <w:rPr>
          <w:rFonts w:hint="eastAsia" w:hAnsi="宋体" w:cs="宋体"/>
          <w:color w:val="000000"/>
          <w:sz w:val="21"/>
          <w:szCs w:val="21"/>
          <w:highlight w:val="none"/>
          <w:u w:val="none"/>
        </w:rPr>
        <w:t>3.投标费用</w:t>
      </w:r>
      <w:bookmarkEnd w:id="58"/>
      <w:bookmarkEnd w:id="59"/>
      <w:bookmarkEnd w:id="60"/>
      <w:bookmarkEnd w:id="61"/>
      <w:bookmarkEnd w:id="62"/>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不论投标的结果如何，投标人应承担所有与准备和参加投标有关的费用。</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63" w:name="_Toc4463"/>
      <w:bookmarkStart w:id="64" w:name="_Toc515647761"/>
      <w:bookmarkStart w:id="65" w:name="_Toc6116"/>
      <w:bookmarkStart w:id="66" w:name="_Toc32665"/>
      <w:r>
        <w:rPr>
          <w:rFonts w:hint="eastAsia" w:hAnsi="宋体" w:cs="宋体"/>
          <w:color w:val="000000"/>
          <w:sz w:val="21"/>
          <w:szCs w:val="21"/>
          <w:highlight w:val="none"/>
          <w:u w:val="none"/>
        </w:rPr>
        <w:t>4.适用法律</w:t>
      </w:r>
      <w:bookmarkEnd w:id="63"/>
      <w:bookmarkEnd w:id="64"/>
      <w:bookmarkEnd w:id="65"/>
      <w:bookmarkEnd w:id="66"/>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bookmarkStart w:id="67" w:name="_Toc21566"/>
      <w:bookmarkStart w:id="68" w:name="_Toc4365"/>
      <w:bookmarkStart w:id="69" w:name="_Toc520356146"/>
      <w:bookmarkStart w:id="70" w:name="_Toc515647762"/>
      <w:bookmarkStart w:id="71" w:name="_Toc28572"/>
      <w:bookmarkStart w:id="72" w:name="_Toc216582806"/>
    </w:p>
    <w:p>
      <w:pPr>
        <w:kinsoku w:val="0"/>
        <w:overflowPunct w:val="0"/>
        <w:adjustRightInd w:val="0"/>
        <w:snapToGrid w:val="0"/>
        <w:spacing w:line="360" w:lineRule="exact"/>
        <w:ind w:left="838" w:leftChars="399" w:firstLine="2992" w:firstLineChars="1425"/>
        <w:rPr>
          <w:rFonts w:hint="eastAsia" w:ascii="宋体" w:hAnsi="宋体" w:cs="宋体"/>
          <w:color w:val="000000"/>
          <w:szCs w:val="21"/>
          <w:highlight w:val="none"/>
        </w:rPr>
      </w:pPr>
    </w:p>
    <w:p>
      <w:pPr>
        <w:kinsoku w:val="0"/>
        <w:overflowPunct w:val="0"/>
        <w:adjustRightInd w:val="0"/>
        <w:snapToGrid w:val="0"/>
        <w:spacing w:line="360" w:lineRule="exact"/>
        <w:ind w:left="836" w:hanging="836" w:hangingChars="347"/>
        <w:jc w:val="center"/>
        <w:rPr>
          <w:rFonts w:hint="eastAsia" w:ascii="宋体" w:hAnsi="宋体" w:cs="宋体"/>
          <w:b/>
          <w:color w:val="000000"/>
          <w:sz w:val="24"/>
          <w:szCs w:val="21"/>
          <w:highlight w:val="none"/>
        </w:rPr>
      </w:pPr>
      <w:r>
        <w:rPr>
          <w:rFonts w:hint="eastAsia" w:ascii="宋体" w:hAnsi="宋体" w:cs="宋体"/>
          <w:b/>
          <w:color w:val="000000"/>
          <w:sz w:val="24"/>
          <w:szCs w:val="21"/>
          <w:highlight w:val="none"/>
        </w:rPr>
        <w:t>二   招标文件</w:t>
      </w:r>
      <w:bookmarkEnd w:id="67"/>
      <w:bookmarkEnd w:id="68"/>
      <w:bookmarkEnd w:id="69"/>
      <w:bookmarkEnd w:id="70"/>
      <w:bookmarkEnd w:id="71"/>
      <w:bookmarkEnd w:id="72"/>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73" w:name="_Toc14084"/>
      <w:bookmarkStart w:id="74" w:name="_Toc25743"/>
      <w:bookmarkStart w:id="75" w:name="_Toc515647763"/>
      <w:bookmarkStart w:id="76" w:name="_Toc4671"/>
      <w:bookmarkStart w:id="77" w:name="_Toc520356147"/>
      <w:r>
        <w:rPr>
          <w:rFonts w:hint="eastAsia" w:hAnsi="宋体" w:cs="宋体"/>
          <w:color w:val="000000"/>
          <w:sz w:val="21"/>
          <w:szCs w:val="21"/>
          <w:highlight w:val="none"/>
          <w:u w:val="none"/>
        </w:rPr>
        <w:t>5.招标文件构成</w:t>
      </w:r>
      <w:bookmarkEnd w:id="73"/>
      <w:bookmarkEnd w:id="74"/>
      <w:bookmarkEnd w:id="75"/>
      <w:bookmarkEnd w:id="76"/>
      <w:bookmarkEnd w:id="7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5.1</w:t>
      </w:r>
      <w:r>
        <w:rPr>
          <w:rFonts w:hint="eastAsia" w:ascii="宋体" w:hAnsi="宋体" w:cs="宋体"/>
          <w:color w:val="000000"/>
          <w:szCs w:val="21"/>
          <w:highlight w:val="none"/>
        </w:rPr>
        <w:tab/>
      </w:r>
      <w:r>
        <w:rPr>
          <w:rFonts w:hint="eastAsia" w:ascii="宋体" w:hAnsi="宋体" w:cs="宋体"/>
          <w:color w:val="000000"/>
          <w:szCs w:val="21"/>
          <w:highlight w:val="none"/>
        </w:rPr>
        <w:t>招标文件分为三册共5章，内容如下：</w:t>
      </w:r>
    </w:p>
    <w:p>
      <w:pPr>
        <w:kinsoku w:val="0"/>
        <w:overflowPunct w:val="0"/>
        <w:adjustRightInd w:val="0"/>
        <w:snapToGrid w:val="0"/>
        <w:spacing w:line="360" w:lineRule="exact"/>
        <w:ind w:left="1056" w:leftChars="428" w:hanging="157" w:hangingChars="75"/>
        <w:rPr>
          <w:rFonts w:hint="eastAsia" w:ascii="宋体" w:hAnsi="宋体" w:cs="宋体"/>
          <w:color w:val="000000"/>
          <w:szCs w:val="21"/>
          <w:highlight w:val="none"/>
        </w:rPr>
      </w:pPr>
      <w:r>
        <w:rPr>
          <w:rFonts w:hint="eastAsia" w:ascii="宋体" w:hAnsi="宋体" w:cs="宋体"/>
          <w:color w:val="000000"/>
          <w:szCs w:val="21"/>
          <w:highlight w:val="none"/>
        </w:rPr>
        <w:t>第一册</w:t>
      </w:r>
    </w:p>
    <w:p>
      <w:pPr>
        <w:numPr>
          <w:ilvl w:val="0"/>
          <w:numId w:val="4"/>
        </w:numPr>
        <w:tabs>
          <w:tab w:val="left" w:pos="0"/>
        </w:tabs>
        <w:kinsoku w:val="0"/>
        <w:overflowPunct w:val="0"/>
        <w:adjustRightInd w:val="0"/>
        <w:snapToGrid w:val="0"/>
        <w:spacing w:line="360" w:lineRule="exact"/>
        <w:ind w:hanging="829"/>
        <w:rPr>
          <w:rFonts w:hint="eastAsia" w:ascii="宋体" w:hAnsi="宋体" w:cs="宋体"/>
          <w:color w:val="000000"/>
          <w:szCs w:val="21"/>
          <w:highlight w:val="none"/>
        </w:rPr>
      </w:pPr>
      <w:r>
        <w:rPr>
          <w:rFonts w:hint="eastAsia" w:ascii="宋体" w:hAnsi="宋体" w:cs="宋体"/>
          <w:color w:val="000000"/>
          <w:szCs w:val="21"/>
          <w:highlight w:val="none"/>
        </w:rPr>
        <w:t xml:space="preserve"> 投标人须知前附表</w:t>
      </w:r>
    </w:p>
    <w:p>
      <w:pPr>
        <w:numPr>
          <w:ilvl w:val="0"/>
          <w:numId w:val="4"/>
        </w:num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 xml:space="preserve"> 投标文件格式</w:t>
      </w:r>
    </w:p>
    <w:p>
      <w:p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第二册</w:t>
      </w:r>
    </w:p>
    <w:p>
      <w:pPr>
        <w:numPr>
          <w:ilvl w:val="0"/>
          <w:numId w:val="4"/>
        </w:num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 xml:space="preserve"> 货物需求一览表及技术规格</w:t>
      </w:r>
    </w:p>
    <w:p>
      <w:pPr>
        <w:numPr>
          <w:ilvl w:val="0"/>
          <w:numId w:val="4"/>
        </w:num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 xml:space="preserve"> 评标方法和标准</w:t>
      </w:r>
    </w:p>
    <w:p>
      <w:pPr>
        <w:kinsoku w:val="0"/>
        <w:overflowPunct w:val="0"/>
        <w:adjustRightInd w:val="0"/>
        <w:snapToGrid w:val="0"/>
        <w:spacing w:line="360" w:lineRule="exact"/>
        <w:ind w:left="901"/>
        <w:rPr>
          <w:rFonts w:hint="eastAsia" w:ascii="宋体" w:hAnsi="宋体" w:cs="宋体"/>
          <w:color w:val="000000"/>
          <w:szCs w:val="21"/>
          <w:highlight w:val="none"/>
        </w:rPr>
      </w:pPr>
      <w:r>
        <w:rPr>
          <w:rFonts w:hint="eastAsia" w:ascii="宋体" w:hAnsi="宋体" w:cs="宋体"/>
          <w:color w:val="000000"/>
          <w:szCs w:val="21"/>
          <w:highlight w:val="none"/>
        </w:rPr>
        <w:t>第三册</w:t>
      </w:r>
    </w:p>
    <w:p>
      <w:pPr>
        <w:numPr>
          <w:ilvl w:val="0"/>
          <w:numId w:val="4"/>
        </w:numPr>
        <w:kinsoku w:val="0"/>
        <w:overflowPunct w:val="0"/>
        <w:adjustRightInd w:val="0"/>
        <w:snapToGrid w:val="0"/>
        <w:spacing w:line="360" w:lineRule="exact"/>
        <w:ind w:left="718" w:leftChars="342"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政府采购合同格式</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5.2</w:t>
      </w:r>
      <w:r>
        <w:rPr>
          <w:rFonts w:hint="eastAsia" w:ascii="宋体" w:hAnsi="宋体" w:cs="宋体"/>
          <w:color w:val="000000"/>
          <w:szCs w:val="21"/>
          <w:highlight w:val="none"/>
        </w:rPr>
        <w:tab/>
      </w:r>
      <w:r>
        <w:rPr>
          <w:rFonts w:hint="eastAsia" w:ascii="宋体" w:hAnsi="宋体" w:cs="宋体"/>
          <w:color w:val="000000"/>
          <w:szCs w:val="21"/>
          <w:highlight w:val="none"/>
        </w:rPr>
        <w:t>如本文件的前后内容不一致，以最后描述为准。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78" w:name="_Toc515904805"/>
      <w:bookmarkStart w:id="79" w:name="_Toc520356148"/>
      <w:bookmarkStart w:id="80" w:name="_Toc26044"/>
      <w:bookmarkStart w:id="81" w:name="_Toc1922"/>
      <w:bookmarkStart w:id="82" w:name="_Toc9232"/>
      <w:r>
        <w:rPr>
          <w:rFonts w:hint="eastAsia" w:hAnsi="宋体" w:cs="宋体"/>
          <w:color w:val="000000"/>
          <w:sz w:val="21"/>
          <w:szCs w:val="21"/>
          <w:highlight w:val="none"/>
          <w:u w:val="none"/>
        </w:rPr>
        <w:t>6.招标文件的澄清</w:t>
      </w:r>
      <w:bookmarkEnd w:id="78"/>
      <w:bookmarkEnd w:id="79"/>
      <w:r>
        <w:rPr>
          <w:rFonts w:hint="eastAsia" w:hAnsi="宋体" w:cs="宋体"/>
          <w:color w:val="000000"/>
          <w:sz w:val="21"/>
          <w:szCs w:val="21"/>
          <w:highlight w:val="none"/>
          <w:u w:val="none"/>
        </w:rPr>
        <w:t>与修改</w:t>
      </w:r>
      <w:bookmarkEnd w:id="80"/>
      <w:bookmarkEnd w:id="81"/>
      <w:bookmarkEnd w:id="82"/>
    </w:p>
    <w:p>
      <w:pPr>
        <w:pStyle w:val="5"/>
        <w:kinsoku w:val="0"/>
        <w:overflowPunct w:val="0"/>
        <w:snapToGrid w:val="0"/>
        <w:spacing w:line="360" w:lineRule="exact"/>
        <w:ind w:left="735" w:hanging="735" w:hangingChars="350"/>
        <w:rPr>
          <w:rFonts w:hint="eastAsia" w:hAnsi="宋体" w:cs="宋体"/>
          <w:color w:val="000000"/>
          <w:sz w:val="21"/>
          <w:szCs w:val="21"/>
          <w:highlight w:val="none"/>
        </w:rPr>
      </w:pPr>
      <w:r>
        <w:rPr>
          <w:rFonts w:hint="eastAsia" w:hAnsi="宋体" w:cs="宋体"/>
          <w:color w:val="000000"/>
          <w:sz w:val="21"/>
          <w:szCs w:val="21"/>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5"/>
        <w:kinsoku w:val="0"/>
        <w:overflowPunct w:val="0"/>
        <w:snapToGrid w:val="0"/>
        <w:spacing w:line="360" w:lineRule="exact"/>
        <w:ind w:left="735" w:hanging="735" w:hangingChars="350"/>
        <w:rPr>
          <w:rFonts w:hint="eastAsia" w:hAnsi="宋体" w:cs="宋体"/>
          <w:color w:val="000000"/>
          <w:sz w:val="21"/>
          <w:szCs w:val="21"/>
          <w:highlight w:val="none"/>
        </w:rPr>
      </w:pPr>
      <w:bookmarkStart w:id="83" w:name="_Toc520356149"/>
      <w:bookmarkStart w:id="84" w:name="_Ref467378678"/>
      <w:bookmarkStart w:id="85" w:name="_Toc515904806"/>
      <w:r>
        <w:rPr>
          <w:rFonts w:hint="eastAsia" w:hAnsi="宋体" w:cs="宋体"/>
          <w:color w:val="000000"/>
          <w:sz w:val="21"/>
          <w:szCs w:val="21"/>
          <w:highlight w:val="none"/>
        </w:rPr>
        <w:t>6.2</w:t>
      </w:r>
      <w:r>
        <w:rPr>
          <w:rFonts w:hint="eastAsia" w:hAnsi="宋体" w:cs="宋体"/>
          <w:color w:val="000000"/>
          <w:sz w:val="21"/>
          <w:szCs w:val="21"/>
          <w:highlight w:val="none"/>
        </w:rPr>
        <w:tab/>
      </w:r>
      <w:r>
        <w:rPr>
          <w:rFonts w:hint="eastAsia" w:hAnsi="宋体" w:cs="宋体"/>
          <w:color w:val="000000"/>
          <w:sz w:val="21"/>
          <w:szCs w:val="21"/>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5"/>
        <w:kinsoku w:val="0"/>
        <w:overflowPunct w:val="0"/>
        <w:snapToGrid w:val="0"/>
        <w:spacing w:line="360" w:lineRule="exact"/>
        <w:ind w:left="735" w:hanging="735" w:hangingChars="350"/>
        <w:rPr>
          <w:rFonts w:hint="eastAsia" w:hAnsi="宋体" w:cs="宋体"/>
          <w:color w:val="000000"/>
          <w:sz w:val="21"/>
          <w:szCs w:val="21"/>
          <w:highlight w:val="none"/>
        </w:rPr>
      </w:pPr>
      <w:r>
        <w:rPr>
          <w:rFonts w:hint="eastAsia" w:hAnsi="宋体" w:cs="宋体"/>
          <w:color w:val="000000"/>
          <w:sz w:val="21"/>
          <w:szCs w:val="21"/>
          <w:highlight w:val="none"/>
        </w:rPr>
        <w:t>6.3</w:t>
      </w:r>
      <w:r>
        <w:rPr>
          <w:rFonts w:hint="eastAsia" w:hAnsi="宋体" w:cs="宋体"/>
          <w:color w:val="000000"/>
          <w:sz w:val="21"/>
          <w:szCs w:val="21"/>
          <w:highlight w:val="none"/>
        </w:rPr>
        <w:tab/>
      </w:r>
      <w:r>
        <w:rPr>
          <w:rFonts w:hint="eastAsia" w:hAnsi="宋体" w:cs="宋体"/>
          <w:color w:val="000000"/>
          <w:sz w:val="21"/>
          <w:szCs w:val="21"/>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6"/>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86" w:name="_Toc12448"/>
      <w:bookmarkStart w:id="87" w:name="_Toc14569"/>
      <w:bookmarkStart w:id="88" w:name="_Toc25635"/>
      <w:r>
        <w:rPr>
          <w:rFonts w:hint="eastAsia" w:hAnsi="宋体" w:cs="宋体"/>
          <w:color w:val="000000"/>
          <w:sz w:val="21"/>
          <w:szCs w:val="21"/>
          <w:highlight w:val="none"/>
          <w:u w:val="none"/>
        </w:rPr>
        <w:t>7</w:t>
      </w:r>
      <w:bookmarkEnd w:id="83"/>
      <w:bookmarkEnd w:id="84"/>
      <w:bookmarkEnd w:id="85"/>
      <w:r>
        <w:rPr>
          <w:rFonts w:hint="eastAsia" w:hAnsi="宋体" w:cs="宋体"/>
          <w:color w:val="000000"/>
          <w:sz w:val="21"/>
          <w:szCs w:val="21"/>
          <w:highlight w:val="none"/>
          <w:u w:val="none"/>
        </w:rPr>
        <w:t>.投标截止时间的顺延</w:t>
      </w:r>
      <w:bookmarkEnd w:id="86"/>
      <w:bookmarkEnd w:id="87"/>
      <w:bookmarkEnd w:id="88"/>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为使投标人准备投标时有足够的时间对招标文件的澄清或者修改部分进行研究，采购人将依法决定是否顺延投标截止时间。</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p>
    <w:p>
      <w:pPr>
        <w:pStyle w:val="4"/>
        <w:keepNext w:val="0"/>
        <w:keepLines w:val="0"/>
        <w:tabs>
          <w:tab w:val="left" w:pos="900"/>
        </w:tabs>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89" w:name="_Toc516367020"/>
      <w:bookmarkStart w:id="90" w:name="_Toc515647766"/>
      <w:bookmarkStart w:id="91" w:name="_Toc216582807"/>
      <w:bookmarkStart w:id="92" w:name="_Toc31039"/>
      <w:bookmarkStart w:id="93" w:name="_Toc520356150"/>
      <w:bookmarkStart w:id="94" w:name="_Toc30808"/>
      <w:bookmarkStart w:id="95" w:name="_Toc7636"/>
      <w:r>
        <w:rPr>
          <w:rFonts w:hint="eastAsia" w:ascii="宋体" w:hAnsi="宋体" w:eastAsia="宋体" w:cs="宋体"/>
          <w:color w:val="000000"/>
          <w:sz w:val="21"/>
          <w:szCs w:val="21"/>
          <w:highlight w:val="none"/>
        </w:rPr>
        <w:t>三   投标文件</w:t>
      </w:r>
      <w:bookmarkEnd w:id="89"/>
      <w:r>
        <w:rPr>
          <w:rFonts w:hint="eastAsia" w:ascii="宋体" w:hAnsi="宋体" w:eastAsia="宋体" w:cs="宋体"/>
          <w:color w:val="000000"/>
          <w:sz w:val="21"/>
          <w:szCs w:val="21"/>
          <w:highlight w:val="none"/>
        </w:rPr>
        <w:t>的编制</w:t>
      </w:r>
      <w:bookmarkEnd w:id="90"/>
      <w:bookmarkEnd w:id="91"/>
      <w:bookmarkEnd w:id="92"/>
      <w:bookmarkEnd w:id="93"/>
      <w:bookmarkEnd w:id="94"/>
      <w:bookmarkEnd w:id="95"/>
    </w:p>
    <w:p>
      <w:pPr>
        <w:pStyle w:val="6"/>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96" w:name="_Toc520356151"/>
      <w:bookmarkStart w:id="97" w:name="_Toc7786"/>
      <w:bookmarkStart w:id="98" w:name="_Toc516367021"/>
      <w:bookmarkStart w:id="99" w:name="_Toc30570"/>
      <w:bookmarkStart w:id="100" w:name="_Toc515647767"/>
      <w:bookmarkStart w:id="101" w:name="_Toc3553"/>
      <w:r>
        <w:rPr>
          <w:rFonts w:hint="eastAsia" w:hAnsi="宋体" w:cs="宋体"/>
          <w:color w:val="000000"/>
          <w:sz w:val="21"/>
          <w:szCs w:val="21"/>
          <w:highlight w:val="none"/>
          <w:u w:val="none"/>
        </w:rPr>
        <w:t>8.</w:t>
      </w:r>
      <w:r>
        <w:rPr>
          <w:rFonts w:hint="eastAsia" w:hAnsi="宋体" w:cs="宋体"/>
          <w:color w:val="000000"/>
          <w:sz w:val="21"/>
          <w:szCs w:val="21"/>
          <w:highlight w:val="none"/>
          <w:u w:val="none"/>
        </w:rPr>
        <w:tab/>
      </w:r>
      <w:r>
        <w:rPr>
          <w:rFonts w:hint="eastAsia" w:hAnsi="宋体" w:cs="宋体"/>
          <w:color w:val="000000"/>
          <w:sz w:val="21"/>
          <w:szCs w:val="21"/>
          <w:highlight w:val="none"/>
          <w:u w:val="none"/>
        </w:rPr>
        <w:t>投标范围及投标文件中标准和计量单位的使用</w:t>
      </w:r>
      <w:bookmarkEnd w:id="96"/>
      <w:bookmarkEnd w:id="97"/>
      <w:bookmarkEnd w:id="98"/>
      <w:bookmarkEnd w:id="99"/>
      <w:bookmarkEnd w:id="100"/>
      <w:bookmarkEnd w:id="101"/>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8.1</w:t>
      </w:r>
      <w:r>
        <w:rPr>
          <w:rFonts w:hint="eastAsia" w:ascii="宋体" w:hAnsi="宋体" w:cs="宋体"/>
          <w:color w:val="000000"/>
          <w:szCs w:val="21"/>
          <w:highlight w:val="none"/>
        </w:rPr>
        <w:tab/>
      </w:r>
      <w:r>
        <w:rPr>
          <w:rFonts w:hint="eastAsia" w:ascii="宋体" w:hAnsi="宋体" w:cs="宋体"/>
          <w:color w:val="000000"/>
          <w:szCs w:val="21"/>
          <w:highlight w:val="none"/>
        </w:rPr>
        <w:t>项目有分包的，投标人可对招标文件其中某一个或几个分包货物进行投标，除非在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中另有规定。</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8.2     投标人应当对所投分包招标文件中“服务需求”所列的所有内容进行投标，如仅响应某一包中的部分内容，其该包投标将被认定为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8.3     无论招标文件第3章货物需求一览表及技术规格中是否要求，投标人所投货物均应符合国家强制性标准。</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8.4     除招标文件中有特殊要求外，投标文件中所使用的计量单位，应采用中华人民共和国法定计量单位。</w:t>
      </w:r>
    </w:p>
    <w:p>
      <w:pPr>
        <w:pStyle w:val="6"/>
        <w:keepNext w:val="0"/>
        <w:keepLines w:val="0"/>
        <w:pageBreakBefore w:val="0"/>
        <w:widowControl w:val="0"/>
        <w:tabs>
          <w:tab w:val="left" w:pos="900"/>
        </w:tabs>
        <w:kinsoku w:val="0"/>
        <w:wordWrap/>
        <w:overflowPunct w:val="0"/>
        <w:topLinePunct w:val="0"/>
        <w:bidi w:val="0"/>
        <w:adjustRightInd w:val="0"/>
        <w:snapToGrid w:val="0"/>
        <w:spacing w:before="0" w:after="0" w:line="380" w:lineRule="exact"/>
        <w:textAlignment w:val="auto"/>
        <w:rPr>
          <w:rFonts w:hint="eastAsia" w:hAnsi="宋体" w:cs="宋体"/>
          <w:color w:val="000000"/>
          <w:sz w:val="21"/>
          <w:szCs w:val="21"/>
          <w:highlight w:val="none"/>
          <w:u w:val="none"/>
        </w:rPr>
      </w:pPr>
      <w:bookmarkStart w:id="102" w:name="_Ref467306195"/>
      <w:bookmarkStart w:id="103" w:name="_Ref467306676"/>
      <w:bookmarkStart w:id="104" w:name="_Toc516367022"/>
      <w:bookmarkStart w:id="105" w:name="_Toc28307"/>
      <w:bookmarkStart w:id="106" w:name="_Toc10364"/>
      <w:bookmarkStart w:id="107" w:name="_Toc520356152"/>
      <w:bookmarkStart w:id="108" w:name="_Toc515647768"/>
      <w:bookmarkStart w:id="109" w:name="_Toc18692"/>
      <w:r>
        <w:rPr>
          <w:rFonts w:hint="eastAsia" w:hAnsi="宋体" w:cs="宋体"/>
          <w:color w:val="000000"/>
          <w:sz w:val="21"/>
          <w:szCs w:val="21"/>
          <w:highlight w:val="none"/>
          <w:u w:val="none"/>
        </w:rPr>
        <w:t>9.投标文件</w:t>
      </w:r>
      <w:bookmarkEnd w:id="102"/>
      <w:bookmarkEnd w:id="103"/>
      <w:bookmarkEnd w:id="104"/>
      <w:r>
        <w:rPr>
          <w:rFonts w:hint="eastAsia" w:hAnsi="宋体" w:cs="宋体"/>
          <w:color w:val="000000"/>
          <w:sz w:val="21"/>
          <w:szCs w:val="21"/>
          <w:highlight w:val="none"/>
          <w:u w:val="none"/>
        </w:rPr>
        <w:t>构成</w:t>
      </w:r>
      <w:bookmarkEnd w:id="105"/>
      <w:bookmarkEnd w:id="106"/>
      <w:bookmarkEnd w:id="107"/>
      <w:bookmarkEnd w:id="108"/>
      <w:bookmarkEnd w:id="109"/>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bookmarkStart w:id="110" w:name="_Ref467052588"/>
      <w:r>
        <w:rPr>
          <w:rFonts w:hint="eastAsia" w:ascii="宋体" w:hAnsi="宋体" w:cs="宋体"/>
          <w:color w:val="000000"/>
          <w:szCs w:val="21"/>
          <w:highlight w:val="none"/>
        </w:rPr>
        <w:t>9.1     投标人应完整地按招标文件提供的投标文件格式及要求</w:t>
      </w:r>
      <w:r>
        <w:rPr>
          <w:rFonts w:hint="eastAsia" w:ascii="宋体" w:hAnsi="宋体" w:cs="宋体"/>
          <w:color w:val="000000"/>
          <w:szCs w:val="21"/>
          <w:highlight w:val="none"/>
          <w:lang w:eastAsia="zh-CN"/>
        </w:rPr>
        <w:t>编</w:t>
      </w:r>
      <w:r>
        <w:rPr>
          <w:rFonts w:hint="eastAsia" w:ascii="宋体" w:hAnsi="宋体" w:cs="宋体"/>
          <w:color w:val="000000"/>
          <w:szCs w:val="21"/>
          <w:highlight w:val="none"/>
        </w:rPr>
        <w:t>写投标文件，</w:t>
      </w:r>
      <w:r>
        <w:rPr>
          <w:rFonts w:hint="eastAsia" w:ascii="宋体" w:hAnsi="宋体" w:cs="宋体"/>
          <w:color w:val="000000"/>
          <w:szCs w:val="21"/>
          <w:highlight w:val="none"/>
          <w:lang w:eastAsia="zh-CN"/>
        </w:rPr>
        <w:t>投标文件正本均逐页加盖公章，投标文件副本可采用正本复印件，</w:t>
      </w:r>
      <w:r>
        <w:rPr>
          <w:rFonts w:hint="eastAsia" w:ascii="宋体" w:hAnsi="宋体" w:cs="宋体"/>
          <w:color w:val="000000"/>
          <w:szCs w:val="21"/>
          <w:highlight w:val="none"/>
        </w:rPr>
        <w:t>投标文件应包括“开标一览表及资格证明文件”和“商务及技术文件”两部分。两部分单独装订成册，分别密封递交。投标人应承担封装失误产生的任何后果。</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9.2    上述文件应按照招标文件14.2规定的格式填写、签署和盖章。</w:t>
      </w:r>
    </w:p>
    <w:bookmarkEnd w:id="110"/>
    <w:p>
      <w:pPr>
        <w:pStyle w:val="6"/>
        <w:keepNext w:val="0"/>
        <w:keepLines w:val="0"/>
        <w:pageBreakBefore w:val="0"/>
        <w:widowControl w:val="0"/>
        <w:tabs>
          <w:tab w:val="left" w:pos="900"/>
        </w:tabs>
        <w:kinsoku w:val="0"/>
        <w:wordWrap/>
        <w:overflowPunct w:val="0"/>
        <w:topLinePunct w:val="0"/>
        <w:bidi w:val="0"/>
        <w:adjustRightInd w:val="0"/>
        <w:snapToGrid w:val="0"/>
        <w:spacing w:before="0" w:after="0" w:line="380" w:lineRule="exact"/>
        <w:textAlignment w:val="auto"/>
        <w:rPr>
          <w:rFonts w:hint="eastAsia" w:hAnsi="宋体" w:cs="宋体"/>
          <w:color w:val="000000"/>
          <w:sz w:val="21"/>
          <w:szCs w:val="21"/>
          <w:highlight w:val="none"/>
          <w:u w:val="none"/>
        </w:rPr>
      </w:pPr>
      <w:bookmarkStart w:id="111" w:name="_Toc13143"/>
      <w:bookmarkStart w:id="112" w:name="_Toc516367023"/>
      <w:bookmarkStart w:id="113" w:name="_Toc515647769"/>
      <w:bookmarkStart w:id="114" w:name="_Toc520356153"/>
      <w:bookmarkStart w:id="115" w:name="_Toc10379"/>
      <w:bookmarkStart w:id="116" w:name="_Toc4601"/>
      <w:r>
        <w:rPr>
          <w:rFonts w:hint="eastAsia" w:hAnsi="宋体" w:cs="宋体"/>
          <w:color w:val="000000"/>
          <w:sz w:val="21"/>
          <w:szCs w:val="21"/>
          <w:highlight w:val="none"/>
          <w:u w:val="none"/>
        </w:rPr>
        <w:t>10.</w:t>
      </w:r>
      <w:r>
        <w:rPr>
          <w:rFonts w:hint="eastAsia" w:hAnsi="宋体" w:cs="宋体"/>
          <w:color w:val="000000"/>
          <w:sz w:val="21"/>
          <w:szCs w:val="21"/>
          <w:highlight w:val="none"/>
          <w:u w:val="none"/>
        </w:rPr>
        <w:tab/>
      </w:r>
      <w:r>
        <w:rPr>
          <w:rFonts w:hint="eastAsia" w:hAnsi="宋体" w:cs="宋体"/>
          <w:color w:val="000000"/>
          <w:sz w:val="21"/>
          <w:szCs w:val="21"/>
          <w:highlight w:val="none"/>
          <w:u w:val="none"/>
        </w:rPr>
        <w:t>证明投标标的的合格性和符合招标文件规定的技术文件</w:t>
      </w:r>
      <w:bookmarkEnd w:id="111"/>
      <w:bookmarkEnd w:id="112"/>
      <w:bookmarkEnd w:id="113"/>
      <w:bookmarkEnd w:id="114"/>
      <w:bookmarkEnd w:id="115"/>
      <w:bookmarkEnd w:id="116"/>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10.1</w:t>
      </w:r>
      <w:r>
        <w:rPr>
          <w:rFonts w:hint="eastAsia" w:ascii="宋体" w:hAnsi="宋体" w:cs="宋体"/>
          <w:color w:val="000000"/>
          <w:szCs w:val="21"/>
          <w:highlight w:val="none"/>
        </w:rPr>
        <w:tab/>
      </w:r>
      <w:r>
        <w:rPr>
          <w:rFonts w:hint="eastAsia" w:ascii="宋体" w:hAnsi="宋体" w:cs="宋体"/>
          <w:color w:val="000000"/>
          <w:szCs w:val="21"/>
          <w:highlight w:val="none"/>
        </w:rPr>
        <w:t>投标人应提交证明文件，证明其投标内容符合招标文件规定。该证明文件是投标文件的一部分。</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bookmarkStart w:id="117" w:name="_Ref467306244"/>
      <w:r>
        <w:rPr>
          <w:rFonts w:hint="eastAsia" w:ascii="宋体" w:hAnsi="宋体" w:cs="宋体"/>
          <w:color w:val="000000"/>
          <w:szCs w:val="21"/>
          <w:highlight w:val="none"/>
        </w:rPr>
        <w:t>10.2</w:t>
      </w:r>
      <w:r>
        <w:rPr>
          <w:rFonts w:hint="eastAsia" w:ascii="宋体" w:hAnsi="宋体" w:cs="宋体"/>
          <w:color w:val="000000"/>
          <w:szCs w:val="21"/>
          <w:highlight w:val="none"/>
        </w:rPr>
        <w:tab/>
      </w:r>
      <w:r>
        <w:rPr>
          <w:rFonts w:hint="eastAsia" w:ascii="宋体" w:hAnsi="宋体" w:cs="宋体"/>
          <w:color w:val="000000"/>
          <w:szCs w:val="21"/>
          <w:highlight w:val="none"/>
        </w:rPr>
        <w:t>上款所述的证明文件，可以是文字资料、图纸和数据，</w:t>
      </w:r>
      <w:bookmarkEnd w:id="117"/>
      <w:r>
        <w:rPr>
          <w:rFonts w:hint="eastAsia" w:ascii="宋体" w:hAnsi="宋体" w:cs="宋体"/>
          <w:color w:val="000000"/>
          <w:szCs w:val="21"/>
          <w:highlight w:val="none"/>
        </w:rPr>
        <w:t>它包括：</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10.2.1</w:t>
      </w:r>
      <w:r>
        <w:rPr>
          <w:rFonts w:hint="eastAsia" w:ascii="宋体" w:hAnsi="宋体" w:cs="宋体"/>
          <w:color w:val="000000"/>
          <w:szCs w:val="21"/>
          <w:highlight w:val="none"/>
        </w:rPr>
        <w:tab/>
      </w:r>
      <w:r>
        <w:rPr>
          <w:rFonts w:hint="eastAsia" w:ascii="宋体" w:hAnsi="宋体" w:cs="宋体"/>
          <w:color w:val="000000"/>
          <w:szCs w:val="21"/>
          <w:highlight w:val="none"/>
        </w:rPr>
        <w:t>货物主要技术指标和性能的详细说明；</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10.2.2</w:t>
      </w:r>
      <w:r>
        <w:rPr>
          <w:rFonts w:hint="eastAsia" w:ascii="宋体" w:hAnsi="宋体" w:cs="宋体"/>
          <w:color w:val="000000"/>
          <w:szCs w:val="21"/>
          <w:highlight w:val="none"/>
        </w:rPr>
        <w:tab/>
      </w:r>
      <w:r>
        <w:rPr>
          <w:rFonts w:hint="eastAsia" w:ascii="宋体" w:hAnsi="宋体" w:cs="宋体"/>
          <w:color w:val="000000"/>
          <w:szCs w:val="21"/>
          <w:highlight w:val="none"/>
        </w:rPr>
        <w:t>货物从买方开始使用至招标文件规定的保质期内正常、连续地使用所必须的备件和专用工具清单，包括备件和专用工具的货源及现行价格；</w:t>
      </w:r>
    </w:p>
    <w:p>
      <w:pPr>
        <w:keepNext w:val="0"/>
        <w:keepLines w:val="0"/>
        <w:pageBreakBefore w:val="0"/>
        <w:widowControl w:val="0"/>
        <w:kinsoku w:val="0"/>
        <w:wordWrap/>
        <w:overflowPunct w:val="0"/>
        <w:topLinePunct w:val="0"/>
        <w:bidi w:val="0"/>
        <w:adjustRightInd w:val="0"/>
        <w:snapToGrid w:val="0"/>
        <w:spacing w:line="38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10.2.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对照招标文件技术规格，逐条说明所提供货物及伴随的工程和服务已对招标文件的技术规格做出了实质性的响应，或申明与技术规格条文的偏差和例外。</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10.3</w:t>
      </w:r>
      <w:r>
        <w:rPr>
          <w:rFonts w:hint="eastAsia" w:ascii="宋体" w:hAnsi="宋体" w:cs="宋体"/>
          <w:color w:val="000000"/>
          <w:szCs w:val="21"/>
          <w:highlight w:val="none"/>
        </w:rPr>
        <w:tab/>
      </w:r>
      <w:r>
        <w:rPr>
          <w:rFonts w:hint="eastAsia" w:ascii="宋体" w:hAnsi="宋体" w:cs="宋体"/>
          <w:color w:val="000000"/>
          <w:szCs w:val="21"/>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6"/>
        <w:keepNext w:val="0"/>
        <w:keepLines w:val="0"/>
        <w:pageBreakBefore w:val="0"/>
        <w:widowControl w:val="0"/>
        <w:kinsoku w:val="0"/>
        <w:wordWrap/>
        <w:overflowPunct w:val="0"/>
        <w:topLinePunct w:val="0"/>
        <w:bidi w:val="0"/>
        <w:adjustRightInd w:val="0"/>
        <w:snapToGrid w:val="0"/>
        <w:spacing w:before="0" w:after="0" w:line="380" w:lineRule="exact"/>
        <w:textAlignment w:val="auto"/>
        <w:rPr>
          <w:rFonts w:hint="eastAsia" w:hAnsi="宋体" w:cs="宋体"/>
          <w:b w:val="0"/>
          <w:color w:val="000000"/>
          <w:sz w:val="21"/>
          <w:szCs w:val="21"/>
          <w:highlight w:val="none"/>
          <w:u w:val="none"/>
        </w:rPr>
      </w:pPr>
      <w:bookmarkStart w:id="118" w:name="_Toc19624"/>
      <w:bookmarkStart w:id="119" w:name="_Toc520356155"/>
      <w:bookmarkStart w:id="120" w:name="_Toc23231"/>
      <w:bookmarkStart w:id="121" w:name="_Toc515647770"/>
      <w:bookmarkStart w:id="122" w:name="_Toc2248"/>
      <w:r>
        <w:rPr>
          <w:rFonts w:hint="eastAsia" w:hAnsi="宋体" w:cs="宋体"/>
          <w:b w:val="0"/>
          <w:color w:val="000000"/>
          <w:sz w:val="21"/>
          <w:szCs w:val="21"/>
          <w:highlight w:val="none"/>
          <w:u w:val="none"/>
        </w:rPr>
        <w:t>11.投标报价</w:t>
      </w:r>
      <w:bookmarkEnd w:id="118"/>
      <w:bookmarkEnd w:id="119"/>
      <w:bookmarkEnd w:id="120"/>
      <w:bookmarkEnd w:id="121"/>
      <w:bookmarkEnd w:id="122"/>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11.1</w:t>
      </w:r>
      <w:r>
        <w:rPr>
          <w:rFonts w:hint="eastAsia" w:ascii="宋体" w:hAnsi="宋体" w:cs="宋体"/>
          <w:color w:val="000000"/>
          <w:szCs w:val="21"/>
          <w:highlight w:val="none"/>
        </w:rPr>
        <w:tab/>
      </w:r>
      <w:r>
        <w:rPr>
          <w:rFonts w:hint="eastAsia" w:ascii="宋体" w:hAnsi="宋体" w:cs="宋体"/>
          <w:color w:val="000000"/>
          <w:szCs w:val="21"/>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11.2</w:t>
      </w:r>
      <w:r>
        <w:rPr>
          <w:rFonts w:hint="eastAsia" w:ascii="宋体" w:hAnsi="宋体" w:cs="宋体"/>
          <w:color w:val="000000"/>
          <w:szCs w:val="21"/>
          <w:highlight w:val="none"/>
        </w:rPr>
        <w:tab/>
      </w:r>
      <w:r>
        <w:rPr>
          <w:rFonts w:hint="eastAsia" w:ascii="宋体" w:hAnsi="宋体" w:cs="宋体"/>
          <w:color w:val="000000"/>
          <w:szCs w:val="21"/>
          <w:highlight w:val="none"/>
        </w:rPr>
        <w:t>投标人应在投标分项报价表上标明投标货物及相关服务的单价（如适用）和总价，并由法定代表人或其授权代表签署。</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11.3</w:t>
      </w:r>
      <w:r>
        <w:rPr>
          <w:rFonts w:hint="eastAsia" w:ascii="宋体" w:hAnsi="宋体" w:cs="宋体"/>
          <w:color w:val="000000"/>
          <w:szCs w:val="21"/>
          <w:highlight w:val="none"/>
        </w:rPr>
        <w:tab/>
      </w:r>
      <w:r>
        <w:rPr>
          <w:rFonts w:hint="eastAsia" w:ascii="宋体" w:hAnsi="宋体" w:cs="宋体"/>
          <w:color w:val="000000"/>
          <w:szCs w:val="21"/>
          <w:highlight w:val="none"/>
        </w:rPr>
        <w:t>投标分项报价表上的价格应按下列方式填写：</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11.3.2  货物运至最终目的地的运输费和保险费用。</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11.4</w:t>
      </w:r>
      <w:r>
        <w:rPr>
          <w:rFonts w:hint="eastAsia" w:ascii="宋体" w:hAnsi="宋体" w:cs="宋体"/>
          <w:color w:val="000000"/>
          <w:szCs w:val="21"/>
          <w:highlight w:val="none"/>
        </w:rPr>
        <w:tab/>
      </w:r>
      <w:r>
        <w:rPr>
          <w:rFonts w:hint="eastAsia" w:ascii="宋体" w:hAnsi="宋体" w:cs="宋体"/>
          <w:color w:val="000000"/>
          <w:szCs w:val="21"/>
          <w:highlight w:val="none"/>
        </w:rPr>
        <w:t>投标人所报的各分项投标单价在合同履行过程中是固定不变的，不得以任何理由予以变更。任何包含价格调整要求的投标，其投标将被认定为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11.5</w:t>
      </w:r>
      <w:r>
        <w:rPr>
          <w:rFonts w:hint="eastAsia" w:ascii="宋体" w:hAnsi="宋体" w:cs="宋体"/>
          <w:color w:val="000000"/>
          <w:szCs w:val="21"/>
          <w:highlight w:val="none"/>
        </w:rPr>
        <w:tab/>
      </w:r>
      <w:r>
        <w:rPr>
          <w:rFonts w:hint="eastAsia" w:ascii="宋体" w:hAnsi="宋体" w:cs="宋体"/>
          <w:color w:val="000000"/>
          <w:szCs w:val="21"/>
          <w:highlight w:val="none"/>
        </w:rPr>
        <w:t>每种货物只能有一个投标报价。采购人不接受具有附加条件的报价。</w:t>
      </w:r>
    </w:p>
    <w:p>
      <w:pPr>
        <w:pStyle w:val="6"/>
        <w:keepNext w:val="0"/>
        <w:keepLines w:val="0"/>
        <w:pageBreakBefore w:val="0"/>
        <w:widowControl w:val="0"/>
        <w:kinsoku w:val="0"/>
        <w:wordWrap/>
        <w:overflowPunct w:val="0"/>
        <w:topLinePunct w:val="0"/>
        <w:bidi w:val="0"/>
        <w:adjustRightInd w:val="0"/>
        <w:snapToGrid w:val="0"/>
        <w:spacing w:before="0" w:after="0" w:line="380" w:lineRule="exact"/>
        <w:textAlignment w:val="auto"/>
        <w:rPr>
          <w:rFonts w:hint="eastAsia" w:hAnsi="宋体" w:cs="宋体"/>
          <w:color w:val="000000"/>
          <w:sz w:val="21"/>
          <w:szCs w:val="21"/>
          <w:highlight w:val="none"/>
          <w:u w:val="none"/>
        </w:rPr>
      </w:pPr>
      <w:bookmarkStart w:id="123" w:name="_Ref467306513"/>
      <w:bookmarkStart w:id="124" w:name="_Toc17788"/>
      <w:bookmarkStart w:id="125" w:name="_Toc22212"/>
      <w:bookmarkStart w:id="126" w:name="_Toc515647771"/>
      <w:bookmarkStart w:id="127" w:name="_Toc11514"/>
      <w:bookmarkStart w:id="128" w:name="_Toc520356156"/>
      <w:r>
        <w:rPr>
          <w:rFonts w:hint="eastAsia" w:hAnsi="宋体" w:cs="宋体"/>
          <w:color w:val="000000"/>
          <w:sz w:val="21"/>
          <w:szCs w:val="21"/>
          <w:highlight w:val="none"/>
          <w:u w:val="none"/>
        </w:rPr>
        <w:t>12.投标保证金</w:t>
      </w:r>
      <w:bookmarkEnd w:id="123"/>
      <w:bookmarkEnd w:id="124"/>
      <w:bookmarkEnd w:id="125"/>
      <w:bookmarkEnd w:id="126"/>
      <w:bookmarkEnd w:id="127"/>
      <w:bookmarkEnd w:id="128"/>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bookmarkStart w:id="129" w:name="_Ref467306302"/>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12.1</w:t>
      </w:r>
      <w:r>
        <w:rPr>
          <w:rFonts w:hint="eastAsia" w:ascii="宋体" w:hAnsi="宋体" w:cs="宋体"/>
          <w:color w:val="000000"/>
          <w:szCs w:val="21"/>
          <w:highlight w:val="none"/>
        </w:rPr>
        <w:tab/>
      </w:r>
      <w:r>
        <w:rPr>
          <w:rFonts w:hint="eastAsia" w:ascii="宋体" w:hAnsi="宋体" w:cs="宋体"/>
          <w:color w:val="000000"/>
          <w:szCs w:val="21"/>
          <w:highlight w:val="none"/>
        </w:rPr>
        <w:t>投标人应提交</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中规定的投标保证金</w:t>
      </w:r>
      <w:bookmarkEnd w:id="129"/>
      <w:r>
        <w:rPr>
          <w:rFonts w:hint="eastAsia" w:ascii="宋体" w:hAnsi="宋体" w:cs="宋体"/>
          <w:color w:val="000000"/>
          <w:szCs w:val="21"/>
          <w:highlight w:val="none"/>
        </w:rPr>
        <w:t>，并作为其投标的一部分。</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b/>
          <w:bCs/>
          <w:color w:val="000000"/>
          <w:szCs w:val="21"/>
          <w:highlight w:val="none"/>
        </w:rPr>
      </w:pPr>
      <w:r>
        <w:rPr>
          <w:rFonts w:hint="eastAsia" w:ascii="宋体" w:hAnsi="宋体" w:cs="宋体"/>
          <w:color w:val="000000"/>
          <w:szCs w:val="21"/>
          <w:highlight w:val="none"/>
        </w:rPr>
        <w:t>12.2</w:t>
      </w:r>
      <w:r>
        <w:rPr>
          <w:rFonts w:hint="eastAsia" w:ascii="宋体" w:hAnsi="宋体" w:cs="宋体"/>
          <w:color w:val="000000"/>
          <w:szCs w:val="21"/>
          <w:highlight w:val="none"/>
        </w:rPr>
        <w:tab/>
      </w:r>
      <w:r>
        <w:rPr>
          <w:rFonts w:hint="eastAsia" w:ascii="宋体" w:hAnsi="宋体" w:cs="宋体"/>
          <w:b/>
          <w:bCs/>
          <w:color w:val="000000"/>
          <w:szCs w:val="21"/>
          <w:highlight w:val="none"/>
        </w:rPr>
        <w:t>投标人存在下列情形的，投标保证金不予退还：</w:t>
      </w:r>
    </w:p>
    <w:p>
      <w:pPr>
        <w:pStyle w:val="9"/>
        <w:keepNext w:val="0"/>
        <w:keepLines w:val="0"/>
        <w:pageBreakBefore w:val="0"/>
        <w:widowControl w:val="0"/>
        <w:tabs>
          <w:tab w:val="left" w:pos="2240"/>
        </w:tabs>
        <w:kinsoku w:val="0"/>
        <w:wordWrap/>
        <w:overflowPunct w:val="0"/>
        <w:topLinePunct w:val="0"/>
        <w:bidi w:val="0"/>
        <w:adjustRightInd w:val="0"/>
        <w:snapToGrid w:val="0"/>
        <w:spacing w:line="380" w:lineRule="exact"/>
        <w:ind w:left="1043" w:leftChars="371" w:hanging="264" w:hangingChars="125"/>
        <w:textAlignment w:val="auto"/>
        <w:rPr>
          <w:rFonts w:hint="eastAsia" w:hAnsi="宋体" w:cs="宋体"/>
          <w:b/>
          <w:bCs/>
          <w:color w:val="000000"/>
          <w:szCs w:val="21"/>
          <w:highlight w:val="none"/>
        </w:rPr>
      </w:pPr>
      <w:r>
        <w:rPr>
          <w:rFonts w:hint="eastAsia" w:hAnsi="宋体" w:cs="宋体"/>
          <w:b/>
          <w:bCs/>
          <w:color w:val="000000"/>
          <w:szCs w:val="21"/>
          <w:highlight w:val="none"/>
        </w:rPr>
        <w:t>（1）在投标有效期内，撤销投标的；</w:t>
      </w:r>
    </w:p>
    <w:p>
      <w:pPr>
        <w:pStyle w:val="9"/>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（2）中标后不按本须知第30条的规定与采购人签订合同的；</w:t>
      </w:r>
    </w:p>
    <w:p>
      <w:pPr>
        <w:pStyle w:val="9"/>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（3）中标后不按本须知第31条的规定提交履约保证金的；</w:t>
      </w:r>
    </w:p>
    <w:p>
      <w:pPr>
        <w:pStyle w:val="9"/>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（4）中标后不按本须知第32条的规定缴纳中标服务费的；</w:t>
      </w:r>
    </w:p>
    <w:p>
      <w:pPr>
        <w:pStyle w:val="9"/>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（5）存在其他违法违规行为的。</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bookmarkStart w:id="130" w:name="_Ref467306336"/>
      <w:r>
        <w:rPr>
          <w:rFonts w:hint="eastAsia" w:ascii="宋体" w:hAnsi="宋体" w:cs="宋体"/>
          <w:color w:val="000000"/>
          <w:szCs w:val="21"/>
          <w:highlight w:val="none"/>
        </w:rPr>
        <w:t>12.3</w:t>
      </w:r>
      <w:r>
        <w:rPr>
          <w:rFonts w:hint="eastAsia" w:ascii="宋体" w:hAnsi="宋体" w:cs="宋体"/>
          <w:color w:val="000000"/>
          <w:szCs w:val="21"/>
          <w:highlight w:val="none"/>
        </w:rPr>
        <w:tab/>
      </w:r>
      <w:bookmarkEnd w:id="130"/>
      <w:r>
        <w:rPr>
          <w:rFonts w:hint="eastAsia" w:ascii="宋体" w:hAnsi="宋体" w:cs="宋体"/>
          <w:color w:val="000000"/>
          <w:szCs w:val="21"/>
          <w:highlight w:val="none"/>
        </w:rPr>
        <w:t>政府采购信用担保试点范围内的项目，接受符合财政部门规定的政府采购投标担保函原件。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12.4</w:t>
      </w:r>
      <w:r>
        <w:rPr>
          <w:rFonts w:hint="eastAsia" w:ascii="宋体" w:hAnsi="宋体" w:cs="宋体"/>
          <w:color w:val="000000"/>
          <w:szCs w:val="21"/>
          <w:highlight w:val="none"/>
        </w:rPr>
        <w:tab/>
      </w:r>
      <w:r>
        <w:rPr>
          <w:rFonts w:hint="eastAsia" w:ascii="宋体" w:hAnsi="宋体" w:cs="宋体"/>
          <w:color w:val="000000"/>
          <w:szCs w:val="21"/>
          <w:highlight w:val="none"/>
        </w:rPr>
        <w:t>投标人未按本须知第12.1和12.3条规定提交投标保证金的，其投标将被认定为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12.4.1  采用电汇形式的，一般可以实时入账。</w:t>
      </w:r>
    </w:p>
    <w:p>
      <w:pPr>
        <w:kinsoku w:val="0"/>
        <w:overflowPunct w:val="0"/>
        <w:adjustRightInd w:val="0"/>
        <w:snapToGrid w:val="0"/>
        <w:spacing w:line="360" w:lineRule="exact"/>
        <w:ind w:left="840" w:hanging="840" w:hangingChars="400"/>
        <w:jc w:val="left"/>
        <w:rPr>
          <w:rFonts w:hint="eastAsia" w:ascii="宋体" w:hAnsi="宋体" w:cs="宋体"/>
          <w:color w:val="000000"/>
          <w:szCs w:val="21"/>
          <w:highlight w:val="none"/>
        </w:rPr>
      </w:pPr>
      <w:r>
        <w:rPr>
          <w:rFonts w:hint="eastAsia" w:ascii="宋体" w:hAnsi="宋体" w:cs="宋体"/>
          <w:color w:val="000000"/>
          <w:szCs w:val="21"/>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kinsoku w:val="0"/>
        <w:overflowPunct w:val="0"/>
        <w:adjustRightInd w:val="0"/>
        <w:snapToGrid w:val="0"/>
        <w:spacing w:line="360" w:lineRule="exact"/>
        <w:ind w:left="788" w:hanging="787" w:hangingChars="375"/>
        <w:rPr>
          <w:rFonts w:hint="eastAsia" w:ascii="宋体" w:hAnsi="宋体" w:cs="宋体"/>
          <w:szCs w:val="21"/>
          <w:highlight w:val="none"/>
        </w:rPr>
      </w:pPr>
      <w:r>
        <w:rPr>
          <w:rFonts w:hint="eastAsia" w:ascii="宋体" w:hAnsi="宋体" w:cs="宋体"/>
          <w:color w:val="000000"/>
          <w:szCs w:val="21"/>
          <w:highlight w:val="none"/>
        </w:rPr>
        <w:t xml:space="preserve">12.5 </w:t>
      </w:r>
      <w:r>
        <w:rPr>
          <w:rFonts w:hint="eastAsia" w:ascii="宋体" w:hAnsi="宋体" w:cs="宋体"/>
          <w:szCs w:val="21"/>
          <w:highlight w:val="none"/>
        </w:rPr>
        <w:t xml:space="preserve">  联合体投标的，可以由联合体中的一方或者共同提交投标保证金。以一方名义提交投标保证金的，对联合体各方均具有约束力。</w:t>
      </w:r>
    </w:p>
    <w:p>
      <w:pPr>
        <w:kinsoku w:val="0"/>
        <w:overflowPunct w:val="0"/>
        <w:adjustRightInd w:val="0"/>
        <w:snapToGrid w:val="0"/>
        <w:spacing w:line="360" w:lineRule="exact"/>
        <w:ind w:left="791" w:hanging="791" w:hangingChars="375"/>
        <w:rPr>
          <w:rFonts w:hint="eastAsia" w:ascii="宋体" w:hAnsi="宋体" w:cs="宋体"/>
          <w:b/>
          <w:bCs/>
          <w:szCs w:val="21"/>
          <w:highlight w:val="none"/>
        </w:rPr>
      </w:pPr>
      <w:r>
        <w:rPr>
          <w:rFonts w:hint="eastAsia" w:ascii="宋体" w:hAnsi="宋体" w:cs="宋体"/>
          <w:b/>
          <w:bCs/>
          <w:szCs w:val="21"/>
          <w:highlight w:val="none"/>
        </w:rPr>
        <w:t>12.6</w:t>
      </w:r>
      <w:r>
        <w:rPr>
          <w:rFonts w:hint="eastAsia" w:ascii="宋体" w:hAnsi="宋体" w:cs="宋体"/>
          <w:b/>
          <w:bCs/>
          <w:szCs w:val="21"/>
          <w:highlight w:val="none"/>
        </w:rPr>
        <w:tab/>
      </w:r>
      <w:r>
        <w:rPr>
          <w:rFonts w:hint="eastAsia" w:ascii="宋体" w:hAnsi="宋体" w:cs="宋体"/>
          <w:b/>
          <w:bCs/>
          <w:szCs w:val="21"/>
          <w:highlight w:val="none"/>
        </w:rPr>
        <w:t>投标保证金的退还</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12.6.1  中标人应在与采购人签订合同之日起5个工作日内，及时联系保证金收受机构办理投标保证金无息退还手续。</w:t>
      </w:r>
    </w:p>
    <w:p>
      <w:pPr>
        <w:kinsoku w:val="0"/>
        <w:overflowPunct w:val="0"/>
        <w:adjustRightInd w:val="0"/>
        <w:snapToGrid w:val="0"/>
        <w:spacing w:line="360" w:lineRule="exact"/>
        <w:ind w:left="840" w:hanging="840" w:hangingChars="400"/>
        <w:rPr>
          <w:rFonts w:hint="eastAsia" w:ascii="宋体" w:hAnsi="宋体" w:cs="宋体"/>
          <w:color w:val="000000"/>
          <w:szCs w:val="21"/>
          <w:highlight w:val="none"/>
        </w:rPr>
      </w:pPr>
      <w:r>
        <w:rPr>
          <w:rFonts w:hint="eastAsia" w:ascii="宋体" w:hAnsi="宋体" w:cs="宋体"/>
          <w:color w:val="000000"/>
          <w:szCs w:val="21"/>
          <w:highlight w:val="none"/>
        </w:rPr>
        <w:t>12.6.2  未中标投标人的投标保证金将在中标通知书发出之日暨中标结果公告公布之日起5个工作日内无息退还，投标人应及时联系保证金收受机构办理退还投标保证金手续。</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12.6.3  </w:t>
      </w:r>
      <w:r>
        <w:rPr>
          <w:rFonts w:hint="eastAsia" w:ascii="宋体" w:hAnsi="宋体" w:cs="宋体"/>
          <w:szCs w:val="21"/>
          <w:highlight w:val="none"/>
        </w:rPr>
        <w:t>政府采购投标担保函不予退回。</w:t>
      </w:r>
    </w:p>
    <w:p>
      <w:pPr>
        <w:kinsoku w:val="0"/>
        <w:overflowPunct w:val="0"/>
        <w:adjustRightInd w:val="0"/>
        <w:snapToGrid w:val="0"/>
        <w:spacing w:line="360" w:lineRule="exact"/>
        <w:ind w:left="840" w:hanging="840" w:hangingChars="400"/>
        <w:rPr>
          <w:rFonts w:hint="eastAsia" w:ascii="宋体" w:hAnsi="宋体" w:cs="宋体"/>
          <w:color w:val="000000"/>
          <w:szCs w:val="21"/>
          <w:highlight w:val="none"/>
        </w:rPr>
      </w:pPr>
      <w:r>
        <w:rPr>
          <w:rFonts w:hint="eastAsia" w:ascii="宋体" w:hAnsi="宋体" w:cs="宋体"/>
          <w:color w:val="000000"/>
          <w:szCs w:val="21"/>
          <w:highlight w:val="none"/>
        </w:rPr>
        <w:t>12.7    因投标人自身原因导致无法及时退还的，采购人或采购代理机构将不承担相应责任。</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31" w:name="_Toc32569"/>
      <w:bookmarkStart w:id="132" w:name="_Toc23590"/>
      <w:bookmarkStart w:id="133" w:name="_Toc520356157"/>
      <w:bookmarkStart w:id="134" w:name="_Toc515647772"/>
      <w:bookmarkStart w:id="135" w:name="_Toc22901"/>
      <w:r>
        <w:rPr>
          <w:rFonts w:hint="eastAsia" w:hAnsi="宋体" w:cs="宋体"/>
          <w:color w:val="000000"/>
          <w:sz w:val="21"/>
          <w:szCs w:val="21"/>
          <w:highlight w:val="none"/>
          <w:u w:val="none"/>
        </w:rPr>
        <w:t>13.投标有效期</w:t>
      </w:r>
      <w:bookmarkEnd w:id="131"/>
      <w:bookmarkEnd w:id="132"/>
      <w:bookmarkEnd w:id="133"/>
      <w:bookmarkEnd w:id="134"/>
      <w:bookmarkEnd w:id="135"/>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13.1</w:t>
      </w:r>
      <w:r>
        <w:rPr>
          <w:rFonts w:hint="eastAsia" w:ascii="宋体" w:hAnsi="宋体" w:cs="宋体"/>
          <w:color w:val="000000"/>
          <w:szCs w:val="21"/>
          <w:highlight w:val="none"/>
        </w:rPr>
        <w:tab/>
      </w:r>
      <w:r>
        <w:rPr>
          <w:rFonts w:hint="eastAsia" w:ascii="宋体" w:hAnsi="宋体" w:cs="宋体"/>
          <w:color w:val="000000"/>
          <w:szCs w:val="21"/>
          <w:highlight w:val="none"/>
        </w:rPr>
        <w:t>投标应在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中规定时间内保持有效。投标有效期不满足要求的投标，其投标将被认定为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13.2</w:t>
      </w:r>
      <w:r>
        <w:rPr>
          <w:rFonts w:hint="eastAsia" w:ascii="宋体" w:hAnsi="宋体" w:cs="宋体"/>
          <w:color w:val="000000"/>
          <w:szCs w:val="21"/>
          <w:highlight w:val="none"/>
        </w:rPr>
        <w:tab/>
      </w:r>
      <w:r>
        <w:rPr>
          <w:rFonts w:hint="eastAsia" w:ascii="宋体" w:hAnsi="宋体" w:cs="宋体"/>
          <w:color w:val="000000"/>
          <w:szCs w:val="21"/>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36" w:name="_Toc520356158"/>
      <w:bookmarkStart w:id="137" w:name="_Toc493"/>
      <w:bookmarkStart w:id="138" w:name="_Toc17074"/>
      <w:bookmarkStart w:id="139" w:name="_Toc17609"/>
      <w:bookmarkStart w:id="140" w:name="_Toc515647773"/>
      <w:r>
        <w:rPr>
          <w:rFonts w:hint="eastAsia" w:hAnsi="宋体" w:cs="宋体"/>
          <w:color w:val="000000"/>
          <w:sz w:val="21"/>
          <w:szCs w:val="21"/>
          <w:highlight w:val="none"/>
          <w:u w:val="none"/>
        </w:rPr>
        <w:t>14.投标文件的签署</w:t>
      </w:r>
      <w:bookmarkEnd w:id="136"/>
      <w:r>
        <w:rPr>
          <w:rFonts w:hint="eastAsia" w:hAnsi="宋体" w:cs="宋体"/>
          <w:color w:val="000000"/>
          <w:sz w:val="21"/>
          <w:szCs w:val="21"/>
          <w:highlight w:val="none"/>
          <w:u w:val="none"/>
        </w:rPr>
        <w:t>及规定</w:t>
      </w:r>
      <w:bookmarkEnd w:id="137"/>
      <w:bookmarkEnd w:id="138"/>
      <w:bookmarkEnd w:id="139"/>
      <w:bookmarkEnd w:id="140"/>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14.1</w:t>
      </w:r>
      <w:r>
        <w:rPr>
          <w:rFonts w:hint="eastAsia" w:ascii="宋体" w:hAnsi="宋体" w:cs="宋体"/>
          <w:color w:val="000000"/>
          <w:szCs w:val="21"/>
          <w:highlight w:val="none"/>
        </w:rPr>
        <w:tab/>
      </w:r>
      <w:r>
        <w:rPr>
          <w:rFonts w:hint="eastAsia" w:ascii="宋体" w:hAnsi="宋体" w:cs="宋体"/>
          <w:color w:val="000000"/>
          <w:szCs w:val="21"/>
          <w:highlight w:val="none"/>
        </w:rPr>
        <w:t>投标人应按</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中的规定，准备和递交投标文件资格证明文件、商务和技术文件正本、副本和电子文档，每份资格证明文件、商务和技术文件封皮须清楚地标明“正本”或“副本”。若正本和副本不符，以正本为准。</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u w:val="single"/>
        </w:rPr>
      </w:pPr>
      <w:r>
        <w:rPr>
          <w:rFonts w:hint="eastAsia" w:ascii="宋体" w:hAnsi="宋体" w:cs="宋体"/>
          <w:color w:val="000000"/>
          <w:szCs w:val="21"/>
          <w:highlight w:val="none"/>
        </w:rPr>
        <w:t>14.2</w:t>
      </w:r>
      <w:r>
        <w:rPr>
          <w:rFonts w:hint="eastAsia" w:ascii="宋体" w:hAnsi="宋体" w:cs="宋体"/>
          <w:color w:val="000000"/>
          <w:szCs w:val="21"/>
          <w:highlight w:val="none"/>
        </w:rPr>
        <w:tab/>
      </w:r>
      <w:r>
        <w:rPr>
          <w:rFonts w:hint="eastAsia" w:ascii="宋体" w:hAnsi="宋体" w:cs="宋体"/>
          <w:b/>
          <w:bCs/>
          <w:color w:val="000000"/>
          <w:szCs w:val="21"/>
          <w:highlight w:val="none"/>
        </w:rPr>
        <w:t>投标文件的正本需打印或用不褪色墨水书写，</w:t>
      </w:r>
      <w:r>
        <w:rPr>
          <w:rFonts w:hint="eastAsia" w:ascii="宋体" w:hAnsi="宋体" w:cs="宋体"/>
          <w:b/>
          <w:bCs/>
          <w:color w:val="000000"/>
          <w:szCs w:val="21"/>
          <w:highlight w:val="none"/>
          <w:u w:val="single"/>
        </w:rPr>
        <w:t>投标人应完整地按招标文件提供的投标文件格式及要求</w:t>
      </w:r>
      <w:r>
        <w:rPr>
          <w:rFonts w:hint="eastAsia" w:ascii="宋体" w:hAnsi="宋体" w:cs="宋体"/>
          <w:b/>
          <w:bCs/>
          <w:color w:val="000000"/>
          <w:szCs w:val="21"/>
          <w:highlight w:val="none"/>
          <w:u w:val="single"/>
          <w:lang w:eastAsia="zh-CN"/>
        </w:rPr>
        <w:t>编</w:t>
      </w:r>
      <w:r>
        <w:rPr>
          <w:rFonts w:hint="eastAsia" w:ascii="宋体" w:hAnsi="宋体" w:cs="宋体"/>
          <w:b/>
          <w:bCs/>
          <w:color w:val="000000"/>
          <w:szCs w:val="21"/>
          <w:highlight w:val="none"/>
          <w:u w:val="single"/>
        </w:rPr>
        <w:t>写投标文件，</w:t>
      </w:r>
      <w:r>
        <w:rPr>
          <w:rFonts w:hint="eastAsia" w:ascii="宋体" w:hAnsi="宋体" w:cs="宋体"/>
          <w:b/>
          <w:bCs/>
          <w:color w:val="000000"/>
          <w:szCs w:val="21"/>
          <w:highlight w:val="none"/>
          <w:u w:val="single"/>
          <w:lang w:eastAsia="zh-CN"/>
        </w:rPr>
        <w:t>投标文件正本均逐页加盖公章，投标文件副本可采用正本复印件，</w:t>
      </w:r>
      <w:r>
        <w:rPr>
          <w:rFonts w:hint="eastAsia" w:ascii="宋体" w:hAnsi="宋体" w:cs="宋体"/>
          <w:b/>
          <w:bCs/>
          <w:color w:val="000000"/>
          <w:szCs w:val="21"/>
          <w:highlight w:val="none"/>
          <w:u w:val="single"/>
        </w:rPr>
        <w:t>投标文件应包括“开标一览表及资格证明文件”和“商务及技术文件”两部分。两部分单独装订成册，分别密封递交。投标人应承担封装失误产生的任何后果</w:t>
      </w:r>
      <w:r>
        <w:rPr>
          <w:rFonts w:hint="eastAsia" w:ascii="宋体" w:hAnsi="宋体" w:cs="宋体"/>
          <w:b/>
          <w:bCs/>
          <w:color w:val="000000"/>
          <w:szCs w:val="21"/>
          <w:highlight w:val="none"/>
        </w:rPr>
        <w:t>。</w:t>
      </w:r>
      <w:r>
        <w:rPr>
          <w:rFonts w:hint="eastAsia" w:ascii="宋体" w:hAnsi="宋体" w:cs="宋体"/>
          <w:b/>
          <w:bCs/>
          <w:color w:val="000000"/>
          <w:szCs w:val="21"/>
          <w:highlight w:val="none"/>
          <w:u w:val="single"/>
        </w:rPr>
        <w:t>投标人的法定代表人或</w:t>
      </w:r>
      <w:r>
        <w:rPr>
          <w:rFonts w:hint="eastAsia" w:ascii="宋体" w:hAnsi="宋体" w:cs="宋体"/>
          <w:b/>
          <w:bCs/>
          <w:color w:val="000000"/>
          <w:szCs w:val="21"/>
          <w:highlight w:val="none"/>
          <w:u w:val="single"/>
          <w:lang w:val="en-US" w:eastAsia="zh-CN"/>
        </w:rPr>
        <w:t>授权</w:t>
      </w:r>
      <w:r>
        <w:rPr>
          <w:rFonts w:hint="eastAsia" w:ascii="宋体" w:hAnsi="宋体" w:cs="宋体"/>
          <w:b/>
          <w:bCs/>
          <w:color w:val="000000"/>
          <w:szCs w:val="21"/>
          <w:highlight w:val="none"/>
          <w:u w:val="single"/>
        </w:rPr>
        <w:t>委托代理人按招标文件规定</w:t>
      </w:r>
      <w:r>
        <w:rPr>
          <w:rFonts w:hint="eastAsia" w:ascii="宋体" w:hAnsi="宋体" w:cs="宋体"/>
          <w:b/>
          <w:bCs/>
          <w:color w:val="000000"/>
          <w:szCs w:val="21"/>
          <w:highlight w:val="none"/>
          <w:u w:val="single"/>
          <w:lang w:val="en-US" w:eastAsia="zh-CN"/>
        </w:rPr>
        <w:t>的格式要求</w:t>
      </w:r>
      <w:r>
        <w:rPr>
          <w:rFonts w:hint="eastAsia" w:ascii="宋体" w:hAnsi="宋体" w:cs="宋体"/>
          <w:b/>
          <w:bCs/>
          <w:color w:val="000000"/>
          <w:szCs w:val="21"/>
          <w:highlight w:val="none"/>
          <w:u w:val="single"/>
          <w:lang w:eastAsia="zh-CN"/>
        </w:rPr>
        <w:t>在</w:t>
      </w:r>
      <w:r>
        <w:rPr>
          <w:rFonts w:hint="eastAsia" w:ascii="宋体" w:hAnsi="宋体" w:cs="宋体"/>
          <w:b/>
          <w:bCs/>
          <w:color w:val="000000"/>
          <w:szCs w:val="21"/>
          <w:highlight w:val="none"/>
          <w:u w:val="single"/>
          <w:lang w:val="en-US" w:eastAsia="zh-CN"/>
        </w:rPr>
        <w:t>需要签字或盖法人章的地方，必须在</w:t>
      </w:r>
      <w:r>
        <w:rPr>
          <w:rFonts w:hint="eastAsia" w:ascii="宋体" w:hAnsi="宋体" w:cs="宋体"/>
          <w:b/>
          <w:bCs/>
          <w:color w:val="000000"/>
          <w:szCs w:val="21"/>
          <w:highlight w:val="none"/>
          <w:u w:val="single"/>
        </w:rPr>
        <w:t>投标文件上签字</w:t>
      </w:r>
      <w:r>
        <w:rPr>
          <w:rFonts w:hint="eastAsia" w:ascii="宋体" w:hAnsi="宋体" w:cs="宋体"/>
          <w:b/>
          <w:bCs/>
          <w:color w:val="000000"/>
          <w:szCs w:val="21"/>
          <w:highlight w:val="none"/>
          <w:u w:val="single"/>
          <w:lang w:val="en-US" w:eastAsia="zh-CN"/>
        </w:rPr>
        <w:t>或</w:t>
      </w:r>
      <w:r>
        <w:rPr>
          <w:rFonts w:hint="eastAsia" w:ascii="宋体" w:hAnsi="宋体" w:cs="宋体"/>
          <w:b/>
          <w:bCs/>
          <w:color w:val="000000"/>
          <w:szCs w:val="21"/>
          <w:highlight w:val="none"/>
          <w:u w:val="single"/>
        </w:rPr>
        <w:t>加盖</w:t>
      </w:r>
      <w:r>
        <w:rPr>
          <w:rFonts w:hint="eastAsia" w:ascii="宋体" w:hAnsi="宋体" w:cs="宋体"/>
          <w:b/>
          <w:bCs/>
          <w:color w:val="000000"/>
          <w:szCs w:val="21"/>
          <w:highlight w:val="none"/>
          <w:u w:val="single"/>
          <w:lang w:val="en-US" w:eastAsia="zh-CN"/>
        </w:rPr>
        <w:t>法人</w:t>
      </w:r>
      <w:r>
        <w:rPr>
          <w:rFonts w:hint="eastAsia" w:ascii="宋体" w:hAnsi="宋体" w:cs="宋体"/>
          <w:b/>
          <w:bCs/>
          <w:color w:val="000000"/>
          <w:szCs w:val="21"/>
          <w:highlight w:val="none"/>
          <w:u w:val="single"/>
        </w:rPr>
        <w:t>印章。委托代理人须持有书面的“法定代表人授权委托书”（投标文件格式二），并将其附在投标文件中。如对投标文件进行了修改，则应由投标人的法定代表人或其委托代理人在每一修改处签字。</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14.3    所有投标文件采用不可拆装的胶订方式装订，否则其投标将被认定为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14.4</w:t>
      </w:r>
      <w:r>
        <w:rPr>
          <w:rFonts w:hint="eastAsia" w:ascii="宋体" w:hAnsi="宋体" w:cs="宋体"/>
          <w:color w:val="000000"/>
          <w:szCs w:val="21"/>
          <w:highlight w:val="none"/>
        </w:rPr>
        <w:tab/>
      </w:r>
      <w:r>
        <w:rPr>
          <w:rFonts w:hint="eastAsia" w:ascii="宋体" w:hAnsi="宋体" w:cs="宋体"/>
          <w:color w:val="000000"/>
          <w:szCs w:val="21"/>
          <w:highlight w:val="none"/>
        </w:rPr>
        <w:t>投标文件因字迹潦草、表达不清或装订不当所引起的后果由投标人负责。</w:t>
      </w: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141" w:name="_Toc16865"/>
      <w:bookmarkStart w:id="142" w:name="_Toc520356159"/>
      <w:bookmarkStart w:id="143" w:name="_Toc11179"/>
      <w:bookmarkStart w:id="144" w:name="_Toc25925"/>
      <w:bookmarkStart w:id="145" w:name="_Toc216582808"/>
      <w:bookmarkStart w:id="146" w:name="_Toc515647774"/>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   投标文件的递交</w:t>
      </w:r>
      <w:bookmarkEnd w:id="141"/>
      <w:bookmarkEnd w:id="142"/>
      <w:bookmarkEnd w:id="143"/>
      <w:bookmarkEnd w:id="144"/>
      <w:bookmarkEnd w:id="145"/>
      <w:bookmarkEnd w:id="146"/>
    </w:p>
    <w:p>
      <w:pPr>
        <w:pStyle w:val="5"/>
        <w:kinsoku w:val="0"/>
        <w:overflowPunct w:val="0"/>
        <w:snapToGrid w:val="0"/>
        <w:spacing w:line="360" w:lineRule="exact"/>
        <w:rPr>
          <w:rFonts w:hint="eastAsia" w:hAnsi="宋体" w:cs="宋体"/>
          <w:color w:val="000000"/>
          <w:sz w:val="21"/>
          <w:szCs w:val="21"/>
          <w:highlight w:val="none"/>
        </w:rPr>
      </w:pP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47" w:name="_Toc21645"/>
      <w:bookmarkStart w:id="148" w:name="_Toc520356160"/>
      <w:bookmarkStart w:id="149" w:name="_Toc26195"/>
      <w:bookmarkStart w:id="150" w:name="_Toc32337"/>
      <w:bookmarkStart w:id="151" w:name="_Toc515647775"/>
      <w:r>
        <w:rPr>
          <w:rFonts w:hint="eastAsia" w:hAnsi="宋体" w:cs="宋体"/>
          <w:color w:val="000000"/>
          <w:sz w:val="21"/>
          <w:szCs w:val="21"/>
          <w:highlight w:val="none"/>
          <w:u w:val="none"/>
        </w:rPr>
        <w:t>15.投标文件的密封和标记</w:t>
      </w:r>
      <w:bookmarkEnd w:id="147"/>
      <w:bookmarkEnd w:id="148"/>
      <w:bookmarkEnd w:id="149"/>
      <w:bookmarkEnd w:id="150"/>
      <w:bookmarkEnd w:id="151"/>
      <w:r>
        <w:rPr>
          <w:rFonts w:hint="eastAsia" w:hAnsi="宋体" w:cs="宋体"/>
          <w:color w:val="000000"/>
          <w:sz w:val="21"/>
          <w:szCs w:val="21"/>
          <w:highlight w:val="none"/>
          <w:u w:val="none"/>
        </w:rPr>
        <w:t>及签字盖章要求</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rPr>
      </w:pPr>
      <w:r>
        <w:rPr>
          <w:rFonts w:hint="eastAsia" w:ascii="宋体" w:hAnsi="宋体" w:cs="宋体"/>
          <w:color w:val="000000"/>
          <w:szCs w:val="21"/>
          <w:highlight w:val="none"/>
        </w:rPr>
        <w:t xml:space="preserve">15.1   </w:t>
      </w:r>
      <w:r>
        <w:rPr>
          <w:rFonts w:hint="eastAsia" w:ascii="宋体" w:hAnsi="宋体" w:cs="宋体"/>
          <w:b/>
          <w:bCs/>
          <w:color w:val="000000"/>
          <w:szCs w:val="21"/>
          <w:highlight w:val="none"/>
        </w:rPr>
        <w:t>为方便开标及进行资格审查，投标人应将投标文件第一部分和第二部分的内容单独胶装成册，单独密封提交，分别按招标文件划分的包段递交投标文件。</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rPr>
      </w:pPr>
      <w:r>
        <w:rPr>
          <w:rFonts w:hint="eastAsia" w:ascii="宋体" w:hAnsi="宋体" w:cs="宋体"/>
          <w:color w:val="000000"/>
          <w:szCs w:val="21"/>
          <w:highlight w:val="none"/>
        </w:rPr>
        <w:t xml:space="preserve">15.2   </w:t>
      </w:r>
      <w:r>
        <w:rPr>
          <w:rFonts w:hint="eastAsia" w:ascii="宋体" w:hAnsi="宋体" w:cs="宋体"/>
          <w:b/>
          <w:bCs/>
          <w:color w:val="000000"/>
          <w:szCs w:val="21"/>
          <w:highlight w:val="none"/>
        </w:rPr>
        <w:t>所有包装封皮和信封上均应：</w:t>
      </w:r>
    </w:p>
    <w:p>
      <w:pPr>
        <w:kinsoku w:val="0"/>
        <w:overflowPunct w:val="0"/>
        <w:adjustRightInd w:val="0"/>
        <w:snapToGrid w:val="0"/>
        <w:spacing w:line="360" w:lineRule="exact"/>
        <w:ind w:left="630" w:leftChars="300" w:firstLine="0" w:firstLineChars="0"/>
        <w:rPr>
          <w:rFonts w:hint="eastAsia" w:ascii="宋体" w:hAnsi="宋体" w:cs="宋体"/>
          <w:b/>
          <w:bCs/>
          <w:color w:val="000000"/>
          <w:szCs w:val="21"/>
          <w:highlight w:val="none"/>
        </w:rPr>
      </w:pPr>
      <w:r>
        <w:rPr>
          <w:rFonts w:hint="eastAsia" w:ascii="宋体" w:hAnsi="宋体" w:cs="宋体"/>
          <w:b/>
          <w:bCs/>
          <w:color w:val="000000"/>
          <w:szCs w:val="21"/>
          <w:highlight w:val="none"/>
        </w:rPr>
        <w:t>（1）注明招标公告或投标邀请书中指明的项目名称</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包</w:t>
      </w:r>
      <w:r>
        <w:rPr>
          <w:rFonts w:hint="eastAsia" w:ascii="宋体" w:hAnsi="宋体" w:cs="宋体"/>
          <w:b/>
          <w:bCs/>
          <w:color w:val="000000"/>
          <w:szCs w:val="21"/>
          <w:highlight w:val="none"/>
        </w:rPr>
        <w:t>段号、招标编号、投标人名称和“在（开标时间）之前不得启封”的字样。</w:t>
      </w:r>
    </w:p>
    <w:p>
      <w:pPr>
        <w:kinsoku w:val="0"/>
        <w:overflowPunct w:val="0"/>
        <w:adjustRightInd w:val="0"/>
        <w:snapToGrid w:val="0"/>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15.3    如果投标人未按上述要求密封的，将被拒绝接收。</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rPr>
      </w:pPr>
      <w:r>
        <w:rPr>
          <w:rFonts w:hint="eastAsia" w:ascii="宋体" w:hAnsi="宋体" w:cs="宋体"/>
          <w:color w:val="000000"/>
          <w:szCs w:val="21"/>
          <w:highlight w:val="none"/>
        </w:rPr>
        <w:t xml:space="preserve">15.4   </w:t>
      </w:r>
      <w:r>
        <w:rPr>
          <w:rFonts w:hint="eastAsia" w:ascii="宋体" w:hAnsi="宋体" w:cs="宋体"/>
          <w:b/>
          <w:color w:val="000000"/>
          <w:szCs w:val="21"/>
          <w:highlight w:val="none"/>
        </w:rPr>
        <w:t xml:space="preserve"> </w:t>
      </w:r>
      <w:r>
        <w:rPr>
          <w:rFonts w:hint="eastAsia" w:ascii="宋体" w:hAnsi="宋体" w:cs="宋体"/>
          <w:b/>
          <w:bCs/>
          <w:color w:val="000000"/>
          <w:szCs w:val="21"/>
          <w:highlight w:val="none"/>
        </w:rPr>
        <w:t>资格证明文件密封装订在其他投标文件中，其投标将被认定为投标无效。</w:t>
      </w:r>
    </w:p>
    <w:p>
      <w:pPr>
        <w:pStyle w:val="6"/>
        <w:keepNext w:val="0"/>
        <w:keepLines w:val="0"/>
        <w:kinsoku w:val="0"/>
        <w:overflowPunct w:val="0"/>
        <w:snapToGrid w:val="0"/>
        <w:spacing w:before="0" w:after="0" w:line="360" w:lineRule="exact"/>
        <w:rPr>
          <w:rFonts w:hint="eastAsia" w:hAnsi="宋体" w:cs="宋体"/>
          <w:b/>
          <w:bCs w:val="0"/>
          <w:color w:val="000000"/>
          <w:kern w:val="2"/>
          <w:sz w:val="21"/>
          <w:szCs w:val="21"/>
          <w:highlight w:val="none"/>
        </w:rPr>
      </w:pPr>
      <w:r>
        <w:rPr>
          <w:rFonts w:hint="eastAsia" w:hAnsi="宋体" w:cs="宋体"/>
          <w:b w:val="0"/>
          <w:bCs/>
          <w:color w:val="000000"/>
          <w:kern w:val="2"/>
          <w:sz w:val="21"/>
          <w:szCs w:val="21"/>
          <w:highlight w:val="none"/>
          <w:u w:val="none"/>
        </w:rPr>
        <w:t xml:space="preserve">15.5   </w:t>
      </w:r>
      <w:r>
        <w:rPr>
          <w:rFonts w:hint="eastAsia" w:hAnsi="宋体" w:cs="宋体"/>
          <w:b/>
          <w:bCs w:val="0"/>
          <w:color w:val="000000"/>
          <w:kern w:val="2"/>
          <w:sz w:val="21"/>
          <w:szCs w:val="21"/>
          <w:highlight w:val="none"/>
          <w:u w:val="none"/>
        </w:rPr>
        <w:t xml:space="preserve"> </w:t>
      </w:r>
      <w:r>
        <w:rPr>
          <w:rFonts w:hint="eastAsia" w:hAnsi="宋体" w:cs="宋体"/>
          <w:b/>
          <w:bCs w:val="0"/>
          <w:color w:val="000000"/>
          <w:kern w:val="2"/>
          <w:sz w:val="21"/>
          <w:szCs w:val="21"/>
          <w:highlight w:val="none"/>
        </w:rPr>
        <w:t>投标文件正本（除封面、封底、目录）</w:t>
      </w:r>
      <w:bookmarkStart w:id="152" w:name="_Toc520356161"/>
      <w:bookmarkStart w:id="153" w:name="_Toc12751"/>
      <w:bookmarkStart w:id="154" w:name="_Toc24017"/>
      <w:bookmarkStart w:id="155" w:name="_Toc9840"/>
      <w:bookmarkStart w:id="156" w:name="_Toc515647776"/>
      <w:r>
        <w:rPr>
          <w:rFonts w:hint="eastAsia" w:hAnsi="宋体" w:cs="宋体"/>
          <w:b/>
          <w:bCs w:val="0"/>
          <w:color w:val="000000"/>
          <w:kern w:val="2"/>
          <w:sz w:val="21"/>
          <w:szCs w:val="21"/>
          <w:highlight w:val="none"/>
          <w:lang w:eastAsia="zh-CN"/>
        </w:rPr>
        <w:t>均逐页加盖公章，投标文件副本可采用正本复印件，</w:t>
      </w:r>
      <w:r>
        <w:rPr>
          <w:rFonts w:hint="eastAsia" w:hAnsi="宋体" w:cs="宋体"/>
          <w:b/>
          <w:bCs w:val="0"/>
          <w:color w:val="000000"/>
          <w:kern w:val="2"/>
          <w:sz w:val="21"/>
          <w:szCs w:val="21"/>
          <w:highlight w:val="none"/>
        </w:rPr>
        <w:t>投标文件应包括“开标一览表及资格证明文件”和“商务及技术文件”两部分。两部分单独装订成册，分别密封递交。投标人应承担封装失误产生的任何后果。投标人的法定代表人或</w:t>
      </w:r>
      <w:r>
        <w:rPr>
          <w:rFonts w:hint="eastAsia" w:hAnsi="宋体" w:cs="宋体"/>
          <w:b/>
          <w:bCs w:val="0"/>
          <w:color w:val="000000"/>
          <w:kern w:val="2"/>
          <w:sz w:val="21"/>
          <w:szCs w:val="21"/>
          <w:highlight w:val="none"/>
          <w:lang w:val="en-US" w:eastAsia="zh-CN"/>
        </w:rPr>
        <w:t>授权</w:t>
      </w:r>
      <w:r>
        <w:rPr>
          <w:rFonts w:hint="eastAsia" w:hAnsi="宋体" w:cs="宋体"/>
          <w:b/>
          <w:bCs w:val="0"/>
          <w:color w:val="000000"/>
          <w:kern w:val="2"/>
          <w:sz w:val="21"/>
          <w:szCs w:val="21"/>
          <w:highlight w:val="none"/>
        </w:rPr>
        <w:t>委托代理人按招标文件规定</w:t>
      </w:r>
      <w:r>
        <w:rPr>
          <w:rFonts w:hint="eastAsia" w:hAnsi="宋体" w:cs="宋体"/>
          <w:b/>
          <w:bCs w:val="0"/>
          <w:color w:val="000000"/>
          <w:kern w:val="2"/>
          <w:sz w:val="21"/>
          <w:szCs w:val="21"/>
          <w:highlight w:val="none"/>
          <w:lang w:val="en-US" w:eastAsia="zh-CN"/>
        </w:rPr>
        <w:t>的格式要求</w:t>
      </w:r>
      <w:r>
        <w:rPr>
          <w:rFonts w:hint="eastAsia" w:hAnsi="宋体" w:cs="宋体"/>
          <w:b/>
          <w:bCs w:val="0"/>
          <w:color w:val="000000"/>
          <w:kern w:val="2"/>
          <w:sz w:val="21"/>
          <w:szCs w:val="21"/>
          <w:highlight w:val="none"/>
          <w:lang w:eastAsia="zh-CN"/>
        </w:rPr>
        <w:t>在</w:t>
      </w:r>
      <w:r>
        <w:rPr>
          <w:rFonts w:hint="eastAsia" w:hAnsi="宋体" w:cs="宋体"/>
          <w:b/>
          <w:bCs w:val="0"/>
          <w:color w:val="000000"/>
          <w:kern w:val="2"/>
          <w:sz w:val="21"/>
          <w:szCs w:val="21"/>
          <w:highlight w:val="none"/>
          <w:lang w:val="en-US" w:eastAsia="zh-CN"/>
        </w:rPr>
        <w:t>需要签字或盖法人章的地方，必须在</w:t>
      </w:r>
      <w:r>
        <w:rPr>
          <w:rFonts w:hint="eastAsia" w:hAnsi="宋体" w:cs="宋体"/>
          <w:b/>
          <w:bCs w:val="0"/>
          <w:color w:val="000000"/>
          <w:kern w:val="2"/>
          <w:sz w:val="21"/>
          <w:szCs w:val="21"/>
          <w:highlight w:val="none"/>
        </w:rPr>
        <w:t>投标文件上签字</w:t>
      </w:r>
      <w:r>
        <w:rPr>
          <w:rFonts w:hint="eastAsia" w:hAnsi="宋体" w:cs="宋体"/>
          <w:b/>
          <w:bCs w:val="0"/>
          <w:color w:val="000000"/>
          <w:kern w:val="2"/>
          <w:sz w:val="21"/>
          <w:szCs w:val="21"/>
          <w:highlight w:val="none"/>
          <w:lang w:val="en-US" w:eastAsia="zh-CN"/>
        </w:rPr>
        <w:t>或</w:t>
      </w:r>
      <w:r>
        <w:rPr>
          <w:rFonts w:hint="eastAsia" w:hAnsi="宋体" w:cs="宋体"/>
          <w:b/>
          <w:bCs w:val="0"/>
          <w:color w:val="000000"/>
          <w:kern w:val="2"/>
          <w:sz w:val="21"/>
          <w:szCs w:val="21"/>
          <w:highlight w:val="none"/>
        </w:rPr>
        <w:t>加盖</w:t>
      </w:r>
      <w:r>
        <w:rPr>
          <w:rFonts w:hint="eastAsia" w:hAnsi="宋体" w:cs="宋体"/>
          <w:b/>
          <w:bCs w:val="0"/>
          <w:color w:val="000000"/>
          <w:kern w:val="2"/>
          <w:sz w:val="21"/>
          <w:szCs w:val="21"/>
          <w:highlight w:val="none"/>
          <w:lang w:val="en-US" w:eastAsia="zh-CN"/>
        </w:rPr>
        <w:t>法人</w:t>
      </w:r>
      <w:r>
        <w:rPr>
          <w:rFonts w:hint="eastAsia" w:hAnsi="宋体" w:cs="宋体"/>
          <w:b/>
          <w:bCs w:val="0"/>
          <w:color w:val="000000"/>
          <w:kern w:val="2"/>
          <w:sz w:val="21"/>
          <w:szCs w:val="21"/>
          <w:highlight w:val="none"/>
        </w:rPr>
        <w:t>印章。委托代理人须持有书面的“法定代表人授权委托书”（投标文件格式二），并将其附在投标文件中。如对投标文件进行了修改，则应由投标人的法定代表人或其委托代理人在每一修改处签字。</w:t>
      </w:r>
    </w:p>
    <w:p>
      <w:pPr>
        <w:pStyle w:val="6"/>
        <w:keepNext w:val="0"/>
        <w:keepLines w:val="0"/>
        <w:kinsoku w:val="0"/>
        <w:overflowPunct w:val="0"/>
        <w:snapToGrid w:val="0"/>
        <w:spacing w:before="0" w:after="0" w:line="360" w:lineRule="exact"/>
        <w:rPr>
          <w:rFonts w:hint="eastAsia" w:hAnsi="宋体" w:cs="宋体"/>
          <w:bCs/>
          <w:color w:val="000000"/>
          <w:kern w:val="2"/>
          <w:sz w:val="21"/>
          <w:szCs w:val="21"/>
          <w:highlight w:val="none"/>
          <w:u w:val="none"/>
        </w:rPr>
      </w:pPr>
      <w:r>
        <w:rPr>
          <w:rFonts w:hint="eastAsia" w:hAnsi="宋体" w:cs="宋体"/>
          <w:bCs/>
          <w:color w:val="000000"/>
          <w:kern w:val="2"/>
          <w:sz w:val="21"/>
          <w:szCs w:val="21"/>
          <w:highlight w:val="none"/>
          <w:u w:val="none"/>
        </w:rPr>
        <w:t>16.投标截止</w:t>
      </w:r>
      <w:bookmarkEnd w:id="152"/>
      <w:bookmarkEnd w:id="153"/>
      <w:bookmarkEnd w:id="154"/>
      <w:bookmarkEnd w:id="155"/>
      <w:bookmarkEnd w:id="156"/>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16.1</w:t>
      </w:r>
      <w:r>
        <w:rPr>
          <w:rFonts w:hint="eastAsia" w:ascii="宋体" w:hAnsi="宋体" w:cs="宋体"/>
          <w:color w:val="000000"/>
          <w:szCs w:val="21"/>
          <w:highlight w:val="none"/>
        </w:rPr>
        <w:tab/>
      </w:r>
      <w:r>
        <w:rPr>
          <w:rFonts w:hint="eastAsia" w:ascii="宋体" w:hAnsi="宋体" w:cs="宋体"/>
          <w:color w:val="000000"/>
          <w:szCs w:val="21"/>
          <w:highlight w:val="none"/>
        </w:rPr>
        <w:t>投标人应在</w:t>
      </w:r>
      <w:r>
        <w:rPr>
          <w:rFonts w:hint="eastAsia" w:ascii="宋体" w:hAnsi="宋体" w:cs="宋体"/>
          <w:color w:val="000000"/>
          <w:szCs w:val="21"/>
          <w:highlight w:val="none"/>
          <w:u w:val="single"/>
        </w:rPr>
        <w:t>投标人须知资料表中</w:t>
      </w:r>
      <w:r>
        <w:rPr>
          <w:rFonts w:hint="eastAsia" w:ascii="宋体" w:hAnsi="宋体" w:cs="宋体"/>
          <w:color w:val="000000"/>
          <w:szCs w:val="21"/>
          <w:highlight w:val="none"/>
        </w:rPr>
        <w:t>规定的截止时间前，将投标文件递交到招标公告中规定的地点。</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16.2</w:t>
      </w:r>
      <w:r>
        <w:rPr>
          <w:rFonts w:hint="eastAsia" w:ascii="宋体" w:hAnsi="宋体" w:cs="宋体"/>
          <w:color w:val="000000"/>
          <w:szCs w:val="21"/>
          <w:highlight w:val="none"/>
        </w:rPr>
        <w:tab/>
      </w:r>
      <w:r>
        <w:rPr>
          <w:rFonts w:hint="eastAsia" w:ascii="宋体" w:hAnsi="宋体" w:cs="宋体"/>
          <w:color w:val="000000"/>
          <w:szCs w:val="21"/>
          <w:highlight w:val="none"/>
        </w:rPr>
        <w:t>采购人和采购代理机构有权按本须知的规定，延迟投标截止时间。在此情况下，采购人、采购代理机构和投标人受投标截止时间制约的所有权利和义务均应延长至新的截止时间。</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16.3</w:t>
      </w:r>
      <w:r>
        <w:rPr>
          <w:rFonts w:hint="eastAsia" w:ascii="宋体" w:hAnsi="宋体" w:cs="宋体"/>
          <w:color w:val="000000"/>
          <w:szCs w:val="21"/>
          <w:highlight w:val="none"/>
        </w:rPr>
        <w:tab/>
      </w:r>
      <w:r>
        <w:rPr>
          <w:rFonts w:hint="eastAsia" w:ascii="宋体" w:hAnsi="宋体" w:cs="宋体"/>
          <w:color w:val="000000"/>
          <w:szCs w:val="21"/>
          <w:highlight w:val="none"/>
        </w:rPr>
        <w:t>采购人和采购代理机构将拒绝接收在投标截止时间后送达的投标文件。</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57" w:name="_Toc24275"/>
      <w:bookmarkStart w:id="158" w:name="_Toc520356162"/>
      <w:bookmarkStart w:id="159" w:name="_Toc24785"/>
      <w:bookmarkStart w:id="160" w:name="_Toc515647777"/>
      <w:bookmarkStart w:id="161" w:name="_Toc18537"/>
      <w:r>
        <w:rPr>
          <w:rFonts w:hint="eastAsia" w:hAnsi="宋体" w:cs="宋体"/>
          <w:color w:val="000000"/>
          <w:sz w:val="21"/>
          <w:szCs w:val="21"/>
          <w:highlight w:val="none"/>
          <w:u w:val="none"/>
        </w:rPr>
        <w:t>17.投标文件的接收、修改与撤回</w:t>
      </w:r>
      <w:bookmarkEnd w:id="157"/>
      <w:bookmarkEnd w:id="158"/>
      <w:bookmarkEnd w:id="159"/>
      <w:bookmarkEnd w:id="160"/>
      <w:bookmarkEnd w:id="161"/>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17.1</w:t>
      </w:r>
      <w:r>
        <w:rPr>
          <w:rFonts w:hint="eastAsia" w:ascii="宋体" w:hAnsi="宋体" w:cs="宋体"/>
          <w:color w:val="000000"/>
          <w:szCs w:val="21"/>
          <w:highlight w:val="none"/>
        </w:rPr>
        <w:tab/>
      </w:r>
      <w:r>
        <w:rPr>
          <w:rFonts w:hint="eastAsia" w:ascii="宋体" w:hAnsi="宋体" w:cs="宋体"/>
          <w:color w:val="000000"/>
          <w:szCs w:val="21"/>
          <w:highlight w:val="none"/>
        </w:rPr>
        <w:t>在投标截止时间后送达的投标文件的，采购人和采购代理机构将拒绝接收。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17.2</w:t>
      </w:r>
      <w:r>
        <w:rPr>
          <w:rFonts w:hint="eastAsia" w:ascii="宋体" w:hAnsi="宋体" w:cs="宋体"/>
          <w:color w:val="000000"/>
          <w:szCs w:val="21"/>
          <w:highlight w:val="none"/>
        </w:rPr>
        <w:tab/>
      </w:r>
      <w:r>
        <w:rPr>
          <w:rFonts w:hint="eastAsia" w:ascii="宋体" w:hAnsi="宋体" w:cs="宋体"/>
          <w:color w:val="000000"/>
          <w:szCs w:val="21"/>
          <w:highlight w:val="none"/>
        </w:rPr>
        <w:t>采购人或者采购代理机构收到投标文件后，应当如实记载投标文件的送达时间和密封情况，并向投标人出具以下签收回执。</w:t>
      </w:r>
    </w:p>
    <w:p>
      <w:pPr>
        <w:pStyle w:val="5"/>
        <w:rPr>
          <w:rFonts w:hint="eastAsia" w:ascii="宋体" w:hAnsi="宋体" w:cs="宋体"/>
          <w:color w:val="000000"/>
          <w:szCs w:val="21"/>
          <w:highlight w:val="none"/>
        </w:rPr>
      </w:pPr>
    </w:p>
    <w:p>
      <w:pPr>
        <w:rPr>
          <w:rFonts w:hint="eastAsia"/>
          <w:highlight w:val="none"/>
        </w:rPr>
      </w:pPr>
    </w:p>
    <w:p>
      <w:pPr>
        <w:rPr>
          <w:rFonts w:hint="eastAsia"/>
          <w:highlight w:val="none"/>
        </w:rPr>
      </w:pPr>
    </w:p>
    <w:p>
      <w:pPr>
        <w:rPr>
          <w:rFonts w:hint="eastAsia"/>
          <w:highlight w:val="none"/>
        </w:rPr>
      </w:pPr>
    </w:p>
    <w:tbl>
      <w:tblPr>
        <w:tblStyle w:val="14"/>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接收投标文件回执单        </w:t>
            </w:r>
          </w:p>
        </w:tc>
      </w:tr>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招标编号</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投标人名称</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递交时间</w:t>
            </w:r>
          </w:p>
        </w:tc>
        <w:tc>
          <w:tcPr>
            <w:tcW w:w="1934" w:type="dxa"/>
            <w:tcBorders>
              <w:top w:val="nil"/>
              <w:left w:val="nil"/>
              <w:bottom w:val="single" w:color="auto" w:sz="4" w:space="0"/>
              <w:right w:val="single" w:color="auto" w:sz="4" w:space="0"/>
            </w:tcBorders>
            <w:noWrap w:val="0"/>
            <w:vAlign w:val="center"/>
          </w:tcPr>
          <w:p>
            <w:pPr>
              <w:kinsoku w:val="0"/>
              <w:overflowPunct w:val="0"/>
              <w:adjustRightInd w:val="0"/>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2126" w:type="dxa"/>
            <w:tcBorders>
              <w:top w:val="nil"/>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投标文件密封情况</w:t>
            </w:r>
          </w:p>
        </w:tc>
        <w:tc>
          <w:tcPr>
            <w:tcW w:w="1559" w:type="dxa"/>
            <w:tcBorders>
              <w:top w:val="nil"/>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bl>
    <w:p>
      <w:pPr>
        <w:kinsoku w:val="0"/>
        <w:overflowPunct w:val="0"/>
        <w:adjustRightInd w:val="0"/>
        <w:snapToGrid w:val="0"/>
        <w:spacing w:line="360" w:lineRule="exact"/>
        <w:rPr>
          <w:rFonts w:hint="eastAsia" w:ascii="宋体" w:hAnsi="宋体" w:cs="宋体"/>
          <w:color w:val="000000"/>
          <w:szCs w:val="21"/>
          <w:highlight w:val="none"/>
        </w:rPr>
      </w:pPr>
    </w:p>
    <w:p>
      <w:pPr>
        <w:kinsoku w:val="0"/>
        <w:overflowPunct w:val="0"/>
        <w:adjustRightInd w:val="0"/>
        <w:snapToGrid w:val="0"/>
        <w:spacing w:line="360" w:lineRule="exact"/>
        <w:ind w:left="735" w:hanging="735" w:hangingChars="350"/>
        <w:rPr>
          <w:rFonts w:hint="eastAsia" w:ascii="宋体" w:hAnsi="宋体" w:cs="宋体"/>
          <w:color w:val="000000"/>
          <w:szCs w:val="21"/>
          <w:highlight w:val="none"/>
        </w:rPr>
      </w:pPr>
      <w:r>
        <w:rPr>
          <w:rFonts w:hint="eastAsia" w:ascii="宋体" w:hAnsi="宋体" w:cs="宋体"/>
          <w:color w:val="000000"/>
          <w:szCs w:val="21"/>
          <w:highlight w:val="none"/>
        </w:rPr>
        <w:t>17.3</w:t>
      </w:r>
      <w:r>
        <w:rPr>
          <w:rFonts w:hint="eastAsia" w:ascii="宋体" w:hAnsi="宋体" w:cs="宋体"/>
          <w:color w:val="000000"/>
          <w:szCs w:val="21"/>
          <w:highlight w:val="none"/>
        </w:rPr>
        <w:tab/>
      </w:r>
      <w:r>
        <w:rPr>
          <w:rFonts w:hint="eastAsia" w:ascii="宋体" w:hAnsi="宋体" w:cs="宋体"/>
          <w:color w:val="000000"/>
          <w:szCs w:val="21"/>
          <w:highlight w:val="none"/>
        </w:rPr>
        <w:t>递交投标文件以后，如果投标人要进行修改或撤回投标，须提出书面申请并在投标截止时间前送达开标地点，投标人对投标文件的修改或撤回通知应按本须知规定编制、密封、标记。</w:t>
      </w:r>
    </w:p>
    <w:p>
      <w:pPr>
        <w:kinsoku w:val="0"/>
        <w:overflowPunct w:val="0"/>
        <w:adjustRightInd w:val="0"/>
        <w:snapToGrid w:val="0"/>
        <w:spacing w:line="360" w:lineRule="exact"/>
        <w:ind w:left="735" w:leftChars="350" w:firstLine="105" w:firstLineChars="5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采购人和采购代理机构将予以接收，并视为投标文件的组成部分。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17.4</w:t>
      </w:r>
      <w:r>
        <w:rPr>
          <w:rFonts w:hint="eastAsia" w:ascii="宋体" w:hAnsi="宋体" w:cs="宋体"/>
          <w:color w:val="000000"/>
          <w:szCs w:val="21"/>
          <w:highlight w:val="none"/>
        </w:rPr>
        <w:tab/>
      </w:r>
      <w:r>
        <w:rPr>
          <w:rFonts w:hint="eastAsia" w:ascii="宋体" w:hAnsi="宋体" w:cs="宋体"/>
          <w:color w:val="000000"/>
          <w:szCs w:val="21"/>
          <w:highlight w:val="none"/>
        </w:rPr>
        <w:t>在投标截止期之后，采购人和采购代理机构不接受投标人主动对其投标文件做任何修改。</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17.5</w:t>
      </w:r>
      <w:r>
        <w:rPr>
          <w:rFonts w:hint="eastAsia" w:ascii="宋体" w:hAnsi="宋体" w:cs="宋体"/>
          <w:color w:val="000000"/>
          <w:szCs w:val="21"/>
          <w:highlight w:val="none"/>
        </w:rPr>
        <w:tab/>
      </w:r>
      <w:r>
        <w:rPr>
          <w:rFonts w:hint="eastAsia" w:ascii="宋体" w:hAnsi="宋体" w:cs="宋体"/>
          <w:color w:val="000000"/>
          <w:szCs w:val="21"/>
          <w:highlight w:val="none"/>
        </w:rPr>
        <w:t>采购人和采购代理机构对所接收投标文件概不退回。</w:t>
      </w:r>
    </w:p>
    <w:p>
      <w:pPr>
        <w:kinsoku w:val="0"/>
        <w:overflowPunct w:val="0"/>
        <w:adjustRightInd w:val="0"/>
        <w:snapToGrid w:val="0"/>
        <w:spacing w:line="360" w:lineRule="exact"/>
        <w:rPr>
          <w:rFonts w:hint="eastAsia" w:ascii="宋体" w:hAnsi="宋体" w:cs="宋体"/>
          <w:color w:val="000000"/>
          <w:szCs w:val="21"/>
          <w:highlight w:val="none"/>
        </w:rPr>
      </w:pP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162" w:name="_Toc28398"/>
      <w:bookmarkStart w:id="163" w:name="_Toc520356163"/>
      <w:bookmarkStart w:id="164" w:name="_Toc515647778"/>
      <w:bookmarkStart w:id="165" w:name="_Toc216582809"/>
      <w:bookmarkStart w:id="166" w:name="_Toc12436"/>
      <w:bookmarkStart w:id="167" w:name="_Toc20246"/>
      <w:r>
        <w:rPr>
          <w:rFonts w:hint="eastAsia" w:ascii="宋体" w:hAnsi="宋体" w:eastAsia="宋体" w:cs="宋体"/>
          <w:color w:val="000000"/>
          <w:sz w:val="21"/>
          <w:szCs w:val="21"/>
          <w:highlight w:val="none"/>
        </w:rPr>
        <w:t>五   开标及评标</w:t>
      </w:r>
      <w:bookmarkEnd w:id="162"/>
      <w:bookmarkEnd w:id="163"/>
      <w:bookmarkEnd w:id="164"/>
      <w:bookmarkEnd w:id="165"/>
      <w:bookmarkEnd w:id="166"/>
      <w:bookmarkEnd w:id="167"/>
    </w:p>
    <w:p>
      <w:pPr>
        <w:pStyle w:val="6"/>
        <w:keepNext w:val="0"/>
        <w:keepLines w:val="0"/>
        <w:numPr>
          <w:ilvl w:val="0"/>
          <w:numId w:val="5"/>
        </w:numPr>
        <w:kinsoku w:val="0"/>
        <w:overflowPunct w:val="0"/>
        <w:snapToGrid w:val="0"/>
        <w:spacing w:line="360" w:lineRule="exact"/>
        <w:rPr>
          <w:rFonts w:hint="eastAsia" w:hAnsi="宋体" w:cs="宋体"/>
          <w:color w:val="000000"/>
          <w:sz w:val="21"/>
          <w:szCs w:val="21"/>
          <w:highlight w:val="none"/>
        </w:rPr>
      </w:pPr>
      <w:bookmarkStart w:id="168" w:name="_Toc25345"/>
      <w:bookmarkStart w:id="169" w:name="_Toc7186"/>
      <w:bookmarkStart w:id="170" w:name="_Toc520356164"/>
      <w:bookmarkStart w:id="171" w:name="_Toc17257"/>
      <w:bookmarkStart w:id="172" w:name="_Toc515647779"/>
      <w:r>
        <w:rPr>
          <w:rFonts w:hint="eastAsia" w:hAnsi="宋体" w:cs="宋体"/>
          <w:color w:val="000000"/>
          <w:sz w:val="21"/>
          <w:szCs w:val="21"/>
          <w:highlight w:val="none"/>
          <w:u w:val="none"/>
        </w:rPr>
        <w:t>开标</w:t>
      </w:r>
      <w:bookmarkEnd w:id="168"/>
      <w:bookmarkEnd w:id="169"/>
      <w:bookmarkEnd w:id="170"/>
      <w:bookmarkEnd w:id="171"/>
      <w:bookmarkEnd w:id="172"/>
    </w:p>
    <w:p>
      <w:pPr>
        <w:numPr>
          <w:ilvl w:val="1"/>
          <w:numId w:val="5"/>
        </w:num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采购人和采购代理机构将按</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中规定的开标时间和地点组织公开开标并邀请所有投标人代表参加。投标人不足3家的，不得开标。</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18.2   开标时，由投标人或其推选的代表检查自己或所代表的投标文件的密封情况，经记录后，由采购人或采购代理机构当众拆封投标文件，宣读投标人名称、投标价格及招标文件规定的内容。对于投标人在投标截止期前递交的投标声明，在开标时当众宣读，评标时有效。</w:t>
      </w:r>
    </w:p>
    <w:p>
      <w:pPr>
        <w:kinsoku w:val="0"/>
        <w:overflowPunct w:val="0"/>
        <w:adjustRightInd w:val="0"/>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未宣读投标价格、价格折扣等实质内容，评标时不予承认。</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18.3    采购人或采购代理机构将对开标过程进行记录</w:t>
      </w:r>
      <w:bookmarkStart w:id="173" w:name="_Toc520356165"/>
      <w:r>
        <w:rPr>
          <w:rFonts w:hint="eastAsia" w:ascii="宋体" w:hAnsi="宋体" w:cs="宋体"/>
          <w:color w:val="000000"/>
          <w:szCs w:val="21"/>
          <w:highlight w:val="none"/>
        </w:rPr>
        <w:t>，由参加开标的各投标人代表和相关工作人员签字确认，并存档备查。</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18.4    投标人代表对开标过程和开标记录有疑义，以及认为采购人、采购代理机构相关工作人员有需要回避的情形的，应当场提出询问或者回避申请。</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74" w:name="_Toc31290"/>
      <w:bookmarkStart w:id="175" w:name="_Toc515647780"/>
      <w:bookmarkStart w:id="176" w:name="_Toc19296"/>
      <w:bookmarkStart w:id="177" w:name="_Toc21372"/>
      <w:r>
        <w:rPr>
          <w:rFonts w:hint="eastAsia" w:hAnsi="宋体" w:cs="宋体"/>
          <w:color w:val="000000"/>
          <w:sz w:val="21"/>
          <w:szCs w:val="21"/>
          <w:highlight w:val="none"/>
          <w:u w:val="none"/>
        </w:rPr>
        <w:t>19.</w:t>
      </w:r>
      <w:bookmarkEnd w:id="173"/>
      <w:r>
        <w:rPr>
          <w:rFonts w:hint="eastAsia" w:hAnsi="宋体" w:cs="宋体"/>
          <w:color w:val="000000"/>
          <w:sz w:val="21"/>
          <w:szCs w:val="21"/>
          <w:highlight w:val="none"/>
          <w:u w:val="none"/>
        </w:rPr>
        <w:t>资格审查及组建评标委员会</w:t>
      </w:r>
      <w:bookmarkEnd w:id="174"/>
      <w:bookmarkEnd w:id="175"/>
      <w:bookmarkEnd w:id="176"/>
      <w:bookmarkEnd w:id="177"/>
    </w:p>
    <w:p>
      <w:pPr>
        <w:kinsoku w:val="0"/>
        <w:overflowPunct w:val="0"/>
        <w:adjustRightInd w:val="0"/>
        <w:snapToGrid w:val="0"/>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19.1 采购人或采购代理机构依据法律法规和招标文件中规定的内容，对投标人及其货物的资格进行审查，资格审查文件均须携带原件，未按要求提供资格审查资料的投标人或其中一项未通过的投标人，将视为资格审查不合格，未能通过资格审查的投标人不进入评标；通过资格审查的投标人少于不足三家的，不得评标。</w:t>
      </w:r>
    </w:p>
    <w:p>
      <w:pPr>
        <w:kinsoku w:val="0"/>
        <w:overflowPunct w:val="0"/>
        <w:adjustRightInd w:val="0"/>
        <w:snapToGrid w:val="0"/>
        <w:spacing w:line="360" w:lineRule="exact"/>
        <w:rPr>
          <w:rFonts w:hint="eastAsia" w:ascii="宋体" w:hAnsi="宋体" w:cs="宋体"/>
          <w:b/>
          <w:bCs/>
          <w:color w:val="000000"/>
          <w:szCs w:val="21"/>
          <w:highlight w:val="none"/>
        </w:rPr>
      </w:pPr>
    </w:p>
    <w:p>
      <w:pPr>
        <w:kinsoku w:val="0"/>
        <w:overflowPunct w:val="0"/>
        <w:adjustRightInd w:val="0"/>
        <w:snapToGrid w:val="0"/>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本项目现场开标提供证件原件:</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投标人必须符合《中华人民共和国政府采购法》第二十二</w:t>
      </w:r>
      <w:bookmarkStart w:id="586" w:name="_GoBack"/>
      <w:bookmarkEnd w:id="586"/>
      <w:r>
        <w:rPr>
          <w:rFonts w:hint="eastAsia" w:ascii="宋体" w:hAnsi="宋体" w:cs="宋体"/>
          <w:b/>
          <w:bCs/>
          <w:color w:val="000000"/>
          <w:szCs w:val="21"/>
          <w:highlight w:val="none"/>
        </w:rPr>
        <w:t>条的相关规定；</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1</w:t>
      </w:r>
      <w:r>
        <w:rPr>
          <w:rFonts w:hint="eastAsia" w:ascii="宋体" w:hAnsi="宋体" w:cs="宋体"/>
          <w:b/>
          <w:bCs/>
          <w:color w:val="000000"/>
          <w:szCs w:val="21"/>
          <w:highlight w:val="none"/>
        </w:rPr>
        <w:t>）具有独立承担民事责任的能力（</w:t>
      </w:r>
      <w:r>
        <w:rPr>
          <w:rFonts w:hint="eastAsia" w:ascii="宋体" w:hAnsi="宋体" w:cs="宋体"/>
          <w:b/>
          <w:bCs/>
          <w:color w:val="000000"/>
          <w:szCs w:val="21"/>
          <w:highlight w:val="none"/>
          <w:lang w:eastAsia="zh-CN"/>
        </w:rPr>
        <w:t>三证合一的营业执照，原件、可扫描的影印件和复印件均可</w:t>
      </w:r>
      <w:r>
        <w:rPr>
          <w:rFonts w:hint="eastAsia" w:ascii="宋体" w:hAnsi="宋体" w:cs="宋体"/>
          <w:b/>
          <w:bCs/>
          <w:color w:val="000000"/>
          <w:szCs w:val="21"/>
          <w:highlight w:val="none"/>
        </w:rPr>
        <w:t>）；</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）法人代表资格证明书及授权书、被授权人身份证(法人投具有法人身份证及法人代表资格证明书)</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）具有税务局开具依法缴纳近</w:t>
      </w:r>
      <w:r>
        <w:rPr>
          <w:rFonts w:hint="eastAsia" w:ascii="宋体" w:hAnsi="宋体" w:cs="宋体"/>
          <w:b/>
          <w:bCs/>
          <w:color w:val="000000"/>
          <w:szCs w:val="21"/>
          <w:highlight w:val="none"/>
          <w:lang w:val="en-US" w:eastAsia="zh-CN"/>
        </w:rPr>
        <w:t>一</w:t>
      </w:r>
      <w:r>
        <w:rPr>
          <w:rFonts w:hint="eastAsia" w:ascii="宋体" w:hAnsi="宋体" w:cs="宋体"/>
          <w:b/>
          <w:bCs/>
          <w:color w:val="000000"/>
          <w:szCs w:val="21"/>
          <w:highlight w:val="none"/>
        </w:rPr>
        <w:t>个月</w:t>
      </w:r>
      <w:r>
        <w:rPr>
          <w:rFonts w:hint="eastAsia" w:ascii="宋体" w:hAnsi="宋体" w:cs="宋体"/>
          <w:b/>
          <w:bCs/>
          <w:color w:val="000000"/>
          <w:szCs w:val="21"/>
          <w:highlight w:val="none"/>
          <w:lang w:val="en-US" w:eastAsia="zh-CN"/>
        </w:rPr>
        <w:t>（2022年3月-2022年5月）</w:t>
      </w:r>
      <w:r>
        <w:rPr>
          <w:rFonts w:hint="eastAsia" w:ascii="宋体" w:hAnsi="宋体" w:cs="宋体"/>
          <w:b/>
          <w:bCs/>
          <w:color w:val="000000"/>
          <w:szCs w:val="21"/>
          <w:highlight w:val="none"/>
        </w:rPr>
        <w:t>完税证明及2020</w:t>
      </w:r>
      <w:r>
        <w:rPr>
          <w:rFonts w:hint="eastAsia" w:ascii="宋体" w:hAnsi="宋体" w:cs="宋体"/>
          <w:b/>
          <w:bCs/>
          <w:color w:val="000000"/>
          <w:szCs w:val="21"/>
          <w:highlight w:val="none"/>
          <w:lang w:val="en-US" w:eastAsia="zh-CN"/>
        </w:rPr>
        <w:t>年或2021年</w:t>
      </w:r>
      <w:r>
        <w:rPr>
          <w:rFonts w:hint="eastAsia" w:ascii="宋体" w:hAnsi="宋体" w:cs="宋体"/>
          <w:b/>
          <w:bCs/>
          <w:color w:val="000000"/>
          <w:szCs w:val="21"/>
          <w:highlight w:val="none"/>
        </w:rPr>
        <w:t>财务审计报告（新成立公司须提供</w:t>
      </w:r>
      <w:r>
        <w:rPr>
          <w:rFonts w:hint="eastAsia" w:ascii="宋体" w:hAnsi="宋体" w:cs="宋体"/>
          <w:b/>
          <w:bCs/>
          <w:color w:val="000000"/>
          <w:szCs w:val="21"/>
          <w:highlight w:val="none"/>
          <w:lang w:eastAsia="zh-CN"/>
        </w:rPr>
        <w:t>前一个月</w:t>
      </w:r>
      <w:r>
        <w:rPr>
          <w:rFonts w:hint="eastAsia" w:ascii="宋体" w:hAnsi="宋体" w:cs="宋体"/>
          <w:b/>
          <w:bCs/>
          <w:color w:val="000000"/>
          <w:szCs w:val="21"/>
          <w:highlight w:val="none"/>
        </w:rPr>
        <w:t>的银行资信证明）；</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w:t>
      </w:r>
      <w:r>
        <w:rPr>
          <w:rFonts w:hint="eastAsia" w:ascii="宋体" w:hAnsi="宋体" w:cs="宋体"/>
          <w:b/>
          <w:bCs/>
          <w:color w:val="000000"/>
          <w:szCs w:val="21"/>
          <w:highlight w:val="none"/>
          <w:lang w:eastAsia="zh-CN"/>
        </w:rPr>
        <w:t>在“信用中国”网站（http://www.creditchina.gov.cn）、中国政府采购网（http://www.ccgp.gov.cn）、国家企业信用信息公示系统(http://www.gsxt.gov.cn)无尚在处罚期内的不良行为记录；</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5</w:t>
      </w:r>
      <w:r>
        <w:rPr>
          <w:rFonts w:hint="eastAsia" w:ascii="宋体" w:hAnsi="宋体" w:cs="宋体"/>
          <w:b/>
          <w:bCs/>
          <w:color w:val="000000"/>
          <w:szCs w:val="21"/>
          <w:highlight w:val="none"/>
        </w:rPr>
        <w:t>）投标单位本单位在参加政府采购活动中近三年内无重大违法记录的承诺声明函（受行政主管部门的处罚不能参加投标）；</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6</w:t>
      </w:r>
      <w:r>
        <w:rPr>
          <w:rFonts w:hint="eastAsia" w:ascii="宋体" w:hAnsi="宋体" w:cs="宋体"/>
          <w:b/>
          <w:bCs/>
          <w:color w:val="000000"/>
          <w:szCs w:val="21"/>
          <w:highlight w:val="none"/>
        </w:rPr>
        <w:t>）投标单位（供应商）具备针对本次采购项目《反商业贿赂承诺书》；</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7</w:t>
      </w:r>
      <w:r>
        <w:rPr>
          <w:rFonts w:hint="eastAsia" w:ascii="宋体" w:hAnsi="宋体" w:cs="宋体"/>
          <w:b/>
          <w:bCs/>
          <w:color w:val="000000"/>
          <w:szCs w:val="21"/>
          <w:highlight w:val="none"/>
        </w:rPr>
        <w:t>）投标保证金</w:t>
      </w:r>
      <w:r>
        <w:rPr>
          <w:rFonts w:hint="eastAsia" w:ascii="宋体" w:hAnsi="宋体" w:cs="宋体"/>
          <w:b/>
          <w:bCs/>
          <w:color w:val="000000"/>
          <w:szCs w:val="21"/>
          <w:highlight w:val="none"/>
          <w:lang w:val="en-US" w:eastAsia="zh-CN"/>
        </w:rPr>
        <w:t>银行</w:t>
      </w:r>
      <w:r>
        <w:rPr>
          <w:rFonts w:hint="eastAsia" w:ascii="宋体" w:hAnsi="宋体" w:cs="宋体"/>
          <w:b/>
          <w:bCs/>
          <w:color w:val="000000"/>
          <w:szCs w:val="21"/>
          <w:highlight w:val="none"/>
        </w:rPr>
        <w:t>打款</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缴纳</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凭证；</w:t>
      </w:r>
    </w:p>
    <w:p>
      <w:pPr>
        <w:kinsoku w:val="0"/>
        <w:overflowPunct w:val="0"/>
        <w:adjustRightInd w:val="0"/>
        <w:snapToGrid w:val="0"/>
        <w:spacing w:line="360" w:lineRule="exact"/>
        <w:ind w:left="857" w:leftChars="2" w:hanging="853"/>
        <w:rPr>
          <w:rFonts w:hint="eastAsia" w:ascii="宋体" w:hAnsi="宋体" w:cs="宋体"/>
          <w:color w:val="000000"/>
          <w:szCs w:val="21"/>
          <w:highlight w:val="none"/>
        </w:rPr>
      </w:pPr>
      <w:r>
        <w:rPr>
          <w:rFonts w:hint="eastAsia" w:ascii="宋体" w:hAnsi="宋体" w:cs="宋体"/>
          <w:color w:val="000000"/>
          <w:szCs w:val="21"/>
          <w:highlight w:val="none"/>
        </w:rPr>
        <w:t>19.2   采购人或采购代理机构将在开标前1个工作日至投标截止后1小时的期间内查询投标人的信用记录。投标人存在不良信用记录的，其投标将被认定为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857" w:leftChars="2" w:hanging="853"/>
        <w:rPr>
          <w:rFonts w:hint="eastAsia" w:ascii="宋体" w:hAnsi="宋体" w:cs="宋体"/>
          <w:color w:val="000000"/>
          <w:szCs w:val="21"/>
          <w:highlight w:val="none"/>
        </w:rPr>
      </w:pPr>
      <w:r>
        <w:rPr>
          <w:rFonts w:hint="eastAsia" w:ascii="宋体" w:hAnsi="宋体" w:cs="宋体"/>
          <w:color w:val="000000"/>
          <w:szCs w:val="21"/>
          <w:highlight w:val="none"/>
        </w:rPr>
        <w:t>19.2.1 不良信用记录指：投标人在中国政府采购网（www.ccgp.gov.cn）被列入政府采购严重违法失信行为记录名单，或在</w:t>
      </w:r>
      <w:r>
        <w:rPr>
          <w:rFonts w:hint="eastAsia" w:ascii="宋体" w:hAnsi="宋体" w:cs="宋体"/>
          <w:b/>
          <w:color w:val="000000"/>
          <w:szCs w:val="21"/>
          <w:highlight w:val="none"/>
        </w:rPr>
        <w:t>信用中国网https://www.creditchina.gov.cn/</w:t>
      </w:r>
      <w:r>
        <w:rPr>
          <w:rFonts w:hint="eastAsia" w:ascii="宋体" w:hAnsi="宋体" w:cs="宋体"/>
          <w:color w:val="000000"/>
          <w:szCs w:val="21"/>
          <w:highlight w:val="none"/>
        </w:rPr>
        <w:t>被列入失信被执行人、重大税收违法案件当事人名单，以及存在《中华人民共和国政府采购法实施条例》第十九条规定的行政处罚记录。</w:t>
      </w:r>
    </w:p>
    <w:p>
      <w:pPr>
        <w:kinsoku w:val="0"/>
        <w:overflowPunct w:val="0"/>
        <w:adjustRightInd w:val="0"/>
        <w:snapToGrid w:val="0"/>
        <w:spacing w:line="360" w:lineRule="exact"/>
        <w:ind w:left="848" w:leftChars="401" w:hanging="6" w:hangingChars="3"/>
        <w:rPr>
          <w:rFonts w:hint="eastAsia" w:ascii="宋体" w:hAnsi="宋体" w:cs="宋体"/>
          <w:color w:val="000000"/>
          <w:szCs w:val="21"/>
          <w:highlight w:val="none"/>
        </w:rPr>
      </w:pPr>
      <w:r>
        <w:rPr>
          <w:rFonts w:hint="eastAsia" w:ascii="宋体" w:hAnsi="宋体" w:cs="宋体"/>
          <w:color w:val="000000"/>
          <w:szCs w:val="21"/>
          <w:highlight w:val="none"/>
        </w:rPr>
        <w:t>以联合体形式参加投标的，联合体任何成员存在以上不良信用记录的，联合体投标将被认定为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5"/>
        <w:kinsoku w:val="0"/>
        <w:overflowPunct w:val="0"/>
        <w:snapToGrid w:val="0"/>
        <w:spacing w:line="360" w:lineRule="exact"/>
        <w:ind w:left="743" w:hanging="743" w:hangingChars="354"/>
        <w:jc w:val="both"/>
        <w:rPr>
          <w:rFonts w:hint="eastAsia" w:hAnsi="宋体" w:cs="宋体"/>
          <w:b/>
          <w:bCs/>
          <w:color w:val="000000"/>
          <w:sz w:val="21"/>
          <w:szCs w:val="21"/>
          <w:highlight w:val="none"/>
        </w:rPr>
      </w:pPr>
      <w:r>
        <w:rPr>
          <w:rFonts w:hint="eastAsia" w:hAnsi="宋体" w:cs="宋体"/>
          <w:color w:val="000000"/>
          <w:sz w:val="21"/>
          <w:szCs w:val="21"/>
          <w:highlight w:val="none"/>
        </w:rPr>
        <w:t xml:space="preserve">19.2.2 </w:t>
      </w:r>
      <w:r>
        <w:rPr>
          <w:rFonts w:hint="eastAsia" w:hAnsi="宋体" w:cs="宋体"/>
          <w:b/>
          <w:bCs/>
          <w:color w:val="000000"/>
          <w:sz w:val="21"/>
          <w:szCs w:val="21"/>
          <w:highlight w:val="none"/>
        </w:rPr>
        <w:t>查询及记录方式：采购人或采购代理机构经办人将查询网页打印、签字并存档备查。投标人不良信用记录以采购人或采购代理机构查询结果为准。</w:t>
      </w:r>
    </w:p>
    <w:p>
      <w:pPr>
        <w:pStyle w:val="5"/>
        <w:kinsoku w:val="0"/>
        <w:overflowPunct w:val="0"/>
        <w:snapToGrid w:val="0"/>
        <w:spacing w:line="360" w:lineRule="exact"/>
        <w:ind w:left="850" w:leftChars="405" w:firstLine="0"/>
        <w:jc w:val="both"/>
        <w:rPr>
          <w:rFonts w:hint="eastAsia" w:hAnsi="宋体" w:cs="宋体"/>
          <w:b/>
          <w:bCs/>
          <w:color w:val="000000"/>
          <w:sz w:val="21"/>
          <w:szCs w:val="21"/>
          <w:highlight w:val="none"/>
        </w:rPr>
      </w:pPr>
      <w:r>
        <w:rPr>
          <w:rFonts w:hint="eastAsia" w:hAnsi="宋体" w:cs="宋体"/>
          <w:b/>
          <w:bCs/>
          <w:color w:val="000000"/>
          <w:sz w:val="21"/>
          <w:szCs w:val="21"/>
          <w:highlight w:val="none"/>
        </w:rPr>
        <w:t>在本招标文件规定的查询时间之后，网站信息发生的任何变更均不再作为评标依据。</w:t>
      </w:r>
    </w:p>
    <w:p>
      <w:pPr>
        <w:pStyle w:val="5"/>
        <w:kinsoku w:val="0"/>
        <w:overflowPunct w:val="0"/>
        <w:snapToGrid w:val="0"/>
        <w:spacing w:line="360" w:lineRule="exact"/>
        <w:ind w:left="850" w:leftChars="405" w:firstLine="0"/>
        <w:jc w:val="both"/>
        <w:rPr>
          <w:rFonts w:hint="eastAsia" w:hAnsi="宋体" w:cs="宋体"/>
          <w:color w:val="000000"/>
          <w:sz w:val="21"/>
          <w:szCs w:val="21"/>
          <w:highlight w:val="none"/>
        </w:rPr>
      </w:pPr>
      <w:r>
        <w:rPr>
          <w:rFonts w:hint="eastAsia" w:hAnsi="宋体" w:cs="宋体"/>
          <w:color w:val="000000"/>
          <w:sz w:val="21"/>
          <w:szCs w:val="21"/>
          <w:highlight w:val="none"/>
        </w:rPr>
        <w:t>投标人自行提供的与网站信息不一致的其他证明材料亦不作为资格审查依据。</w:t>
      </w:r>
    </w:p>
    <w:p>
      <w:pPr>
        <w:spacing w:line="240" w:lineRule="atLeast"/>
        <w:ind w:left="850" w:hanging="743" w:hangingChars="354"/>
        <w:rPr>
          <w:rFonts w:hint="eastAsia" w:ascii="宋体" w:hAnsi="宋体" w:eastAsia="宋体" w:cs="宋体"/>
          <w:color w:val="000000"/>
          <w:szCs w:val="21"/>
          <w:highlight w:val="none"/>
        </w:rPr>
      </w:pPr>
      <w:r>
        <w:rPr>
          <w:rFonts w:hint="eastAsia" w:ascii="宋体" w:hAnsi="宋体" w:cs="宋体"/>
          <w:color w:val="000000"/>
          <w:szCs w:val="21"/>
          <w:highlight w:val="none"/>
        </w:rPr>
        <w:t>19.3   按照《中华人民共和国政府采购法》、《中华人民共和国政府采购法实施条例》及本项目本级和上级财政部门的有关规定依法组建的评标委员会，负责评标工作。</w:t>
      </w:r>
      <w:bookmarkStart w:id="178" w:name="_Toc520356166"/>
      <w:r>
        <w:rPr>
          <w:rFonts w:hint="eastAsia" w:ascii="仿宋_GB2312" w:hAnsi="宋体" w:eastAsia="仿宋_GB2312"/>
          <w:b/>
          <w:kern w:val="0"/>
          <w:sz w:val="24"/>
          <w:szCs w:val="20"/>
          <w:highlight w:val="none"/>
        </w:rPr>
        <w:t>（</w:t>
      </w:r>
      <w:r>
        <w:rPr>
          <w:rFonts w:hint="eastAsia" w:ascii="宋体" w:hAnsi="宋体" w:eastAsia="宋体" w:cs="宋体"/>
          <w:color w:val="000000"/>
          <w:szCs w:val="21"/>
          <w:highlight w:val="none"/>
        </w:rPr>
        <w:t>本项目评标委员会由</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人单数组成，从</w:t>
      </w:r>
      <w:r>
        <w:rPr>
          <w:rFonts w:hint="eastAsia" w:ascii="宋体" w:hAnsi="宋体" w:eastAsia="宋体" w:cs="宋体"/>
          <w:color w:val="000000"/>
          <w:szCs w:val="21"/>
          <w:highlight w:val="none"/>
          <w:lang w:val="en-US" w:eastAsia="zh-CN"/>
        </w:rPr>
        <w:t>政采云</w:t>
      </w:r>
      <w:r>
        <w:rPr>
          <w:rFonts w:hint="eastAsia" w:ascii="宋体" w:hAnsi="宋体" w:eastAsia="宋体" w:cs="宋体"/>
          <w:color w:val="000000"/>
          <w:szCs w:val="21"/>
          <w:highlight w:val="none"/>
        </w:rPr>
        <w:t>专家库随机抽取）</w:t>
      </w:r>
    </w:p>
    <w:p>
      <w:pPr>
        <w:pStyle w:val="6"/>
        <w:keepNext w:val="0"/>
        <w:keepLines w:val="0"/>
        <w:kinsoku w:val="0"/>
        <w:overflowPunct w:val="0"/>
        <w:snapToGrid w:val="0"/>
        <w:spacing w:before="0" w:after="0" w:line="360" w:lineRule="exact"/>
        <w:rPr>
          <w:rFonts w:hint="eastAsia" w:hAnsi="宋体" w:cs="宋体"/>
          <w:b w:val="0"/>
          <w:bCs/>
          <w:color w:val="000000"/>
          <w:sz w:val="21"/>
          <w:szCs w:val="21"/>
          <w:highlight w:val="none"/>
          <w:bdr w:val="single" w:color="auto" w:sz="4" w:space="0"/>
        </w:rPr>
      </w:pPr>
      <w:bookmarkStart w:id="179" w:name="_Toc26332"/>
      <w:bookmarkStart w:id="180" w:name="_Toc28479"/>
      <w:bookmarkStart w:id="181" w:name="_Toc19949"/>
      <w:bookmarkStart w:id="182" w:name="_Toc515647781"/>
      <w:r>
        <w:rPr>
          <w:rFonts w:hint="eastAsia" w:hAnsi="宋体" w:cs="宋体"/>
          <w:color w:val="000000"/>
          <w:sz w:val="21"/>
          <w:szCs w:val="21"/>
          <w:highlight w:val="none"/>
          <w:u w:val="none"/>
        </w:rPr>
        <w:t>20.投标文件</w:t>
      </w:r>
      <w:bookmarkEnd w:id="178"/>
      <w:r>
        <w:rPr>
          <w:rFonts w:hint="eastAsia" w:hAnsi="宋体" w:cs="宋体"/>
          <w:color w:val="000000"/>
          <w:sz w:val="21"/>
          <w:szCs w:val="21"/>
          <w:highlight w:val="none"/>
          <w:u w:val="none"/>
        </w:rPr>
        <w:t>符合性审查与澄清</w:t>
      </w:r>
      <w:bookmarkEnd w:id="179"/>
      <w:bookmarkEnd w:id="180"/>
      <w:bookmarkEnd w:id="181"/>
      <w:bookmarkEnd w:id="182"/>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20.1   符合性审查是指依据招标文件的规定，从投标文件的有效性和完整性对招标文件的响应程度进行审查，以确定是否对招标文件的实质性要求做出响应。</w:t>
      </w:r>
      <w:bookmarkStart w:id="183" w:name="_Hlt522424701"/>
      <w:bookmarkEnd w:id="183"/>
      <w:bookmarkStart w:id="184" w:name="_Toc52035616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20.2</w:t>
      </w:r>
      <w:r>
        <w:rPr>
          <w:rFonts w:hint="eastAsia" w:ascii="宋体" w:hAnsi="宋体" w:cs="宋体"/>
          <w:color w:val="000000"/>
          <w:szCs w:val="21"/>
          <w:highlight w:val="none"/>
        </w:rPr>
        <w:tab/>
      </w:r>
      <w:r>
        <w:rPr>
          <w:rFonts w:hint="eastAsia" w:ascii="宋体" w:hAnsi="宋体" w:cs="宋体"/>
          <w:color w:val="000000"/>
          <w:szCs w:val="21"/>
          <w:highlight w:val="none"/>
        </w:rPr>
        <w:t>投标文件的澄清</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20.2.2  投标人的的澄清、说明或补正将作为投标文件的一部分。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20.3  投标文件报价出现前后不一致的，按照下列规定修正：</w:t>
      </w:r>
    </w:p>
    <w:p>
      <w:pPr>
        <w:kinsoku w:val="0"/>
        <w:overflowPunct w:val="0"/>
        <w:adjustRightInd w:val="0"/>
        <w:snapToGrid w:val="0"/>
        <w:spacing w:line="360" w:lineRule="exact"/>
        <w:ind w:left="893" w:hanging="892" w:hangingChars="425"/>
        <w:rPr>
          <w:rFonts w:hint="eastAsia" w:ascii="宋体" w:hAnsi="宋体" w:cs="宋体"/>
          <w:color w:val="000000"/>
          <w:szCs w:val="21"/>
          <w:highlight w:val="none"/>
        </w:rPr>
      </w:pPr>
      <w:r>
        <w:rPr>
          <w:rFonts w:hint="eastAsia" w:ascii="宋体" w:hAnsi="宋体" w:cs="宋体"/>
          <w:color w:val="000000"/>
          <w:szCs w:val="21"/>
          <w:highlight w:val="none"/>
        </w:rPr>
        <w:t>　　   （一）投标文件中开标一览表（报价表）内容与投标文件中相应内容不一致的，以开标一览表（报价表）为准；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（二）大写金额和小写金额不一致的，以大写金额为准；</w:t>
      </w:r>
    </w:p>
    <w:p>
      <w:pPr>
        <w:kinsoku w:val="0"/>
        <w:overflowPunct w:val="0"/>
        <w:adjustRightInd w:val="0"/>
        <w:snapToGrid w:val="0"/>
        <w:spacing w:line="360" w:lineRule="exact"/>
        <w:ind w:left="893" w:hanging="892" w:hangingChars="425"/>
        <w:rPr>
          <w:rFonts w:hint="eastAsia" w:ascii="宋体" w:hAnsi="宋体" w:cs="宋体"/>
          <w:color w:val="000000"/>
          <w:szCs w:val="21"/>
          <w:highlight w:val="none"/>
        </w:rPr>
      </w:pPr>
      <w:r>
        <w:rPr>
          <w:rFonts w:hint="eastAsia" w:ascii="宋体" w:hAnsi="宋体" w:cs="宋体"/>
          <w:color w:val="000000"/>
          <w:szCs w:val="21"/>
          <w:highlight w:val="none"/>
        </w:rPr>
        <w:t>　   　（三）单价金额小数点或者百分比有明显错位的，以开标一览表的总价为准，并修改单价；</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（四）总价金额与按单价汇总金额不一致的，以单价金额计算结果为准。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35" w:leftChars="350" w:firstLine="105" w:firstLineChars="50"/>
        <w:rPr>
          <w:rFonts w:hint="eastAsia" w:ascii="宋体" w:hAnsi="宋体" w:cs="宋体"/>
          <w:color w:val="000000"/>
          <w:szCs w:val="21"/>
          <w:highlight w:val="none"/>
        </w:rPr>
      </w:pPr>
      <w:r>
        <w:rPr>
          <w:rFonts w:hint="eastAsia" w:ascii="宋体" w:hAnsi="宋体" w:cs="宋体"/>
          <w:color w:val="000000"/>
          <w:szCs w:val="21"/>
          <w:highlight w:val="none"/>
        </w:rPr>
        <w:t>对不同文字文本投标文件的解释发生异议的，以中文文本为准。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20.4   如一个分包内只有一种产品，不同投标人所投产品为同一品牌的，按如下方式处理：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20.5   如一个分包内包含多种产品的，采购人或采购代理机构将在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中载明核心产品，多家投标人提供的核心产品品牌相同的，按第20.4条规定处理。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xml:space="preserve">        如采购人所采购产品为政府强制采购的节能产品，投标人所投产品的品牌及型号必须为清单中有效期内产品并提供证明文件，否则其投标将被认定为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85" w:name="_Toc18529"/>
      <w:bookmarkStart w:id="186" w:name="_Toc6364"/>
      <w:bookmarkStart w:id="187" w:name="_Toc515647782"/>
      <w:bookmarkStart w:id="188" w:name="_Toc9469"/>
      <w:r>
        <w:rPr>
          <w:rFonts w:hint="eastAsia" w:hAnsi="宋体" w:cs="宋体"/>
          <w:color w:val="000000"/>
          <w:sz w:val="21"/>
          <w:szCs w:val="21"/>
          <w:highlight w:val="none"/>
          <w:u w:val="none"/>
        </w:rPr>
        <w:t>21.投标偏离</w:t>
      </w:r>
      <w:bookmarkEnd w:id="185"/>
      <w:bookmarkEnd w:id="186"/>
      <w:bookmarkEnd w:id="187"/>
      <w:bookmarkEnd w:id="188"/>
    </w:p>
    <w:p>
      <w:pPr>
        <w:kinsoku w:val="0"/>
        <w:overflowPunct w:val="0"/>
        <w:adjustRightInd w:val="0"/>
        <w:snapToGrid w:val="0"/>
        <w:spacing w:line="360" w:lineRule="exact"/>
        <w:ind w:left="768" w:leftChars="99" w:hanging="560" w:hangingChars="267"/>
        <w:rPr>
          <w:rFonts w:hint="eastAsia" w:ascii="宋体" w:hAnsi="宋体" w:cs="宋体"/>
          <w:color w:val="000000"/>
          <w:szCs w:val="21"/>
          <w:highlight w:val="none"/>
        </w:rPr>
      </w:pPr>
      <w:r>
        <w:rPr>
          <w:rFonts w:hint="eastAsia" w:ascii="宋体" w:hAnsi="宋体" w:cs="宋体"/>
          <w:color w:val="000000"/>
          <w:szCs w:val="21"/>
          <w:highlight w:val="none"/>
        </w:rPr>
        <w:t xml:space="preserve">     评标委员会可以接受投标文件中不构成实质性偏离的不正规或不一致。</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89" w:name="_Toc515647783"/>
      <w:bookmarkStart w:id="190" w:name="_Toc23936"/>
      <w:bookmarkStart w:id="191" w:name="_Toc6092"/>
      <w:bookmarkStart w:id="192" w:name="_Toc4950"/>
      <w:r>
        <w:rPr>
          <w:rFonts w:hint="eastAsia" w:hAnsi="宋体" w:cs="宋体"/>
          <w:color w:val="000000"/>
          <w:sz w:val="21"/>
          <w:szCs w:val="21"/>
          <w:highlight w:val="none"/>
          <w:u w:val="none"/>
        </w:rPr>
        <w:t>22.投标</w:t>
      </w:r>
      <w:bookmarkEnd w:id="189"/>
      <w:r>
        <w:rPr>
          <w:rFonts w:hint="eastAsia" w:hAnsi="宋体" w:cs="宋体"/>
          <w:color w:val="000000"/>
          <w:sz w:val="21"/>
          <w:szCs w:val="21"/>
          <w:highlight w:val="none"/>
          <w:u w:val="none"/>
        </w:rPr>
        <w:t>无效</w:t>
      </w:r>
      <w:bookmarkEnd w:id="190"/>
      <w:bookmarkEnd w:id="191"/>
      <w:bookmarkEnd w:id="192"/>
    </w:p>
    <w:p>
      <w:pPr>
        <w:kinsoku w:val="0"/>
        <w:overflowPunct w:val="0"/>
        <w:adjustRightInd w:val="0"/>
        <w:snapToGrid w:val="0"/>
        <w:spacing w:line="360" w:lineRule="exact"/>
        <w:ind w:left="739" w:leftChars="-23" w:hanging="787" w:hangingChars="375"/>
        <w:rPr>
          <w:rFonts w:hint="eastAsia" w:ascii="宋体" w:hAnsi="宋体" w:cs="宋体"/>
          <w:color w:val="000000"/>
          <w:szCs w:val="21"/>
          <w:highlight w:val="none"/>
        </w:rPr>
      </w:pPr>
      <w:r>
        <w:rPr>
          <w:rFonts w:hint="eastAsia" w:ascii="宋体" w:hAnsi="宋体" w:cs="宋体"/>
          <w:color w:val="000000"/>
          <w:szCs w:val="21"/>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。投标人不得通过修正或撤销不符合要求的偏离，从而使其投标成为实质上响应的投标。</w:t>
      </w:r>
    </w:p>
    <w:p>
      <w:pPr>
        <w:kinsoku w:val="0"/>
        <w:overflowPunct w:val="0"/>
        <w:adjustRightInd w:val="0"/>
        <w:snapToGrid w:val="0"/>
        <w:spacing w:line="360" w:lineRule="exact"/>
        <w:ind w:left="792" w:leftChars="377"/>
        <w:rPr>
          <w:rFonts w:hint="eastAsia" w:ascii="宋体" w:hAnsi="宋体" w:cs="宋体"/>
          <w:color w:val="000000"/>
          <w:szCs w:val="21"/>
          <w:highlight w:val="none"/>
        </w:rPr>
      </w:pPr>
      <w:r>
        <w:rPr>
          <w:rFonts w:hint="eastAsia" w:ascii="宋体" w:hAnsi="宋体" w:cs="宋体"/>
          <w:color w:val="000000"/>
          <w:szCs w:val="21"/>
          <w:highlight w:val="none"/>
        </w:rPr>
        <w:t>评标委员会决定投标的响应性只根据招标文件要求、投标文件内容及财政主管部门指定相关信息发布媒体。</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22.2</w:t>
      </w:r>
      <w:r>
        <w:rPr>
          <w:rFonts w:hint="eastAsia" w:ascii="宋体" w:hAnsi="宋体" w:cs="宋体"/>
          <w:color w:val="000000"/>
          <w:szCs w:val="21"/>
          <w:highlight w:val="none"/>
        </w:rPr>
        <w:tab/>
      </w:r>
      <w:r>
        <w:rPr>
          <w:rFonts w:hint="eastAsia" w:ascii="宋体" w:hAnsi="宋体" w:cs="宋体"/>
          <w:color w:val="000000"/>
          <w:szCs w:val="21"/>
          <w:highlight w:val="none"/>
        </w:rPr>
        <w:t>如发现下列情况之一的，其投标将被认定为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r>
        <w:rPr>
          <w:rFonts w:hint="eastAsia" w:ascii="宋体" w:hAnsi="宋体" w:cs="宋体"/>
          <w:b/>
          <w:color w:val="000000"/>
          <w:szCs w:val="21"/>
          <w:highlight w:val="none"/>
        </w:rPr>
        <w:t>以下情形应当在招标文件中规定，并以醒目的方式标明</w:t>
      </w:r>
      <w:r>
        <w:rPr>
          <w:rFonts w:hint="eastAsia" w:ascii="宋体" w:hAnsi="宋体" w:cs="宋体"/>
          <w:color w:val="000000"/>
          <w:szCs w:val="21"/>
          <w:highlight w:val="none"/>
        </w:rPr>
        <w:t>）</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未按招标文件规定的形式和金额提交投标保证金的；</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未按照招标文件规定要求签署、盖章的；</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未满足招标文件中技术条款的实质性要求；</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与其他投标人串通投标，或者与招标人串通投标；</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属于招标文件规定的其他</w:t>
      </w:r>
      <w:r>
        <w:rPr>
          <w:rFonts w:hint="eastAsia" w:ascii="宋体" w:hAnsi="宋体" w:cs="宋体"/>
          <w:b/>
          <w:bCs/>
          <w:color w:val="000000"/>
          <w:szCs w:val="21"/>
          <w:highlight w:val="none"/>
        </w:rPr>
        <w:t>投标无效</w:t>
      </w:r>
      <w:r>
        <w:rPr>
          <w:rFonts w:hint="eastAsia" w:ascii="宋体" w:hAnsi="宋体" w:cs="宋体"/>
          <w:b/>
          <w:color w:val="000000"/>
          <w:szCs w:val="21"/>
          <w:highlight w:val="none"/>
        </w:rPr>
        <w:t>情形；</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评标委员会认为投标人的报价明显低于其他通过符合性检查投标人的报价，有可能影响履约的，且投标人未按照规定证明其报价合理性的；</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投标文件含有采购人不能接受的附加条件的；</w:t>
      </w:r>
    </w:p>
    <w:p>
      <w:pPr>
        <w:numPr>
          <w:ilvl w:val="0"/>
          <w:numId w:val="6"/>
        </w:numPr>
        <w:tabs>
          <w:tab w:val="left" w:pos="0"/>
        </w:tabs>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不符合法规和招标文件中规定的其他实质性要求的。</w:t>
      </w:r>
    </w:p>
    <w:p>
      <w:pPr>
        <w:kinsoku w:val="0"/>
        <w:overflowPunct w:val="0"/>
        <w:adjustRightInd w:val="0"/>
        <w:snapToGrid w:val="0"/>
        <w:spacing w:line="360" w:lineRule="exact"/>
        <w:rPr>
          <w:rFonts w:hint="eastAsia" w:ascii="宋体" w:hAnsi="宋体" w:cs="宋体"/>
          <w:b/>
          <w:bCs/>
          <w:color w:val="000000"/>
          <w:szCs w:val="21"/>
          <w:highlight w:val="none"/>
        </w:rPr>
      </w:pPr>
      <w:bookmarkStart w:id="193" w:name="_Toc8521"/>
      <w:bookmarkStart w:id="194" w:name="_Toc13652"/>
      <w:bookmarkStart w:id="195" w:name="_Toc22941"/>
      <w:bookmarkStart w:id="196" w:name="_Toc515647784"/>
      <w:r>
        <w:rPr>
          <w:rFonts w:hint="eastAsia" w:ascii="宋体" w:hAnsi="宋体" w:cs="宋体"/>
          <w:b/>
          <w:bCs/>
          <w:color w:val="000000"/>
          <w:szCs w:val="21"/>
          <w:highlight w:val="none"/>
        </w:rPr>
        <w:t>23.</w:t>
      </w:r>
      <w:bookmarkEnd w:id="184"/>
      <w:r>
        <w:rPr>
          <w:rFonts w:hint="eastAsia" w:ascii="宋体" w:hAnsi="宋体" w:cs="宋体"/>
          <w:b/>
          <w:bCs/>
          <w:color w:val="000000"/>
          <w:szCs w:val="21"/>
          <w:highlight w:val="none"/>
        </w:rPr>
        <w:t>比较与评价</w:t>
      </w:r>
      <w:bookmarkEnd w:id="193"/>
      <w:bookmarkEnd w:id="194"/>
      <w:bookmarkEnd w:id="195"/>
      <w:bookmarkEnd w:id="196"/>
    </w:p>
    <w:p>
      <w:pPr>
        <w:kinsoku w:val="0"/>
        <w:overflowPunct w:val="0"/>
        <w:adjustRightInd w:val="0"/>
        <w:snapToGrid w:val="0"/>
        <w:spacing w:line="360" w:lineRule="exact"/>
        <w:ind w:left="788" w:hanging="787" w:hangingChars="375"/>
        <w:rPr>
          <w:rFonts w:hint="eastAsia"/>
        </w:rPr>
      </w:pPr>
      <w:r>
        <w:rPr>
          <w:rFonts w:hint="eastAsia" w:ascii="宋体" w:hAnsi="宋体" w:cs="宋体"/>
          <w:color w:val="000000"/>
          <w:szCs w:val="21"/>
          <w:highlight w:val="none"/>
        </w:rPr>
        <w:t>23.1</w:t>
      </w:r>
      <w:r>
        <w:rPr>
          <w:rFonts w:hint="eastAsia" w:ascii="宋体" w:hAnsi="宋体" w:cs="宋体"/>
          <w:color w:val="000000"/>
          <w:szCs w:val="21"/>
          <w:highlight w:val="none"/>
        </w:rPr>
        <w:tab/>
      </w:r>
      <w:r>
        <w:rPr>
          <w:rFonts w:hint="eastAsia" w:ascii="宋体" w:hAnsi="宋体" w:cs="宋体"/>
          <w:color w:val="000000"/>
          <w:szCs w:val="21"/>
          <w:highlight w:val="none"/>
        </w:rPr>
        <w:t>经符合性审查合格的投标文件，评标委员会将根据招标文件确定的评标方法和标准，对其技术部分和商务部分作进一步的比较和评价。</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rPr>
      </w:pPr>
      <w:r>
        <w:rPr>
          <w:rFonts w:hint="eastAsia" w:ascii="宋体" w:hAnsi="宋体" w:cs="宋体"/>
          <w:color w:val="000000"/>
          <w:szCs w:val="21"/>
          <w:highlight w:val="none"/>
        </w:rPr>
        <w:t xml:space="preserve">23.2  </w:t>
      </w:r>
      <w:r>
        <w:rPr>
          <w:rFonts w:hint="eastAsia" w:ascii="宋体" w:hAnsi="宋体" w:cs="宋体"/>
          <w:color w:val="000000"/>
          <w:szCs w:val="21"/>
          <w:highlight w:val="none"/>
        </w:rPr>
        <w:tab/>
      </w:r>
      <w:r>
        <w:rPr>
          <w:rFonts w:hint="eastAsia" w:ascii="宋体" w:hAnsi="宋体" w:cs="宋体"/>
          <w:color w:val="000000"/>
          <w:szCs w:val="21"/>
          <w:highlight w:val="none"/>
        </w:rPr>
        <w:t>评标严格按照招标文件的要求和条件进行。根据实际情况，在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中规定采用下列评标方法，详细评标标准见招标文件</w:t>
      </w:r>
      <w:r>
        <w:rPr>
          <w:rFonts w:hint="eastAsia" w:ascii="宋体" w:hAnsi="宋体" w:cs="宋体"/>
          <w:b/>
          <w:bCs/>
          <w:color w:val="000000"/>
          <w:szCs w:val="21"/>
          <w:highlight w:val="none"/>
        </w:rPr>
        <w:t>第四章： 综合评分法，是指投标文件满足招标文件全部实质性要求，且按照评审因素的量化指标评审得分最高的投标人为中标候选人的评标方法（其中价格部分30分，技术部分5</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分，商务部分</w:t>
      </w:r>
      <w:r>
        <w:rPr>
          <w:rFonts w:hint="eastAsia" w:ascii="宋体" w:hAnsi="宋体" w:cs="宋体"/>
          <w:b/>
          <w:bCs/>
          <w:color w:val="000000"/>
          <w:szCs w:val="21"/>
          <w:highlight w:val="none"/>
          <w:lang w:val="en-US" w:eastAsia="zh-CN"/>
        </w:rPr>
        <w:t>18</w:t>
      </w:r>
      <w:r>
        <w:rPr>
          <w:rFonts w:hint="eastAsia" w:ascii="宋体" w:hAnsi="宋体" w:cs="宋体"/>
          <w:b/>
          <w:bCs/>
          <w:color w:val="000000"/>
          <w:szCs w:val="21"/>
          <w:highlight w:val="none"/>
        </w:rPr>
        <w:t>分）。</w:t>
      </w:r>
    </w:p>
    <w:p>
      <w:pPr>
        <w:keepNext w:val="0"/>
        <w:keepLines w:val="0"/>
        <w:pageBreakBefore w:val="0"/>
        <w:widowControl w:val="0"/>
        <w:kinsoku/>
        <w:wordWrap/>
        <w:overflowPunct/>
        <w:topLinePunct w:val="0"/>
        <w:autoSpaceDE/>
        <w:autoSpaceDN/>
        <w:bidi w:val="0"/>
        <w:adjustRightInd/>
        <w:snapToGrid/>
        <w:spacing w:before="1" w:line="400" w:lineRule="exact"/>
        <w:ind w:right="0"/>
        <w:jc w:val="left"/>
        <w:textAlignment w:val="auto"/>
        <w:rPr>
          <w:rFonts w:hint="eastAsia"/>
          <w:b w:val="0"/>
          <w:bCs w:val="0"/>
          <w:spacing w:val="-12"/>
          <w:sz w:val="24"/>
          <w:highlight w:val="none"/>
        </w:rPr>
      </w:pPr>
      <w:r>
        <w:rPr>
          <w:rFonts w:hint="eastAsia" w:ascii="宋体" w:hAnsi="宋体" w:cs="宋体"/>
          <w:b w:val="0"/>
          <w:bCs w:val="0"/>
          <w:color w:val="000000"/>
          <w:szCs w:val="21"/>
          <w:highlight w:val="none"/>
          <w:lang w:val="en-US" w:eastAsia="zh-CN"/>
        </w:rPr>
        <w:t xml:space="preserve">23.3   </w:t>
      </w:r>
      <w:r>
        <w:rPr>
          <w:rFonts w:hint="eastAsia" w:ascii="宋体" w:hAnsi="宋体" w:cs="宋体"/>
          <w:b/>
          <w:bCs/>
          <w:color w:val="000000"/>
          <w:szCs w:val="21"/>
          <w:highlight w:val="none"/>
          <w:lang w:val="en-US" w:eastAsia="zh-CN"/>
        </w:rPr>
        <w:t xml:space="preserve"> </w:t>
      </w:r>
      <w:r>
        <w:rPr>
          <w:rFonts w:hint="eastAsia"/>
          <w:b w:val="0"/>
          <w:bCs w:val="0"/>
          <w:spacing w:val="-12"/>
          <w:sz w:val="24"/>
          <w:highlight w:val="none"/>
        </w:rPr>
        <w:t>根据《政府采购促进中小企业发展暂行办法》（财库［2011］181 号）和工信部联企业〔2011〕300 号文件</w:t>
      </w:r>
      <w:r>
        <w:rPr>
          <w:rFonts w:hint="eastAsia"/>
          <w:b w:val="0"/>
          <w:bCs w:val="0"/>
          <w:spacing w:val="-12"/>
          <w:sz w:val="24"/>
          <w:highlight w:val="none"/>
          <w:lang w:val="en-US" w:eastAsia="zh-CN"/>
        </w:rPr>
        <w:t>第二条、第五条的相关</w:t>
      </w:r>
      <w:r>
        <w:rPr>
          <w:rFonts w:hint="eastAsia"/>
          <w:b w:val="0"/>
          <w:bCs w:val="0"/>
          <w:spacing w:val="-12"/>
          <w:sz w:val="24"/>
          <w:highlight w:val="none"/>
        </w:rPr>
        <w:t>规定，对小型和微型企业产品的价格给予 6%的扣除，用扣除后的价格参与评审；大中型企业和和其他自然人、法人或者其他组织与小型、微型企业组成联合体共同参加非专门面向中小企业的政府采购活动的，小微企业的合同金额占联合体协议合同总金额30%以上的，给予联合体 3%的价格扣除，用扣除后的价格参与评审。</w:t>
      </w:r>
    </w:p>
    <w:p>
      <w:pPr>
        <w:pStyle w:val="13"/>
        <w:shd w:val="clear" w:color="auto" w:fill="E0E0E0"/>
        <w:spacing w:before="0" w:beforeAutospacing="0" w:after="0" w:afterAutospacing="0" w:line="380" w:lineRule="atLeast"/>
        <w:ind w:firstLine="560"/>
        <w:rPr>
          <w:rFonts w:hint="eastAsia" w:ascii="Times New Roman" w:hAnsi="Times New Roman"/>
          <w:b w:val="0"/>
          <w:bCs w:val="0"/>
          <w:spacing w:val="-12"/>
          <w:kern w:val="2"/>
          <w:sz w:val="24"/>
          <w:szCs w:val="24"/>
          <w:highlight w:val="none"/>
          <w:lang w:val="en-US" w:eastAsia="zh-CN" w:bidi="ar-SA"/>
        </w:rPr>
      </w:pPr>
      <w:r>
        <w:rPr>
          <w:rFonts w:hint="eastAsia" w:ascii="Times New Roman" w:hAnsi="Times New Roman"/>
          <w:b w:val="0"/>
          <w:bCs w:val="0"/>
          <w:spacing w:val="-12"/>
          <w:kern w:val="2"/>
          <w:sz w:val="24"/>
          <w:szCs w:val="24"/>
          <w:highlight w:val="none"/>
          <w:lang w:val="en-US" w:eastAsia="zh-CN" w:bidi="ar-SA"/>
        </w:rPr>
        <w:t xml:space="preserve">    注：所称中小企业（含中型、小型、微型企业，下同）应当同时符合以下条件：（一）符合中小企业划分标准；</w:t>
      </w:r>
    </w:p>
    <w:p>
      <w:pPr>
        <w:pStyle w:val="13"/>
        <w:shd w:val="clear" w:color="auto" w:fill="E0E0E0"/>
        <w:spacing w:before="0" w:beforeAutospacing="0" w:after="0" w:afterAutospacing="0" w:line="380" w:lineRule="atLeast"/>
        <w:ind w:firstLine="560"/>
        <w:rPr>
          <w:rFonts w:hint="eastAsia" w:ascii="Times New Roman" w:hAnsi="Times New Roman"/>
          <w:b w:val="0"/>
          <w:bCs w:val="0"/>
          <w:spacing w:val="-12"/>
          <w:kern w:val="2"/>
          <w:sz w:val="24"/>
          <w:szCs w:val="24"/>
          <w:highlight w:val="none"/>
          <w:lang w:val="en-US" w:eastAsia="zh-CN" w:bidi="ar-SA"/>
        </w:rPr>
      </w:pPr>
      <w:r>
        <w:rPr>
          <w:rFonts w:hint="eastAsia" w:ascii="Times New Roman" w:hAnsi="Times New Roman"/>
          <w:b w:val="0"/>
          <w:bCs w:val="0"/>
          <w:spacing w:val="-12"/>
          <w:kern w:val="2"/>
          <w:sz w:val="24"/>
          <w:szCs w:val="24"/>
          <w:highlight w:val="none"/>
          <w:lang w:val="en-US" w:eastAsia="zh-CN" w:bidi="ar-SA"/>
        </w:rPr>
        <w:t>（二）提供本企业制造的货物、承担的工程或者服务，或者提供其他中小企业制造的货物。本项所称货物不包括使用大型企业注册商标的货物。</w:t>
      </w:r>
    </w:p>
    <w:p>
      <w:pPr>
        <w:pStyle w:val="13"/>
        <w:shd w:val="clear" w:color="auto" w:fill="E0E0E0"/>
        <w:spacing w:before="0" w:beforeAutospacing="0" w:after="0" w:afterAutospacing="0" w:line="380" w:lineRule="atLeast"/>
        <w:ind w:firstLine="560"/>
        <w:rPr>
          <w:rFonts w:hint="eastAsia" w:ascii="Times New Roman" w:hAnsi="Times New Roman"/>
          <w:b w:val="0"/>
          <w:bCs w:val="0"/>
          <w:spacing w:val="-12"/>
          <w:kern w:val="2"/>
          <w:sz w:val="24"/>
          <w:szCs w:val="24"/>
          <w:highlight w:val="none"/>
          <w:lang w:val="en-US" w:eastAsia="zh-CN" w:bidi="ar-SA"/>
        </w:rPr>
      </w:pPr>
      <w:r>
        <w:rPr>
          <w:rFonts w:hint="eastAsia" w:ascii="Times New Roman" w:hAnsi="Times New Roman"/>
          <w:b w:val="0"/>
          <w:bCs w:val="0"/>
          <w:spacing w:val="-12"/>
          <w:kern w:val="2"/>
          <w:sz w:val="24"/>
          <w:szCs w:val="24"/>
          <w:highlight w:val="none"/>
          <w:lang w:val="en-US" w:eastAsia="zh-CN" w:bidi="ar-SA"/>
        </w:rPr>
        <w:t>本办法所称中小企业划分标准，是指国务院有关部门根据企业从业人员、营业收入、资产总额等指标制定的中小企业划型标准。</w:t>
      </w:r>
    </w:p>
    <w:p>
      <w:pPr>
        <w:pStyle w:val="13"/>
        <w:shd w:val="clear" w:color="auto" w:fill="E0E0E0"/>
        <w:spacing w:before="0" w:beforeAutospacing="0" w:after="0" w:afterAutospacing="0" w:line="380" w:lineRule="atLeast"/>
        <w:ind w:firstLine="560"/>
        <w:rPr>
          <w:rFonts w:hint="default" w:ascii="Times New Roman" w:hAnsi="Times New Roman"/>
          <w:b w:val="0"/>
          <w:bCs w:val="0"/>
          <w:spacing w:val="-12"/>
          <w:kern w:val="2"/>
          <w:sz w:val="24"/>
          <w:szCs w:val="24"/>
          <w:highlight w:val="none"/>
          <w:lang w:val="en-US" w:eastAsia="zh-CN" w:bidi="ar-SA"/>
        </w:rPr>
      </w:pPr>
      <w:r>
        <w:rPr>
          <w:rFonts w:hint="eastAsia" w:ascii="Times New Roman" w:hAnsi="Times New Roman"/>
          <w:b w:val="0"/>
          <w:bCs w:val="0"/>
          <w:spacing w:val="-12"/>
          <w:kern w:val="2"/>
          <w:sz w:val="24"/>
          <w:szCs w:val="24"/>
          <w:highlight w:val="none"/>
          <w:lang w:val="en-US" w:eastAsia="zh-CN" w:bidi="ar-SA"/>
        </w:rPr>
        <w:t>小型、微型企业提供中型企业制造的货物的，视同为中型企业。</w:t>
      </w: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367" w:rightChars="0" w:firstLine="648" w:firstLineChars="300"/>
        <w:jc w:val="both"/>
        <w:textAlignment w:val="auto"/>
        <w:rPr>
          <w:rFonts w:hint="eastAsia" w:eastAsia="宋体"/>
          <w:b w:val="0"/>
          <w:bCs w:val="0"/>
          <w:spacing w:val="-12"/>
          <w:sz w:val="24"/>
          <w:highlight w:val="none"/>
          <w:lang w:eastAsia="zh-CN"/>
        </w:rPr>
      </w:pPr>
      <w:r>
        <w:rPr>
          <w:b w:val="0"/>
          <w:bCs w:val="0"/>
          <w:spacing w:val="-12"/>
          <w:sz w:val="24"/>
          <w:highlight w:val="none"/>
        </w:rPr>
        <w:t>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r>
        <w:rPr>
          <w:rFonts w:hint="eastAsia" w:eastAsia="宋体"/>
          <w:b w:val="0"/>
          <w:bCs w:val="0"/>
          <w:spacing w:val="-12"/>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367" w:rightChars="0" w:firstLine="648" w:firstLineChars="300"/>
        <w:jc w:val="both"/>
        <w:textAlignment w:val="auto"/>
        <w:rPr>
          <w:b w:val="0"/>
          <w:bCs w:val="0"/>
          <w:spacing w:val="-12"/>
          <w:sz w:val="24"/>
          <w:highlight w:val="none"/>
        </w:rPr>
      </w:pPr>
      <w:r>
        <w:rPr>
          <w:b w:val="0"/>
          <w:bCs w:val="0"/>
          <w:spacing w:val="-12"/>
          <w:sz w:val="24"/>
          <w:highlight w:val="none"/>
        </w:rPr>
        <w:t>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r>
        <w:rPr>
          <w:rFonts w:hint="eastAsia" w:ascii="宋体" w:hAnsi="宋体"/>
          <w:b w:val="0"/>
          <w:bCs w:val="0"/>
          <w:sz w:val="24"/>
          <w:lang w:val="en-US" w:eastAsia="zh-CN"/>
        </w:rPr>
        <w:t>因本项目产品种类较多，此条款本项目不适用。</w:t>
      </w:r>
    </w:p>
    <w:p>
      <w:pPr>
        <w:keepNext w:val="0"/>
        <w:keepLines w:val="0"/>
        <w:pageBreakBefore w:val="0"/>
        <w:widowControl w:val="0"/>
        <w:kinsoku/>
        <w:wordWrap/>
        <w:overflowPunct/>
        <w:topLinePunct w:val="0"/>
        <w:autoSpaceDE/>
        <w:autoSpaceDN/>
        <w:bidi w:val="0"/>
        <w:adjustRightInd/>
        <w:snapToGrid/>
        <w:spacing w:before="0" w:line="400" w:lineRule="exact"/>
        <w:ind w:left="203" w:right="367" w:firstLine="480"/>
        <w:jc w:val="both"/>
        <w:textAlignment w:val="auto"/>
        <w:rPr>
          <w:b/>
          <w:bCs/>
          <w:spacing w:val="-12"/>
          <w:sz w:val="24"/>
          <w:highlight w:val="none"/>
        </w:rPr>
      </w:pPr>
      <w:r>
        <w:rPr>
          <w:b/>
          <w:bCs/>
          <w:spacing w:val="-12"/>
          <w:sz w:val="24"/>
          <w:highlight w:val="none"/>
        </w:rPr>
        <w:t>以上政策不重复享受。</w:t>
      </w:r>
    </w:p>
    <w:p>
      <w:pPr>
        <w:keepNext w:val="0"/>
        <w:keepLines w:val="0"/>
        <w:pageBreakBefore w:val="0"/>
        <w:widowControl w:val="0"/>
        <w:kinsoku/>
        <w:wordWrap/>
        <w:overflowPunct/>
        <w:topLinePunct w:val="0"/>
        <w:autoSpaceDE/>
        <w:autoSpaceDN/>
        <w:bidi w:val="0"/>
        <w:adjustRightInd/>
        <w:snapToGrid/>
        <w:spacing w:before="0" w:line="400" w:lineRule="exact"/>
        <w:ind w:left="203" w:right="367" w:firstLine="480"/>
        <w:jc w:val="both"/>
        <w:textAlignment w:val="auto"/>
        <w:rPr>
          <w:rFonts w:hint="eastAsia" w:eastAsia="宋体"/>
          <w:b/>
          <w:bCs/>
          <w:spacing w:val="-12"/>
          <w:sz w:val="24"/>
          <w:highlight w:val="none"/>
          <w:lang w:eastAsia="zh-CN"/>
        </w:rPr>
      </w:pPr>
      <w:r>
        <w:rPr>
          <w:rFonts w:hint="eastAsia" w:eastAsia="宋体"/>
          <w:b/>
          <w:bCs/>
          <w:spacing w:val="-12"/>
          <w:sz w:val="24"/>
          <w:highlight w:val="none"/>
          <w:lang w:eastAsia="zh-CN"/>
        </w:rPr>
        <w:t>特别说明：</w:t>
      </w:r>
      <w:r>
        <w:rPr>
          <w:b/>
          <w:bCs/>
          <w:spacing w:val="-12"/>
          <w:sz w:val="24"/>
          <w:highlight w:val="none"/>
        </w:rPr>
        <w:t>小微企业投标人</w:t>
      </w:r>
      <w:r>
        <w:rPr>
          <w:rFonts w:hint="eastAsia"/>
          <w:b/>
          <w:bCs/>
          <w:spacing w:val="-12"/>
          <w:sz w:val="24"/>
          <w:highlight w:val="none"/>
          <w:lang w:eastAsia="zh-CN"/>
        </w:rPr>
        <w:t>需</w:t>
      </w:r>
      <w:r>
        <w:rPr>
          <w:b/>
          <w:bCs/>
          <w:spacing w:val="-12"/>
          <w:sz w:val="24"/>
          <w:highlight w:val="none"/>
        </w:rPr>
        <w:t>填写的《中小企业声明函》，残疾人福利性单位投标人</w:t>
      </w:r>
      <w:r>
        <w:rPr>
          <w:rFonts w:hint="eastAsia"/>
          <w:b/>
          <w:bCs/>
          <w:spacing w:val="-12"/>
          <w:sz w:val="24"/>
          <w:highlight w:val="none"/>
          <w:lang w:eastAsia="zh-CN"/>
        </w:rPr>
        <w:t>需</w:t>
      </w:r>
      <w:r>
        <w:rPr>
          <w:b/>
          <w:bCs/>
          <w:spacing w:val="-12"/>
          <w:sz w:val="24"/>
          <w:highlight w:val="none"/>
        </w:rPr>
        <w:t>填写的《残疾人福利性单位声明函》，监狱企业须投标人提供由省级</w:t>
      </w:r>
      <w:r>
        <w:rPr>
          <w:rFonts w:hint="eastAsia"/>
          <w:b/>
          <w:bCs/>
          <w:spacing w:val="-12"/>
          <w:sz w:val="24"/>
          <w:highlight w:val="none"/>
          <w:lang w:eastAsia="zh-CN"/>
        </w:rPr>
        <w:t>（自治区）</w:t>
      </w:r>
      <w:r>
        <w:rPr>
          <w:b/>
          <w:bCs/>
          <w:spacing w:val="-12"/>
          <w:sz w:val="24"/>
          <w:highlight w:val="none"/>
        </w:rPr>
        <w:t>以上监狱管理局、戒毒管理局（含新疆生产建设兵团）出具的属于监狱企业的证明文件，否则不予认定。</w:t>
      </w:r>
      <w:r>
        <w:rPr>
          <w:rFonts w:hint="eastAsia" w:eastAsia="宋体"/>
          <w:b/>
          <w:bCs/>
          <w:spacing w:val="-12"/>
          <w:sz w:val="24"/>
          <w:highlight w:val="none"/>
          <w:lang w:eastAsia="zh-CN"/>
        </w:rPr>
        <w:t>除以上声明函之外还需要提供有效证明文件或法律文书等，其他证明资料也可提供，不得提供虚假资料，具体由评标委员会根据各投标单位提供资料判定是否享受以上政策。</w:t>
      </w:r>
    </w:p>
    <w:p>
      <w:pPr>
        <w:pStyle w:val="9"/>
        <w:spacing w:line="360" w:lineRule="auto"/>
        <w:ind w:left="900" w:hanging="900" w:hangingChars="375"/>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根据《政府采购促进中小企业发展暂行办法》（财库[2011]181号）、《财政部司法部关于政府采购支持监狱企业发展有关问题的通知》（财库〔2014〕68号）和《三部门联合发布关于促进残疾人就业政府采购政策的通知》（</w:t>
      </w:r>
      <w:bookmarkStart w:id="197" w:name="sendNo"/>
      <w:r>
        <w:rPr>
          <w:rFonts w:hint="eastAsia" w:cs="宋体" w:asciiTheme="minorEastAsia" w:hAnsiTheme="minorEastAsia" w:eastAsiaTheme="minorEastAsia"/>
          <w:color w:val="auto"/>
          <w:sz w:val="24"/>
          <w:szCs w:val="24"/>
          <w:highlight w:val="none"/>
        </w:rPr>
        <w:t>财库〔</w:t>
      </w:r>
      <w:bookmarkEnd w:id="197"/>
      <w:r>
        <w:rPr>
          <w:rFonts w:hint="eastAsia" w:cs="宋体" w:asciiTheme="minorEastAsia" w:hAnsiTheme="minorEastAsia" w:eastAsiaTheme="minorEastAsia"/>
          <w:color w:val="auto"/>
          <w:sz w:val="24"/>
          <w:szCs w:val="24"/>
          <w:highlight w:val="none"/>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9"/>
        <w:spacing w:line="360" w:lineRule="auto"/>
        <w:ind w:left="900" w:hanging="900" w:hangingChars="375"/>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 </w:t>
      </w:r>
    </w:p>
    <w:p>
      <w:pPr>
        <w:pStyle w:val="12"/>
        <w:ind w:left="0" w:leftChars="0" w:firstLine="0" w:firstLineChars="0"/>
        <w:rPr>
          <w:rFonts w:hint="default" w:eastAsiaTheme="minorEastAsia"/>
          <w:lang w:val="en-US" w:eastAsia="zh-CN"/>
        </w:rPr>
      </w:pP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98" w:name="_Toc520356168"/>
      <w:bookmarkStart w:id="199" w:name="_Toc20227"/>
      <w:bookmarkStart w:id="200" w:name="_Toc515647785"/>
      <w:bookmarkStart w:id="201" w:name="_Toc31728"/>
      <w:bookmarkStart w:id="202" w:name="_Toc9378"/>
      <w:r>
        <w:rPr>
          <w:rFonts w:hint="eastAsia" w:hAnsi="宋体" w:cs="宋体"/>
          <w:color w:val="000000"/>
          <w:sz w:val="21"/>
          <w:szCs w:val="21"/>
          <w:highlight w:val="none"/>
          <w:u w:val="none"/>
        </w:rPr>
        <w:t>24</w:t>
      </w:r>
      <w:bookmarkEnd w:id="198"/>
      <w:r>
        <w:rPr>
          <w:rFonts w:hint="eastAsia" w:hAnsi="宋体" w:cs="宋体"/>
          <w:color w:val="000000"/>
          <w:sz w:val="21"/>
          <w:szCs w:val="21"/>
          <w:highlight w:val="none"/>
          <w:u w:val="none"/>
        </w:rPr>
        <w:t>.废标</w:t>
      </w:r>
      <w:bookmarkEnd w:id="199"/>
      <w:bookmarkEnd w:id="200"/>
      <w:bookmarkEnd w:id="201"/>
      <w:bookmarkEnd w:id="202"/>
    </w:p>
    <w:p>
      <w:pPr>
        <w:kinsoku w:val="0"/>
        <w:overflowPunct w:val="0"/>
        <w:adjustRightInd w:val="0"/>
        <w:snapToGrid w:val="0"/>
        <w:spacing w:line="360" w:lineRule="exact"/>
        <w:ind w:left="890" w:leftChars="399" w:hanging="52" w:hangingChars="25"/>
        <w:rPr>
          <w:rFonts w:hint="eastAsia" w:ascii="宋体" w:hAnsi="宋体" w:cs="宋体"/>
          <w:color w:val="000000"/>
          <w:szCs w:val="21"/>
          <w:highlight w:val="none"/>
        </w:rPr>
      </w:pPr>
      <w:r>
        <w:rPr>
          <w:rFonts w:hint="eastAsia" w:ascii="宋体" w:hAnsi="宋体" w:cs="宋体"/>
          <w:color w:val="000000"/>
          <w:szCs w:val="21"/>
          <w:highlight w:val="none"/>
        </w:rPr>
        <w:t xml:space="preserve">出现下列情形之一，将导致项目废标： </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（1）符合专业条件的供应商或者对招标文件做实质性响应的供应商不足三家；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（2）出现影响采购公正的违法、违规行为的；</w:t>
      </w:r>
    </w:p>
    <w:p>
      <w:pPr>
        <w:kinsoku w:val="0"/>
        <w:overflowPunct w:val="0"/>
        <w:adjustRightInd w:val="0"/>
        <w:snapToGrid w:val="0"/>
        <w:spacing w:line="360" w:lineRule="exact"/>
        <w:ind w:firstLine="735" w:firstLineChars="350"/>
        <w:rPr>
          <w:rFonts w:hint="eastAsia" w:ascii="宋体" w:hAnsi="宋体" w:cs="宋体"/>
          <w:color w:val="000000"/>
          <w:szCs w:val="21"/>
          <w:highlight w:val="none"/>
        </w:rPr>
      </w:pPr>
      <w:r>
        <w:rPr>
          <w:rFonts w:hint="eastAsia" w:ascii="宋体" w:hAnsi="宋体" w:cs="宋体"/>
          <w:color w:val="000000"/>
          <w:szCs w:val="21"/>
          <w:highlight w:val="none"/>
        </w:rPr>
        <w:t>（3）投标人的报价均超过了采购预算，采购人不能支付的；</w:t>
      </w:r>
    </w:p>
    <w:p>
      <w:pPr>
        <w:kinsoku w:val="0"/>
        <w:overflowPunct w:val="0"/>
        <w:adjustRightInd w:val="0"/>
        <w:snapToGrid w:val="0"/>
        <w:spacing w:line="360" w:lineRule="exact"/>
        <w:ind w:firstLine="735" w:firstLineChars="350"/>
        <w:rPr>
          <w:rFonts w:hint="eastAsia" w:ascii="宋体" w:hAnsi="宋体" w:cs="宋体"/>
          <w:color w:val="000000"/>
          <w:szCs w:val="21"/>
          <w:highlight w:val="none"/>
        </w:rPr>
      </w:pPr>
      <w:r>
        <w:rPr>
          <w:rFonts w:hint="eastAsia" w:ascii="宋体" w:hAnsi="宋体" w:cs="宋体"/>
          <w:color w:val="000000"/>
          <w:szCs w:val="21"/>
          <w:highlight w:val="none"/>
        </w:rPr>
        <w:t xml:space="preserve">（4）因重大变故，采购任务取消的。   </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03" w:name="_Toc31289"/>
      <w:bookmarkStart w:id="204" w:name="_Toc11175"/>
      <w:bookmarkStart w:id="205" w:name="_Toc515647786"/>
      <w:bookmarkStart w:id="206" w:name="_Toc24972"/>
      <w:bookmarkStart w:id="207" w:name="_Toc520356169"/>
      <w:r>
        <w:rPr>
          <w:rFonts w:hint="eastAsia" w:hAnsi="宋体" w:cs="宋体"/>
          <w:color w:val="000000"/>
          <w:sz w:val="21"/>
          <w:szCs w:val="21"/>
          <w:highlight w:val="none"/>
          <w:u w:val="none"/>
        </w:rPr>
        <w:t>25.保密原则</w:t>
      </w:r>
      <w:bookmarkEnd w:id="203"/>
      <w:bookmarkEnd w:id="204"/>
      <w:bookmarkEnd w:id="205"/>
      <w:bookmarkEnd w:id="206"/>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25.1</w:t>
      </w:r>
      <w:r>
        <w:rPr>
          <w:rFonts w:hint="eastAsia" w:ascii="宋体" w:hAnsi="宋体" w:cs="宋体"/>
          <w:color w:val="000000"/>
          <w:szCs w:val="21"/>
          <w:highlight w:val="none"/>
        </w:rPr>
        <w:tab/>
      </w:r>
      <w:r>
        <w:rPr>
          <w:rFonts w:hint="eastAsia" w:ascii="宋体" w:hAnsi="宋体" w:cs="宋体"/>
          <w:color w:val="000000"/>
          <w:szCs w:val="21"/>
          <w:highlight w:val="none"/>
        </w:rPr>
        <w:t>评标将在严格保密的情况下进行。</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25.2</w:t>
      </w:r>
      <w:r>
        <w:rPr>
          <w:rFonts w:hint="eastAsia" w:ascii="宋体" w:hAnsi="宋体" w:cs="宋体"/>
          <w:color w:val="000000"/>
          <w:szCs w:val="21"/>
          <w:highlight w:val="none"/>
        </w:rPr>
        <w:tab/>
      </w:r>
      <w:r>
        <w:rPr>
          <w:rFonts w:hint="eastAsia" w:ascii="宋体" w:hAnsi="宋体" w:cs="宋体"/>
          <w:color w:val="000000"/>
          <w:szCs w:val="21"/>
          <w:highlight w:val="none"/>
        </w:rPr>
        <w:t>政府采购评审专家应当遵守评审工作纪律，不得泄露评审文件、评审情况和评审中获悉的商业秘密。</w:t>
      </w: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208" w:name="_Toc216582810"/>
      <w:bookmarkStart w:id="209" w:name="_Toc23904"/>
      <w:bookmarkStart w:id="210" w:name="_Toc2153"/>
      <w:bookmarkStart w:id="211" w:name="_Toc515647787"/>
      <w:bookmarkStart w:id="212" w:name="_Toc12143"/>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六   </w:t>
      </w:r>
      <w:bookmarkEnd w:id="207"/>
      <w:r>
        <w:rPr>
          <w:rFonts w:hint="eastAsia" w:ascii="宋体" w:hAnsi="宋体" w:eastAsia="宋体" w:cs="宋体"/>
          <w:color w:val="000000"/>
          <w:sz w:val="21"/>
          <w:szCs w:val="21"/>
          <w:highlight w:val="none"/>
        </w:rPr>
        <w:t>确定中标</w:t>
      </w:r>
      <w:bookmarkEnd w:id="208"/>
      <w:bookmarkEnd w:id="209"/>
      <w:bookmarkEnd w:id="210"/>
      <w:bookmarkEnd w:id="211"/>
      <w:bookmarkEnd w:id="212"/>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13" w:name="_Toc23762"/>
      <w:bookmarkStart w:id="214" w:name="_Toc28066"/>
      <w:bookmarkStart w:id="215" w:name="_Toc515647788"/>
      <w:bookmarkStart w:id="216" w:name="_Toc23617"/>
      <w:bookmarkStart w:id="217" w:name="_Toc520356170"/>
      <w:bookmarkStart w:id="218" w:name="_Ref467307010"/>
      <w:r>
        <w:rPr>
          <w:rFonts w:hint="eastAsia" w:hAnsi="宋体" w:cs="宋体"/>
          <w:color w:val="000000"/>
          <w:sz w:val="21"/>
          <w:szCs w:val="21"/>
          <w:highlight w:val="none"/>
          <w:u w:val="none"/>
        </w:rPr>
        <w:t>26.中标候选人的确定原则及标准</w:t>
      </w:r>
      <w:bookmarkEnd w:id="213"/>
      <w:bookmarkEnd w:id="214"/>
      <w:bookmarkEnd w:id="215"/>
      <w:bookmarkEnd w:id="216"/>
      <w:bookmarkEnd w:id="217"/>
      <w:bookmarkEnd w:id="218"/>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除第28条规定外，对实质上响应招标文件的投标人按下列方法进行排序，确定投标候选人：</w:t>
      </w:r>
    </w:p>
    <w:p>
      <w:pPr>
        <w:kinsoku w:val="0"/>
        <w:overflowPunct w:val="0"/>
        <w:adjustRightInd w:val="0"/>
        <w:snapToGrid w:val="0"/>
        <w:spacing w:line="360" w:lineRule="exact"/>
        <w:ind w:left="901"/>
        <w:rPr>
          <w:rFonts w:hint="eastAsia" w:ascii="宋体" w:hAnsi="宋体" w:cs="宋体"/>
          <w:color w:val="000000"/>
          <w:szCs w:val="21"/>
          <w:highlight w:val="none"/>
        </w:rPr>
      </w:pPr>
      <w:bookmarkStart w:id="219" w:name="_Toc520356171"/>
      <w:bookmarkStart w:id="220" w:name="_Toc515647789"/>
      <w:r>
        <w:rPr>
          <w:rFonts w:hint="eastAsia" w:ascii="宋体" w:hAnsi="宋体" w:cs="宋体"/>
          <w:color w:val="000000"/>
          <w:szCs w:val="21"/>
          <w:highlight w:val="none"/>
        </w:rPr>
        <w:t>采用综合评分法：评标结果按评审后得分由高到低顺序排列。得分相同的，按修正和扣除后的投标报价由低到高顺序排列。得分与投标报价均相同的处理方式详见招标文件第6章。</w:t>
      </w:r>
    </w:p>
    <w:p>
      <w:pPr>
        <w:pStyle w:val="6"/>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221" w:name="_Toc19950"/>
      <w:bookmarkStart w:id="222" w:name="_Toc9653"/>
      <w:bookmarkStart w:id="223" w:name="_Toc23951"/>
      <w:r>
        <w:rPr>
          <w:rFonts w:hint="eastAsia" w:hAnsi="宋体" w:cs="宋体"/>
          <w:color w:val="000000"/>
          <w:sz w:val="21"/>
          <w:szCs w:val="21"/>
          <w:highlight w:val="none"/>
          <w:u w:val="none"/>
        </w:rPr>
        <w:t>27</w:t>
      </w:r>
      <w:bookmarkEnd w:id="219"/>
      <w:r>
        <w:rPr>
          <w:rFonts w:hint="eastAsia" w:hAnsi="宋体" w:cs="宋体"/>
          <w:color w:val="000000"/>
          <w:sz w:val="21"/>
          <w:szCs w:val="21"/>
          <w:highlight w:val="none"/>
          <w:u w:val="none"/>
        </w:rPr>
        <w:t>.确定中标候选人和中标人</w:t>
      </w:r>
      <w:bookmarkEnd w:id="220"/>
      <w:bookmarkEnd w:id="221"/>
      <w:bookmarkEnd w:id="222"/>
      <w:bookmarkEnd w:id="223"/>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评标委员会将根据评标标准，按</w:t>
      </w:r>
      <w:r>
        <w:rPr>
          <w:rFonts w:hint="eastAsia" w:ascii="宋体" w:hAnsi="宋体" w:cs="宋体"/>
          <w:color w:val="000000"/>
          <w:szCs w:val="21"/>
          <w:highlight w:val="none"/>
          <w:u w:val="single"/>
        </w:rPr>
        <w:t>投标人须知资料表中</w:t>
      </w:r>
      <w:r>
        <w:rPr>
          <w:rFonts w:hint="eastAsia" w:ascii="宋体" w:hAnsi="宋体" w:cs="宋体"/>
          <w:color w:val="000000"/>
          <w:szCs w:val="21"/>
          <w:highlight w:val="none"/>
        </w:rPr>
        <w:t>规定数量推荐中标候选人；或根据采购人的委托，直接确定中标人。</w:t>
      </w:r>
    </w:p>
    <w:p>
      <w:pPr>
        <w:pStyle w:val="6"/>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224" w:name="_Ref467306874"/>
      <w:bookmarkStart w:id="225" w:name="_Toc520356173"/>
      <w:bookmarkStart w:id="226" w:name="_Toc515647790"/>
      <w:bookmarkStart w:id="227" w:name="_Toc13782"/>
      <w:bookmarkStart w:id="228" w:name="_Toc8389"/>
      <w:bookmarkStart w:id="229" w:name="_Toc28562"/>
      <w:r>
        <w:rPr>
          <w:rFonts w:hint="eastAsia" w:hAnsi="宋体" w:cs="宋体"/>
          <w:color w:val="000000"/>
          <w:sz w:val="21"/>
          <w:szCs w:val="21"/>
          <w:highlight w:val="none"/>
          <w:u w:val="none"/>
        </w:rPr>
        <w:t>28.</w:t>
      </w:r>
      <w:bookmarkEnd w:id="224"/>
      <w:bookmarkEnd w:id="225"/>
      <w:r>
        <w:rPr>
          <w:rFonts w:hint="eastAsia" w:hAnsi="宋体" w:cs="宋体"/>
          <w:color w:val="000000"/>
          <w:sz w:val="21"/>
          <w:szCs w:val="21"/>
          <w:highlight w:val="none"/>
          <w:u w:val="none"/>
        </w:rPr>
        <w:t>采购任务取消</w:t>
      </w:r>
      <w:bookmarkEnd w:id="226"/>
      <w:bookmarkEnd w:id="227"/>
      <w:bookmarkEnd w:id="228"/>
      <w:bookmarkEnd w:id="229"/>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因重大变故采购任务取消时，采购人有权拒绝任何投标人中标，且对受影响的投标人不承担任何责任。</w:t>
      </w:r>
      <w:bookmarkStart w:id="230" w:name="_Toc520356174"/>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31" w:name="_Toc31142"/>
      <w:bookmarkStart w:id="232" w:name="_Toc515647791"/>
      <w:bookmarkStart w:id="233" w:name="_Toc30170"/>
      <w:bookmarkStart w:id="234" w:name="_Toc31099"/>
      <w:r>
        <w:rPr>
          <w:rFonts w:hint="eastAsia" w:hAnsi="宋体" w:cs="宋体"/>
          <w:color w:val="000000"/>
          <w:sz w:val="21"/>
          <w:szCs w:val="21"/>
          <w:highlight w:val="none"/>
          <w:u w:val="none"/>
        </w:rPr>
        <w:t>29.中标通知书</w:t>
      </w:r>
      <w:bookmarkEnd w:id="230"/>
      <w:r>
        <w:rPr>
          <w:rFonts w:hint="eastAsia" w:hAnsi="宋体" w:cs="宋体"/>
          <w:color w:val="000000"/>
          <w:sz w:val="21"/>
          <w:szCs w:val="21"/>
          <w:highlight w:val="none"/>
          <w:u w:val="none"/>
        </w:rPr>
        <w:t>和招标结果通知书</w:t>
      </w:r>
      <w:bookmarkEnd w:id="231"/>
      <w:bookmarkEnd w:id="232"/>
      <w:bookmarkEnd w:id="233"/>
      <w:bookmarkEnd w:id="234"/>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29.1</w:t>
      </w:r>
      <w:r>
        <w:rPr>
          <w:rFonts w:hint="eastAsia" w:ascii="宋体" w:hAnsi="宋体" w:cs="宋体"/>
          <w:color w:val="000000"/>
          <w:szCs w:val="21"/>
          <w:highlight w:val="none"/>
        </w:rPr>
        <w:tab/>
      </w:r>
      <w:r>
        <w:rPr>
          <w:rFonts w:hint="eastAsia" w:ascii="宋体" w:hAnsi="宋体" w:cs="宋体"/>
          <w:color w:val="000000"/>
          <w:szCs w:val="21"/>
          <w:highlight w:val="none"/>
        </w:rPr>
        <w:t>在投标有效期内，中标人确定后，采购人或者采购代理机构发布中标公告，同时以书面形式向中标人发出中标通知书。</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29.2</w:t>
      </w:r>
      <w:r>
        <w:rPr>
          <w:rFonts w:hint="eastAsia" w:ascii="宋体" w:hAnsi="宋体" w:cs="宋体"/>
          <w:color w:val="000000"/>
          <w:szCs w:val="21"/>
          <w:highlight w:val="none"/>
        </w:rPr>
        <w:tab/>
      </w:r>
      <w:r>
        <w:rPr>
          <w:rFonts w:hint="eastAsia" w:ascii="宋体" w:hAnsi="宋体" w:cs="宋体"/>
          <w:color w:val="000000"/>
          <w:szCs w:val="21"/>
          <w:highlight w:val="none"/>
        </w:rPr>
        <w:t>中标通知书是合同的组成部分。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35" w:name="_Toc790"/>
      <w:bookmarkStart w:id="236" w:name="_Toc14795"/>
      <w:bookmarkStart w:id="237" w:name="_Ref467307062"/>
      <w:bookmarkStart w:id="238" w:name="_Toc7779"/>
      <w:bookmarkStart w:id="239" w:name="_Ref467306978"/>
      <w:bookmarkStart w:id="240" w:name="_Toc520356175"/>
      <w:bookmarkStart w:id="241" w:name="_Toc515647792"/>
      <w:bookmarkStart w:id="242" w:name="_Ref467306377"/>
      <w:bookmarkStart w:id="243" w:name="_Ref467307204"/>
      <w:r>
        <w:rPr>
          <w:rFonts w:hint="eastAsia" w:hAnsi="宋体" w:cs="宋体"/>
          <w:color w:val="000000"/>
          <w:sz w:val="21"/>
          <w:szCs w:val="21"/>
          <w:highlight w:val="none"/>
          <w:u w:val="none"/>
        </w:rPr>
        <w:t>30.签订合同</w:t>
      </w:r>
      <w:bookmarkEnd w:id="235"/>
      <w:bookmarkEnd w:id="236"/>
      <w:bookmarkEnd w:id="237"/>
      <w:bookmarkEnd w:id="238"/>
      <w:bookmarkEnd w:id="239"/>
      <w:bookmarkEnd w:id="240"/>
      <w:bookmarkEnd w:id="241"/>
      <w:bookmarkEnd w:id="242"/>
      <w:bookmarkEnd w:id="243"/>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30.1</w:t>
      </w:r>
      <w:r>
        <w:rPr>
          <w:rFonts w:hint="eastAsia" w:ascii="宋体" w:hAnsi="宋体" w:cs="宋体"/>
          <w:color w:val="000000"/>
          <w:szCs w:val="21"/>
          <w:highlight w:val="none"/>
        </w:rPr>
        <w:tab/>
      </w:r>
      <w:r>
        <w:rPr>
          <w:rFonts w:hint="eastAsia" w:ascii="宋体" w:hAnsi="宋体" w:cs="宋体"/>
          <w:color w:val="000000"/>
          <w:szCs w:val="21"/>
          <w:highlight w:val="none"/>
        </w:rPr>
        <w:t>中标人应当自发出中标通知书之日起</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日内，与采购人签订合同。</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30.2</w:t>
      </w:r>
      <w:r>
        <w:rPr>
          <w:rFonts w:hint="eastAsia" w:ascii="宋体" w:hAnsi="宋体" w:cs="宋体"/>
          <w:color w:val="000000"/>
          <w:szCs w:val="21"/>
          <w:highlight w:val="none"/>
        </w:rPr>
        <w:tab/>
      </w:r>
      <w:bookmarkStart w:id="244" w:name="_Ref467307090"/>
      <w:bookmarkStart w:id="245" w:name="_Toc520356176"/>
      <w:bookmarkStart w:id="246" w:name="_Ref467306425"/>
      <w:r>
        <w:rPr>
          <w:rFonts w:hint="eastAsia" w:ascii="宋体" w:hAnsi="宋体" w:cs="宋体"/>
          <w:color w:val="000000"/>
          <w:szCs w:val="21"/>
          <w:highlight w:val="none"/>
        </w:rPr>
        <w:t>招标文件、中标人的投标文件及其澄清文件等，均为签订合同的依据。</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30.3   中标人拒绝与采购人签订合同的，采购人可以按照评审报告推荐的中标候选人名单排序，确定下一中标候选人为中标人，也可以重新开展政府采购活动。</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30.4   当出现法规规定的</w:t>
      </w:r>
      <w:r>
        <w:rPr>
          <w:rFonts w:hint="eastAsia" w:ascii="宋体" w:hAnsi="宋体" w:cs="宋体"/>
          <w:b/>
          <w:color w:val="000000"/>
          <w:szCs w:val="21"/>
          <w:highlight w:val="none"/>
        </w:rPr>
        <w:t>中标无效或中标结果无效</w:t>
      </w:r>
      <w:r>
        <w:rPr>
          <w:rFonts w:hint="eastAsia" w:ascii="宋体" w:hAnsi="宋体" w:cs="宋体"/>
          <w:color w:val="000000"/>
          <w:szCs w:val="21"/>
          <w:highlight w:val="none"/>
        </w:rPr>
        <w:t>情形时，采购人可与排名下一位的中标候选人另行签订合同，或依法重新开展采购活动。</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47" w:name="_Toc515647793"/>
      <w:bookmarkStart w:id="248" w:name="_Toc7188"/>
      <w:bookmarkStart w:id="249" w:name="_Toc14080"/>
      <w:bookmarkStart w:id="250" w:name="_Toc22555"/>
      <w:r>
        <w:rPr>
          <w:rFonts w:hint="eastAsia" w:hAnsi="宋体" w:cs="宋体"/>
          <w:color w:val="000000"/>
          <w:sz w:val="21"/>
          <w:szCs w:val="21"/>
          <w:highlight w:val="none"/>
          <w:u w:val="none"/>
        </w:rPr>
        <w:t>31.履约保证金</w:t>
      </w:r>
      <w:bookmarkEnd w:id="244"/>
      <w:bookmarkEnd w:id="245"/>
      <w:bookmarkEnd w:id="246"/>
      <w:bookmarkEnd w:id="247"/>
      <w:bookmarkEnd w:id="248"/>
      <w:bookmarkEnd w:id="249"/>
      <w:bookmarkEnd w:id="250"/>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31.1</w:t>
      </w:r>
      <w:r>
        <w:rPr>
          <w:rFonts w:hint="eastAsia" w:ascii="宋体" w:hAnsi="宋体" w:cs="宋体"/>
          <w:color w:val="000000"/>
          <w:szCs w:val="21"/>
          <w:highlight w:val="none"/>
        </w:rPr>
        <w:tab/>
      </w:r>
      <w:r>
        <w:rPr>
          <w:rFonts w:hint="eastAsia" w:ascii="宋体" w:hAnsi="宋体" w:cs="宋体"/>
          <w:color w:val="000000"/>
          <w:szCs w:val="21"/>
          <w:highlight w:val="none"/>
        </w:rPr>
        <w:t>中标人应按照</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规定向采购人缴纳履约保证金（如采用保函形式，格式见本章附件1）。</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31.2</w:t>
      </w:r>
      <w:r>
        <w:rPr>
          <w:rFonts w:hint="eastAsia" w:ascii="宋体" w:hAnsi="宋体" w:cs="宋体"/>
          <w:color w:val="000000"/>
          <w:szCs w:val="21"/>
          <w:highlight w:val="none"/>
        </w:rPr>
        <w:tab/>
      </w:r>
      <w:r>
        <w:rPr>
          <w:rFonts w:hint="eastAsia" w:ascii="宋体" w:hAnsi="宋体" w:cs="宋体"/>
          <w:color w:val="000000"/>
          <w:szCs w:val="21"/>
          <w:highlight w:val="none"/>
        </w:rPr>
        <w:t>政府采购利用担保试点范围内的项目，除31.1规定的情形外，中标人也可以按照财政部门的规定，向采购人提供合格的履约担保函（格式见本章附件2）。</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51" w:name="_Toc31936"/>
      <w:bookmarkStart w:id="252" w:name="_Toc515647794"/>
      <w:bookmarkStart w:id="253" w:name="_Toc3090"/>
      <w:bookmarkStart w:id="254" w:name="_Toc29408"/>
      <w:r>
        <w:rPr>
          <w:rFonts w:hint="eastAsia" w:hAnsi="宋体" w:cs="宋体"/>
          <w:color w:val="000000"/>
          <w:sz w:val="21"/>
          <w:szCs w:val="21"/>
          <w:highlight w:val="none"/>
          <w:u w:val="none"/>
        </w:rPr>
        <w:t>32.中标服务费</w:t>
      </w:r>
      <w:bookmarkEnd w:id="251"/>
      <w:bookmarkEnd w:id="252"/>
      <w:bookmarkEnd w:id="253"/>
      <w:bookmarkEnd w:id="254"/>
    </w:p>
    <w:p>
      <w:pPr>
        <w:kinsoku w:val="0"/>
        <w:overflowPunct w:val="0"/>
        <w:adjustRightInd w:val="0"/>
        <w:snapToGrid w:val="0"/>
        <w:spacing w:line="360" w:lineRule="exact"/>
        <w:ind w:left="787" w:leftChars="200" w:hanging="367" w:hangingChars="175"/>
        <w:rPr>
          <w:rFonts w:hint="eastAsia" w:ascii="宋体" w:hAnsi="宋体" w:cs="宋体"/>
          <w:color w:val="000000"/>
          <w:szCs w:val="21"/>
          <w:highlight w:val="none"/>
        </w:rPr>
      </w:pPr>
      <w:r>
        <w:rPr>
          <w:rFonts w:hint="eastAsia" w:ascii="宋体" w:hAnsi="宋体" w:cs="宋体"/>
          <w:color w:val="000000"/>
          <w:szCs w:val="21"/>
          <w:highlight w:val="none"/>
        </w:rPr>
        <w:t xml:space="preserve">   中标人须按照</w:t>
      </w:r>
      <w:r>
        <w:rPr>
          <w:rFonts w:hint="eastAsia" w:ascii="宋体" w:hAnsi="宋体" w:cs="宋体"/>
          <w:color w:val="000000"/>
          <w:szCs w:val="21"/>
          <w:highlight w:val="none"/>
          <w:u w:val="single"/>
        </w:rPr>
        <w:t>投标须知资料表</w:t>
      </w:r>
      <w:r>
        <w:rPr>
          <w:rFonts w:hint="eastAsia" w:ascii="宋体" w:hAnsi="宋体" w:cs="宋体"/>
          <w:color w:val="000000"/>
          <w:szCs w:val="21"/>
          <w:highlight w:val="none"/>
        </w:rPr>
        <w:t>规定，向采购代理机构支付中标服务费。</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55" w:name="_Toc7049"/>
      <w:bookmarkStart w:id="256" w:name="_Toc13588"/>
      <w:bookmarkStart w:id="257" w:name="_Toc515647795"/>
      <w:bookmarkStart w:id="258" w:name="_Toc6923"/>
      <w:r>
        <w:rPr>
          <w:rFonts w:hint="eastAsia" w:hAnsi="宋体" w:cs="宋体"/>
          <w:color w:val="000000"/>
          <w:sz w:val="21"/>
          <w:szCs w:val="21"/>
          <w:highlight w:val="none"/>
          <w:u w:val="none"/>
        </w:rPr>
        <w:t>33.政府采购信用担保</w:t>
      </w:r>
      <w:bookmarkEnd w:id="255"/>
      <w:bookmarkEnd w:id="256"/>
      <w:bookmarkEnd w:id="257"/>
      <w:bookmarkEnd w:id="258"/>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33.1   本项目是否属于信用担保试点范围见</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59" w:name="_Toc23999"/>
      <w:bookmarkStart w:id="260" w:name="_Toc27198"/>
      <w:bookmarkStart w:id="261" w:name="_Toc2133"/>
      <w:bookmarkStart w:id="262" w:name="_Toc515647796"/>
      <w:r>
        <w:rPr>
          <w:rFonts w:hint="eastAsia" w:hAnsi="宋体" w:cs="宋体"/>
          <w:color w:val="000000"/>
          <w:sz w:val="21"/>
          <w:szCs w:val="21"/>
          <w:highlight w:val="none"/>
          <w:u w:val="none"/>
        </w:rPr>
        <w:t>34.廉洁自律规定</w:t>
      </w:r>
      <w:bookmarkEnd w:id="259"/>
      <w:bookmarkEnd w:id="260"/>
      <w:bookmarkEnd w:id="261"/>
      <w:bookmarkEnd w:id="262"/>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34.1   采购代理机构工作人员不得以不正当手段获取政府采购代理业务，不得与采购人、供应商恶意串通操纵政府采购活动。</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34.2   采购代理机构工作人员不得接受采购人或者供应商组织的宴请、旅游、娱乐，不得收受礼品、现金、有价证券等，不得向采购人或者供应商报销应当由个人承担的费用。</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63" w:name="_Toc515647797"/>
      <w:bookmarkStart w:id="264" w:name="_Toc11586"/>
      <w:bookmarkStart w:id="265" w:name="_Toc10437"/>
      <w:bookmarkStart w:id="266" w:name="_Toc25480"/>
      <w:r>
        <w:rPr>
          <w:rFonts w:hint="eastAsia" w:hAnsi="宋体" w:cs="宋体"/>
          <w:color w:val="000000"/>
          <w:sz w:val="21"/>
          <w:szCs w:val="21"/>
          <w:highlight w:val="none"/>
          <w:u w:val="none"/>
        </w:rPr>
        <w:t>35.人员回避</w:t>
      </w:r>
      <w:bookmarkEnd w:id="263"/>
      <w:bookmarkEnd w:id="264"/>
      <w:bookmarkEnd w:id="265"/>
      <w:bookmarkEnd w:id="266"/>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xml:space="preserve">       投标人认为采购人员及其相关人员有法律法规所列与其他供应商有利害关系的，可以向采购人或采购代理机构书面提出回避申请，并说明理由。</w:t>
      </w:r>
    </w:p>
    <w:p>
      <w:pPr>
        <w:pStyle w:val="6"/>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67" w:name="_Toc515647798"/>
      <w:bookmarkStart w:id="268" w:name="_Toc11115"/>
      <w:bookmarkStart w:id="269" w:name="_Toc1148"/>
      <w:bookmarkStart w:id="270" w:name="_Toc10700"/>
      <w:r>
        <w:rPr>
          <w:rFonts w:hint="eastAsia" w:hAnsi="宋体" w:cs="宋体"/>
          <w:color w:val="000000"/>
          <w:sz w:val="21"/>
          <w:szCs w:val="21"/>
          <w:highlight w:val="none"/>
          <w:u w:val="none"/>
        </w:rPr>
        <w:t>36.质疑与接收</w:t>
      </w:r>
      <w:bookmarkEnd w:id="267"/>
      <w:bookmarkEnd w:id="268"/>
      <w:bookmarkEnd w:id="269"/>
      <w:bookmarkEnd w:id="270"/>
    </w:p>
    <w:p>
      <w:pPr>
        <w:kinsoku w:val="0"/>
        <w:overflowPunct w:val="0"/>
        <w:adjustRightInd w:val="0"/>
        <w:snapToGrid w:val="0"/>
        <w:spacing w:line="360" w:lineRule="exact"/>
        <w:ind w:left="762" w:leftChars="68" w:hanging="619" w:hangingChars="295"/>
        <w:rPr>
          <w:rFonts w:hint="eastAsia" w:ascii="宋体" w:hAnsi="宋体" w:cs="宋体"/>
          <w:color w:val="000000"/>
          <w:szCs w:val="21"/>
          <w:highlight w:val="none"/>
        </w:rPr>
      </w:pPr>
      <w:r>
        <w:rPr>
          <w:rFonts w:hint="eastAsia" w:ascii="宋体" w:hAnsi="宋体" w:cs="宋体"/>
          <w:color w:val="000000"/>
          <w:szCs w:val="21"/>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kinsoku w:val="0"/>
        <w:overflowPunct w:val="0"/>
        <w:adjustRightInd w:val="0"/>
        <w:snapToGrid w:val="0"/>
        <w:spacing w:line="360" w:lineRule="exact"/>
        <w:ind w:left="762" w:leftChars="68" w:hanging="619" w:hangingChars="295"/>
        <w:rPr>
          <w:rFonts w:hint="eastAsia" w:ascii="宋体" w:hAnsi="宋体" w:cs="宋体"/>
          <w:color w:val="000000"/>
          <w:szCs w:val="21"/>
          <w:highlight w:val="none"/>
        </w:rPr>
      </w:pPr>
      <w:r>
        <w:rPr>
          <w:rFonts w:hint="eastAsia" w:ascii="宋体" w:hAnsi="宋体" w:cs="宋体"/>
          <w:color w:val="000000"/>
          <w:szCs w:val="21"/>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kinsoku w:val="0"/>
        <w:overflowPunct w:val="0"/>
        <w:adjustRightInd w:val="0"/>
        <w:snapToGrid w:val="0"/>
        <w:spacing w:line="360" w:lineRule="exact"/>
        <w:ind w:left="851" w:leftChars="405" w:hanging="1"/>
        <w:rPr>
          <w:rFonts w:hint="eastAsia" w:ascii="宋体" w:hAnsi="宋体" w:cs="宋体"/>
          <w:color w:val="000000"/>
          <w:szCs w:val="21"/>
          <w:highlight w:val="none"/>
        </w:rPr>
      </w:pPr>
      <w:r>
        <w:rPr>
          <w:rFonts w:hint="eastAsia" w:ascii="宋体" w:hAnsi="宋体" w:cs="宋体"/>
          <w:color w:val="000000"/>
          <w:szCs w:val="21"/>
          <w:highlight w:val="none"/>
        </w:rPr>
        <w:t>超出法定质疑期的、重复提出的、分次提出的或内容、形式不符合《政府采购质疑和投诉办法》的，质疑供应商将依法承担不利后果。</w:t>
      </w:r>
    </w:p>
    <w:p>
      <w:pPr>
        <w:kinsoku w:val="0"/>
        <w:overflowPunct w:val="0"/>
        <w:adjustRightInd w:val="0"/>
        <w:snapToGrid w:val="0"/>
        <w:spacing w:line="360" w:lineRule="exact"/>
        <w:ind w:left="762" w:leftChars="68" w:hanging="619" w:hangingChars="295"/>
        <w:rPr>
          <w:rFonts w:hint="eastAsia" w:ascii="宋体" w:hAnsi="宋体" w:cs="宋体"/>
          <w:color w:val="000000"/>
          <w:szCs w:val="21"/>
          <w:highlight w:val="none"/>
        </w:rPr>
      </w:pPr>
      <w:r>
        <w:rPr>
          <w:rFonts w:hint="eastAsia" w:ascii="宋体" w:hAnsi="宋体" w:cs="宋体"/>
          <w:color w:val="000000"/>
          <w:szCs w:val="21"/>
          <w:highlight w:val="none"/>
        </w:rPr>
        <w:t>36.3  采购代理机构质疑函接收部门、联系电话和通讯地址, 见</w:t>
      </w:r>
      <w:r>
        <w:rPr>
          <w:rFonts w:hint="eastAsia" w:ascii="宋体" w:hAnsi="宋体" w:cs="宋体"/>
          <w:color w:val="000000"/>
          <w:szCs w:val="21"/>
          <w:highlight w:val="none"/>
          <w:u w:val="single"/>
        </w:rPr>
        <w:t>投标人须知资料表。</w:t>
      </w:r>
    </w:p>
    <w:p>
      <w:pPr>
        <w:pStyle w:val="4"/>
        <w:keepNext w:val="0"/>
        <w:keepLines w:val="0"/>
        <w:kinsoku w:val="0"/>
        <w:overflowPunct w:val="0"/>
        <w:snapToGrid w:val="0"/>
        <w:spacing w:before="0" w:line="360" w:lineRule="exact"/>
        <w:rPr>
          <w:rFonts w:hint="default" w:ascii="宋体" w:hAnsi="宋体" w:eastAsia="宋体" w:cs="宋体"/>
          <w:color w:val="000000"/>
          <w:szCs w:val="24"/>
          <w:highlight w:val="none"/>
          <w:lang w:val="en-US" w:eastAsia="zh-CN"/>
        </w:rPr>
      </w:pPr>
      <w:r>
        <w:rPr>
          <w:rFonts w:hint="eastAsia" w:ascii="宋体" w:hAnsi="宋体" w:eastAsia="宋体" w:cs="宋体"/>
          <w:color w:val="000000"/>
          <w:sz w:val="21"/>
          <w:szCs w:val="21"/>
          <w:highlight w:val="none"/>
        </w:rPr>
        <w:br w:type="page"/>
      </w:r>
      <w:bookmarkStart w:id="271" w:name="_Toc11469"/>
      <w:bookmarkStart w:id="272" w:name="_Toc21748"/>
      <w:bookmarkStart w:id="273" w:name="_Toc515647799"/>
      <w:bookmarkStart w:id="274" w:name="_Toc16186"/>
      <w:r>
        <w:rPr>
          <w:rFonts w:hint="eastAsia" w:ascii="宋体" w:hAnsi="宋体" w:eastAsia="宋体" w:cs="宋体"/>
          <w:color w:val="000000"/>
          <w:szCs w:val="24"/>
          <w:highlight w:val="none"/>
        </w:rPr>
        <w:t>附件1：履约保证金保函（格式）</w:t>
      </w:r>
      <w:bookmarkEnd w:id="271"/>
      <w:bookmarkEnd w:id="272"/>
      <w:bookmarkEnd w:id="273"/>
      <w:bookmarkEnd w:id="274"/>
      <w:r>
        <w:rPr>
          <w:rFonts w:hint="eastAsia" w:ascii="宋体" w:hAnsi="宋体" w:eastAsia="宋体" w:cs="宋体"/>
          <w:color w:val="000000"/>
          <w:szCs w:val="24"/>
          <w:highlight w:val="none"/>
          <w:lang w:val="en-US" w:eastAsia="zh-CN"/>
        </w:rPr>
        <w:t>本项目不适用</w:t>
      </w:r>
    </w:p>
    <w:p>
      <w:pPr>
        <w:pStyle w:val="9"/>
        <w:kinsoku w:val="0"/>
        <w:overflowPunct w:val="0"/>
        <w:spacing w:line="240" w:lineRule="atLeast"/>
        <w:ind w:left="1080" w:leftChars="257" w:hanging="540"/>
        <w:rPr>
          <w:rFonts w:hint="eastAsia" w:hAnsi="宋体" w:cs="宋体"/>
          <w:b/>
          <w:color w:val="000000"/>
          <w:sz w:val="24"/>
          <w:highlight w:val="none"/>
        </w:rPr>
      </w:pPr>
      <w:r>
        <w:rPr>
          <w:rFonts w:hint="eastAsia" w:hAnsi="宋体" w:cs="宋体"/>
          <w:b/>
          <w:color w:val="000000"/>
          <w:sz w:val="24"/>
          <w:highlight w:val="none"/>
        </w:rPr>
        <w:t xml:space="preserve">                         （中标后开具）</w:t>
      </w:r>
    </w:p>
    <w:p>
      <w:pPr>
        <w:pStyle w:val="9"/>
        <w:kinsoku w:val="0"/>
        <w:overflowPunct w:val="0"/>
        <w:spacing w:line="240" w:lineRule="atLeast"/>
        <w:ind w:left="1080" w:leftChars="257" w:hanging="540"/>
        <w:rPr>
          <w:rFonts w:hint="eastAsia" w:hAnsi="宋体" w:cs="宋体"/>
          <w:b/>
          <w:color w:val="000000"/>
          <w:sz w:val="24"/>
          <w:highlight w:val="none"/>
        </w:rPr>
      </w:pPr>
    </w:p>
    <w:p>
      <w:pPr>
        <w:pStyle w:val="9"/>
        <w:kinsoku w:val="0"/>
        <w:overflowPunct w:val="0"/>
        <w:adjustRightInd w:val="0"/>
        <w:spacing w:line="360" w:lineRule="atLeast"/>
        <w:rPr>
          <w:rFonts w:hint="eastAsia" w:hAnsi="宋体" w:cs="宋体"/>
          <w:color w:val="000000"/>
          <w:sz w:val="24"/>
          <w:highlight w:val="none"/>
        </w:rPr>
      </w:pPr>
      <w:r>
        <w:rPr>
          <w:rFonts w:hint="eastAsia" w:hAnsi="宋体" w:cs="宋体"/>
          <w:color w:val="000000"/>
          <w:sz w:val="24"/>
          <w:highlight w:val="none"/>
        </w:rPr>
        <w:t>致: (</w:t>
      </w:r>
      <w:r>
        <w:rPr>
          <w:rFonts w:hint="eastAsia" w:hAnsi="宋体" w:cs="宋体"/>
          <w:color w:val="000000"/>
          <w:sz w:val="24"/>
          <w:highlight w:val="none"/>
          <w:u w:val="single"/>
        </w:rPr>
        <w:t>买方名称</w:t>
      </w:r>
      <w:r>
        <w:rPr>
          <w:rFonts w:hint="eastAsia" w:hAnsi="宋体" w:cs="宋体"/>
          <w:color w:val="000000"/>
          <w:sz w:val="24"/>
          <w:highlight w:val="none"/>
        </w:rPr>
        <w:t>)</w:t>
      </w:r>
    </w:p>
    <w:p>
      <w:pPr>
        <w:pStyle w:val="9"/>
        <w:kinsoku w:val="0"/>
        <w:overflowPunct w:val="0"/>
        <w:adjustRightInd w:val="0"/>
        <w:spacing w:line="360" w:lineRule="atLeast"/>
        <w:ind w:left="1080" w:leftChars="257" w:hanging="540"/>
        <w:jc w:val="center"/>
        <w:rPr>
          <w:rFonts w:hint="eastAsia" w:hAnsi="宋体" w:cs="宋体"/>
          <w:color w:val="000000"/>
          <w:sz w:val="24"/>
          <w:highlight w:val="none"/>
        </w:rPr>
      </w:pPr>
      <w:r>
        <w:rPr>
          <w:rFonts w:hint="eastAsia" w:hAnsi="宋体" w:cs="宋体"/>
          <w:color w:val="000000"/>
          <w:sz w:val="24"/>
          <w:highlight w:val="none"/>
          <w:u w:val="single"/>
        </w:rPr>
        <w:t xml:space="preserve">             </w:t>
      </w:r>
      <w:r>
        <w:rPr>
          <w:rFonts w:hint="eastAsia" w:hAnsi="宋体" w:cs="宋体"/>
          <w:color w:val="000000"/>
          <w:sz w:val="24"/>
          <w:highlight w:val="none"/>
        </w:rPr>
        <w:t>号合同履约保函</w:t>
      </w:r>
    </w:p>
    <w:p>
      <w:pPr>
        <w:pStyle w:val="9"/>
        <w:kinsoku w:val="0"/>
        <w:overflowPunct w:val="0"/>
        <w:adjustRightInd w:val="0"/>
        <w:spacing w:line="360" w:lineRule="atLeast"/>
        <w:ind w:left="1080" w:leftChars="257" w:hanging="540"/>
        <w:jc w:val="center"/>
        <w:rPr>
          <w:rFonts w:hint="eastAsia" w:hAnsi="宋体" w:cs="宋体"/>
          <w:color w:val="000000"/>
          <w:sz w:val="24"/>
          <w:highlight w:val="none"/>
        </w:rPr>
      </w:pPr>
    </w:p>
    <w:p>
      <w:pPr>
        <w:pStyle w:val="9"/>
        <w:kinsoku w:val="0"/>
        <w:overflowPunct w:val="0"/>
        <w:adjustRightInd w:val="0"/>
        <w:spacing w:line="360" w:lineRule="atLeast"/>
        <w:ind w:firstLine="600" w:firstLineChars="250"/>
        <w:rPr>
          <w:rFonts w:hint="eastAsia" w:hAnsi="宋体" w:cs="宋体"/>
          <w:color w:val="000000"/>
          <w:sz w:val="24"/>
          <w:highlight w:val="none"/>
        </w:rPr>
      </w:pPr>
      <w:r>
        <w:rPr>
          <w:rFonts w:hint="eastAsia" w:hAnsi="宋体" w:cs="宋体"/>
          <w:color w:val="000000"/>
          <w:sz w:val="24"/>
          <w:highlight w:val="none"/>
        </w:rPr>
        <w:t>本保函作为贵方与(</w:t>
      </w:r>
      <w:r>
        <w:rPr>
          <w:rFonts w:hint="eastAsia" w:hAnsi="宋体" w:cs="宋体"/>
          <w:color w:val="000000"/>
          <w:sz w:val="24"/>
          <w:highlight w:val="none"/>
          <w:u w:val="single"/>
        </w:rPr>
        <w:t>卖方名称</w:t>
      </w:r>
      <w:r>
        <w:rPr>
          <w:rFonts w:hint="eastAsia" w:hAnsi="宋体" w:cs="宋体"/>
          <w:color w:val="000000"/>
          <w:sz w:val="24"/>
          <w:highlight w:val="none"/>
        </w:rPr>
        <w:t>)(以下简称卖方)于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日就</w:t>
      </w:r>
      <w:r>
        <w:rPr>
          <w:rFonts w:hint="eastAsia" w:hAnsi="宋体" w:cs="宋体"/>
          <w:color w:val="000000"/>
          <w:sz w:val="24"/>
          <w:highlight w:val="none"/>
          <w:u w:val="single"/>
        </w:rPr>
        <w:t xml:space="preserve">                  </w:t>
      </w:r>
      <w:r>
        <w:rPr>
          <w:rFonts w:hint="eastAsia" w:hAnsi="宋体" w:cs="宋体"/>
          <w:color w:val="000000"/>
          <w:sz w:val="24"/>
          <w:highlight w:val="none"/>
        </w:rPr>
        <w:t>项目(以下简称项目)项下提供(</w:t>
      </w:r>
      <w:r>
        <w:rPr>
          <w:rFonts w:hint="eastAsia" w:hAnsi="宋体" w:cs="宋体"/>
          <w:color w:val="000000"/>
          <w:sz w:val="24"/>
          <w:highlight w:val="none"/>
          <w:u w:val="single"/>
        </w:rPr>
        <w:t>货物名称</w:t>
      </w:r>
      <w:r>
        <w:rPr>
          <w:rFonts w:hint="eastAsia" w:hAnsi="宋体" w:cs="宋体"/>
          <w:color w:val="000000"/>
          <w:sz w:val="24"/>
          <w:highlight w:val="none"/>
        </w:rPr>
        <w:t>)(以下简称货物)签订的(</w:t>
      </w:r>
      <w:r>
        <w:rPr>
          <w:rFonts w:hint="eastAsia" w:hAnsi="宋体" w:cs="宋体"/>
          <w:color w:val="000000"/>
          <w:sz w:val="24"/>
          <w:highlight w:val="none"/>
          <w:u w:val="single"/>
        </w:rPr>
        <w:t>合同号</w:t>
      </w:r>
      <w:r>
        <w:rPr>
          <w:rFonts w:hint="eastAsia" w:hAnsi="宋体" w:cs="宋体"/>
          <w:color w:val="000000"/>
          <w:sz w:val="24"/>
          <w:highlight w:val="none"/>
        </w:rPr>
        <w:t>)号合同的履约保函。</w:t>
      </w:r>
    </w:p>
    <w:p>
      <w:pPr>
        <w:pStyle w:val="9"/>
        <w:kinsoku w:val="0"/>
        <w:overflowPunct w:val="0"/>
        <w:adjustRightInd w:val="0"/>
        <w:spacing w:line="360" w:lineRule="atLeast"/>
        <w:ind w:firstLine="540" w:firstLineChars="225"/>
        <w:rPr>
          <w:rFonts w:hint="eastAsia" w:hAnsi="宋体" w:cs="宋体"/>
          <w:color w:val="000000"/>
          <w:sz w:val="24"/>
          <w:highlight w:val="none"/>
        </w:rPr>
      </w:pPr>
      <w:r>
        <w:rPr>
          <w:rFonts w:hint="eastAsia" w:hAnsi="宋体" w:cs="宋体"/>
          <w:color w:val="000000"/>
          <w:sz w:val="24"/>
          <w:highlight w:val="none"/>
        </w:rPr>
        <w:t>(</w:t>
      </w:r>
      <w:r>
        <w:rPr>
          <w:rFonts w:hint="eastAsia" w:hAnsi="宋体" w:cs="宋体"/>
          <w:color w:val="000000"/>
          <w:sz w:val="24"/>
          <w:highlight w:val="none"/>
          <w:u w:val="single"/>
        </w:rPr>
        <w:t>出具保函的银行名称</w:t>
      </w:r>
      <w:r>
        <w:rPr>
          <w:rFonts w:hint="eastAsia" w:hAnsi="宋体" w:cs="宋体"/>
          <w:color w:val="000000"/>
          <w:sz w:val="24"/>
          <w:highlight w:val="none"/>
        </w:rPr>
        <w:t>)(以下简称银行)无条件地、不可撤销地具结保证本行、其继承人和受让人无追索地向贵方以(</w:t>
      </w:r>
      <w:r>
        <w:rPr>
          <w:rFonts w:hint="eastAsia" w:hAnsi="宋体" w:cs="宋体"/>
          <w:color w:val="000000"/>
          <w:sz w:val="24"/>
          <w:highlight w:val="none"/>
          <w:u w:val="single"/>
        </w:rPr>
        <w:t>货币名称</w:t>
      </w:r>
      <w:r>
        <w:rPr>
          <w:rFonts w:hint="eastAsia" w:hAnsi="宋体" w:cs="宋体"/>
          <w:color w:val="000000"/>
          <w:sz w:val="24"/>
          <w:highlight w:val="none"/>
        </w:rPr>
        <w:t>)支付总额不超过(</w:t>
      </w:r>
      <w:r>
        <w:rPr>
          <w:rFonts w:hint="eastAsia" w:hAnsi="宋体" w:cs="宋体"/>
          <w:color w:val="000000"/>
          <w:sz w:val="24"/>
          <w:highlight w:val="none"/>
          <w:u w:val="single"/>
        </w:rPr>
        <w:t>货币数量</w:t>
      </w:r>
      <w:r>
        <w:rPr>
          <w:rFonts w:hint="eastAsia" w:hAnsi="宋体" w:cs="宋体"/>
          <w:color w:val="000000"/>
          <w:sz w:val="24"/>
          <w:highlight w:val="none"/>
        </w:rPr>
        <w:t>),即相当于合同价格的</w:t>
      </w:r>
      <w:r>
        <w:rPr>
          <w:rFonts w:hint="eastAsia" w:hAnsi="宋体" w:cs="宋体"/>
          <w:color w:val="000000"/>
          <w:sz w:val="24"/>
          <w:highlight w:val="none"/>
          <w:u w:val="single"/>
        </w:rPr>
        <w:t xml:space="preserve">     </w:t>
      </w:r>
      <w:r>
        <w:rPr>
          <w:rFonts w:hint="eastAsia" w:hAnsi="宋体" w:cs="宋体"/>
          <w:color w:val="000000"/>
          <w:sz w:val="24"/>
          <w:highlight w:val="none"/>
        </w:rPr>
        <w:t>%,并以此约定如下:</w:t>
      </w:r>
    </w:p>
    <w:p>
      <w:pPr>
        <w:pStyle w:val="9"/>
        <w:kinsoku w:val="0"/>
        <w:overflowPunct w:val="0"/>
        <w:adjustRightInd w:val="0"/>
        <w:spacing w:line="360" w:lineRule="atLeast"/>
        <w:ind w:firstLine="360" w:firstLineChars="150"/>
        <w:rPr>
          <w:rFonts w:hint="eastAsia" w:hAnsi="宋体" w:cs="宋体"/>
          <w:color w:val="000000"/>
          <w:sz w:val="24"/>
          <w:highlight w:val="none"/>
        </w:rPr>
      </w:pPr>
      <w:r>
        <w:rPr>
          <w:rFonts w:hint="eastAsia" w:hAnsi="宋体" w:cs="宋体"/>
          <w:color w:val="000000"/>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kinsoku w:val="0"/>
        <w:overflowPunct w:val="0"/>
        <w:adjustRightInd w:val="0"/>
        <w:spacing w:line="360" w:lineRule="atLeast"/>
        <w:ind w:firstLine="540" w:firstLineChars="225"/>
        <w:rPr>
          <w:rFonts w:hint="eastAsia" w:hAnsi="宋体" w:cs="宋体"/>
          <w:color w:val="000000"/>
          <w:sz w:val="24"/>
          <w:highlight w:val="none"/>
        </w:rPr>
      </w:pPr>
      <w:r>
        <w:rPr>
          <w:rFonts w:hint="eastAsia" w:hAnsi="宋体" w:cs="宋体"/>
          <w:color w:val="000000"/>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9"/>
        <w:kinsoku w:val="0"/>
        <w:overflowPunct w:val="0"/>
        <w:adjustRightInd w:val="0"/>
        <w:spacing w:line="360" w:lineRule="atLeast"/>
        <w:ind w:firstLine="540" w:firstLineChars="225"/>
        <w:rPr>
          <w:rFonts w:hint="eastAsia" w:hAnsi="宋体" w:cs="宋体"/>
          <w:color w:val="000000"/>
          <w:sz w:val="24"/>
          <w:highlight w:val="none"/>
        </w:rPr>
      </w:pPr>
      <w:r>
        <w:rPr>
          <w:rFonts w:hint="eastAsia" w:hAnsi="宋体" w:cs="宋体"/>
          <w:color w:val="000000"/>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4.本保函在本合同规定的保证期期满前完全有效。</w:t>
      </w:r>
    </w:p>
    <w:p>
      <w:pPr>
        <w:pStyle w:val="9"/>
        <w:kinsoku w:val="0"/>
        <w:overflowPunct w:val="0"/>
        <w:adjustRightInd w:val="0"/>
        <w:spacing w:line="360" w:lineRule="atLeast"/>
        <w:ind w:left="1080" w:leftChars="257" w:hanging="540"/>
        <w:rPr>
          <w:rFonts w:hint="eastAsia" w:hAnsi="宋体" w:cs="宋体"/>
          <w:color w:val="000000"/>
          <w:sz w:val="24"/>
          <w:highlight w:val="none"/>
        </w:rPr>
      </w:pPr>
    </w:p>
    <w:p>
      <w:pPr>
        <w:pStyle w:val="9"/>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谨启</w:t>
      </w:r>
    </w:p>
    <w:p>
      <w:pPr>
        <w:pStyle w:val="9"/>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出具保函银行名称：</w:t>
      </w:r>
      <w:r>
        <w:rPr>
          <w:rFonts w:hint="eastAsia" w:hAnsi="宋体" w:cs="宋体"/>
          <w:color w:val="000000"/>
          <w:sz w:val="24"/>
          <w:highlight w:val="none"/>
          <w:u w:val="single"/>
        </w:rPr>
        <w:t xml:space="preserve">                             </w:t>
      </w:r>
    </w:p>
    <w:p>
      <w:pPr>
        <w:pStyle w:val="9"/>
        <w:kinsoku w:val="0"/>
        <w:overflowPunct w:val="0"/>
        <w:adjustRightInd w:val="0"/>
        <w:spacing w:line="36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签字人姓名和职务：</w:t>
      </w:r>
      <w:r>
        <w:rPr>
          <w:rFonts w:hint="eastAsia" w:hAnsi="宋体" w:cs="宋体"/>
          <w:color w:val="000000"/>
          <w:sz w:val="24"/>
          <w:highlight w:val="none"/>
          <w:u w:val="single"/>
        </w:rPr>
        <w:t xml:space="preserve">                             </w:t>
      </w:r>
    </w:p>
    <w:p>
      <w:pPr>
        <w:pStyle w:val="9"/>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签字人签名：</w:t>
      </w:r>
      <w:r>
        <w:rPr>
          <w:rFonts w:hint="eastAsia" w:hAnsi="宋体" w:cs="宋体"/>
          <w:color w:val="000000"/>
          <w:sz w:val="24"/>
          <w:highlight w:val="none"/>
          <w:u w:val="single"/>
        </w:rPr>
        <w:t xml:space="preserve">                                   </w:t>
      </w:r>
    </w:p>
    <w:p>
      <w:pPr>
        <w:pStyle w:val="9"/>
        <w:kinsoku w:val="0"/>
        <w:overflowPunct w:val="0"/>
        <w:adjustRightInd w:val="0"/>
        <w:spacing w:line="36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公章：</w:t>
      </w:r>
      <w:r>
        <w:rPr>
          <w:rFonts w:hint="eastAsia" w:hAnsi="宋体" w:cs="宋体"/>
          <w:color w:val="000000"/>
          <w:sz w:val="24"/>
          <w:highlight w:val="none"/>
          <w:u w:val="single"/>
        </w:rPr>
        <w:t xml:space="preserve">                                         </w:t>
      </w:r>
    </w:p>
    <w:p>
      <w:pPr>
        <w:pStyle w:val="4"/>
        <w:keepNext w:val="0"/>
        <w:keepLines w:val="0"/>
        <w:kinsoku w:val="0"/>
        <w:overflowPunct w:val="0"/>
        <w:spacing w:before="0" w:line="360" w:lineRule="atLeast"/>
        <w:ind w:left="1080" w:leftChars="257" w:hanging="540"/>
        <w:rPr>
          <w:rFonts w:hint="eastAsia" w:ascii="宋体" w:hAnsi="宋体" w:eastAsia="宋体" w:cs="宋体"/>
          <w:color w:val="000000"/>
          <w:szCs w:val="24"/>
          <w:highlight w:val="none"/>
        </w:rPr>
      </w:pPr>
      <w:r>
        <w:rPr>
          <w:rFonts w:hint="eastAsia" w:ascii="宋体" w:hAnsi="宋体" w:eastAsia="宋体" w:cs="宋体"/>
          <w:color w:val="000000"/>
          <w:highlight w:val="none"/>
        </w:rPr>
        <w:br w:type="page"/>
      </w:r>
      <w:bookmarkStart w:id="275" w:name="_Toc6548"/>
      <w:bookmarkStart w:id="276" w:name="_Toc515647800"/>
      <w:bookmarkStart w:id="277" w:name="_Toc10951"/>
      <w:bookmarkStart w:id="278" w:name="_Toc7612"/>
      <w:r>
        <w:rPr>
          <w:rFonts w:hint="eastAsia" w:ascii="宋体" w:hAnsi="宋体" w:eastAsia="宋体" w:cs="宋体"/>
          <w:color w:val="000000"/>
          <w:szCs w:val="24"/>
          <w:highlight w:val="none"/>
        </w:rPr>
        <w:t>附件2：履约担保函格式</w:t>
      </w:r>
      <w:bookmarkEnd w:id="275"/>
      <w:bookmarkEnd w:id="276"/>
      <w:bookmarkEnd w:id="277"/>
      <w:bookmarkEnd w:id="278"/>
    </w:p>
    <w:p>
      <w:pPr>
        <w:pStyle w:val="4"/>
        <w:keepNext w:val="0"/>
        <w:keepLines w:val="0"/>
        <w:kinsoku w:val="0"/>
        <w:overflowPunct w:val="0"/>
        <w:spacing w:before="0" w:line="240" w:lineRule="atLeast"/>
        <w:ind w:left="1080" w:leftChars="257" w:hanging="540"/>
        <w:rPr>
          <w:rFonts w:hint="eastAsia" w:ascii="宋体" w:hAnsi="宋体" w:eastAsia="宋体" w:cs="宋体"/>
          <w:b w:val="0"/>
          <w:color w:val="000000"/>
          <w:highlight w:val="none"/>
        </w:rPr>
      </w:pPr>
      <w:bookmarkStart w:id="279" w:name="_Toc162"/>
      <w:bookmarkStart w:id="280" w:name="_Toc515647801"/>
      <w:bookmarkStart w:id="281" w:name="_Toc30861"/>
      <w:bookmarkStart w:id="282" w:name="_Toc13962"/>
      <w:r>
        <w:rPr>
          <w:rFonts w:hint="eastAsia" w:ascii="宋体" w:hAnsi="宋体" w:eastAsia="宋体" w:cs="宋体"/>
          <w:color w:val="000000"/>
          <w:szCs w:val="24"/>
          <w:highlight w:val="none"/>
        </w:rPr>
        <w:t>（采用政府采购信用担保形式时使用）</w:t>
      </w:r>
      <w:bookmarkEnd w:id="279"/>
      <w:bookmarkEnd w:id="280"/>
      <w:bookmarkEnd w:id="281"/>
      <w:bookmarkEnd w:id="282"/>
    </w:p>
    <w:p>
      <w:pPr>
        <w:kinsoku w:val="0"/>
        <w:overflowPunct w:val="0"/>
        <w:spacing w:line="240" w:lineRule="atLeast"/>
        <w:ind w:left="1080" w:leftChars="257" w:hanging="540"/>
        <w:rPr>
          <w:rFonts w:hint="eastAsia" w:ascii="宋体" w:hAnsi="宋体" w:cs="宋体"/>
          <w:b/>
          <w:color w:val="000000"/>
          <w:kern w:val="0"/>
          <w:sz w:val="24"/>
          <w:szCs w:val="20"/>
          <w:highlight w:val="none"/>
        </w:rPr>
      </w:pPr>
    </w:p>
    <w:p>
      <w:pPr>
        <w:kinsoku w:val="0"/>
        <w:overflowPunct w:val="0"/>
        <w:jc w:val="center"/>
        <w:rPr>
          <w:rFonts w:hint="eastAsia" w:ascii="宋体" w:hAnsi="宋体" w:cs="宋体"/>
          <w:color w:val="000000"/>
          <w:sz w:val="24"/>
          <w:highlight w:val="none"/>
        </w:rPr>
      </w:pPr>
      <w:r>
        <w:rPr>
          <w:rFonts w:hint="eastAsia" w:ascii="宋体" w:hAnsi="宋体" w:cs="宋体"/>
          <w:color w:val="000000"/>
          <w:sz w:val="24"/>
          <w:highlight w:val="none"/>
        </w:rPr>
        <w:t>政府采购履约担保函</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编号：</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（采购人）：</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kinsoku w:val="0"/>
        <w:overflowPunct w:val="0"/>
        <w:ind w:firstLine="600" w:firstLineChars="250"/>
        <w:rPr>
          <w:rFonts w:hint="eastAsia" w:ascii="宋体" w:hAnsi="宋体" w:cs="宋体"/>
          <w:color w:val="000000"/>
          <w:sz w:val="24"/>
          <w:highlight w:val="none"/>
        </w:rPr>
      </w:pPr>
      <w:r>
        <w:rPr>
          <w:rFonts w:hint="eastAsia" w:ascii="宋体" w:hAnsi="宋体" w:cs="宋体"/>
          <w:color w:val="000000"/>
          <w:sz w:val="24"/>
          <w:highlight w:val="none"/>
        </w:rPr>
        <w:t>鉴于你方与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（以下简称供应商）于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日签定编号为   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政府采购合同》（以下简称主合同），且依据该合同的约定，供应商应在</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日前向你方交纳履约保证金，且可以履约担保函的形式交纳履约保证金。应供应商的申请，我方以保证的方式向你方提供如下履约保证金担保：</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一、保证责任的情形及保证金额</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（一）在供应商出现下列情形之一时，我方承担保证责任：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1．将中标项目转让给他人，或者在投标文件中未说明，且未经采购招标机构人同意，将中标项目分包给他人的；</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2．主合同约定的应当缴纳履约保证金的情形: </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（1）未按主合同约定的质量、数量和期限供应货物/提供服务/完成工程的；</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（二）我方的保证范围是主合同约定的合同价款总额的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%数额为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），币种为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。（即主合同履约保证金金额）</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二、保证的方式及保证期间</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我方保证的方式为：连带责任保证。</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我方保证的期间为：自本合同生效之日起至供应商按照主合同约定的供货/完工期限届满后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日内。</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如果供应商未按主合同约定向贵方供应货物/提供服务/完成工程的，由我方在保证金额内向你方支付上述款项。</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三、承担保证责任的程序</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如果你方与供应商因货物质量问题产生争议，你方还需同时提供</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部门出具的质量检测报告，或经诉讼（仲裁）程序裁决后的裁决书、调解书，本保证人即按照检测结果或裁决书、调解书决定是否承担保证责任。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 我方收到你方的书面索赔通知及相应证明材料，在</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工作日内进行核定后按照本保函的承诺承担保证责任。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四、保证责任的终止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2．我方按照本保函向你方履行了保证责任后，自我方向你方支付款项（支付款项从我方账户划出）之日起，保证责任即终止。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3．按照法律法规的规定或出现应终止我方保证责任的其它情形的，我方在本保函项下的保证责任亦终止。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五、免责条款</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1．因你方违反主合同约定致使供应商不能履行义务的，我方不承担保证责任。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2．依照法律法规的规定或你方与供应商的另行约定，全部或者部分免除供应商应缴纳的保证金义务的，我方亦免除相应的保证责任。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3．因不可抗力造成供应商不能履行供货义务的，我方不承担保证责任。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六、争议的解决</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因本保函发生的纠纷，由你我双方协商解决，协商不成的，通过诉讼程序解决，诉讼管辖地法院为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法院。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七、保函的生效</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本保函自我方加盖公章之日起生效。</w:t>
      </w:r>
    </w:p>
    <w:p>
      <w:pPr>
        <w:kinsoku w:val="0"/>
        <w:overflowPunct w:val="0"/>
        <w:rPr>
          <w:rFonts w:hint="eastAsia" w:ascii="宋体" w:hAnsi="宋体" w:cs="宋体"/>
          <w:color w:val="000000"/>
          <w:sz w:val="24"/>
          <w:highlight w:val="none"/>
        </w:rPr>
      </w:pP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kinsoku w:val="0"/>
        <w:overflowPunct w:val="0"/>
        <w:ind w:firstLine="5400" w:firstLineChars="2250"/>
        <w:rPr>
          <w:rFonts w:hint="eastAsia" w:ascii="宋体" w:hAnsi="宋体" w:cs="宋体"/>
          <w:color w:val="000000"/>
          <w:sz w:val="24"/>
          <w:highlight w:val="none"/>
        </w:rPr>
      </w:pPr>
      <w:r>
        <w:rPr>
          <w:rFonts w:hint="eastAsia" w:ascii="宋体" w:hAnsi="宋体" w:cs="宋体"/>
          <w:color w:val="000000"/>
          <w:sz w:val="24"/>
          <w:highlight w:val="none"/>
        </w:rPr>
        <w:t>保证人：（公章）</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pPr>
        <w:rPr>
          <w:rFonts w:hint="eastAsia"/>
          <w:highlight w:val="none"/>
        </w:rPr>
      </w:pPr>
    </w:p>
    <w:p>
      <w:pPr>
        <w:kinsoku w:val="0"/>
        <w:overflowPunct w:val="0"/>
        <w:spacing w:line="240" w:lineRule="atLeast"/>
        <w:ind w:left="735" w:leftChars="350" w:firstLine="120" w:firstLineChars="50"/>
        <w:rPr>
          <w:rFonts w:hint="eastAsia" w:ascii="宋体" w:hAnsi="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283" w:name="_Toc6220"/>
      <w:bookmarkStart w:id="284" w:name="_Toc515647803"/>
      <w:bookmarkStart w:id="285" w:name="_Toc18974"/>
      <w:bookmarkStart w:id="286" w:name="_Toc18694"/>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tbl>
      <w:tblPr>
        <w:tblStyle w:val="14"/>
        <w:tblpPr w:leftFromText="180" w:rightFromText="180" w:vertAnchor="text" w:horzAnchor="page" w:tblpX="1428" w:tblpY="122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08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25" w:hRule="atLeast"/>
        </w:trPr>
        <w:tc>
          <w:tcPr>
            <w:tcW w:w="9080" w:type="dxa"/>
            <w:shd w:val="clear" w:color="auto" w:fill="FCFEEA"/>
            <w:noWrap w:val="0"/>
            <w:vAlign w:val="top"/>
          </w:tcPr>
          <w:p>
            <w:pPr>
              <w:pStyle w:val="8"/>
              <w:tabs>
                <w:tab w:val="left" w:pos="630"/>
                <w:tab w:val="clear" w:pos="567"/>
              </w:tabs>
              <w:jc w:val="center"/>
              <w:rPr>
                <w:rFonts w:cs="宋体"/>
                <w:b/>
                <w:bCs/>
                <w:highlight w:val="none"/>
              </w:rPr>
            </w:pPr>
            <w:r>
              <w:rPr>
                <w:rFonts w:hint="eastAsia" w:cs="宋体"/>
                <w:b/>
                <w:bCs/>
                <w:highlight w:val="none"/>
              </w:rPr>
              <w:t xml:space="preserve">          </w:t>
            </w:r>
          </w:p>
          <w:p>
            <w:pPr>
              <w:pStyle w:val="8"/>
              <w:tabs>
                <w:tab w:val="left" w:pos="630"/>
                <w:tab w:val="clear" w:pos="567"/>
              </w:tabs>
              <w:jc w:val="center"/>
              <w:rPr>
                <w:rFonts w:cs="宋体"/>
                <w:b/>
                <w:bCs/>
                <w:highlight w:val="none"/>
              </w:rPr>
            </w:pPr>
            <w:r>
              <w:rPr>
                <w:rFonts w:hint="eastAsia" w:cs="宋体"/>
                <w:highlight w:val="none"/>
                <w:lang w:val="en-US" w:eastAsia="zh-CN"/>
              </w:rPr>
              <w:t xml:space="preserve">                                                           </w:t>
            </w:r>
            <w:r>
              <w:rPr>
                <w:rFonts w:hint="eastAsia" w:cs="宋体"/>
                <w:highlight w:val="none"/>
              </w:rPr>
              <w:t xml:space="preserve">（正本/副本） </w:t>
            </w:r>
            <w:r>
              <w:rPr>
                <w:rFonts w:hint="eastAsia" w:cs="宋体"/>
                <w:b/>
                <w:bCs/>
                <w:highlight w:val="none"/>
              </w:rPr>
              <w:t xml:space="preserve">  </w:t>
            </w:r>
          </w:p>
          <w:p>
            <w:pPr>
              <w:pStyle w:val="8"/>
              <w:tabs>
                <w:tab w:val="left" w:pos="630"/>
                <w:tab w:val="clear" w:pos="567"/>
              </w:tabs>
              <w:jc w:val="center"/>
              <w:rPr>
                <w:rFonts w:cs="宋体"/>
                <w:b/>
                <w:bCs/>
                <w:highlight w:val="none"/>
              </w:rPr>
            </w:pPr>
          </w:p>
          <w:p>
            <w:pPr>
              <w:pStyle w:val="8"/>
              <w:tabs>
                <w:tab w:val="left" w:pos="630"/>
                <w:tab w:val="clear" w:pos="567"/>
              </w:tabs>
              <w:jc w:val="center"/>
              <w:rPr>
                <w:rFonts w:cs="宋体"/>
                <w:highlight w:val="none"/>
              </w:rPr>
            </w:pPr>
            <w:r>
              <w:rPr>
                <w:rFonts w:hint="eastAsia" w:cs="宋体"/>
                <w:b/>
                <w:bCs/>
                <w:highlight w:val="none"/>
              </w:rPr>
              <w:t xml:space="preserve">    </w:t>
            </w:r>
            <w:r>
              <w:rPr>
                <w:rFonts w:hint="eastAsia" w:cs="宋体"/>
                <w:highlight w:val="none"/>
              </w:rPr>
              <w:t xml:space="preserve">** * * ** ** *  *项目  </w:t>
            </w:r>
            <w:r>
              <w:rPr>
                <w:rFonts w:hint="eastAsia" w:cs="宋体"/>
                <w:highlight w:val="none"/>
                <w:lang w:val="en-US" w:eastAsia="zh-CN"/>
              </w:rPr>
              <w:t xml:space="preserve"> </w:t>
            </w:r>
          </w:p>
          <w:p>
            <w:pPr>
              <w:pStyle w:val="8"/>
              <w:tabs>
                <w:tab w:val="left" w:pos="630"/>
                <w:tab w:val="clear" w:pos="567"/>
              </w:tabs>
              <w:rPr>
                <w:rFonts w:cs="宋体"/>
                <w:highlight w:val="none"/>
              </w:rPr>
            </w:pPr>
            <w:r>
              <w:rPr>
                <w:rFonts w:hint="eastAsia" w:cs="宋体"/>
                <w:highlight w:val="none"/>
              </w:rPr>
              <w:t xml:space="preserve">                         </w:t>
            </w:r>
          </w:p>
          <w:p>
            <w:pPr>
              <w:pStyle w:val="8"/>
              <w:tabs>
                <w:tab w:val="left" w:pos="630"/>
                <w:tab w:val="clear" w:pos="567"/>
              </w:tabs>
              <w:ind w:firstLine="2640" w:firstLineChars="1100"/>
              <w:rPr>
                <w:rFonts w:hint="default" w:cs="宋体"/>
                <w:highlight w:val="none"/>
                <w:lang w:val="en-US" w:eastAsia="zh-CN"/>
              </w:rPr>
            </w:pPr>
            <w:r>
              <w:rPr>
                <w:rFonts w:hint="eastAsia" w:cs="宋体"/>
                <w:highlight w:val="none"/>
              </w:rPr>
              <w:t xml:space="preserve">                   </w:t>
            </w:r>
          </w:p>
          <w:p>
            <w:pPr>
              <w:pStyle w:val="8"/>
              <w:tabs>
                <w:tab w:val="left" w:pos="630"/>
                <w:tab w:val="clear" w:pos="567"/>
              </w:tabs>
              <w:rPr>
                <w:rFonts w:cs="宋体"/>
                <w:highlight w:val="none"/>
              </w:rPr>
            </w:pPr>
          </w:p>
          <w:p>
            <w:pPr>
              <w:pStyle w:val="8"/>
              <w:tabs>
                <w:tab w:val="left" w:pos="630"/>
                <w:tab w:val="clear" w:pos="567"/>
              </w:tabs>
              <w:rPr>
                <w:rFonts w:cs="宋体"/>
                <w:highlight w:val="none"/>
              </w:rPr>
            </w:pPr>
          </w:p>
          <w:p>
            <w:pPr>
              <w:pStyle w:val="8"/>
              <w:tabs>
                <w:tab w:val="left" w:pos="630"/>
                <w:tab w:val="clear" w:pos="567"/>
              </w:tabs>
              <w:jc w:val="center"/>
              <w:rPr>
                <w:rFonts w:cs="宋体"/>
                <w:highlight w:val="none"/>
              </w:rPr>
            </w:pPr>
            <w:r>
              <w:rPr>
                <w:rFonts w:hint="eastAsia" w:cs="宋体"/>
                <w:highlight w:val="none"/>
              </w:rPr>
              <w:t>投标文件</w:t>
            </w:r>
          </w:p>
          <w:p>
            <w:pPr>
              <w:jc w:val="center"/>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u w:val="single"/>
              </w:rPr>
            </w:pPr>
            <w:r>
              <w:rPr>
                <w:rFonts w:hint="eastAsia" w:ascii="宋体" w:hAnsi="宋体" w:cs="宋体"/>
                <w:highlight w:val="none"/>
              </w:rPr>
              <w:t>采购单位：</w:t>
            </w:r>
            <w:r>
              <w:rPr>
                <w:rFonts w:hint="eastAsia" w:ascii="宋体" w:hAnsi="宋体" w:cs="宋体"/>
                <w:highlight w:val="none"/>
                <w:u w:val="single"/>
              </w:rPr>
              <w:t xml:space="preserve">                                        </w:t>
            </w:r>
          </w:p>
          <w:p>
            <w:pPr>
              <w:ind w:left="176" w:leftChars="84" w:firstLine="840" w:firstLineChars="400"/>
              <w:rPr>
                <w:rFonts w:ascii="宋体" w:hAnsi="宋体" w:cs="宋体"/>
                <w:highlight w:val="none"/>
                <w:u w:val="single"/>
              </w:rPr>
            </w:pPr>
            <w:r>
              <w:rPr>
                <w:rFonts w:hint="eastAsia" w:ascii="宋体" w:hAnsi="宋体" w:cs="宋体"/>
                <w:highlight w:val="none"/>
              </w:rPr>
              <w:t>项目名称：</w:t>
            </w:r>
            <w:r>
              <w:rPr>
                <w:rFonts w:hint="eastAsia" w:ascii="宋体" w:hAnsi="宋体" w:cs="宋体"/>
                <w:highlight w:val="none"/>
                <w:u w:val="single"/>
              </w:rPr>
              <w:t xml:space="preserve">                                        </w:t>
            </w:r>
          </w:p>
          <w:p>
            <w:pPr>
              <w:ind w:left="176" w:leftChars="84" w:firstLine="840" w:firstLineChars="400"/>
              <w:rPr>
                <w:rFonts w:hint="eastAsia" w:ascii="宋体" w:hAnsi="宋体" w:cs="宋体"/>
                <w:highlight w:val="none"/>
                <w:u w:val="single"/>
              </w:rPr>
            </w:pPr>
            <w:r>
              <w:rPr>
                <w:rFonts w:hint="eastAsia" w:ascii="宋体" w:hAnsi="宋体" w:cs="宋体"/>
                <w:highlight w:val="none"/>
              </w:rPr>
              <w:t>项目编号：</w:t>
            </w:r>
            <w:r>
              <w:rPr>
                <w:rFonts w:hint="eastAsia" w:ascii="宋体" w:hAnsi="宋体" w:cs="宋体"/>
                <w:highlight w:val="none"/>
                <w:u w:val="single"/>
              </w:rPr>
              <w:t xml:space="preserve">                                        </w:t>
            </w:r>
          </w:p>
          <w:p>
            <w:pPr>
              <w:pStyle w:val="5"/>
              <w:ind w:firstLine="1200" w:firstLineChars="500"/>
              <w:rPr>
                <w:rFonts w:hint="default" w:eastAsia="宋体"/>
                <w:highlight w:val="none"/>
                <w:lang w:val="en-US" w:eastAsia="zh-CN"/>
              </w:rPr>
            </w:pPr>
            <w:r>
              <w:rPr>
                <w:rFonts w:hint="eastAsia" w:hAnsi="宋体" w:cs="宋体"/>
                <w:highlight w:val="none"/>
                <w:u w:val="none"/>
                <w:lang w:val="en-US" w:eastAsia="zh-CN"/>
              </w:rPr>
              <w:t>包段号：</w:t>
            </w:r>
            <w:r>
              <w:rPr>
                <w:rFonts w:hint="eastAsia" w:hAnsi="宋体" w:cs="宋体"/>
                <w:highlight w:val="none"/>
                <w:u w:val="single"/>
                <w:lang w:val="en-US" w:eastAsia="zh-CN"/>
              </w:rPr>
              <w:t xml:space="preserve">                                  </w:t>
            </w:r>
          </w:p>
          <w:p>
            <w:pPr>
              <w:pStyle w:val="5"/>
              <w:rPr>
                <w:rFonts w:hAnsi="宋体" w:cs="宋体"/>
                <w:kern w:val="2"/>
                <w:sz w:val="21"/>
                <w:szCs w:val="24"/>
                <w:highlight w:val="none"/>
                <w:u w:val="single"/>
              </w:rPr>
            </w:pPr>
            <w:r>
              <w:rPr>
                <w:rFonts w:hint="eastAsia"/>
                <w:highlight w:val="none"/>
              </w:rPr>
              <w:t xml:space="preserve">    </w:t>
            </w:r>
            <w:r>
              <w:rPr>
                <w:rFonts w:hint="eastAsia" w:hAnsi="宋体" w:cs="宋体"/>
                <w:kern w:val="2"/>
                <w:sz w:val="21"/>
                <w:szCs w:val="24"/>
                <w:highlight w:val="none"/>
              </w:rPr>
              <w:t xml:space="preserve"> 投 标 人：</w:t>
            </w:r>
            <w:r>
              <w:rPr>
                <w:rFonts w:hint="eastAsia" w:hAnsi="宋体" w:cs="宋体"/>
                <w:kern w:val="2"/>
                <w:sz w:val="21"/>
                <w:szCs w:val="24"/>
                <w:highlight w:val="none"/>
                <w:u w:val="single"/>
              </w:rPr>
              <w:t xml:space="preserve">                            （加盖公章）</w:t>
            </w:r>
          </w:p>
          <w:p>
            <w:pPr>
              <w:pStyle w:val="7"/>
              <w:ind w:firstLine="1050" w:firstLineChars="500"/>
              <w:rPr>
                <w:rFonts w:ascii="宋体" w:hAnsi="宋体" w:cs="宋体"/>
                <w:highlight w:val="none"/>
              </w:rPr>
            </w:pPr>
            <w:r>
              <w:rPr>
                <w:rFonts w:hint="eastAsia" w:ascii="宋体" w:hAnsi="宋体" w:cs="宋体"/>
                <w:highlight w:val="none"/>
              </w:rPr>
              <w:t>法定代表人或授权委托人：</w:t>
            </w:r>
            <w:r>
              <w:rPr>
                <w:rFonts w:hint="eastAsia" w:ascii="宋体" w:hAnsi="宋体" w:cs="宋体"/>
                <w:highlight w:val="none"/>
                <w:u w:val="single"/>
              </w:rPr>
              <w:t xml:space="preserve">（签字及加盖法人章）      </w:t>
            </w:r>
          </w:p>
          <w:p>
            <w:pPr>
              <w:ind w:left="176" w:leftChars="84" w:firstLine="840" w:firstLineChars="400"/>
              <w:rPr>
                <w:rFonts w:ascii="宋体" w:hAnsi="宋体" w:cs="宋体"/>
                <w:highlight w:val="none"/>
                <w:u w:val="single"/>
              </w:rPr>
            </w:pPr>
            <w:r>
              <w:rPr>
                <w:rFonts w:hint="eastAsia" w:ascii="宋体" w:hAnsi="宋体" w:cs="宋体"/>
                <w:highlight w:val="none"/>
              </w:rPr>
              <w:t>联 系 人及电话：</w:t>
            </w:r>
            <w:r>
              <w:rPr>
                <w:rFonts w:hint="eastAsia" w:ascii="宋体" w:hAnsi="宋体" w:cs="宋体"/>
                <w:highlight w:val="none"/>
                <w:u w:val="single"/>
              </w:rPr>
              <w:t xml:space="preserve">                                  </w:t>
            </w:r>
          </w:p>
          <w:p>
            <w:pPr>
              <w:jc w:val="center"/>
              <w:rPr>
                <w:rFonts w:ascii="宋体" w:hAnsi="宋体" w:cs="宋体"/>
                <w:highlight w:val="none"/>
              </w:rPr>
            </w:pPr>
          </w:p>
          <w:p>
            <w:pPr>
              <w:jc w:val="center"/>
              <w:rPr>
                <w:rFonts w:ascii="宋体" w:hAnsi="宋体" w:cs="宋体"/>
                <w:highlight w:val="none"/>
              </w:rPr>
            </w:pPr>
          </w:p>
          <w:p>
            <w:pPr>
              <w:pStyle w:val="6"/>
              <w:outlineLvl w:val="9"/>
              <w:rPr>
                <w:rFonts w:hAnsi="宋体" w:cs="宋体"/>
                <w:highlight w:val="none"/>
              </w:rPr>
            </w:pPr>
          </w:p>
          <w:p>
            <w:pPr>
              <w:rPr>
                <w:rFonts w:ascii="宋体" w:hAnsi="宋体" w:cs="宋体"/>
                <w:highlight w:val="none"/>
              </w:rPr>
            </w:pPr>
          </w:p>
          <w:p>
            <w:pPr>
              <w:pStyle w:val="6"/>
              <w:outlineLvl w:val="9"/>
              <w:rPr>
                <w:rFonts w:hAnsi="宋体" w:cs="宋体"/>
                <w:highlight w:val="none"/>
              </w:rPr>
            </w:pPr>
          </w:p>
          <w:p>
            <w:pPr>
              <w:rPr>
                <w:rFonts w:ascii="宋体" w:hAnsi="宋体" w:cs="宋体"/>
                <w:highlight w:val="none"/>
              </w:rPr>
            </w:pPr>
          </w:p>
          <w:p>
            <w:pPr>
              <w:jc w:val="center"/>
              <w:rPr>
                <w:rFonts w:ascii="宋体" w:hAnsi="宋体" w:cs="宋体"/>
                <w:b/>
                <w:bCs/>
                <w:color w:val="FF0000"/>
                <w:highlight w:val="none"/>
              </w:rPr>
            </w:pPr>
            <w:r>
              <w:rPr>
                <w:rFonts w:hint="eastAsia" w:ascii="宋体" w:hAnsi="宋体" w:cs="宋体"/>
                <w:b/>
                <w:bCs/>
                <w:color w:val="FF0000"/>
                <w:highlight w:val="none"/>
              </w:rPr>
              <w:t>在 2022年 ** 月** 日** 时 ** 分前不得启封</w:t>
            </w:r>
          </w:p>
          <w:p>
            <w:pPr>
              <w:jc w:val="center"/>
              <w:rPr>
                <w:rFonts w:ascii="宋体" w:hAnsi="宋体" w:cs="宋体"/>
                <w:b/>
                <w:bCs/>
                <w:highlight w:val="none"/>
              </w:rPr>
            </w:pPr>
          </w:p>
        </w:tc>
      </w:tr>
    </w:tbl>
    <w:p>
      <w:pPr>
        <w:pStyle w:val="4"/>
        <w:keepNext w:val="0"/>
        <w:keepLines w:val="0"/>
        <w:kinsoku w:val="0"/>
        <w:overflowPunct w:val="0"/>
        <w:spacing w:before="0" w:line="240" w:lineRule="atLeast"/>
        <w:jc w:val="center"/>
        <w:rPr>
          <w:rFonts w:hint="eastAsia" w:ascii="宋体" w:hAnsi="宋体" w:eastAsia="宋体" w:cs="宋体"/>
          <w:color w:val="000000"/>
          <w:sz w:val="24"/>
          <w:highlight w:val="none"/>
        </w:rPr>
      </w:pPr>
      <w:r>
        <w:rPr>
          <w:rFonts w:hint="eastAsia" w:hAnsi="宋体" w:cs="宋体"/>
          <w:b/>
          <w:color w:val="000000"/>
          <w:sz w:val="36"/>
          <w:szCs w:val="24"/>
          <w:highlight w:val="none"/>
          <w:lang w:val="en-US" w:eastAsia="zh-CN"/>
        </w:rPr>
        <w:t>第二章</w:t>
      </w:r>
      <w:r>
        <w:rPr>
          <w:rFonts w:hint="eastAsia" w:hAnsi="宋体" w:cs="宋体"/>
          <w:b/>
          <w:color w:val="000000"/>
          <w:sz w:val="36"/>
          <w:szCs w:val="24"/>
          <w:highlight w:val="none"/>
        </w:rPr>
        <w:t xml:space="preserve"> 投标文件格式</w:t>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jc w:val="both"/>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第一部分 开标一览表及资格证明文件</w:t>
      </w:r>
      <w:bookmarkEnd w:id="283"/>
      <w:bookmarkEnd w:id="284"/>
      <w:bookmarkEnd w:id="285"/>
      <w:bookmarkEnd w:id="286"/>
    </w:p>
    <w:p>
      <w:pPr>
        <w:kinsoku w:val="0"/>
        <w:overflowPunct w:val="0"/>
        <w:spacing w:line="240" w:lineRule="atLeast"/>
        <w:ind w:left="708" w:hanging="708" w:hangingChars="295"/>
        <w:jc w:val="center"/>
        <w:rPr>
          <w:rFonts w:hint="eastAsia" w:ascii="宋体" w:hAnsi="宋体" w:cs="宋体"/>
          <w:color w:val="000000"/>
          <w:sz w:val="24"/>
          <w:highlight w:val="none"/>
        </w:rPr>
      </w:pPr>
    </w:p>
    <w:p>
      <w:pPr>
        <w:tabs>
          <w:tab w:val="left" w:pos="5580"/>
        </w:tabs>
        <w:kinsoku w:val="0"/>
        <w:overflowPunct w:val="0"/>
        <w:spacing w:line="240" w:lineRule="atLeast"/>
        <w:ind w:firstLine="424" w:firstLineChars="177"/>
        <w:rPr>
          <w:rFonts w:hint="eastAsia" w:ascii="宋体" w:hAnsi="宋体" w:cs="宋体"/>
          <w:color w:val="000000"/>
          <w:sz w:val="24"/>
          <w:highlight w:val="none"/>
        </w:rPr>
      </w:pPr>
      <w:r>
        <w:rPr>
          <w:rFonts w:hint="eastAsia" w:ascii="宋体" w:hAnsi="宋体" w:cs="宋体"/>
          <w:color w:val="000000"/>
          <w:sz w:val="24"/>
          <w:highlight w:val="none"/>
        </w:rPr>
        <w:t xml:space="preserve"> 1 、开标一览表（见响应文件格式一）;</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rPr>
        <w:t>2、具有独立承担民事责任的能力（</w:t>
      </w:r>
      <w:r>
        <w:rPr>
          <w:rFonts w:hint="eastAsia" w:ascii="宋体" w:hAnsi="宋体" w:cs="宋体"/>
          <w:color w:val="000000"/>
          <w:sz w:val="24"/>
          <w:highlight w:val="none"/>
          <w:lang w:eastAsia="zh-CN"/>
        </w:rPr>
        <w:t>三证合一的营业执照，原件、可扫描的影印件和复印件均可</w:t>
      </w:r>
      <w:r>
        <w:rPr>
          <w:rFonts w:hint="eastAsia" w:ascii="宋体" w:hAnsi="宋体" w:cs="宋体"/>
          <w:color w:val="000000"/>
          <w:sz w:val="24"/>
          <w:highlight w:val="none"/>
        </w:rPr>
        <w:t>）;</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rPr>
        <w:t>3、法定代表人授权书（见响应文件格式二，自然人投标的无需提供）;</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、具有良好的商业信誉和健全的财务会计制度的证明文件；</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、参加政府采购活动前3年内在经营活动中没有重大违法记录的书面声明;</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、投标单位（供应商）反商业贿赂承诺书</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、投标人须知资料表要求的其他资格证明文件;</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u w:val="single"/>
        </w:rPr>
      </w:pPr>
    </w:p>
    <w:p>
      <w:pPr>
        <w:tabs>
          <w:tab w:val="left" w:pos="5580"/>
        </w:tabs>
        <w:kinsoku w:val="0"/>
        <w:overflowPunct w:val="0"/>
        <w:spacing w:line="240" w:lineRule="atLeast"/>
        <w:rPr>
          <w:rFonts w:hint="eastAsia" w:ascii="宋体" w:hAnsi="宋体" w:cs="宋体"/>
          <w:color w:val="000000"/>
          <w:sz w:val="24"/>
          <w:highlight w:val="none"/>
        </w:rPr>
      </w:pPr>
    </w:p>
    <w:p>
      <w:pPr>
        <w:pStyle w:val="4"/>
        <w:keepNext w:val="0"/>
        <w:keepLines w:val="0"/>
        <w:kinsoku w:val="0"/>
        <w:overflowPunct w:val="0"/>
        <w:snapToGrid w:val="0"/>
        <w:spacing w:before="0" w:line="400" w:lineRule="exact"/>
        <w:ind w:left="1079" w:leftChars="257" w:hanging="539"/>
        <w:jc w:val="left"/>
        <w:rPr>
          <w:rFonts w:hint="eastAsia" w:ascii="宋体" w:hAnsi="宋体" w:eastAsia="宋体" w:cs="宋体"/>
          <w:color w:val="000000"/>
          <w:sz w:val="24"/>
          <w:highlight w:val="none"/>
        </w:rPr>
      </w:pPr>
      <w:bookmarkStart w:id="287" w:name="_Toc515647804"/>
      <w:bookmarkStart w:id="288" w:name="_Toc16568"/>
      <w:bookmarkStart w:id="289" w:name="_Toc30524"/>
      <w:bookmarkStart w:id="290" w:name="_Toc14309"/>
      <w:r>
        <w:rPr>
          <w:rFonts w:hint="eastAsia" w:ascii="宋体" w:hAnsi="宋体" w:eastAsia="宋体" w:cs="宋体"/>
          <w:color w:val="000000"/>
          <w:sz w:val="24"/>
          <w:highlight w:val="none"/>
        </w:rPr>
        <w:t>1  开标一览表（投标文件格式一）</w:t>
      </w:r>
      <w:bookmarkEnd w:id="287"/>
      <w:bookmarkEnd w:id="288"/>
      <w:bookmarkEnd w:id="289"/>
      <w:bookmarkEnd w:id="290"/>
    </w:p>
    <w:p>
      <w:pPr>
        <w:pStyle w:val="9"/>
        <w:tabs>
          <w:tab w:val="left" w:pos="5580"/>
        </w:tabs>
        <w:kinsoku w:val="0"/>
        <w:overflowPunct w:val="0"/>
        <w:adjustRightInd w:val="0"/>
        <w:snapToGrid w:val="0"/>
        <w:spacing w:line="300" w:lineRule="exact"/>
        <w:rPr>
          <w:rFonts w:hint="eastAsia" w:hAnsi="宋体" w:cs="宋体"/>
          <w:color w:val="000000"/>
          <w:sz w:val="24"/>
          <w:szCs w:val="24"/>
          <w:highlight w:val="none"/>
        </w:rPr>
      </w:pPr>
    </w:p>
    <w:p>
      <w:pPr>
        <w:pStyle w:val="5"/>
        <w:tabs>
          <w:tab w:val="left" w:pos="5580"/>
        </w:tabs>
        <w:kinsoku w:val="0"/>
        <w:overflowPunct w:val="0"/>
        <w:spacing w:line="240" w:lineRule="atLeast"/>
        <w:ind w:left="1080" w:leftChars="257" w:hanging="540"/>
        <w:jc w:val="center"/>
        <w:rPr>
          <w:rFonts w:hint="eastAsia" w:hAnsi="宋体" w:cs="宋体"/>
          <w:b/>
          <w:color w:val="000000"/>
          <w:highlight w:val="none"/>
        </w:rPr>
      </w:pPr>
      <w:bookmarkStart w:id="291" w:name="_Hlt520356241"/>
      <w:bookmarkEnd w:id="291"/>
      <w:bookmarkStart w:id="292" w:name="_Toc494296984"/>
      <w:bookmarkStart w:id="293" w:name="_Ref467988698"/>
      <w:bookmarkStart w:id="294" w:name="_Toc480942349"/>
      <w:bookmarkStart w:id="295" w:name="_Toc520356217"/>
      <w:bookmarkStart w:id="296" w:name="_Toc216582813"/>
      <w:r>
        <w:rPr>
          <w:rFonts w:hint="eastAsia" w:hAnsi="宋体" w:cs="宋体"/>
          <w:b/>
          <w:color w:val="000000"/>
          <w:highlight w:val="none"/>
        </w:rPr>
        <w:t>开标一览表</w:t>
      </w:r>
      <w:bookmarkEnd w:id="292"/>
      <w:r>
        <w:rPr>
          <w:rFonts w:hint="eastAsia" w:hAnsi="宋体" w:cs="宋体"/>
          <w:b/>
          <w:color w:val="000000"/>
          <w:highlight w:val="none"/>
        </w:rPr>
        <w:cr/>
      </w:r>
    </w:p>
    <w:p>
      <w:pPr>
        <w:pStyle w:val="5"/>
        <w:tabs>
          <w:tab w:val="left" w:pos="5580"/>
        </w:tabs>
        <w:kinsoku w:val="0"/>
        <w:overflowPunct w:val="0"/>
        <w:spacing w:line="240" w:lineRule="atLeast"/>
        <w:ind w:left="1080" w:leftChars="257" w:hanging="540"/>
        <w:rPr>
          <w:rFonts w:hint="eastAsia" w:hAnsi="宋体" w:cs="宋体"/>
          <w:color w:val="000000"/>
          <w:highlight w:val="none"/>
        </w:rPr>
      </w:pPr>
    </w:p>
    <w:p>
      <w:pPr>
        <w:tabs>
          <w:tab w:val="left" w:pos="1800"/>
          <w:tab w:val="left" w:pos="5580"/>
        </w:tabs>
        <w:kinsoku w:val="0"/>
        <w:overflowPunct w:val="0"/>
        <w:spacing w:line="240" w:lineRule="atLeast"/>
        <w:ind w:left="1080"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 xml:space="preserve">项目名称：　                  招标编号：                 </w:t>
      </w:r>
      <w:r>
        <w:rPr>
          <w:rFonts w:hint="eastAsia" w:ascii="宋体" w:hAnsi="宋体" w:cs="宋体"/>
          <w:color w:val="000000"/>
          <w:sz w:val="24"/>
          <w:highlight w:val="none"/>
          <w:lang w:val="en-US" w:eastAsia="zh-CN"/>
        </w:rPr>
        <w:t>包</w:t>
      </w:r>
      <w:r>
        <w:rPr>
          <w:rFonts w:hint="eastAsia" w:ascii="宋体" w:hAnsi="宋体" w:cs="宋体"/>
          <w:color w:val="000000"/>
          <w:sz w:val="24"/>
          <w:highlight w:val="none"/>
        </w:rPr>
        <w:t xml:space="preserve">号：         </w:t>
      </w:r>
    </w:p>
    <w:p>
      <w:pPr>
        <w:tabs>
          <w:tab w:val="left" w:pos="1800"/>
          <w:tab w:val="left" w:pos="5580"/>
        </w:tabs>
        <w:kinsoku w:val="0"/>
        <w:overflowPunct w:val="0"/>
        <w:spacing w:line="240" w:lineRule="atLeast"/>
        <w:ind w:left="1080"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报价单位：人民币</w:t>
      </w:r>
      <w:r>
        <w:rPr>
          <w:rFonts w:hint="eastAsia" w:ascii="宋体" w:hAnsi="宋体" w:cs="宋体"/>
          <w:b/>
          <w:color w:val="000000"/>
          <w:sz w:val="24"/>
          <w:highlight w:val="none"/>
        </w:rPr>
        <w:t>（元）</w:t>
      </w:r>
    </w:p>
    <w:tbl>
      <w:tblPr>
        <w:tblStyle w:val="14"/>
        <w:tblW w:w="0" w:type="auto"/>
        <w:tblInd w:w="-61" w:type="dxa"/>
        <w:tblLayout w:type="fixed"/>
        <w:tblCellMar>
          <w:top w:w="0" w:type="dxa"/>
          <w:left w:w="0" w:type="dxa"/>
          <w:bottom w:w="0" w:type="dxa"/>
          <w:right w:w="0" w:type="dxa"/>
        </w:tblCellMar>
      </w:tblPr>
      <w:tblGrid>
        <w:gridCol w:w="1337"/>
        <w:gridCol w:w="1559"/>
        <w:gridCol w:w="993"/>
        <w:gridCol w:w="1275"/>
        <w:gridCol w:w="1418"/>
        <w:gridCol w:w="850"/>
        <w:gridCol w:w="1276"/>
        <w:gridCol w:w="992"/>
      </w:tblGrid>
      <w:tr>
        <w:tblPrEx>
          <w:tblCellMar>
            <w:top w:w="0" w:type="dxa"/>
            <w:left w:w="0" w:type="dxa"/>
            <w:bottom w:w="0" w:type="dxa"/>
            <w:right w:w="0" w:type="dxa"/>
          </w:tblCellMar>
        </w:tblPrEx>
        <w:trPr>
          <w:trHeight w:val="662" w:hRule="atLeast"/>
        </w:trPr>
        <w:tc>
          <w:tcPr>
            <w:tcW w:w="1337"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kinsoku w:val="0"/>
              <w:overflowPunct w:val="0"/>
              <w:spacing w:line="240" w:lineRule="atLeast"/>
              <w:ind w:right="-199"/>
              <w:jc w:val="center"/>
              <w:rPr>
                <w:rFonts w:hint="eastAsia" w:ascii="宋体" w:hAnsi="宋体" w:cs="宋体"/>
                <w:color w:val="000000"/>
                <w:sz w:val="24"/>
                <w:highlight w:val="none"/>
              </w:rPr>
            </w:pPr>
            <w:r>
              <w:rPr>
                <w:rFonts w:hint="eastAsia" w:ascii="宋体" w:hAnsi="宋体" w:cs="宋体"/>
                <w:color w:val="000000"/>
                <w:sz w:val="24"/>
                <w:highlight w:val="none"/>
              </w:rPr>
              <w:t>货物名称</w:t>
            </w:r>
          </w:p>
        </w:tc>
        <w:tc>
          <w:tcPr>
            <w:tcW w:w="1559"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投标单价</w:t>
            </w:r>
          </w:p>
        </w:tc>
        <w:tc>
          <w:tcPr>
            <w:tcW w:w="993" w:type="dxa"/>
            <w:tcBorders>
              <w:top w:val="single" w:color="auto" w:sz="8" w:space="0"/>
              <w:left w:val="nil"/>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数量</w:t>
            </w:r>
          </w:p>
        </w:tc>
        <w:tc>
          <w:tcPr>
            <w:tcW w:w="1275" w:type="dxa"/>
            <w:tcBorders>
              <w:top w:val="single" w:color="auto" w:sz="8" w:space="0"/>
              <w:left w:val="nil"/>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投标总价</w:t>
            </w:r>
          </w:p>
        </w:tc>
        <w:tc>
          <w:tcPr>
            <w:tcW w:w="1418" w:type="dxa"/>
            <w:tcBorders>
              <w:top w:val="single" w:color="auto" w:sz="8" w:space="0"/>
              <w:left w:val="nil"/>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投标保证金</w:t>
            </w:r>
          </w:p>
        </w:tc>
        <w:tc>
          <w:tcPr>
            <w:tcW w:w="850"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交货期</w:t>
            </w:r>
          </w:p>
        </w:tc>
        <w:tc>
          <w:tcPr>
            <w:tcW w:w="1276"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交货地点</w:t>
            </w:r>
          </w:p>
        </w:tc>
        <w:tc>
          <w:tcPr>
            <w:tcW w:w="992"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tblPrEx>
          <w:tblCellMar>
            <w:top w:w="0" w:type="dxa"/>
            <w:left w:w="0" w:type="dxa"/>
            <w:bottom w:w="0" w:type="dxa"/>
            <w:right w:w="0" w:type="dxa"/>
          </w:tblCellMar>
        </w:tblPrEx>
        <w:trPr>
          <w:cantSplit/>
          <w:trHeight w:val="1640" w:hRule="atLeast"/>
        </w:trPr>
        <w:tc>
          <w:tcPr>
            <w:tcW w:w="1337"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1559"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kinsoku w:val="0"/>
              <w:overflowPunct w:val="0"/>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kinsoku w:val="0"/>
              <w:overflowPunct w:val="0"/>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993" w:type="dxa"/>
            <w:tcBorders>
              <w:top w:val="single" w:color="auto" w:sz="8" w:space="0"/>
              <w:left w:val="nil"/>
              <w:bottom w:val="single" w:color="auto" w:sz="4" w:space="0"/>
              <w:right w:val="single" w:color="auto" w:sz="4"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1275" w:type="dxa"/>
            <w:tcBorders>
              <w:top w:val="single" w:color="auto" w:sz="8" w:space="0"/>
              <w:left w:val="nil"/>
              <w:bottom w:val="single" w:color="auto" w:sz="4" w:space="0"/>
              <w:right w:val="single" w:color="auto" w:sz="4" w:space="0"/>
            </w:tcBorders>
            <w:noWrap w:val="0"/>
            <w:vAlign w:val="center"/>
          </w:tcPr>
          <w:p>
            <w:pPr>
              <w:tabs>
                <w:tab w:val="left" w:pos="5580"/>
              </w:tabs>
              <w:kinsoku w:val="0"/>
              <w:overflowPunct w:val="0"/>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kinsoku w:val="0"/>
              <w:overflowPunct w:val="0"/>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1418" w:type="dxa"/>
            <w:tcBorders>
              <w:top w:val="single" w:color="auto" w:sz="8" w:space="0"/>
              <w:left w:val="nil"/>
              <w:bottom w:val="single" w:color="auto" w:sz="4" w:space="0"/>
              <w:right w:val="single" w:color="auto" w:sz="4"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850" w:type="dxa"/>
            <w:tcBorders>
              <w:top w:val="single" w:color="auto" w:sz="8" w:space="0"/>
              <w:left w:val="single" w:color="auto" w:sz="4" w:space="0"/>
              <w:bottom w:val="single" w:color="auto" w:sz="4" w:space="0"/>
              <w:right w:val="single" w:color="auto" w:sz="4" w:space="0"/>
            </w:tcBorders>
            <w:noWrap w:val="0"/>
            <w:vAlign w:val="top"/>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1276" w:type="dxa"/>
            <w:tcBorders>
              <w:top w:val="single" w:color="auto" w:sz="8" w:space="0"/>
              <w:left w:val="single" w:color="auto" w:sz="4" w:space="0"/>
              <w:bottom w:val="single" w:color="auto" w:sz="4" w:space="0"/>
              <w:right w:val="single" w:color="auto" w:sz="8" w:space="0"/>
            </w:tcBorders>
            <w:noWrap w:val="0"/>
            <w:vAlign w:val="top"/>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992"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r>
    </w:tbl>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u w:val="singl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投标人名称（单位盖章）：</w:t>
      </w:r>
      <w:r>
        <w:rPr>
          <w:rFonts w:hint="eastAsia" w:hAnsi="宋体" w:cs="宋体"/>
          <w:color w:val="000000"/>
          <w:sz w:val="24"/>
          <w:highlight w:val="none"/>
          <w:u w:val="single"/>
        </w:rPr>
        <w:t xml:space="preserve">                       </w:t>
      </w:r>
    </w:p>
    <w:p>
      <w:pPr>
        <w:pStyle w:val="9"/>
        <w:tabs>
          <w:tab w:val="left" w:pos="558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法定代表人或委托代理(签字):</w:t>
      </w:r>
      <w:r>
        <w:rPr>
          <w:rFonts w:hint="eastAsia" w:hAnsi="宋体" w:cs="宋体"/>
          <w:color w:val="000000"/>
          <w:sz w:val="24"/>
          <w:highlight w:val="none"/>
          <w:u w:val="single"/>
        </w:rPr>
        <w:tab/>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注:1、此表应按投标人须知的规定装订密封。</w:t>
      </w:r>
    </w:p>
    <w:p>
      <w:pPr>
        <w:pStyle w:val="9"/>
        <w:numPr>
          <w:ilvl w:val="0"/>
          <w:numId w:val="7"/>
        </w:numPr>
        <w:tabs>
          <w:tab w:val="left" w:pos="5580"/>
        </w:tabs>
        <w:kinsoku w:val="0"/>
        <w:overflowPunct w:val="0"/>
        <w:spacing w:line="240" w:lineRule="atLeast"/>
        <w:ind w:left="1079" w:leftChars="428" w:hanging="180" w:hangingChars="75"/>
        <w:rPr>
          <w:rFonts w:hint="eastAsia" w:hAnsi="宋体" w:cs="宋体"/>
          <w:color w:val="000000"/>
          <w:sz w:val="24"/>
          <w:highlight w:val="none"/>
        </w:rPr>
      </w:pPr>
      <w:r>
        <w:rPr>
          <w:rFonts w:hint="eastAsia" w:hAnsi="宋体" w:cs="宋体"/>
          <w:color w:val="000000"/>
          <w:sz w:val="24"/>
          <w:highlight w:val="none"/>
        </w:rPr>
        <w:t>此表中的投标价应和投标分项报价表的价格相一致。</w:t>
      </w:r>
    </w:p>
    <w:p>
      <w:pPr>
        <w:kinsoku w:val="0"/>
        <w:overflowPunct w:val="0"/>
        <w:rPr>
          <w:rFonts w:hint="eastAsia" w:ascii="宋体" w:hAnsi="宋体" w:cs="宋体"/>
          <w:b/>
          <w:color w:val="000000"/>
          <w:sz w:val="24"/>
          <w:highlight w:val="none"/>
        </w:rPr>
      </w:pPr>
    </w:p>
    <w:p>
      <w:pPr>
        <w:pStyle w:val="5"/>
        <w:rPr>
          <w:rFonts w:hint="eastAsia"/>
          <w:highlight w:val="none"/>
        </w:rPr>
      </w:pPr>
    </w:p>
    <w:p>
      <w:pPr>
        <w:pStyle w:val="5"/>
        <w:rPr>
          <w:rFonts w:hint="eastAsia"/>
          <w:highlight w:val="none"/>
        </w:rPr>
      </w:pPr>
    </w:p>
    <w:p>
      <w:pPr>
        <w:pStyle w:val="5"/>
        <w:rPr>
          <w:rFonts w:hint="eastAsia"/>
          <w:highlight w:val="none"/>
        </w:rPr>
      </w:pPr>
    </w:p>
    <w:p>
      <w:pPr>
        <w:pStyle w:val="9"/>
        <w:tabs>
          <w:tab w:val="left" w:pos="5580"/>
        </w:tabs>
        <w:kinsoku w:val="0"/>
        <w:overflowPunct w:val="0"/>
        <w:spacing w:line="240" w:lineRule="atLeast"/>
        <w:ind w:left="1080" w:leftChars="257" w:hanging="540"/>
        <w:jc w:val="center"/>
        <w:rPr>
          <w:rFonts w:hint="eastAsia" w:hAnsi="宋体" w:cs="宋体"/>
          <w:b/>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bookmarkStart w:id="297" w:name="_Toc29899"/>
      <w:bookmarkStart w:id="298" w:name="_Toc608"/>
      <w:bookmarkStart w:id="299" w:name="_Toc17577"/>
      <w:bookmarkStart w:id="300" w:name="_Toc515647805"/>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黑体" w:cs="宋体"/>
          <w:color w:val="000000"/>
          <w:sz w:val="24"/>
          <w:highlight w:val="none"/>
          <w:lang w:eastAsia="zh-CN"/>
        </w:rPr>
      </w:pPr>
      <w:r>
        <w:rPr>
          <w:rFonts w:hint="eastAsia" w:ascii="宋体" w:hAnsi="宋体" w:eastAsia="宋体" w:cs="宋体"/>
          <w:color w:val="000000"/>
          <w:sz w:val="24"/>
          <w:highlight w:val="none"/>
        </w:rPr>
        <w:t xml:space="preserve">2  </w:t>
      </w:r>
      <w:bookmarkEnd w:id="297"/>
      <w:bookmarkEnd w:id="298"/>
      <w:bookmarkEnd w:id="299"/>
      <w:bookmarkEnd w:id="300"/>
      <w:r>
        <w:rPr>
          <w:rFonts w:hint="eastAsia" w:ascii="宋体" w:hAnsi="宋体" w:cs="宋体"/>
          <w:color w:val="000000"/>
          <w:sz w:val="24"/>
          <w:highlight w:val="none"/>
        </w:rPr>
        <w:t>具有独立承担民事责任的能力（</w:t>
      </w:r>
      <w:r>
        <w:rPr>
          <w:rFonts w:hint="eastAsia" w:ascii="宋体" w:hAnsi="宋体" w:cs="宋体"/>
          <w:color w:val="000000"/>
          <w:sz w:val="24"/>
          <w:highlight w:val="none"/>
          <w:lang w:eastAsia="zh-CN"/>
        </w:rPr>
        <w:t>三证合一的营业执照，原件、可扫描的影印件和复印件均可）</w:t>
      </w:r>
    </w:p>
    <w:p>
      <w:pPr>
        <w:pStyle w:val="9"/>
        <w:tabs>
          <w:tab w:val="left" w:pos="5580"/>
        </w:tabs>
        <w:kinsoku w:val="0"/>
        <w:overflowPunct w:val="0"/>
        <w:spacing w:line="240" w:lineRule="atLeast"/>
        <w:ind w:left="1080" w:leftChars="257" w:hanging="540"/>
        <w:jc w:val="center"/>
        <w:rPr>
          <w:rFonts w:hint="eastAsia" w:hAnsi="宋体" w:cs="宋体"/>
          <w:b/>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b/>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b/>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说明：1.提供具有独立承担民事责任的能力（</w:t>
      </w:r>
      <w:r>
        <w:rPr>
          <w:rFonts w:hint="eastAsia" w:hAnsi="宋体" w:cs="宋体"/>
          <w:color w:val="000000"/>
          <w:sz w:val="24"/>
          <w:highlight w:val="none"/>
          <w:lang w:eastAsia="zh-CN"/>
        </w:rPr>
        <w:t>三证合一的营业执照，原件、可扫描的影印件和复印件均可</w:t>
      </w:r>
      <w:r>
        <w:rPr>
          <w:rFonts w:hint="eastAsia" w:hAnsi="宋体" w:cs="宋体"/>
          <w:color w:val="000000"/>
          <w:sz w:val="24"/>
          <w:highlight w:val="none"/>
        </w:rPr>
        <w:t>），复印件上应加盖本单位章。</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2. 投标人为自然人的，应提供身份证明的复印件。</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3.联合体投标应提供联合体各方满足以上要求的证明文件。</w:t>
      </w:r>
    </w:p>
    <w:p>
      <w:pPr>
        <w:pStyle w:val="9"/>
        <w:spacing w:line="240" w:lineRule="atLeast"/>
        <w:ind w:firstLine="562" w:firstLineChars="200"/>
        <w:rPr>
          <w:rFonts w:hint="eastAsia" w:ascii="仿宋_GB2312" w:hAnsi="宋体" w:eastAsia="仿宋_GB2312"/>
          <w:b/>
          <w:sz w:val="28"/>
          <w:szCs w:val="24"/>
          <w:highlight w:val="none"/>
          <w:lang w:val="en-US" w:eastAsia="zh-CN"/>
        </w:rPr>
      </w:pPr>
    </w:p>
    <w:p>
      <w:pPr>
        <w:pStyle w:val="9"/>
        <w:spacing w:line="240" w:lineRule="atLeast"/>
        <w:ind w:firstLine="562" w:firstLineChars="200"/>
        <w:rPr>
          <w:rFonts w:hint="eastAsia" w:ascii="仿宋_GB2312" w:hAnsi="宋体" w:eastAsia="仿宋_GB2312"/>
          <w:b/>
          <w:sz w:val="28"/>
          <w:szCs w:val="24"/>
          <w:highlight w:val="none"/>
          <w:lang w:val="en-US" w:eastAsia="zh-CN"/>
        </w:rPr>
      </w:pPr>
    </w:p>
    <w:p>
      <w:pPr>
        <w:pStyle w:val="9"/>
        <w:spacing w:line="240" w:lineRule="atLeast"/>
        <w:ind w:firstLine="562" w:firstLineChars="200"/>
        <w:rPr>
          <w:rFonts w:hint="eastAsia" w:hAnsi="宋体" w:cs="宋体"/>
          <w:b/>
          <w:sz w:val="28"/>
          <w:szCs w:val="28"/>
          <w:highlight w:val="none"/>
        </w:rPr>
      </w:pPr>
      <w:r>
        <w:rPr>
          <w:rFonts w:hint="eastAsia" w:ascii="仿宋_GB2312" w:hAnsi="宋体" w:eastAsia="仿宋_GB2312"/>
          <w:b/>
          <w:sz w:val="28"/>
          <w:szCs w:val="24"/>
          <w:highlight w:val="none"/>
          <w:lang w:val="en-US" w:eastAsia="zh-CN"/>
        </w:rPr>
        <w:t xml:space="preserve">3 </w:t>
      </w:r>
      <w:r>
        <w:rPr>
          <w:rFonts w:hint="eastAsia" w:ascii="仿宋_GB2312" w:hAnsi="宋体" w:eastAsia="仿宋_GB2312"/>
          <w:b/>
          <w:sz w:val="28"/>
          <w:szCs w:val="24"/>
          <w:highlight w:val="none"/>
          <w:lang w:eastAsia="zh-CN"/>
        </w:rPr>
        <w:t>法人代表资格证明书及授权书</w:t>
      </w:r>
    </w:p>
    <w:p>
      <w:pPr>
        <w:pStyle w:val="9"/>
        <w:numPr>
          <w:ilvl w:val="0"/>
          <w:numId w:val="8"/>
        </w:numPr>
        <w:spacing w:line="240" w:lineRule="atLeast"/>
        <w:jc w:val="center"/>
        <w:rPr>
          <w:rFonts w:hint="eastAsia" w:hAnsi="宋体" w:cs="宋体"/>
          <w:b/>
          <w:szCs w:val="21"/>
          <w:highlight w:val="none"/>
        </w:rPr>
      </w:pPr>
      <w:r>
        <w:rPr>
          <w:rFonts w:hint="eastAsia" w:hAnsi="宋体" w:cs="宋体"/>
          <w:b/>
          <w:szCs w:val="21"/>
          <w:highlight w:val="none"/>
        </w:rPr>
        <w:t>法定代表人身份证明</w:t>
      </w:r>
    </w:p>
    <w:p>
      <w:pPr>
        <w:numPr>
          <w:ilvl w:val="0"/>
          <w:numId w:val="0"/>
        </w:numPr>
        <w:rPr>
          <w:rFonts w:hint="eastAsia"/>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同志，现任我单位</w:t>
      </w:r>
      <w:r>
        <w:rPr>
          <w:rFonts w:hint="eastAsia" w:ascii="宋体" w:hAnsi="宋体" w:cs="宋体"/>
          <w:szCs w:val="21"/>
          <w:highlight w:val="none"/>
          <w:u w:val="single"/>
        </w:rPr>
        <w:t xml:space="preserve">          </w:t>
      </w:r>
      <w:r>
        <w:rPr>
          <w:rFonts w:hint="eastAsia" w:ascii="宋体" w:hAnsi="宋体" w:cs="宋体"/>
          <w:szCs w:val="21"/>
          <w:highlight w:val="none"/>
        </w:rPr>
        <w:t>职务，为法定代表人，特此证明。</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 xml:space="preserve">签发日期：                  单位：        </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附：代表人性别：            年龄：           身份证号码：</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联系电话：</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营业执照号码：              经济性质：</w:t>
      </w:r>
    </w:p>
    <w:p>
      <w:pPr>
        <w:spacing w:line="360" w:lineRule="auto"/>
        <w:rPr>
          <w:rFonts w:hint="eastAsia" w:ascii="宋体" w:hAnsi="宋体" w:cs="宋体"/>
          <w:szCs w:val="21"/>
          <w:highlight w:val="none"/>
        </w:rPr>
      </w:pPr>
      <w:r>
        <w:rPr>
          <w:rFonts w:hint="eastAsia" w:ascii="宋体" w:hAnsi="宋体" w:cs="宋体"/>
          <w:szCs w:val="21"/>
          <w:highlight w:val="none"/>
        </w:rPr>
        <w:t>说明：</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1、法定代表人为企业事业单位、国家机关、社会团体的主要行政负责人。</w:t>
      </w:r>
    </w:p>
    <w:p>
      <w:pPr>
        <w:spacing w:line="360" w:lineRule="auto"/>
        <w:rPr>
          <w:rFonts w:hint="eastAsia" w:ascii="宋体" w:hAnsi="宋体" w:cs="宋体"/>
          <w:szCs w:val="21"/>
          <w:highlight w:val="none"/>
        </w:rPr>
      </w:pPr>
      <w:r>
        <w:rPr>
          <w:rFonts w:hint="eastAsia" w:ascii="宋体" w:hAnsi="宋体" w:cs="宋体"/>
          <w:szCs w:val="21"/>
          <w:highlight w:val="none"/>
        </w:rPr>
        <w:t xml:space="preserve">  2、内容必须填写真实、清楚、涂改无效，不得转让。</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3、将此证明书原件提交采购代理机构作为谈判投标文件附件。</w:t>
      </w:r>
    </w:p>
    <w:p>
      <w:pPr>
        <w:spacing w:line="360" w:lineRule="auto"/>
        <w:rPr>
          <w:rFonts w:hint="eastAsia" w:ascii="宋体" w:hAnsi="宋体" w:cs="宋体"/>
          <w:szCs w:val="21"/>
          <w:highlight w:val="none"/>
        </w:rPr>
      </w:pPr>
      <w:r>
        <w:rPr>
          <w:rFonts w:hint="eastAsia" w:ascii="宋体" w:hAnsi="宋体" w:cs="宋体"/>
          <w:szCs w:val="21"/>
          <w:highlight w:val="none"/>
        </w:rPr>
        <w:t xml:space="preserve">  (为避免废标，请供应商务必提供本附件)</w:t>
      </w:r>
    </w:p>
    <w:p>
      <w:pPr>
        <w:spacing w:line="360" w:lineRule="auto"/>
        <w:rPr>
          <w:rFonts w:hint="eastAsia"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Vk69dYAAAAIAQAA&#10;DwAAAAAAAAABACAAAAAiAAAAZHJzL2Rvd25yZXYueG1sUEsBAhQAFAAAAAgAh07iQB0+rvUbAgAA&#10;IAQAAA4AAAAAAAAAAQAgAAAAJQEAAGRycy9lMm9Eb2MueG1sUEsFBgAAAAAGAAYAWQEAALIFAAAA&#10;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5"/>
                            </w:pPr>
                          </w:p>
                          <w:p>
                            <w:pPr>
                              <w:pStyle w:val="5"/>
                            </w:pPr>
                          </w:p>
                          <w:p>
                            <w:pPr>
                              <w:pStyle w:val="5"/>
                            </w:pPr>
                          </w:p>
                          <w:p>
                            <w:pPr>
                              <w:pStyle w:val="5"/>
                            </w:pPr>
                          </w:p>
                        </w:txbxContent>
                      </wps:txbx>
                      <wps:bodyPr wrap="square"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8vY1/aAAAA&#10;CQEAAA8AAAAAAAAAAQAgAAAAIgAAAGRycy9kb3ducmV2LnhtbFBLAQIUABQAAAAIAIdO4kDgm5dN&#10;GwIAACgEAAAOAAAAAAAAAAEAIAAAACkBAABkcnMvZTJvRG9jLnhtbFBLBQYAAAAABgAGAFkBAAC2&#10;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5"/>
                      </w:pPr>
                    </w:p>
                    <w:p>
                      <w:pPr>
                        <w:pStyle w:val="5"/>
                      </w:pPr>
                    </w:p>
                    <w:p>
                      <w:pPr>
                        <w:pStyle w:val="5"/>
                      </w:pPr>
                    </w:p>
                    <w:p>
                      <w:pPr>
                        <w:pStyle w:val="5"/>
                      </w:pPr>
                    </w:p>
                  </w:txbxContent>
                </v:textbox>
              </v:roundrect>
            </w:pict>
          </mc:Fallback>
        </mc:AlternateConten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szCs w:val="21"/>
          <w:highlight w:val="none"/>
        </w:rPr>
      </w:pPr>
    </w:p>
    <w:p>
      <w:pPr>
        <w:autoSpaceDE w:val="0"/>
        <w:autoSpaceDN w:val="0"/>
        <w:adjustRightInd w:val="0"/>
        <w:spacing w:line="360" w:lineRule="auto"/>
        <w:ind w:right="246"/>
        <w:rPr>
          <w:rFonts w:hint="eastAsia" w:ascii="宋体" w:hAnsi="宋体" w:cs="宋体"/>
          <w:kern w:val="0"/>
          <w:szCs w:val="21"/>
          <w:highlight w:val="none"/>
        </w:rPr>
      </w:pPr>
    </w:p>
    <w:p>
      <w:pPr>
        <w:autoSpaceDE w:val="0"/>
        <w:autoSpaceDN w:val="0"/>
        <w:adjustRightInd w:val="0"/>
        <w:spacing w:line="360" w:lineRule="auto"/>
        <w:ind w:right="246"/>
        <w:rPr>
          <w:rFonts w:hint="eastAsia" w:ascii="宋体" w:hAnsi="宋体" w:cs="宋体"/>
          <w:kern w:val="0"/>
          <w:szCs w:val="21"/>
          <w:highlight w:val="none"/>
        </w:rPr>
      </w:pPr>
    </w:p>
    <w:p>
      <w:pPr>
        <w:autoSpaceDE w:val="0"/>
        <w:autoSpaceDN w:val="0"/>
        <w:adjustRightInd w:val="0"/>
        <w:spacing w:line="360" w:lineRule="auto"/>
        <w:ind w:right="246" w:firstLine="686" w:firstLineChars="327"/>
        <w:rPr>
          <w:rFonts w:hint="eastAsia" w:ascii="宋体" w:hAnsi="宋体" w:cs="宋体"/>
          <w:kern w:val="0"/>
          <w:szCs w:val="21"/>
          <w:highlight w:val="none"/>
        </w:rPr>
      </w:pPr>
    </w:p>
    <w:p>
      <w:pPr>
        <w:autoSpaceDE w:val="0"/>
        <w:autoSpaceDN w:val="0"/>
        <w:adjustRightInd w:val="0"/>
        <w:spacing w:line="360" w:lineRule="auto"/>
        <w:ind w:right="246" w:firstLine="686" w:firstLineChars="327"/>
        <w:rPr>
          <w:rFonts w:hint="eastAsia" w:ascii="宋体" w:hAnsi="宋体" w:cs="宋体"/>
          <w:szCs w:val="21"/>
          <w:highlight w:val="none"/>
        </w:rPr>
      </w:pPr>
      <w:r>
        <w:rPr>
          <w:rFonts w:hint="eastAsia" w:ascii="宋体" w:hAnsi="宋体" w:cs="宋体"/>
          <w:kern w:val="0"/>
          <w:szCs w:val="21"/>
          <w:highlight w:val="none"/>
        </w:rPr>
        <w:t>供应商（公章）：</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djustRightInd w:val="0"/>
        <w:snapToGrid w:val="0"/>
        <w:spacing w:line="360" w:lineRule="auto"/>
        <w:ind w:firstLine="686" w:firstLineChars="327"/>
        <w:rPr>
          <w:rFonts w:hint="eastAsia" w:ascii="宋体" w:hAnsi="宋体" w:cs="宋体"/>
          <w:szCs w:val="21"/>
          <w:highlight w:val="none"/>
        </w:rPr>
      </w:pPr>
      <w:r>
        <w:rPr>
          <w:rFonts w:hint="eastAsia" w:ascii="宋体" w:hAnsi="宋体" w:cs="宋体"/>
          <w:kern w:val="0"/>
          <w:szCs w:val="21"/>
          <w:highlight w:val="none"/>
        </w:rPr>
        <w:t>法定代表人（签/章）：</w:t>
      </w:r>
      <w:r>
        <w:rPr>
          <w:rFonts w:hint="eastAsia" w:ascii="宋体" w:hAnsi="宋体" w:cs="宋体"/>
          <w:szCs w:val="21"/>
          <w:highlight w:val="none"/>
          <w:u w:val="single"/>
        </w:rPr>
        <w:t xml:space="preserve">                    </w:t>
      </w:r>
    </w:p>
    <w:p>
      <w:pPr>
        <w:adjustRightInd w:val="0"/>
        <w:snapToGrid w:val="0"/>
        <w:spacing w:line="360" w:lineRule="auto"/>
        <w:ind w:firstLine="686" w:firstLineChars="327"/>
        <w:rPr>
          <w:rFonts w:hint="eastAsia" w:ascii="宋体" w:hAnsi="宋体" w:cs="宋体"/>
          <w:b/>
          <w:bCs/>
          <w:sz w:val="24"/>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p>
    <w:p>
      <w:pPr>
        <w:pStyle w:val="9"/>
        <w:tabs>
          <w:tab w:val="left" w:pos="5580"/>
        </w:tabs>
        <w:spacing w:line="240" w:lineRule="atLeast"/>
        <w:ind w:firstLine="480" w:firstLineChars="200"/>
        <w:outlineLvl w:val="9"/>
        <w:rPr>
          <w:rFonts w:hint="eastAsia" w:ascii="仿宋_GB2312" w:eastAsia="仿宋_GB2312"/>
          <w:sz w:val="24"/>
          <w:highlight w:val="none"/>
        </w:rPr>
      </w:pPr>
    </w:p>
    <w:p>
      <w:pPr>
        <w:spacing w:before="0" w:line="240" w:lineRule="atLeast"/>
        <w:ind w:left="1080" w:leftChars="257" w:hanging="540"/>
        <w:outlineLvl w:val="9"/>
        <w:rPr>
          <w:rFonts w:ascii="仿宋_GB2312" w:hAnsi="宋体" w:eastAsia="仿宋_GB2312"/>
          <w:sz w:val="24"/>
          <w:highlight w:val="none"/>
        </w:rPr>
      </w:pPr>
    </w:p>
    <w:p>
      <w:pPr>
        <w:spacing w:line="360" w:lineRule="auto"/>
        <w:outlineLvl w:val="9"/>
        <w:rPr>
          <w:rFonts w:hint="eastAsia" w:ascii="宋体" w:hAnsi="宋体" w:cs="宋体"/>
          <w:b/>
          <w:bCs/>
          <w:sz w:val="24"/>
          <w:highlight w:val="none"/>
        </w:rPr>
      </w:pPr>
    </w:p>
    <w:p>
      <w:pPr>
        <w:spacing w:line="360" w:lineRule="auto"/>
        <w:outlineLvl w:val="9"/>
        <w:rPr>
          <w:rFonts w:hint="eastAsia" w:ascii="宋体" w:hAnsi="宋体" w:cs="宋体"/>
          <w:b/>
          <w:bCs/>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b w:val="0"/>
          <w:color w:val="000000"/>
          <w:sz w:val="24"/>
          <w:highlight w:val="none"/>
          <w:u w:val="single"/>
        </w:rPr>
      </w:pPr>
      <w:bookmarkStart w:id="301" w:name="_Toc515647807"/>
      <w:bookmarkStart w:id="302" w:name="_Toc22472"/>
      <w:bookmarkStart w:id="303" w:name="_Toc23503"/>
      <w:bookmarkStart w:id="304" w:name="_Toc1083"/>
      <w:r>
        <w:rPr>
          <w:rFonts w:hint="eastAsia" w:ascii="宋体" w:hAnsi="宋体" w:eastAsia="宋体" w:cs="宋体"/>
          <w:color w:val="000000"/>
          <w:sz w:val="24"/>
          <w:highlight w:val="none"/>
        </w:rPr>
        <w:t xml:space="preserve"> 法定代表人授权委托书(投标文件格式二，自然人投标的无需提供)</w:t>
      </w:r>
      <w:bookmarkEnd w:id="301"/>
      <w:bookmarkEnd w:id="302"/>
      <w:bookmarkEnd w:id="303"/>
      <w:bookmarkEnd w:id="304"/>
    </w:p>
    <w:p>
      <w:pPr>
        <w:pStyle w:val="9"/>
        <w:tabs>
          <w:tab w:val="left" w:pos="5580"/>
        </w:tabs>
        <w:kinsoku w:val="0"/>
        <w:overflowPunct w:val="0"/>
        <w:adjustRightInd w:val="0"/>
        <w:spacing w:line="400" w:lineRule="exact"/>
        <w:rPr>
          <w:rFonts w:hint="eastAsia" w:hAnsi="宋体" w:cs="宋体"/>
          <w:color w:val="000000"/>
          <w:sz w:val="24"/>
          <w:highlight w:val="none"/>
        </w:rPr>
      </w:pPr>
      <w:r>
        <w:rPr>
          <w:rFonts w:hint="eastAsia" w:hAnsi="宋体" w:cs="宋体"/>
          <w:color w:val="000000"/>
          <w:sz w:val="24"/>
          <w:highlight w:val="none"/>
        </w:rPr>
        <w:cr/>
      </w:r>
      <w:r>
        <w:rPr>
          <w:rFonts w:hint="eastAsia" w:hAnsi="宋体" w:cs="宋体"/>
          <w:color w:val="000000"/>
          <w:sz w:val="24"/>
          <w:highlight w:val="none"/>
        </w:rPr>
        <w:t xml:space="preserve">    本授权书声明：注册于</w:t>
      </w:r>
      <w:r>
        <w:rPr>
          <w:rFonts w:hint="eastAsia" w:hAnsi="宋体" w:cs="宋体"/>
          <w:color w:val="000000"/>
          <w:sz w:val="24"/>
          <w:highlight w:val="none"/>
          <w:u w:val="single"/>
        </w:rPr>
        <w:t>（国家或地区的名称）</w:t>
      </w:r>
      <w:r>
        <w:rPr>
          <w:rFonts w:hint="eastAsia" w:hAnsi="宋体" w:cs="宋体"/>
          <w:color w:val="000000"/>
          <w:sz w:val="24"/>
          <w:highlight w:val="none"/>
        </w:rPr>
        <w:t>的（</w:t>
      </w:r>
      <w:r>
        <w:rPr>
          <w:rFonts w:hint="eastAsia" w:hAnsi="宋体" w:cs="宋体"/>
          <w:color w:val="000000"/>
          <w:sz w:val="24"/>
          <w:highlight w:val="none"/>
          <w:u w:val="single"/>
        </w:rPr>
        <w:t>投标人</w:t>
      </w:r>
      <w:r>
        <w:rPr>
          <w:rFonts w:hint="eastAsia" w:hAnsi="宋体" w:cs="宋体"/>
          <w:color w:val="000000"/>
          <w:sz w:val="24"/>
          <w:highlight w:val="none"/>
        </w:rPr>
        <w:t>）的在下面签字的（</w:t>
      </w:r>
      <w:r>
        <w:rPr>
          <w:rFonts w:hint="eastAsia" w:hAnsi="宋体" w:cs="宋体"/>
          <w:color w:val="000000"/>
          <w:sz w:val="24"/>
          <w:highlight w:val="none"/>
          <w:u w:val="single"/>
        </w:rPr>
        <w:t>法人代表姓名、职务</w:t>
      </w:r>
      <w:r>
        <w:rPr>
          <w:rFonts w:hint="eastAsia" w:hAnsi="宋体" w:cs="宋体"/>
          <w:color w:val="000000"/>
          <w:sz w:val="24"/>
          <w:highlight w:val="none"/>
        </w:rPr>
        <w:t>）代表我单位授权（</w:t>
      </w:r>
      <w:r>
        <w:rPr>
          <w:rFonts w:hint="eastAsia" w:hAnsi="宋体" w:cs="宋体"/>
          <w:color w:val="000000"/>
          <w:sz w:val="24"/>
          <w:highlight w:val="none"/>
          <w:u w:val="single"/>
        </w:rPr>
        <w:t>单位名称</w:t>
      </w:r>
      <w:r>
        <w:rPr>
          <w:rFonts w:hint="eastAsia" w:hAnsi="宋体" w:cs="宋体"/>
          <w:color w:val="000000"/>
          <w:sz w:val="24"/>
          <w:highlight w:val="none"/>
        </w:rPr>
        <w:t>）的在下面签字的（</w:t>
      </w:r>
      <w:r>
        <w:rPr>
          <w:rFonts w:hint="eastAsia" w:hAnsi="宋体" w:cs="宋体"/>
          <w:color w:val="000000"/>
          <w:sz w:val="24"/>
          <w:highlight w:val="none"/>
          <w:u w:val="single"/>
        </w:rPr>
        <w:t>被授权人的姓名、职务</w:t>
      </w:r>
      <w:r>
        <w:rPr>
          <w:rFonts w:hint="eastAsia" w:hAnsi="宋体" w:cs="宋体"/>
          <w:color w:val="000000"/>
          <w:sz w:val="24"/>
          <w:highlight w:val="none"/>
        </w:rPr>
        <w:t>）为我单位的合法代理人，就（</w:t>
      </w:r>
      <w:r>
        <w:rPr>
          <w:rFonts w:hint="eastAsia" w:hAnsi="宋体" w:cs="宋体"/>
          <w:color w:val="000000"/>
          <w:sz w:val="24"/>
          <w:highlight w:val="none"/>
          <w:u w:val="single"/>
        </w:rPr>
        <w:t>项目名称</w:t>
      </w:r>
      <w:r>
        <w:rPr>
          <w:rFonts w:hint="eastAsia" w:hAnsi="宋体" w:cs="宋体"/>
          <w:color w:val="000000"/>
          <w:sz w:val="24"/>
          <w:highlight w:val="none"/>
        </w:rPr>
        <w:t>）的（</w:t>
      </w:r>
      <w:r>
        <w:rPr>
          <w:rFonts w:hint="eastAsia" w:hAnsi="宋体" w:cs="宋体"/>
          <w:color w:val="000000"/>
          <w:sz w:val="24"/>
          <w:highlight w:val="none"/>
          <w:u w:val="single"/>
        </w:rPr>
        <w:t>合同名称</w:t>
      </w:r>
      <w:r>
        <w:rPr>
          <w:rFonts w:hint="eastAsia" w:hAnsi="宋体" w:cs="宋体"/>
          <w:color w:val="000000"/>
          <w:sz w:val="24"/>
          <w:highlight w:val="none"/>
        </w:rPr>
        <w:t>）投标，以我单位名义处理一切与之有关的事务。</w:t>
      </w:r>
      <w:r>
        <w:rPr>
          <w:rFonts w:hint="eastAsia" w:hAnsi="宋体" w:cs="宋体"/>
          <w:color w:val="000000"/>
          <w:sz w:val="24"/>
          <w:highlight w:val="none"/>
        </w:rPr>
        <w:cr/>
      </w:r>
      <w:r>
        <w:rPr>
          <w:rFonts w:hint="eastAsia" w:hAnsi="宋体" w:cs="宋体"/>
          <w:color w:val="000000"/>
          <w:sz w:val="24"/>
          <w:highlight w:val="none"/>
        </w:rPr>
        <w:t>　　</w:t>
      </w: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r>
        <w:rPr>
          <w:rFonts w:hint="eastAsia" w:hAnsi="宋体" w:cs="宋体"/>
          <w:color w:val="000000"/>
          <w:sz w:val="24"/>
          <w:highlight w:val="none"/>
        </w:rPr>
        <w:t>本授权书于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日签字生效,特此声明。</w:t>
      </w:r>
      <w:r>
        <w:rPr>
          <w:rFonts w:hint="eastAsia" w:hAnsi="宋体" w:cs="宋体"/>
          <w:color w:val="000000"/>
          <w:sz w:val="24"/>
          <w:highlight w:val="none"/>
        </w:rPr>
        <w:cr/>
      </w:r>
      <w:r>
        <w:rPr>
          <w:rFonts w:hint="eastAsia" w:hAnsi="宋体" w:cs="宋体"/>
          <w:color w:val="000000"/>
          <w:sz w:val="24"/>
          <w:highlight w:val="none"/>
        </w:rPr>
        <w:cr/>
      </w:r>
      <w:r>
        <w:rPr>
          <w:rFonts w:hint="eastAsia" w:hAnsi="宋体" w:cs="宋体"/>
          <w:color w:val="000000"/>
          <w:sz w:val="24"/>
          <w:highlight w:val="none"/>
          <w:lang w:val="en-US" w:eastAsia="zh-CN"/>
        </w:rPr>
        <w:t xml:space="preserve">    </w:t>
      </w:r>
      <w:r>
        <w:rPr>
          <w:rFonts w:hint="eastAsia" w:hAnsi="宋体" w:cs="宋体"/>
          <w:color w:val="000000"/>
          <w:sz w:val="24"/>
          <w:highlight w:val="none"/>
        </w:rPr>
        <w:t xml:space="preserve">（授权委托人身份证复印件正面）           （授权委托人身份证复印件反面）  </w:t>
      </w: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r>
        <w:rPr>
          <w:rFonts w:hint="eastAsia" w:hAnsi="宋体" w:cs="宋体"/>
          <w:color w:val="000000"/>
          <w:sz w:val="24"/>
          <w:highlight w:val="none"/>
        </w:rPr>
        <w:t xml:space="preserve">（法人身份证复印件正面）                   （法人身份证复印件反面）   </w:t>
      </w: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9"/>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color="FFFFFF"/>
        </w:rPr>
        <w:t>投标</w:t>
      </w:r>
      <w:r>
        <w:rPr>
          <w:rFonts w:hint="eastAsia" w:hAnsi="宋体" w:cs="宋体"/>
          <w:color w:val="000000"/>
          <w:sz w:val="24"/>
          <w:highlight w:val="none"/>
          <w:u w:val="single"/>
        </w:rPr>
        <w:t xml:space="preserve">人（盖单位章）;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法定代表人（签字或签章）</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color="EEECE1"/>
        </w:rPr>
        <w:t>身份证号码</w:t>
      </w:r>
      <w:r>
        <w:rPr>
          <w:rFonts w:hint="eastAsia" w:hAnsi="宋体" w:cs="宋体"/>
          <w:color w:val="000000"/>
          <w:sz w:val="24"/>
          <w:highlight w:val="none"/>
          <w:u w:val="single"/>
        </w:rPr>
        <w:t xml:space="preserve">：__________________________________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rPr>
        <w:t xml:space="preserve">委托代理人：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rPr>
        <w:t xml:space="preserve">身份证号码：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详细通讯地址</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 xml:space="preserve">邮 政 编 码 </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传　　　　真</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9"/>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电　　　　话</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4"/>
        <w:keepNext w:val="0"/>
        <w:keepLines w:val="0"/>
        <w:kinsoku w:val="0"/>
        <w:overflowPunct w:val="0"/>
        <w:spacing w:before="0" w:line="400" w:lineRule="exact"/>
        <w:ind w:left="1080" w:leftChars="257" w:hanging="54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bookmarkStart w:id="305" w:name="_Toc515647808"/>
      <w:bookmarkStart w:id="306" w:name="_Toc18130"/>
      <w:bookmarkStart w:id="307" w:name="_Toc7039"/>
      <w:bookmarkStart w:id="308" w:name="_Toc32520"/>
      <w:r>
        <w:rPr>
          <w:rFonts w:hint="eastAsia" w:ascii="宋体" w:hAnsi="宋体" w:eastAsia="宋体" w:cs="宋体"/>
          <w:color w:val="000000"/>
          <w:sz w:val="24"/>
          <w:highlight w:val="none"/>
        </w:rPr>
        <w:t>4  具有良好的商业信誉和健全的财务会计制度的证明文件</w:t>
      </w:r>
      <w:bookmarkEnd w:id="305"/>
      <w:bookmarkEnd w:id="306"/>
      <w:bookmarkEnd w:id="307"/>
      <w:bookmarkEnd w:id="308"/>
    </w:p>
    <w:p>
      <w:pPr>
        <w:tabs>
          <w:tab w:val="left" w:pos="5580"/>
        </w:tabs>
        <w:kinsoku w:val="0"/>
        <w:overflowPunct w:val="0"/>
        <w:spacing w:line="240" w:lineRule="atLeast"/>
        <w:ind w:left="1080" w:leftChars="257" w:hanging="540"/>
        <w:jc w:val="center"/>
        <w:rPr>
          <w:rFonts w:hint="eastAsia" w:ascii="宋体" w:hAnsi="宋体" w:cs="宋体"/>
          <w:b/>
          <w:color w:val="000000"/>
          <w:sz w:val="24"/>
          <w:highlight w:val="none"/>
        </w:rPr>
      </w:pPr>
    </w:p>
    <w:p>
      <w:pPr>
        <w:tabs>
          <w:tab w:val="left" w:pos="3060"/>
          <w:tab w:val="left" w:pos="5580"/>
        </w:tabs>
        <w:kinsoku w:val="0"/>
        <w:overflowPunct w:val="0"/>
        <w:spacing w:line="240" w:lineRule="atLeast"/>
        <w:ind w:left="1080" w:leftChars="257" w:hanging="540"/>
        <w:rPr>
          <w:rFonts w:hint="eastAsia" w:ascii="宋体" w:hAnsi="宋体" w:cs="宋体"/>
          <w:b/>
          <w:color w:val="000000"/>
          <w:sz w:val="24"/>
          <w:highlight w:val="none"/>
        </w:rPr>
      </w:pPr>
    </w:p>
    <w:p>
      <w:pPr>
        <w:tabs>
          <w:tab w:val="left" w:pos="5580"/>
        </w:tabs>
        <w:kinsoku w:val="0"/>
        <w:overflowPunct w:val="0"/>
        <w:adjustRightInd w:val="0"/>
        <w:snapToGrid w:val="0"/>
        <w:spacing w:line="360" w:lineRule="exac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说明：</w:t>
      </w:r>
    </w:p>
    <w:p>
      <w:pPr>
        <w:tabs>
          <w:tab w:val="left" w:pos="5580"/>
        </w:tabs>
        <w:kinsoku w:val="0"/>
        <w:overflowPunct w:val="0"/>
        <w:adjustRightInd w:val="0"/>
        <w:snapToGrid w:val="0"/>
        <w:spacing w:line="360" w:lineRule="exact"/>
        <w:ind w:left="540"/>
        <w:rPr>
          <w:rFonts w:hint="eastAsia" w:ascii="宋体" w:hAnsi="宋体" w:cs="宋体"/>
          <w:bCs/>
          <w:color w:val="000000"/>
          <w:sz w:val="24"/>
          <w:highlight w:val="none"/>
        </w:rPr>
      </w:pPr>
      <w:r>
        <w:rPr>
          <w:rFonts w:hint="eastAsia" w:ascii="宋体" w:hAnsi="宋体" w:cs="宋体"/>
          <w:color w:val="000000"/>
          <w:sz w:val="24"/>
          <w:highlight w:val="none"/>
        </w:rPr>
        <w:t>1、如提供本单位</w:t>
      </w:r>
      <w:r>
        <w:rPr>
          <w:rFonts w:hint="eastAsia" w:ascii="宋体" w:hAnsi="宋体" w:cs="宋体"/>
          <w:color w:val="000000"/>
          <w:sz w:val="24"/>
          <w:highlight w:val="none"/>
          <w:lang w:val="en-US" w:eastAsia="zh-CN"/>
        </w:rPr>
        <w:t>2020</w:t>
      </w:r>
      <w:r>
        <w:rPr>
          <w:rFonts w:hint="eastAsia" w:ascii="宋体" w:hAnsi="宋体" w:cs="宋体"/>
          <w:color w:val="000000"/>
          <w:sz w:val="24"/>
          <w:highlight w:val="none"/>
        </w:rPr>
        <w:t>年或20</w:t>
      </w: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年度经会计师事务所出具的审计报告复印件须加盖</w:t>
      </w:r>
      <w:r>
        <w:rPr>
          <w:rFonts w:hint="eastAsia" w:ascii="宋体" w:hAnsi="宋体" w:cs="宋体"/>
          <w:bCs/>
          <w:color w:val="000000"/>
          <w:sz w:val="24"/>
          <w:highlight w:val="none"/>
        </w:rPr>
        <w:t>本单位章。</w:t>
      </w:r>
    </w:p>
    <w:p>
      <w:pPr>
        <w:tabs>
          <w:tab w:val="left" w:pos="5580"/>
        </w:tabs>
        <w:kinsoku w:val="0"/>
        <w:overflowPunct w:val="0"/>
        <w:adjustRightInd w:val="0"/>
        <w:snapToGrid w:val="0"/>
        <w:spacing w:line="360" w:lineRule="exact"/>
        <w:ind w:left="540"/>
        <w:rPr>
          <w:rFonts w:hint="eastAsia" w:ascii="宋体" w:hAnsi="宋体" w:cs="宋体"/>
          <w:color w:val="000000"/>
          <w:sz w:val="24"/>
          <w:highlight w:val="none"/>
        </w:rPr>
      </w:pPr>
      <w:r>
        <w:rPr>
          <w:rFonts w:hint="eastAsia" w:ascii="宋体" w:hAnsi="宋体" w:cs="宋体"/>
          <w:color w:val="000000"/>
          <w:sz w:val="24"/>
          <w:highlight w:val="none"/>
        </w:rPr>
        <w:t>2、如提供银行出具的证明文件。银行证明文件可提供原件，也可提供银行在开标日前一个月内开具证明文件的复印件。若提供的是复印件，招标采购单位保留审核原件的权利。银行出具的证明文件应能说明该投标人与银行之间业务往来正常，企业信誉良好等。</w:t>
      </w:r>
    </w:p>
    <w:p>
      <w:pPr>
        <w:tabs>
          <w:tab w:val="left" w:pos="5580"/>
        </w:tabs>
        <w:kinsoku w:val="0"/>
        <w:overflowPunct w:val="0"/>
        <w:adjustRightInd w:val="0"/>
        <w:snapToGrid w:val="0"/>
        <w:spacing w:line="360" w:lineRule="exac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3、如果是联合体投标，联合体各方均需提供上述证明。</w:t>
      </w:r>
    </w:p>
    <w:p>
      <w:pPr>
        <w:tabs>
          <w:tab w:val="left" w:pos="5580"/>
        </w:tabs>
        <w:kinsoku w:val="0"/>
        <w:overflowPunct w:val="0"/>
        <w:spacing w:line="240" w:lineRule="atLeast"/>
        <w:ind w:left="1080" w:leftChars="257" w:hanging="540"/>
        <w:rPr>
          <w:rFonts w:hint="eastAsia" w:ascii="宋体" w:hAnsi="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09" w:name="_Toc28445"/>
      <w:bookmarkStart w:id="310" w:name="_Toc31238"/>
      <w:bookmarkStart w:id="311" w:name="_Toc515647809"/>
      <w:bookmarkStart w:id="312" w:name="_Toc11047"/>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5  投标保证金</w:t>
      </w:r>
      <w:bookmarkEnd w:id="309"/>
      <w:bookmarkEnd w:id="310"/>
      <w:bookmarkEnd w:id="311"/>
      <w:bookmarkEnd w:id="312"/>
      <w:r>
        <w:rPr>
          <w:rFonts w:hint="eastAsia" w:ascii="宋体" w:hAnsi="宋体" w:eastAsia="宋体" w:cs="宋体"/>
          <w:color w:val="000000"/>
          <w:sz w:val="24"/>
          <w:highlight w:val="none"/>
          <w:lang w:val="en-US" w:eastAsia="zh-CN"/>
        </w:rPr>
        <w:t>银行打款（缴纳）凭证</w:t>
      </w:r>
    </w:p>
    <w:p>
      <w:pPr>
        <w:kinsoku w:val="0"/>
        <w:overflowPunct w:val="0"/>
        <w:adjustRightInd w:val="0"/>
        <w:snapToGrid w:val="0"/>
        <w:spacing w:line="360" w:lineRule="exact"/>
        <w:ind w:firstLine="420" w:firstLineChars="200"/>
        <w:rPr>
          <w:rFonts w:hint="eastAsia" w:ascii="宋体" w:hAnsi="宋体" w:cs="宋体"/>
          <w:color w:val="000000"/>
          <w:highlight w:val="none"/>
        </w:rPr>
      </w:pPr>
      <w:bookmarkStart w:id="313" w:name="_Toc494296991"/>
      <w:bookmarkStart w:id="314" w:name="_Toc494296665"/>
      <w:r>
        <w:rPr>
          <w:rFonts w:hint="eastAsia" w:ascii="宋体" w:hAnsi="宋体" w:cs="宋体"/>
          <w:color w:val="000000"/>
          <w:highlight w:val="none"/>
        </w:rPr>
        <w:t>投标人可将本项目投标保证金支付的汇款凭证、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13"/>
      <w:bookmarkEnd w:id="314"/>
    </w:p>
    <w:p>
      <w:pPr>
        <w:kinsoku w:val="0"/>
        <w:overflowPunct w:val="0"/>
        <w:spacing w:line="240" w:lineRule="atLeast"/>
        <w:ind w:left="1080" w:leftChars="257" w:hanging="540"/>
        <w:jc w:val="center"/>
        <w:rPr>
          <w:rFonts w:hint="eastAsia" w:ascii="宋体" w:hAnsi="宋体" w:cs="宋体"/>
          <w:color w:val="000000"/>
          <w:sz w:val="24"/>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政府采购投标担保函 （投标文件格式三）</w:t>
      </w:r>
    </w:p>
    <w:p>
      <w:pPr>
        <w:kinsoku w:val="0"/>
        <w:overflowPunct w:val="0"/>
        <w:ind w:firstLine="6720" w:firstLineChars="3200"/>
        <w:rPr>
          <w:rFonts w:hint="eastAsia" w:ascii="宋体" w:hAnsi="宋体" w:cs="宋体"/>
          <w:color w:val="000000"/>
          <w:highlight w:val="none"/>
        </w:rPr>
      </w:pPr>
      <w:r>
        <w:rPr>
          <w:rFonts w:hint="eastAsia" w:ascii="宋体" w:hAnsi="宋体" w:cs="宋体"/>
          <w:color w:val="000000"/>
          <w:highlight w:val="none"/>
        </w:rPr>
        <w:t>编号：</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（采购人或采购代理机构）：</w:t>
      </w:r>
    </w:p>
    <w:p>
      <w:pPr>
        <w:kinsoku w:val="0"/>
        <w:overflowPunct w:val="0"/>
        <w:rPr>
          <w:rFonts w:hint="eastAsia" w:ascii="宋体" w:hAnsi="宋体" w:cs="宋体"/>
          <w:color w:val="000000"/>
          <w:highlight w:val="none"/>
        </w:rPr>
      </w:pP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鉴于</w:t>
      </w:r>
      <w:r>
        <w:rPr>
          <w:rFonts w:hint="eastAsia" w:ascii="宋体" w:hAnsi="宋体" w:cs="宋体"/>
          <w:color w:val="000000"/>
          <w:highlight w:val="none"/>
          <w:u w:val="single"/>
        </w:rPr>
        <w:t xml:space="preserve">               </w:t>
      </w:r>
      <w:r>
        <w:rPr>
          <w:rFonts w:hint="eastAsia" w:ascii="宋体" w:hAnsi="宋体" w:cs="宋体"/>
          <w:color w:val="000000"/>
          <w:highlight w:val="none"/>
        </w:rPr>
        <w:t>（以下简称“投标人”）拟参加编号为</w:t>
      </w:r>
      <w:r>
        <w:rPr>
          <w:rFonts w:hint="eastAsia" w:ascii="宋体" w:hAnsi="宋体" w:cs="宋体"/>
          <w:color w:val="000000"/>
          <w:highlight w:val="none"/>
          <w:u w:val="single"/>
        </w:rPr>
        <w:t xml:space="preserve">            </w:t>
      </w:r>
      <w:r>
        <w:rPr>
          <w:rFonts w:hint="eastAsia" w:ascii="宋体" w:hAnsi="宋体" w:cs="宋体"/>
          <w:color w:val="000000"/>
          <w:highlight w:val="none"/>
        </w:rPr>
        <w:t>的</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p>
    <w:p>
      <w:pPr>
        <w:kinsoku w:val="0"/>
        <w:overflowPunct w:val="0"/>
        <w:rPr>
          <w:rFonts w:hint="eastAsia" w:ascii="宋体" w:hAnsi="宋体" w:cs="宋体"/>
          <w:color w:val="000000"/>
          <w:highlight w:val="none"/>
        </w:rPr>
      </w:pPr>
      <w:r>
        <w:rPr>
          <w:rFonts w:hint="eastAsia" w:ascii="宋体" w:hAnsi="宋体" w:cs="宋体"/>
          <w:color w:val="000000"/>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一、保证责任的情形及保证金额</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（一）在投标人出现下列情形之一时，我方承担保证责任：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1．中标后投标人无正当理由不与采购人或者采购代理机构签订《政府采购合同》；</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2．招标文件规定的投标人应当缴纳保证金的其他情形。</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（二）我方承担保证责任的最高金额为人民币</w:t>
      </w:r>
      <w:r>
        <w:rPr>
          <w:rFonts w:hint="eastAsia" w:ascii="宋体" w:hAnsi="宋体" w:cs="宋体"/>
          <w:color w:val="000000"/>
          <w:highlight w:val="none"/>
          <w:u w:val="single"/>
        </w:rPr>
        <w:t xml:space="preserve">      </w:t>
      </w:r>
      <w:r>
        <w:rPr>
          <w:rFonts w:hint="eastAsia" w:ascii="宋体" w:hAnsi="宋体" w:cs="宋体"/>
          <w:color w:val="000000"/>
          <w:highlight w:val="none"/>
        </w:rPr>
        <w:t>元（大写</w:t>
      </w:r>
      <w:r>
        <w:rPr>
          <w:rFonts w:hint="eastAsia" w:ascii="宋体" w:hAnsi="宋体" w:cs="宋体"/>
          <w:color w:val="000000"/>
          <w:highlight w:val="none"/>
          <w:u w:val="single"/>
        </w:rPr>
        <w:t xml:space="preserve">            </w:t>
      </w:r>
      <w:r>
        <w:rPr>
          <w:rFonts w:hint="eastAsia" w:ascii="宋体" w:hAnsi="宋体" w:cs="宋体"/>
          <w:color w:val="000000"/>
          <w:highlight w:val="none"/>
        </w:rPr>
        <w:t>），即本项目的投标保证金金额。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二、保证的方式及保证期间</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我方保证的方式为：连带责任保证。</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我方的保证期间为：自本保函生效之日起</w:t>
      </w:r>
      <w:r>
        <w:rPr>
          <w:rFonts w:hint="eastAsia" w:ascii="宋体" w:hAnsi="宋体" w:cs="宋体"/>
          <w:color w:val="000000"/>
          <w:highlight w:val="none"/>
          <w:u w:val="single"/>
        </w:rPr>
        <w:t xml:space="preserve">    </w:t>
      </w:r>
      <w:r>
        <w:rPr>
          <w:rFonts w:hint="eastAsia" w:ascii="宋体" w:hAnsi="宋体" w:cs="宋体"/>
          <w:color w:val="000000"/>
          <w:highlight w:val="none"/>
        </w:rPr>
        <w:t>个月止。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三、承担保证责任的程序</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2．我方在收到索赔通知及相关证明材料后，在</w:t>
      </w:r>
      <w:r>
        <w:rPr>
          <w:rFonts w:hint="eastAsia" w:ascii="宋体" w:hAnsi="宋体" w:cs="宋体"/>
          <w:color w:val="000000"/>
          <w:highlight w:val="none"/>
          <w:u w:val="single"/>
        </w:rPr>
        <w:t>　　　</w:t>
      </w:r>
      <w:r>
        <w:rPr>
          <w:rFonts w:hint="eastAsia" w:ascii="宋体" w:hAnsi="宋体" w:cs="宋体"/>
          <w:color w:val="000000"/>
          <w:highlight w:val="none"/>
        </w:rPr>
        <w:t>个工作日内进行审查，符合应承担保证责任情形的，我方应按照你方的要求代投标人向你方支付投标保证金。</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四、保证责任的终止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1．保证期间届满你方未向我方书面主张保证责任的，自保证期间届满次日起，我方保证责任自动终止。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2．我方按照本保函向你贵方履行了保证责任后，自我方向你贵方支付款项（支付款项从我方账户划出）之日起，保证责任终止。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3．按照法律法规的规定或出现我方保证责任终止的其它情形的，我方在本保函项下的保证责任亦终止。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五、免责条款</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1．依照法律规定或你方与投标人的另行约定，全部或者部分免除投标人投标保证金义务时，我方亦免除相应的保证责任。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2．因你方原因致使投标人发生本保函第一条第（一）款约定情形的，我方不承担保证责任。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3．因不可抗力造成投标人发生本保函第一条约定情形的，我方不承担保证责任。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4．你方或其他有权机关对招标文件进行任何澄清或修改，加重我方保证责任的，我方对加重部分不承担保证责任，但该澄清或修改经我方事先书面同意的除外。</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六、争议的解决</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因本保函发生的纠纷，由你我双方协商解决，协商不成的，通过诉讼程序解决，诉讼管辖地法院为</w:t>
      </w:r>
      <w:r>
        <w:rPr>
          <w:rFonts w:hint="eastAsia" w:ascii="宋体" w:hAnsi="宋体" w:cs="宋体"/>
          <w:color w:val="000000"/>
          <w:highlight w:val="none"/>
          <w:u w:val="single"/>
        </w:rPr>
        <w:t xml:space="preserve">          </w:t>
      </w:r>
      <w:r>
        <w:rPr>
          <w:rFonts w:hint="eastAsia" w:ascii="宋体" w:hAnsi="宋体" w:cs="宋体"/>
          <w:color w:val="000000"/>
          <w:highlight w:val="none"/>
        </w:rPr>
        <w:t>法院。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七、保函的生效</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本保函自我方加盖公章之日起生效。</w:t>
      </w:r>
    </w:p>
    <w:p>
      <w:pPr>
        <w:kinsoku w:val="0"/>
        <w:overflowPunct w:val="0"/>
        <w:ind w:firstLine="5565" w:firstLineChars="2650"/>
        <w:rPr>
          <w:rFonts w:hint="eastAsia" w:ascii="宋体" w:hAnsi="宋体" w:cs="宋体"/>
          <w:color w:val="000000"/>
          <w:highlight w:val="none"/>
        </w:rPr>
      </w:pPr>
      <w:r>
        <w:rPr>
          <w:rFonts w:hint="eastAsia" w:ascii="宋体" w:hAnsi="宋体" w:cs="宋体"/>
          <w:color w:val="000000"/>
          <w:highlight w:val="none"/>
        </w:rPr>
        <w:t>保证人：（公章）</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p>
    <w:p>
      <w:pPr>
        <w:kinsoku w:val="0"/>
        <w:overflowPunct w:val="0"/>
        <w:ind w:firstLine="5775" w:firstLineChars="2750"/>
        <w:rPr>
          <w:rFonts w:hint="eastAsia" w:ascii="宋体" w:hAnsi="宋体" w:cs="宋体"/>
          <w:color w:val="000000"/>
          <w:highlight w:val="none"/>
        </w:rPr>
        <w:sectPr>
          <w:footerReference r:id="rId5" w:type="default"/>
          <w:pgSz w:w="11906" w:h="16838"/>
          <w:pgMar w:top="1474" w:right="1304" w:bottom="1474" w:left="1304" w:header="851" w:footer="992" w:gutter="0"/>
          <w:pgNumType w:start="1"/>
          <w:cols w:space="720" w:num="1"/>
          <w:docGrid w:linePitch="312" w:charSpace="0"/>
        </w:sectPr>
      </w:pPr>
      <w:r>
        <w:rPr>
          <w:rFonts w:hint="eastAsia" w:ascii="宋体" w:hAnsi="宋体" w:cs="宋体"/>
          <w:color w:val="000000"/>
          <w:highlight w:val="none"/>
        </w:rPr>
        <w:t>年     月      日</w:t>
      </w:r>
    </w:p>
    <w:p>
      <w:pPr>
        <w:pStyle w:val="4"/>
        <w:keepNext w:val="0"/>
        <w:keepLines w:val="0"/>
        <w:kinsoku w:val="0"/>
        <w:overflowPunct w:val="0"/>
        <w:spacing w:before="0" w:line="240" w:lineRule="atLeast"/>
        <w:jc w:val="left"/>
        <w:rPr>
          <w:rFonts w:hint="eastAsia" w:ascii="宋体" w:hAnsi="宋体" w:eastAsia="宋体" w:cs="宋体"/>
          <w:color w:val="000000"/>
          <w:sz w:val="24"/>
          <w:highlight w:val="yellow"/>
        </w:rPr>
      </w:pPr>
      <w:bookmarkStart w:id="315" w:name="_Toc32670"/>
      <w:bookmarkStart w:id="316" w:name="_Toc515647811"/>
      <w:bookmarkStart w:id="317" w:name="_Toc24428"/>
      <w:bookmarkStart w:id="318" w:name="_Toc12631"/>
      <w:r>
        <w:rPr>
          <w:rFonts w:hint="eastAsia" w:ascii="宋体" w:hAnsi="宋体" w:eastAsia="宋体" w:cs="宋体"/>
          <w:color w:val="000000"/>
          <w:sz w:val="24"/>
          <w:highlight w:val="yellow"/>
          <w:lang w:val="en-US" w:eastAsia="zh-CN"/>
        </w:rPr>
        <w:t>6</w:t>
      </w:r>
      <w:r>
        <w:rPr>
          <w:rFonts w:hint="eastAsia" w:ascii="宋体" w:hAnsi="宋体" w:eastAsia="宋体" w:cs="宋体"/>
          <w:color w:val="000000"/>
          <w:sz w:val="24"/>
          <w:highlight w:val="yellow"/>
        </w:rPr>
        <w:t xml:space="preserve">  参加政府采购活动前3年内</w:t>
      </w:r>
      <w:bookmarkEnd w:id="315"/>
      <w:bookmarkEnd w:id="316"/>
      <w:bookmarkEnd w:id="317"/>
      <w:bookmarkStart w:id="319" w:name="_Toc6008"/>
      <w:bookmarkStart w:id="320" w:name="_Toc515647812"/>
      <w:bookmarkStart w:id="321" w:name="_Toc1137"/>
      <w:r>
        <w:rPr>
          <w:rFonts w:hint="eastAsia" w:ascii="宋体" w:hAnsi="宋体" w:eastAsia="宋体" w:cs="宋体"/>
          <w:color w:val="000000"/>
          <w:sz w:val="24"/>
          <w:highlight w:val="yellow"/>
        </w:rPr>
        <w:t>在经营活动中没有重大违法记录的书面声明</w:t>
      </w:r>
      <w:bookmarkEnd w:id="318"/>
      <w:bookmarkEnd w:id="319"/>
      <w:bookmarkEnd w:id="320"/>
      <w:bookmarkEnd w:id="321"/>
    </w:p>
    <w:p>
      <w:pPr>
        <w:pStyle w:val="9"/>
        <w:tabs>
          <w:tab w:val="left" w:pos="5580"/>
        </w:tabs>
        <w:kinsoku w:val="0"/>
        <w:overflowPunct w:val="0"/>
        <w:adjustRightInd w:val="0"/>
        <w:snapToGrid w:val="0"/>
        <w:spacing w:line="400" w:lineRule="atLeast"/>
        <w:ind w:left="1080" w:leftChars="257" w:hanging="540"/>
        <w:rPr>
          <w:rFonts w:hint="eastAsia" w:hAnsi="宋体" w:cs="宋体"/>
          <w:color w:val="000000"/>
          <w:szCs w:val="21"/>
          <w:highlight w:val="yellow"/>
        </w:rPr>
      </w:pPr>
      <w:r>
        <w:rPr>
          <w:rFonts w:hint="eastAsia" w:hAnsi="宋体" w:cs="宋体"/>
          <w:color w:val="000000"/>
          <w:szCs w:val="21"/>
          <w:highlight w:val="yellow"/>
          <w:lang w:eastAsia="zh-CN"/>
        </w:rPr>
        <w:t>在“信用中国”网站（http://www.creditchina.gov.cn）、中国政府采购网（http://www.ccgp.gov.cn）、国家企业信用信息公示系统(http://www.gsxt.gov.cn)无尚在处罚期内的不良行为记录，网上截图打印</w:t>
      </w:r>
      <w:r>
        <w:rPr>
          <w:rFonts w:hint="eastAsia" w:hAnsi="宋体" w:cs="宋体"/>
          <w:color w:val="000000"/>
          <w:szCs w:val="21"/>
          <w:highlight w:val="yellow"/>
        </w:rPr>
        <w:t>(http://www.gsxt.gov.cn)无尚在处罚期内的不良行为记录；</w:t>
      </w:r>
    </w:p>
    <w:p>
      <w:pPr>
        <w:pStyle w:val="9"/>
        <w:tabs>
          <w:tab w:val="left" w:pos="5580"/>
        </w:tabs>
        <w:kinsoku w:val="0"/>
        <w:overflowPunct w:val="0"/>
        <w:adjustRightInd w:val="0"/>
        <w:snapToGrid w:val="0"/>
        <w:spacing w:line="400" w:lineRule="atLeast"/>
        <w:ind w:left="1080" w:leftChars="257" w:hanging="540"/>
        <w:rPr>
          <w:rFonts w:hint="eastAsia" w:hAnsi="宋体" w:cs="宋体"/>
          <w:color w:val="000000"/>
          <w:szCs w:val="21"/>
          <w:highlight w:val="yellow"/>
        </w:rPr>
      </w:pPr>
      <w:r>
        <w:rPr>
          <w:rFonts w:hint="eastAsia" w:hAnsi="宋体" w:cs="宋体"/>
          <w:color w:val="000000"/>
          <w:szCs w:val="21"/>
          <w:highlight w:val="yellow"/>
        </w:rPr>
        <w:t>说明：1.投标人应按照相关法规规定如实作出说明。</w:t>
      </w:r>
    </w:p>
    <w:p>
      <w:pPr>
        <w:pStyle w:val="9"/>
        <w:tabs>
          <w:tab w:val="left" w:pos="5580"/>
        </w:tabs>
        <w:kinsoku w:val="0"/>
        <w:overflowPunct w:val="0"/>
        <w:adjustRightInd w:val="0"/>
        <w:snapToGrid w:val="0"/>
        <w:spacing w:line="400" w:lineRule="atLeast"/>
        <w:ind w:left="645" w:leftChars="307" w:firstLine="525" w:firstLineChars="250"/>
        <w:rPr>
          <w:rFonts w:hint="eastAsia" w:hAnsi="宋体" w:cs="宋体"/>
          <w:color w:val="000000"/>
          <w:szCs w:val="21"/>
          <w:highlight w:val="yellow"/>
        </w:rPr>
      </w:pPr>
      <w:r>
        <w:rPr>
          <w:rFonts w:hint="eastAsia" w:hAnsi="宋体" w:cs="宋体"/>
          <w:color w:val="000000"/>
          <w:szCs w:val="21"/>
          <w:highlight w:val="yellow"/>
        </w:rPr>
        <w:t>2．按照招标文件的规定加盖单位章（自然人投标的无需盖章，需要签字）。</w:t>
      </w:r>
    </w:p>
    <w:p>
      <w:pPr>
        <w:pStyle w:val="9"/>
        <w:tabs>
          <w:tab w:val="left" w:pos="5580"/>
        </w:tabs>
        <w:kinsoku w:val="0"/>
        <w:overflowPunct w:val="0"/>
        <w:adjustRightInd w:val="0"/>
        <w:snapToGrid w:val="0"/>
        <w:spacing w:line="400" w:lineRule="atLeast"/>
        <w:ind w:left="1080" w:leftChars="257" w:hanging="540"/>
        <w:rPr>
          <w:rFonts w:hint="eastAsia" w:hAnsi="宋体" w:cs="宋体"/>
          <w:color w:val="000000"/>
          <w:szCs w:val="21"/>
          <w:highlight w:val="none"/>
        </w:rPr>
      </w:pPr>
      <w:r>
        <w:rPr>
          <w:rFonts w:hint="eastAsia" w:hAnsi="宋体" w:cs="宋体"/>
          <w:color w:val="000000"/>
          <w:szCs w:val="21"/>
          <w:highlight w:val="none"/>
        </w:rPr>
        <w:t xml:space="preserve">      3.如果是联合体投标，联合体各方均需提供上述证明。</w:t>
      </w:r>
    </w:p>
    <w:p>
      <w:pPr>
        <w:pStyle w:val="4"/>
        <w:keepNext w:val="0"/>
        <w:keepLines w:val="0"/>
        <w:kinsoku w:val="0"/>
        <w:overflowPunct w:val="0"/>
        <w:rPr>
          <w:rFonts w:hint="eastAsia" w:ascii="宋体" w:hAnsi="宋体" w:eastAsia="宋体" w:cs="宋体"/>
          <w:color w:val="000000"/>
          <w:sz w:val="24"/>
          <w:szCs w:val="16"/>
          <w:highlight w:val="none"/>
        </w:rPr>
      </w:pPr>
    </w:p>
    <w:p>
      <w:pPr>
        <w:pStyle w:val="4"/>
        <w:keepNext w:val="0"/>
        <w:keepLines w:val="0"/>
        <w:kinsoku w:val="0"/>
        <w:overflowPunct w:val="0"/>
        <w:jc w:val="left"/>
        <w:rPr>
          <w:rFonts w:hint="eastAsia" w:ascii="宋体" w:hAnsi="宋体" w:eastAsia="宋体" w:cs="宋体"/>
          <w:color w:val="000000"/>
          <w:sz w:val="24"/>
          <w:szCs w:val="16"/>
          <w:highlight w:val="none"/>
        </w:rPr>
      </w:pPr>
      <w:r>
        <w:rPr>
          <w:rFonts w:hint="eastAsia" w:ascii="宋体" w:hAnsi="宋体" w:eastAsia="宋体" w:cs="宋体"/>
          <w:color w:val="000000"/>
          <w:sz w:val="24"/>
          <w:szCs w:val="16"/>
          <w:highlight w:val="none"/>
          <w:lang w:val="en-US" w:eastAsia="zh-CN"/>
        </w:rPr>
        <w:t>7</w:t>
      </w:r>
      <w:r>
        <w:rPr>
          <w:rFonts w:hint="eastAsia" w:ascii="宋体" w:hAnsi="宋体" w:eastAsia="宋体" w:cs="宋体"/>
          <w:color w:val="000000"/>
          <w:sz w:val="24"/>
          <w:szCs w:val="16"/>
          <w:highlight w:val="none"/>
        </w:rPr>
        <w:t xml:space="preserve"> 投标单位（供应商）反商业贿赂承诺书 </w:t>
      </w:r>
    </w:p>
    <w:p>
      <w:pPr>
        <w:kinsoku w:val="0"/>
        <w:overflowPunct w:val="0"/>
        <w:adjustRightInd w:val="0"/>
        <w:snapToGrid w:val="0"/>
        <w:spacing w:before="100" w:beforeAutospacing="1" w:after="100" w:afterAutospacing="1" w:line="400" w:lineRule="exact"/>
        <w:jc w:val="left"/>
        <w:rPr>
          <w:rFonts w:hint="eastAsia" w:ascii="宋体" w:hAnsi="宋体" w:cs="宋体"/>
          <w:color w:val="000000"/>
          <w:szCs w:val="21"/>
          <w:highlight w:val="none"/>
        </w:rPr>
      </w:pPr>
      <w:r>
        <w:rPr>
          <w:rFonts w:hint="eastAsia" w:ascii="宋体" w:hAnsi="宋体" w:cs="宋体"/>
          <w:b/>
          <w:bCs/>
          <w:color w:val="000000"/>
          <w:szCs w:val="21"/>
          <w:highlight w:val="none"/>
        </w:rPr>
        <w:t> </w:t>
      </w:r>
      <w:r>
        <w:rPr>
          <w:rFonts w:hint="eastAsia" w:ascii="宋体" w:hAnsi="宋体" w:cs="宋体"/>
          <w:color w:val="000000"/>
          <w:szCs w:val="21"/>
          <w:highlight w:val="none"/>
        </w:rPr>
        <w:t>   我公司承诺在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kinsoku w:val="0"/>
        <w:overflowPunct w:val="0"/>
        <w:adjustRightInd w:val="0"/>
        <w:snapToGrid w:val="0"/>
        <w:spacing w:before="100" w:beforeAutospacing="1" w:after="100" w:afterAutospacing="1" w:line="400" w:lineRule="exact"/>
        <w:ind w:firstLine="899"/>
        <w:jc w:val="left"/>
        <w:rPr>
          <w:rFonts w:hint="eastAsia" w:ascii="宋体" w:hAnsi="宋体" w:cs="宋体"/>
          <w:color w:val="000000"/>
          <w:szCs w:val="21"/>
          <w:highlight w:val="none"/>
        </w:rPr>
      </w:pPr>
      <w:r>
        <w:rPr>
          <w:rFonts w:hint="eastAsia" w:ascii="宋体" w:hAnsi="宋体" w:cs="宋体"/>
          <w:color w:val="000000"/>
          <w:szCs w:val="21"/>
          <w:highlight w:val="none"/>
        </w:rPr>
        <w:t>公司法人代表：</w:t>
      </w:r>
    </w:p>
    <w:p>
      <w:pPr>
        <w:kinsoku w:val="0"/>
        <w:overflowPunct w:val="0"/>
        <w:adjustRightInd w:val="0"/>
        <w:snapToGrid w:val="0"/>
        <w:spacing w:before="100" w:beforeAutospacing="1" w:after="100" w:afterAutospacing="1" w:line="400" w:lineRule="exact"/>
        <w:ind w:firstLine="899"/>
        <w:jc w:val="left"/>
        <w:rPr>
          <w:rFonts w:hint="eastAsia" w:ascii="宋体" w:hAnsi="宋体" w:cs="宋体"/>
          <w:color w:val="000000"/>
          <w:szCs w:val="21"/>
          <w:highlight w:val="none"/>
        </w:rPr>
      </w:pPr>
      <w:r>
        <w:rPr>
          <w:rFonts w:hint="eastAsia" w:ascii="宋体" w:hAnsi="宋体" w:cs="宋体"/>
          <w:color w:val="000000"/>
          <w:szCs w:val="21"/>
          <w:highlight w:val="none"/>
        </w:rPr>
        <w:t>法人授权代表：</w:t>
      </w:r>
    </w:p>
    <w:p>
      <w:pPr>
        <w:kinsoku w:val="0"/>
        <w:overflowPunct w:val="0"/>
        <w:adjustRightInd w:val="0"/>
        <w:snapToGrid w:val="0"/>
        <w:spacing w:before="100" w:beforeAutospacing="1" w:after="100" w:afterAutospacing="1" w:line="400" w:lineRule="exact"/>
        <w:ind w:firstLine="897"/>
        <w:jc w:val="left"/>
        <w:rPr>
          <w:rFonts w:hint="eastAsia" w:ascii="宋体" w:hAnsi="宋体" w:cs="宋体"/>
          <w:color w:val="000000"/>
          <w:szCs w:val="21"/>
          <w:highlight w:val="none"/>
        </w:rPr>
      </w:pPr>
      <w:r>
        <w:rPr>
          <w:rFonts w:hint="eastAsia" w:ascii="宋体" w:hAnsi="宋体" w:cs="宋体"/>
          <w:color w:val="000000"/>
          <w:spacing w:val="30"/>
          <w:szCs w:val="21"/>
          <w:highlight w:val="none"/>
        </w:rPr>
        <w:t>项目经办人：</w:t>
      </w:r>
    </w:p>
    <w:p>
      <w:pPr>
        <w:pStyle w:val="4"/>
        <w:keepNext w:val="0"/>
        <w:keepLines w:val="0"/>
        <w:kinsoku w:val="0"/>
        <w:overflowPunct w:val="0"/>
        <w:jc w:val="left"/>
        <w:rPr>
          <w:rFonts w:hint="eastAsia" w:ascii="宋体" w:hAnsi="宋体" w:eastAsia="宋体" w:cs="宋体"/>
          <w:color w:val="000000"/>
          <w:sz w:val="24"/>
          <w:szCs w:val="16"/>
          <w:highlight w:val="none"/>
        </w:rPr>
      </w:pPr>
      <w:bookmarkStart w:id="322" w:name="_Toc29703"/>
      <w:bookmarkStart w:id="323" w:name="_Toc515647813"/>
      <w:bookmarkStart w:id="324" w:name="_Toc28937"/>
      <w:bookmarkStart w:id="325" w:name="_Toc17207"/>
      <w:r>
        <w:rPr>
          <w:rFonts w:hint="eastAsia" w:ascii="宋体" w:hAnsi="宋体" w:eastAsia="宋体" w:cs="宋体"/>
          <w:color w:val="000000"/>
          <w:sz w:val="24"/>
          <w:szCs w:val="16"/>
          <w:highlight w:val="none"/>
          <w:lang w:val="en-US" w:eastAsia="zh-CN"/>
        </w:rPr>
        <w:t>8</w:t>
      </w:r>
      <w:r>
        <w:rPr>
          <w:rFonts w:hint="eastAsia" w:ascii="宋体" w:hAnsi="宋体" w:eastAsia="宋体" w:cs="宋体"/>
          <w:color w:val="000000"/>
          <w:sz w:val="24"/>
          <w:szCs w:val="16"/>
          <w:highlight w:val="none"/>
        </w:rPr>
        <w:t xml:space="preserve">  投标人须知资料表要求的其他资格证明文件</w:t>
      </w:r>
      <w:bookmarkEnd w:id="322"/>
      <w:bookmarkEnd w:id="323"/>
      <w:bookmarkEnd w:id="324"/>
      <w:bookmarkEnd w:id="325"/>
    </w:p>
    <w:p>
      <w:pPr>
        <w:kinsoku w:val="0"/>
        <w:overflowPunct w:val="0"/>
        <w:spacing w:line="240" w:lineRule="atLeast"/>
        <w:rPr>
          <w:rFonts w:hint="eastAsia" w:ascii="宋体" w:hAnsi="宋体" w:cs="宋体"/>
          <w:b/>
          <w:bCs/>
          <w:color w:val="000000"/>
          <w:sz w:val="24"/>
          <w:highlight w:val="none"/>
        </w:rPr>
      </w:pPr>
    </w:p>
    <w:p>
      <w:pPr>
        <w:pStyle w:val="9"/>
        <w:tabs>
          <w:tab w:val="left" w:pos="5580"/>
        </w:tabs>
        <w:kinsoku w:val="0"/>
        <w:overflowPunct w:val="0"/>
        <w:adjustRightInd w:val="0"/>
        <w:snapToGrid w:val="0"/>
        <w:spacing w:line="400" w:lineRule="exact"/>
        <w:ind w:left="1080" w:leftChars="257" w:hanging="540"/>
        <w:rPr>
          <w:rFonts w:hint="eastAsia" w:hAnsi="宋体" w:cs="宋体"/>
          <w:color w:val="000000"/>
          <w:szCs w:val="21"/>
          <w:highlight w:val="none"/>
        </w:rPr>
      </w:pPr>
      <w:r>
        <w:rPr>
          <w:rFonts w:hint="eastAsia" w:hAnsi="宋体" w:cs="宋体"/>
          <w:color w:val="000000"/>
          <w:szCs w:val="21"/>
          <w:highlight w:val="none"/>
        </w:rPr>
        <w:t>说明：1.应提供投标人须知资料表要求的其他资格证明文件。</w:t>
      </w:r>
    </w:p>
    <w:p>
      <w:pPr>
        <w:pStyle w:val="9"/>
        <w:tabs>
          <w:tab w:val="left" w:pos="5580"/>
        </w:tabs>
        <w:kinsoku w:val="0"/>
        <w:overflowPunct w:val="0"/>
        <w:adjustRightInd w:val="0"/>
        <w:snapToGrid w:val="0"/>
        <w:spacing w:line="400" w:lineRule="exact"/>
        <w:ind w:left="1080" w:leftChars="257" w:hanging="540"/>
        <w:rPr>
          <w:rFonts w:hint="eastAsia" w:hAnsi="宋体" w:cs="宋体"/>
          <w:color w:val="000000"/>
          <w:szCs w:val="21"/>
          <w:highlight w:val="none"/>
        </w:rPr>
      </w:pPr>
      <w:r>
        <w:rPr>
          <w:rFonts w:hint="eastAsia" w:hAnsi="宋体" w:cs="宋体"/>
          <w:color w:val="000000"/>
          <w:szCs w:val="21"/>
          <w:highlight w:val="none"/>
        </w:rPr>
        <w:t xml:space="preserve">      2.复印件上应加盖本单位章（自然人投标的无需盖章，需要签字）。</w:t>
      </w:r>
    </w:p>
    <w:p>
      <w:pPr>
        <w:pStyle w:val="9"/>
        <w:tabs>
          <w:tab w:val="left" w:pos="5580"/>
        </w:tabs>
        <w:kinsoku w:val="0"/>
        <w:overflowPunct w:val="0"/>
        <w:adjustRightInd w:val="0"/>
        <w:snapToGrid w:val="0"/>
        <w:spacing w:line="400" w:lineRule="exact"/>
        <w:ind w:left="1260" w:leftChars="344" w:hanging="538"/>
        <w:rPr>
          <w:rFonts w:hint="eastAsia" w:hAnsi="宋体" w:cs="宋体"/>
          <w:color w:val="000000"/>
          <w:szCs w:val="21"/>
          <w:highlight w:val="none"/>
        </w:rPr>
      </w:pPr>
      <w:r>
        <w:rPr>
          <w:rFonts w:hint="eastAsia" w:hAnsi="宋体" w:cs="宋体"/>
          <w:color w:val="000000"/>
          <w:szCs w:val="21"/>
          <w:highlight w:val="none"/>
        </w:rPr>
        <w:t xml:space="preserve">     3. 如果是联合体投标，联合体各方需提供的满足招标文件要求的其他资格证明文件。</w:t>
      </w: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bookmarkStart w:id="326" w:name="_Toc515647814"/>
      <w:bookmarkStart w:id="327" w:name="_Toc2502"/>
      <w:bookmarkStart w:id="328" w:name="_Toc7730"/>
      <w:bookmarkStart w:id="329" w:name="_Toc23044"/>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 xml:space="preserve">  制造厂家的授权书　（投标文件格式四）</w:t>
      </w:r>
      <w:bookmarkEnd w:id="326"/>
      <w:bookmarkEnd w:id="327"/>
      <w:bookmarkEnd w:id="328"/>
      <w:bookmarkEnd w:id="329"/>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p>
    <w:p>
      <w:pPr>
        <w:tabs>
          <w:tab w:val="left" w:pos="5580"/>
        </w:tabs>
        <w:kinsoku w:val="0"/>
        <w:overflowPunct w:val="0"/>
        <w:spacing w:line="240" w:lineRule="atLeast"/>
        <w:ind w:left="1080" w:leftChars="257" w:hanging="540"/>
        <w:rPr>
          <w:rFonts w:hint="eastAsia" w:ascii="宋体" w:hAnsi="宋体" w:cs="宋体"/>
          <w:color w:val="000000"/>
          <w:sz w:val="24"/>
          <w:highlight w:val="none"/>
        </w:rPr>
      </w:pPr>
    </w:p>
    <w:p>
      <w:pPr>
        <w:widowControl/>
        <w:spacing w:line="400" w:lineRule="exact"/>
        <w:rPr>
          <w:rFonts w:hint="eastAsia" w:ascii="宋体" w:hAnsi="宋体" w:cs="宋体"/>
          <w:kern w:val="0"/>
          <w:sz w:val="24"/>
          <w:highlight w:val="none"/>
          <w:u w:val="single"/>
        </w:rPr>
      </w:pPr>
      <w:r>
        <w:rPr>
          <w:rFonts w:hint="eastAsia" w:ascii="宋体" w:hAnsi="宋体" w:cs="宋体"/>
          <w:kern w:val="0"/>
          <w:sz w:val="24"/>
          <w:highlight w:val="none"/>
        </w:rPr>
        <w:t>致：</w:t>
      </w:r>
      <w:r>
        <w:rPr>
          <w:rFonts w:hint="eastAsia" w:ascii="宋体" w:hAnsi="宋体" w:cs="宋体"/>
          <w:sz w:val="24"/>
          <w:highlight w:val="none"/>
        </w:rPr>
        <w:t>（经销商名称）</w:t>
      </w:r>
    </w:p>
    <w:p>
      <w:pPr>
        <w:widowControl/>
        <w:spacing w:line="400" w:lineRule="exact"/>
        <w:ind w:firstLine="420"/>
        <w:rPr>
          <w:rFonts w:hint="eastAsia" w:ascii="宋体" w:hAnsi="宋体" w:cs="宋体"/>
          <w:kern w:val="0"/>
          <w:sz w:val="24"/>
          <w:highlight w:val="none"/>
        </w:rPr>
      </w:pPr>
      <w:r>
        <w:rPr>
          <w:rFonts w:hint="eastAsia" w:ascii="宋体" w:hAnsi="宋体" w:cs="宋体"/>
          <w:kern w:val="0"/>
          <w:sz w:val="24"/>
          <w:highlight w:val="none"/>
        </w:rPr>
        <w:t>我们</w:t>
      </w:r>
      <w:r>
        <w:rPr>
          <w:rFonts w:hint="eastAsia" w:ascii="宋体" w:hAnsi="宋体" w:cs="宋体"/>
          <w:sz w:val="24"/>
          <w:highlight w:val="none"/>
        </w:rPr>
        <w:t>（</w:t>
      </w:r>
      <w:r>
        <w:rPr>
          <w:rFonts w:hint="eastAsia" w:ascii="宋体" w:hAnsi="宋体" w:cs="宋体"/>
          <w:sz w:val="24"/>
          <w:highlight w:val="none"/>
          <w:u w:val="single"/>
        </w:rPr>
        <w:t>制造商名称</w:t>
      </w:r>
      <w:r>
        <w:rPr>
          <w:rFonts w:hint="eastAsia" w:ascii="宋体" w:hAnsi="宋体" w:cs="宋体"/>
          <w:sz w:val="24"/>
          <w:highlight w:val="none"/>
        </w:rPr>
        <w:t>）</w:t>
      </w:r>
      <w:r>
        <w:rPr>
          <w:rFonts w:hint="eastAsia" w:ascii="宋体" w:hAnsi="宋体" w:cs="宋体"/>
          <w:kern w:val="0"/>
          <w:sz w:val="24"/>
          <w:highlight w:val="none"/>
        </w:rPr>
        <w:t>兹指派主要营业地点设在</w:t>
      </w:r>
      <w:r>
        <w:rPr>
          <w:rFonts w:hint="eastAsia" w:ascii="宋体" w:hAnsi="宋体" w:cs="宋体"/>
          <w:sz w:val="24"/>
          <w:highlight w:val="none"/>
        </w:rPr>
        <w:t>（</w:t>
      </w:r>
      <w:r>
        <w:rPr>
          <w:rFonts w:hint="eastAsia" w:ascii="宋体" w:hAnsi="宋体" w:cs="宋体"/>
          <w:sz w:val="24"/>
          <w:highlight w:val="none"/>
          <w:u w:val="single"/>
        </w:rPr>
        <w:t>经销商地址</w:t>
      </w:r>
      <w:r>
        <w:rPr>
          <w:rFonts w:hint="eastAsia" w:ascii="宋体" w:hAnsi="宋体" w:cs="宋体"/>
          <w:sz w:val="24"/>
          <w:highlight w:val="none"/>
        </w:rPr>
        <w:t>）的（</w:t>
      </w:r>
      <w:r>
        <w:rPr>
          <w:rFonts w:hint="eastAsia" w:ascii="宋体" w:hAnsi="宋体" w:cs="宋体"/>
          <w:sz w:val="24"/>
          <w:highlight w:val="none"/>
          <w:u w:val="single"/>
        </w:rPr>
        <w:t>经销商名称</w:t>
      </w:r>
      <w:r>
        <w:rPr>
          <w:rFonts w:hint="eastAsia" w:ascii="宋体" w:hAnsi="宋体" w:cs="宋体"/>
          <w:sz w:val="24"/>
          <w:highlight w:val="none"/>
        </w:rPr>
        <w:t>）</w:t>
      </w:r>
      <w:r>
        <w:rPr>
          <w:rFonts w:hint="eastAsia" w:ascii="宋体" w:hAnsi="宋体" w:cs="宋体"/>
          <w:kern w:val="0"/>
          <w:sz w:val="24"/>
          <w:highlight w:val="none"/>
        </w:rPr>
        <w:t>作为我方真正的和合法的代理人进行下列有效的活动：</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(1) 代表我方办理贵方</w:t>
      </w:r>
      <w:r>
        <w:rPr>
          <w:rFonts w:hint="eastAsia" w:ascii="宋体" w:hAnsi="宋体" w:cs="宋体"/>
          <w:sz w:val="24"/>
          <w:highlight w:val="none"/>
          <w:u w:val="single"/>
        </w:rPr>
        <w:t>（项目名称、招标编号）　</w:t>
      </w:r>
      <w:r>
        <w:rPr>
          <w:rFonts w:hint="eastAsia" w:ascii="宋体" w:hAnsi="宋体" w:cs="宋体"/>
          <w:kern w:val="0"/>
          <w:sz w:val="24"/>
          <w:highlight w:val="none"/>
        </w:rPr>
        <w:t>项目要求提供的由我方制造的货物的有关事宜，并对我方具有约束力；</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(2) 作为制造商，我方保证以投标合作者来约束自己，并对该投标共同和分别承担谈判文件中所规定的义务；</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(3) 我方兹授予</w:t>
      </w:r>
      <w:r>
        <w:rPr>
          <w:rFonts w:hint="eastAsia" w:ascii="宋体" w:hAnsi="宋体" w:cs="宋体"/>
          <w:sz w:val="24"/>
          <w:highlight w:val="none"/>
          <w:u w:val="single"/>
        </w:rPr>
        <w:t>（经销商名称）</w:t>
      </w:r>
      <w:r>
        <w:rPr>
          <w:rFonts w:hint="eastAsia" w:ascii="宋体" w:hAnsi="宋体" w:cs="宋体"/>
          <w:kern w:val="0"/>
          <w:sz w:val="24"/>
          <w:highlight w:val="none"/>
        </w:rPr>
        <w:t>全权办理和履行我方为完成上述各点所必须的事宜，具有替换或撤消的全权。兹确认</w:t>
      </w:r>
      <w:r>
        <w:rPr>
          <w:rFonts w:hint="eastAsia" w:ascii="宋体" w:hAnsi="宋体" w:cs="宋体"/>
          <w:sz w:val="24"/>
          <w:highlight w:val="none"/>
          <w:u w:val="single"/>
        </w:rPr>
        <w:t>（经销商名称）</w:t>
      </w:r>
      <w:r>
        <w:rPr>
          <w:rFonts w:hint="eastAsia" w:ascii="宋体" w:hAnsi="宋体" w:cs="宋体"/>
          <w:kern w:val="0"/>
          <w:sz w:val="24"/>
          <w:highlight w:val="none"/>
        </w:rPr>
        <w:t>或其正式授权代表依此合法地办理一切事宜。</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 xml:space="preserve"> 我方于</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r>
        <w:rPr>
          <w:rFonts w:hint="eastAsia" w:ascii="宋体" w:hAnsi="宋体" w:cs="宋体"/>
          <w:kern w:val="0"/>
          <w:sz w:val="24"/>
          <w:highlight w:val="none"/>
        </w:rPr>
        <w:t>签署本文件，以此为证。</w:t>
      </w:r>
    </w:p>
    <w:p>
      <w:pPr>
        <w:pStyle w:val="5"/>
        <w:spacing w:line="400" w:lineRule="exact"/>
        <w:rPr>
          <w:rFonts w:hint="eastAsia" w:hAnsi="宋体" w:cs="宋体"/>
          <w:szCs w:val="24"/>
          <w:highlight w:val="none"/>
        </w:rPr>
      </w:pPr>
    </w:p>
    <w:p>
      <w:pPr>
        <w:widowControl/>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 xml:space="preserve"> 制造商名称</w:t>
      </w:r>
      <w:r>
        <w:rPr>
          <w:rFonts w:hint="eastAsia" w:ascii="宋体" w:hAnsi="宋体" w:cs="宋体"/>
          <w:kern w:val="0"/>
          <w:sz w:val="24"/>
          <w:highlight w:val="none"/>
          <w:u w:val="single"/>
        </w:rPr>
        <w:t xml:space="preserve">                          </w:t>
      </w:r>
    </w:p>
    <w:p>
      <w:pPr>
        <w:widowControl/>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 xml:space="preserve">      签字人职务和部门</w:t>
      </w:r>
      <w:r>
        <w:rPr>
          <w:rFonts w:hint="eastAsia" w:ascii="宋体" w:hAnsi="宋体" w:cs="宋体"/>
          <w:kern w:val="0"/>
          <w:sz w:val="24"/>
          <w:highlight w:val="none"/>
          <w:u w:val="single"/>
        </w:rPr>
        <w:t xml:space="preserve">                    </w:t>
      </w:r>
    </w:p>
    <w:p>
      <w:pPr>
        <w:widowControl/>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签字人姓名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sz w:val="24"/>
          <w:highlight w:val="none"/>
        </w:rPr>
        <w:br w:type="page"/>
      </w:r>
      <w:r>
        <w:rPr>
          <w:rFonts w:hint="eastAsia" w:hAnsi="宋体" w:cs="宋体"/>
          <w:color w:val="000000"/>
          <w:sz w:val="24"/>
          <w:highlight w:val="none"/>
        </w:rPr>
        <w:t xml:space="preserve"> </w:t>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30" w:name="_Toc515647816"/>
      <w:bookmarkStart w:id="331" w:name="_Toc30317"/>
      <w:bookmarkStart w:id="332" w:name="_Toc11180"/>
      <w:bookmarkStart w:id="333" w:name="_Toc22967"/>
      <w:r>
        <w:rPr>
          <w:rFonts w:hint="eastAsia" w:ascii="宋体" w:hAnsi="宋体" w:eastAsia="宋体" w:cs="宋体"/>
          <w:color w:val="000000"/>
          <w:sz w:val="24"/>
          <w:highlight w:val="none"/>
        </w:rPr>
        <w:t>第二部分  商务及技术文件</w:t>
      </w:r>
      <w:bookmarkEnd w:id="330"/>
      <w:bookmarkEnd w:id="331"/>
      <w:bookmarkEnd w:id="332"/>
      <w:bookmarkEnd w:id="333"/>
    </w:p>
    <w:p>
      <w:pPr>
        <w:pStyle w:val="9"/>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1、投标书（投标文件格式五）</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rPr>
        <w:t>2、投标保证金</w:t>
      </w:r>
      <w:r>
        <w:rPr>
          <w:rFonts w:hint="eastAsia" w:ascii="宋体" w:hAnsi="宋体" w:cs="宋体"/>
          <w:color w:val="000000"/>
          <w:sz w:val="24"/>
          <w:highlight w:val="none"/>
          <w:lang w:val="en-US" w:eastAsia="zh-CN"/>
        </w:rPr>
        <w:t>打款（</w:t>
      </w:r>
      <w:r>
        <w:rPr>
          <w:rFonts w:hint="eastAsia" w:ascii="宋体" w:hAnsi="宋体" w:cs="宋体"/>
          <w:color w:val="000000"/>
          <w:sz w:val="24"/>
          <w:highlight w:val="none"/>
        </w:rPr>
        <w:t>缴纳</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凭证（见投标文件格式六）</w:t>
      </w:r>
    </w:p>
    <w:p>
      <w:pPr>
        <w:pStyle w:val="9"/>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3、投标分项报价表（投标文件格式七）</w:t>
      </w:r>
    </w:p>
    <w:p>
      <w:pPr>
        <w:pStyle w:val="9"/>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4、货物说明一览表（投标文件格式八）</w:t>
      </w:r>
    </w:p>
    <w:p>
      <w:pPr>
        <w:pStyle w:val="9"/>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5、技术规格偏离表（投标文件格式九）</w:t>
      </w:r>
    </w:p>
    <w:p>
      <w:pPr>
        <w:pStyle w:val="9"/>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6、商务条款偏离表（投标文件格式十）</w:t>
      </w:r>
    </w:p>
    <w:p>
      <w:pPr>
        <w:pStyle w:val="9"/>
        <w:kinsoku w:val="0"/>
        <w:overflowPunct w:val="0"/>
        <w:ind w:firstLine="480" w:firstLineChars="200"/>
        <w:rPr>
          <w:rFonts w:hint="eastAsia" w:hAnsi="宋体" w:cs="宋体"/>
          <w:color w:val="000000"/>
          <w:sz w:val="24"/>
          <w:highlight w:val="none"/>
        </w:rPr>
      </w:pPr>
      <w:r>
        <w:rPr>
          <w:rFonts w:hint="eastAsia" w:hAnsi="宋体" w:cs="宋体"/>
          <w:color w:val="000000"/>
          <w:sz w:val="24"/>
          <w:highlight w:val="none"/>
        </w:rPr>
        <w:t>7、符合《政府采购促进中小企业发展暂行办法》、《关于政府采购支持监狱企业发展有关问题的通知》和《三部门联合发布关于促进残疾人就业政府采购政策的通知》价格扣减条件的投标人须提交）</w:t>
      </w:r>
    </w:p>
    <w:p>
      <w:pPr>
        <w:pStyle w:val="9"/>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7-1《投标人企业（单位）类型声明函》（投标文件格式十一）</w:t>
      </w:r>
    </w:p>
    <w:p>
      <w:pPr>
        <w:pStyle w:val="9"/>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7-2《制造商投标人企业（单位）类型声明函》（投标文件格式十二）</w:t>
      </w:r>
    </w:p>
    <w:p>
      <w:pPr>
        <w:pStyle w:val="9"/>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7-3《残疾人福利性单位声明函》（投标文件格式十三）</w:t>
      </w:r>
    </w:p>
    <w:p>
      <w:pPr>
        <w:pStyle w:val="9"/>
        <w:numPr>
          <w:ilvl w:val="0"/>
          <w:numId w:val="9"/>
        </w:numPr>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投标人关联单位的说明（格式自拟）</w:t>
      </w:r>
    </w:p>
    <w:p>
      <w:pPr>
        <w:numPr>
          <w:ilvl w:val="0"/>
          <w:numId w:val="0"/>
        </w:numPr>
        <w:ind w:firstLine="630" w:firstLineChars="300"/>
        <w:rPr>
          <w:rFonts w:hint="eastAsia"/>
          <w:highlight w:val="none"/>
        </w:rPr>
      </w:pPr>
      <w:r>
        <w:rPr>
          <w:rFonts w:hint="eastAsia"/>
          <w:highlight w:val="none"/>
          <w:lang w:val="en-US" w:eastAsia="zh-CN"/>
        </w:rPr>
        <w:t>9、货物技术资料</w:t>
      </w:r>
    </w:p>
    <w:p>
      <w:pPr>
        <w:pStyle w:val="5"/>
        <w:numPr>
          <w:ilvl w:val="0"/>
          <w:numId w:val="0"/>
        </w:numPr>
        <w:ind w:leftChars="0" w:firstLine="480" w:firstLineChars="200"/>
        <w:rPr>
          <w:rFonts w:hint="eastAsia"/>
          <w:highlight w:val="none"/>
          <w:lang w:val="en-US" w:eastAsia="zh-CN"/>
        </w:rPr>
      </w:pPr>
      <w:r>
        <w:rPr>
          <w:rFonts w:hint="eastAsia"/>
          <w:highlight w:val="none"/>
          <w:lang w:val="en-US" w:eastAsia="zh-CN"/>
        </w:rPr>
        <w:t>10、货物质量保证承诺书（</w:t>
      </w:r>
      <w:r>
        <w:rPr>
          <w:rFonts w:hint="eastAsia" w:hAnsi="宋体" w:cs="宋体"/>
          <w:color w:val="000000"/>
          <w:sz w:val="24"/>
          <w:highlight w:val="none"/>
        </w:rPr>
        <w:t>投标文件格式十</w:t>
      </w:r>
      <w:r>
        <w:rPr>
          <w:rFonts w:hint="eastAsia" w:hAnsi="宋体" w:cs="宋体"/>
          <w:color w:val="000000"/>
          <w:sz w:val="24"/>
          <w:highlight w:val="none"/>
          <w:lang w:val="en-US" w:eastAsia="zh-CN"/>
        </w:rPr>
        <w:t>四</w:t>
      </w:r>
      <w:r>
        <w:rPr>
          <w:rFonts w:hint="eastAsia"/>
          <w:highlight w:val="none"/>
          <w:lang w:val="en-US" w:eastAsia="zh-CN"/>
        </w:rPr>
        <w:t>）</w:t>
      </w:r>
    </w:p>
    <w:p>
      <w:pPr>
        <w:numPr>
          <w:ilvl w:val="0"/>
          <w:numId w:val="0"/>
        </w:numPr>
        <w:ind w:leftChars="0" w:firstLine="420" w:firstLineChars="200"/>
        <w:rPr>
          <w:rFonts w:hint="default"/>
          <w:highlight w:val="none"/>
          <w:lang w:val="en-US"/>
        </w:rPr>
      </w:pPr>
      <w:r>
        <w:rPr>
          <w:rFonts w:hint="eastAsia"/>
          <w:highlight w:val="none"/>
          <w:lang w:val="en-US" w:eastAsia="zh-CN"/>
        </w:rPr>
        <w:t>11、售后服务承诺及服务能力证明</w:t>
      </w:r>
    </w:p>
    <w:p>
      <w:pPr>
        <w:pStyle w:val="5"/>
        <w:numPr>
          <w:ilvl w:val="0"/>
          <w:numId w:val="0"/>
        </w:numPr>
        <w:ind w:leftChars="0" w:firstLine="480" w:firstLineChars="200"/>
        <w:rPr>
          <w:rFonts w:hint="eastAsia"/>
          <w:highlight w:val="none"/>
          <w:lang w:val="en-US" w:eastAsia="zh-CN"/>
        </w:rPr>
      </w:pPr>
      <w:r>
        <w:rPr>
          <w:rFonts w:hint="eastAsia"/>
          <w:highlight w:val="none"/>
          <w:lang w:val="en-US" w:eastAsia="zh-CN"/>
        </w:rPr>
        <w:t>12、供货期承诺书（</w:t>
      </w:r>
      <w:r>
        <w:rPr>
          <w:rFonts w:hint="eastAsia" w:hAnsi="宋体" w:cs="宋体"/>
          <w:color w:val="000000"/>
          <w:sz w:val="24"/>
          <w:highlight w:val="none"/>
        </w:rPr>
        <w:t>投标文件格式十</w:t>
      </w:r>
      <w:r>
        <w:rPr>
          <w:rFonts w:hint="eastAsia" w:hAnsi="宋体" w:cs="宋体"/>
          <w:color w:val="000000"/>
          <w:sz w:val="24"/>
          <w:highlight w:val="none"/>
          <w:lang w:val="en-US" w:eastAsia="zh-CN"/>
        </w:rPr>
        <w:t>五</w:t>
      </w:r>
      <w:r>
        <w:rPr>
          <w:rFonts w:hint="eastAsia"/>
          <w:highlight w:val="none"/>
          <w:lang w:val="en-US" w:eastAsia="zh-CN"/>
        </w:rPr>
        <w:t>）</w:t>
      </w:r>
    </w:p>
    <w:p>
      <w:pPr>
        <w:numPr>
          <w:ilvl w:val="0"/>
          <w:numId w:val="0"/>
        </w:numPr>
        <w:ind w:leftChars="0" w:firstLine="420" w:firstLineChars="200"/>
        <w:rPr>
          <w:rFonts w:hint="default"/>
          <w:highlight w:val="none"/>
          <w:lang w:val="en-US"/>
        </w:rPr>
      </w:pPr>
      <w:r>
        <w:rPr>
          <w:rFonts w:hint="eastAsia"/>
          <w:highlight w:val="none"/>
          <w:lang w:val="en-US" w:eastAsia="zh-CN"/>
        </w:rPr>
        <w:t>13、技术培训方案</w:t>
      </w:r>
    </w:p>
    <w:p>
      <w:pPr>
        <w:pStyle w:val="5"/>
        <w:rPr>
          <w:rFonts w:hint="eastAsia"/>
          <w:highlight w:val="none"/>
          <w:lang w:val="en-US" w:eastAsia="zh-CN"/>
        </w:rPr>
      </w:pPr>
      <w:r>
        <w:rPr>
          <w:rFonts w:hint="eastAsia"/>
          <w:highlight w:val="none"/>
          <w:lang w:val="en-US" w:eastAsia="zh-CN"/>
        </w:rPr>
        <w:t>14、同类产品项目业绩一览表（</w:t>
      </w:r>
      <w:r>
        <w:rPr>
          <w:rFonts w:hint="eastAsia" w:hAnsi="宋体" w:cs="宋体"/>
          <w:color w:val="000000"/>
          <w:sz w:val="24"/>
          <w:highlight w:val="none"/>
        </w:rPr>
        <w:t>投标文件格式十</w:t>
      </w:r>
      <w:r>
        <w:rPr>
          <w:rFonts w:hint="eastAsia" w:hAnsi="宋体" w:cs="宋体"/>
          <w:color w:val="000000"/>
          <w:sz w:val="24"/>
          <w:highlight w:val="none"/>
          <w:lang w:val="en-US" w:eastAsia="zh-CN"/>
        </w:rPr>
        <w:t>六</w:t>
      </w:r>
      <w:r>
        <w:rPr>
          <w:rFonts w:hint="eastAsia"/>
          <w:highlight w:val="none"/>
          <w:lang w:val="en-US" w:eastAsia="zh-CN"/>
        </w:rPr>
        <w:t>）</w:t>
      </w:r>
    </w:p>
    <w:p>
      <w:pPr>
        <w:rPr>
          <w:rFonts w:hint="eastAsia"/>
          <w:highlight w:val="none"/>
          <w:lang w:val="en-US" w:eastAsia="zh-CN"/>
        </w:rPr>
      </w:pPr>
    </w:p>
    <w:p>
      <w:pPr>
        <w:rPr>
          <w:rFonts w:hint="default"/>
          <w:highlight w:val="none"/>
          <w:lang w:val="en-US"/>
        </w:rPr>
      </w:pPr>
      <w:r>
        <w:rPr>
          <w:rFonts w:hint="eastAsia"/>
          <w:highlight w:val="none"/>
          <w:lang w:val="en-US" w:eastAsia="zh-CN"/>
        </w:rPr>
        <w:t>注：没有提供格式，投标单位自行拟定</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br w:type="page"/>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34" w:name="_Toc8525"/>
      <w:bookmarkStart w:id="335" w:name="_Toc515647817"/>
      <w:bookmarkStart w:id="336" w:name="_Toc2041"/>
      <w:bookmarkStart w:id="337" w:name="_Toc14915"/>
      <w:r>
        <w:rPr>
          <w:rFonts w:hint="eastAsia" w:ascii="宋体" w:hAnsi="宋体" w:eastAsia="宋体" w:cs="宋体"/>
          <w:color w:val="000000"/>
          <w:sz w:val="24"/>
          <w:highlight w:val="none"/>
        </w:rPr>
        <w:t xml:space="preserve">1   </w:t>
      </w:r>
      <w:bookmarkStart w:id="338" w:name="_Hlt520355504"/>
      <w:bookmarkEnd w:id="338"/>
      <w:r>
        <w:rPr>
          <w:rFonts w:hint="eastAsia" w:ascii="宋体" w:hAnsi="宋体" w:eastAsia="宋体" w:cs="宋体"/>
          <w:color w:val="000000"/>
          <w:sz w:val="24"/>
          <w:highlight w:val="none"/>
        </w:rPr>
        <w:t>投标</w:t>
      </w:r>
      <w:bookmarkEnd w:id="293"/>
      <w:bookmarkEnd w:id="294"/>
      <w:r>
        <w:rPr>
          <w:rFonts w:hint="eastAsia" w:ascii="宋体" w:hAnsi="宋体" w:eastAsia="宋体" w:cs="宋体"/>
          <w:color w:val="000000"/>
          <w:sz w:val="24"/>
          <w:highlight w:val="none"/>
        </w:rPr>
        <w:t>书</w:t>
      </w:r>
      <w:bookmarkEnd w:id="295"/>
      <w:r>
        <w:rPr>
          <w:rFonts w:hint="eastAsia" w:ascii="宋体" w:hAnsi="宋体" w:eastAsia="宋体" w:cs="宋体"/>
          <w:color w:val="000000"/>
          <w:sz w:val="24"/>
          <w:highlight w:val="none"/>
        </w:rPr>
        <w:t>（投标文件格式五）</w:t>
      </w:r>
      <w:bookmarkEnd w:id="296"/>
      <w:bookmarkEnd w:id="334"/>
      <w:bookmarkEnd w:id="335"/>
      <w:bookmarkEnd w:id="336"/>
      <w:bookmarkEnd w:id="337"/>
    </w:p>
    <w:p>
      <w:pPr>
        <w:tabs>
          <w:tab w:val="left" w:pos="5580"/>
        </w:tabs>
        <w:kinsoku w:val="0"/>
        <w:overflowPunct w:val="0"/>
        <w:spacing w:line="240" w:lineRule="atLeast"/>
        <w:ind w:left="1080" w:leftChars="257" w:hanging="540"/>
        <w:rPr>
          <w:rFonts w:hint="eastAsia" w:ascii="宋体" w:hAnsi="宋体" w:cs="宋体"/>
          <w:color w:val="000000"/>
          <w:sz w:val="24"/>
          <w:highlight w:val="none"/>
        </w:rPr>
      </w:pPr>
    </w:p>
    <w:p>
      <w:pPr>
        <w:tabs>
          <w:tab w:val="left" w:pos="5580"/>
        </w:tabs>
        <w:kinsoku w:val="0"/>
        <w:overflowPunct w:val="0"/>
        <w:spacing w:line="240" w:lineRule="atLeast"/>
        <w:ind w:left="1080" w:hanging="1080"/>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（采购</w:t>
      </w:r>
      <w:r>
        <w:rPr>
          <w:rFonts w:hint="eastAsia" w:ascii="宋体" w:hAnsi="宋体" w:cs="宋体"/>
          <w:color w:val="000000"/>
          <w:sz w:val="24"/>
          <w:highlight w:val="none"/>
          <w:u w:val="single"/>
          <w:lang w:val="en-US" w:eastAsia="zh-CN"/>
        </w:rPr>
        <w:t>人</w:t>
      </w:r>
      <w:r>
        <w:rPr>
          <w:rFonts w:hint="eastAsia" w:ascii="宋体" w:hAnsi="宋体" w:cs="宋体"/>
          <w:color w:val="000000"/>
          <w:sz w:val="24"/>
          <w:highlight w:val="none"/>
          <w:u w:val="single"/>
        </w:rPr>
        <w:t xml:space="preserve">） </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9"/>
        <w:tabs>
          <w:tab w:val="left" w:pos="5580"/>
        </w:tabs>
        <w:kinsoku w:val="0"/>
        <w:overflowPunct w:val="0"/>
        <w:spacing w:line="240" w:lineRule="atLeast"/>
        <w:ind w:left="2" w:leftChars="1" w:firstLine="480" w:firstLineChars="200"/>
        <w:rPr>
          <w:rFonts w:hint="eastAsia" w:hAnsi="宋体" w:cs="宋体"/>
          <w:color w:val="000000"/>
          <w:sz w:val="24"/>
          <w:highlight w:val="none"/>
        </w:rPr>
      </w:pPr>
      <w:r>
        <w:rPr>
          <w:rFonts w:hint="eastAsia" w:hAnsi="宋体" w:cs="宋体"/>
          <w:color w:val="000000"/>
          <w:sz w:val="24"/>
          <w:highlight w:val="none"/>
        </w:rPr>
        <w:t>根据贵方(</w:t>
      </w:r>
      <w:r>
        <w:rPr>
          <w:rFonts w:hint="eastAsia" w:hAnsi="宋体" w:cs="宋体"/>
          <w:color w:val="000000"/>
          <w:sz w:val="24"/>
          <w:highlight w:val="none"/>
          <w:u w:val="single"/>
        </w:rPr>
        <w:t>项目名称</w:t>
      </w:r>
      <w:r>
        <w:rPr>
          <w:rFonts w:hint="eastAsia" w:hAnsi="宋体" w:cs="宋体"/>
          <w:color w:val="000000"/>
          <w:sz w:val="24"/>
          <w:highlight w:val="none"/>
        </w:rPr>
        <w:t>)项目的投标邀请(</w:t>
      </w:r>
      <w:r>
        <w:rPr>
          <w:rFonts w:hint="eastAsia" w:hAnsi="宋体" w:cs="宋体"/>
          <w:color w:val="000000"/>
          <w:sz w:val="24"/>
          <w:highlight w:val="none"/>
          <w:u w:val="single"/>
        </w:rPr>
        <w:t>招标编号</w:t>
      </w:r>
      <w:r>
        <w:rPr>
          <w:rFonts w:hint="eastAsia" w:hAnsi="宋体" w:cs="宋体"/>
          <w:color w:val="000000"/>
          <w:sz w:val="24"/>
          <w:highlight w:val="none"/>
        </w:rPr>
        <w:t>),签字代表(</w:t>
      </w:r>
      <w:r>
        <w:rPr>
          <w:rFonts w:hint="eastAsia" w:hAnsi="宋体" w:cs="宋体"/>
          <w:color w:val="000000"/>
          <w:sz w:val="24"/>
          <w:highlight w:val="none"/>
          <w:u w:val="single"/>
        </w:rPr>
        <w:t>姓名、职务</w:t>
      </w:r>
      <w:r>
        <w:rPr>
          <w:rFonts w:hint="eastAsia" w:hAnsi="宋体" w:cs="宋体"/>
          <w:color w:val="000000"/>
          <w:sz w:val="24"/>
          <w:highlight w:val="none"/>
        </w:rPr>
        <w:t>)经正式授权并代表投标人（</w:t>
      </w:r>
      <w:r>
        <w:rPr>
          <w:rFonts w:hint="eastAsia" w:hAnsi="宋体" w:cs="宋体"/>
          <w:color w:val="000000"/>
          <w:sz w:val="24"/>
          <w:highlight w:val="none"/>
          <w:u w:val="single"/>
        </w:rPr>
        <w:t>名称、地址</w:t>
      </w:r>
      <w:r>
        <w:rPr>
          <w:rFonts w:hint="eastAsia" w:hAnsi="宋体" w:cs="宋体"/>
          <w:color w:val="000000"/>
          <w:sz w:val="24"/>
          <w:highlight w:val="none"/>
        </w:rPr>
        <w:t>）提交下述文件正本</w:t>
      </w:r>
      <w:r>
        <w:rPr>
          <w:rFonts w:hint="eastAsia" w:hAnsi="宋体" w:cs="宋体"/>
          <w:color w:val="000000"/>
          <w:sz w:val="24"/>
          <w:highlight w:val="none"/>
          <w:u w:val="single"/>
        </w:rPr>
        <w:t xml:space="preserve">   </w:t>
      </w:r>
      <w:r>
        <w:rPr>
          <w:rFonts w:hint="eastAsia" w:hAnsi="宋体" w:cs="宋体"/>
          <w:color w:val="000000"/>
          <w:sz w:val="24"/>
          <w:highlight w:val="none"/>
        </w:rPr>
        <w:t>份、副本</w:t>
      </w:r>
      <w:r>
        <w:rPr>
          <w:rFonts w:hint="eastAsia" w:hAnsi="宋体" w:cs="宋体"/>
          <w:color w:val="000000"/>
          <w:sz w:val="24"/>
          <w:highlight w:val="none"/>
          <w:u w:val="single"/>
        </w:rPr>
        <w:t xml:space="preserve">     </w:t>
      </w:r>
      <w:r>
        <w:rPr>
          <w:rFonts w:hint="eastAsia" w:hAnsi="宋体" w:cs="宋体"/>
          <w:color w:val="000000"/>
          <w:sz w:val="24"/>
          <w:highlight w:val="none"/>
        </w:rPr>
        <w:t>份及电子文档</w:t>
      </w:r>
      <w:r>
        <w:rPr>
          <w:rFonts w:hint="eastAsia" w:hAnsi="宋体" w:cs="宋体"/>
          <w:color w:val="000000"/>
          <w:sz w:val="24"/>
          <w:highlight w:val="none"/>
          <w:u w:val="single"/>
        </w:rPr>
        <w:t xml:space="preserve">     </w:t>
      </w:r>
      <w:r>
        <w:rPr>
          <w:rFonts w:hint="eastAsia" w:hAnsi="宋体" w:cs="宋体"/>
          <w:color w:val="000000"/>
          <w:sz w:val="24"/>
          <w:highlight w:val="none"/>
        </w:rPr>
        <w:t>份，并以</w:t>
      </w:r>
      <w:r>
        <w:rPr>
          <w:rFonts w:hint="eastAsia" w:hAnsi="宋体" w:cs="宋体"/>
          <w:color w:val="000000"/>
          <w:sz w:val="24"/>
          <w:highlight w:val="none"/>
          <w:u w:val="single"/>
        </w:rPr>
        <w:t xml:space="preserve">         </w:t>
      </w:r>
      <w:r>
        <w:rPr>
          <w:rFonts w:hint="eastAsia" w:hAnsi="宋体" w:cs="宋体"/>
          <w:color w:val="000000"/>
          <w:sz w:val="24"/>
          <w:highlight w:val="none"/>
        </w:rPr>
        <w:t>形式出具的金额为人民币</w:t>
      </w:r>
      <w:r>
        <w:rPr>
          <w:rFonts w:hint="eastAsia" w:hAnsi="宋体" w:cs="宋体"/>
          <w:color w:val="000000"/>
          <w:sz w:val="24"/>
          <w:highlight w:val="none"/>
          <w:u w:val="single"/>
        </w:rPr>
        <w:t>　　　　</w:t>
      </w:r>
      <w:r>
        <w:rPr>
          <w:rFonts w:hint="eastAsia" w:hAnsi="宋体" w:cs="宋体"/>
          <w:color w:val="000000"/>
          <w:sz w:val="24"/>
          <w:highlight w:val="none"/>
        </w:rPr>
        <w:t>元的投标保证金。</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据此，签字代表宣布同意如下：</w:t>
      </w:r>
    </w:p>
    <w:p>
      <w:pPr>
        <w:pStyle w:val="9"/>
        <w:tabs>
          <w:tab w:val="left" w:pos="720"/>
          <w:tab w:val="left" w:pos="900"/>
        </w:tabs>
        <w:kinsoku w:val="0"/>
        <w:overflowPunct w:val="0"/>
        <w:spacing w:line="240" w:lineRule="atLeast"/>
        <w:ind w:left="769" w:leftChars="257" w:hanging="229"/>
        <w:rPr>
          <w:rFonts w:hint="eastAsia" w:hAnsi="宋体" w:cs="宋体"/>
          <w:color w:val="000000"/>
          <w:sz w:val="24"/>
          <w:highlight w:val="none"/>
          <w:u w:val="single"/>
        </w:rPr>
      </w:pPr>
      <w:r>
        <w:rPr>
          <w:rFonts w:hint="eastAsia" w:hAnsi="宋体" w:cs="宋体"/>
          <w:color w:val="000000"/>
          <w:sz w:val="24"/>
          <w:highlight w:val="none"/>
        </w:rPr>
        <w:t>（1）附投标价格表中规定的应提供货物的投标总价详见开标一览表，</w:t>
      </w:r>
      <w:r>
        <w:rPr>
          <w:rFonts w:hint="eastAsia" w:hAnsi="宋体" w:cs="宋体"/>
          <w:color w:val="000000"/>
          <w:sz w:val="24"/>
          <w:highlight w:val="none"/>
          <w:u w:val="single"/>
        </w:rPr>
        <w:t>其中由小型和</w:t>
      </w:r>
      <w:r>
        <w:rPr>
          <w:rFonts w:hint="eastAsia" w:hAnsi="宋体" w:cs="宋体"/>
          <w:color w:val="000000"/>
          <w:sz w:val="24"/>
          <w:highlight w:val="none"/>
        </w:rPr>
        <w:t>微型企业制造产品的价格为</w:t>
      </w:r>
      <w:r>
        <w:rPr>
          <w:rFonts w:hint="eastAsia" w:hAnsi="宋体" w:cs="宋体"/>
          <w:color w:val="000000"/>
          <w:sz w:val="24"/>
          <w:highlight w:val="none"/>
          <w:u w:val="single"/>
        </w:rPr>
        <w:t>　　  （用文字和数字表示），占投标总价   %</w:t>
      </w:r>
      <w:r>
        <w:rPr>
          <w:rFonts w:hint="eastAsia" w:hAnsi="宋体" w:cs="宋体"/>
          <w:color w:val="000000"/>
          <w:sz w:val="24"/>
          <w:highlight w:val="none"/>
        </w:rPr>
        <w:t>。</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（2）本投标有效期为自投标截止之日起</w:t>
      </w:r>
      <w:r>
        <w:rPr>
          <w:rFonts w:hint="eastAsia" w:hAnsi="宋体" w:cs="宋体"/>
          <w:color w:val="000000"/>
          <w:sz w:val="24"/>
          <w:highlight w:val="none"/>
          <w:u w:val="single"/>
        </w:rPr>
        <w:t xml:space="preserve">          </w:t>
      </w:r>
      <w:r>
        <w:rPr>
          <w:rFonts w:hint="eastAsia" w:hAnsi="宋体" w:cs="宋体"/>
          <w:color w:val="000000"/>
          <w:sz w:val="24"/>
          <w:highlight w:val="none"/>
        </w:rPr>
        <w:t>个日历日。</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（3）联合体中的大中型企业和其他自然人、法人或者非法人组织，与联合体中的小型、微型企业之间</w:t>
      </w:r>
      <w:r>
        <w:rPr>
          <w:rFonts w:hint="eastAsia" w:hAnsi="宋体" w:cs="宋体"/>
          <w:color w:val="000000"/>
          <w:sz w:val="24"/>
          <w:highlight w:val="none"/>
          <w:u w:val="single"/>
        </w:rPr>
        <w:t xml:space="preserve">     （</w:t>
      </w:r>
      <w:r>
        <w:rPr>
          <w:rFonts w:hint="eastAsia" w:hAnsi="宋体" w:cs="宋体"/>
          <w:color w:val="000000"/>
          <w:sz w:val="24"/>
          <w:highlight w:val="none"/>
        </w:rPr>
        <w:t>存在、不存在）投资关系（如果是联合体的话）。</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（4）已详细审查全部招标文件，包括所有补充通知（如果有的话），完全理解并同意放弃对这方面有不明、误解和质疑的权力。</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（5）在规定的开标时间后，遵守招标文件中有关保证金的规定。</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（6）我方不是为本项目提供整体设计、规范编制或者项目管理、监理、检测等服务的供应商，我方不是采购代理机构的附属机构。</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（7）在领取中标通知书的同时按招标文件规定的形式，向贵方一次性支付中标服务费。</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（8）按照贵方可能要求，提供与其投标有关的一切数据或资料，完全理解贵方不一定接受最低价的投标或收到的任何投标。</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（9）按照招标文件的规定履行合同责任和义务。</w:t>
      </w:r>
    </w:p>
    <w:p>
      <w:pPr>
        <w:pStyle w:val="9"/>
        <w:tabs>
          <w:tab w:val="left" w:pos="5580"/>
        </w:tabs>
        <w:kinsoku w:val="0"/>
        <w:overflowPunct w:val="0"/>
        <w:spacing w:line="240" w:lineRule="atLeast"/>
        <w:ind w:left="359" w:leftChars="68" w:hanging="216" w:hangingChars="90"/>
        <w:rPr>
          <w:rFonts w:hint="eastAsia" w:hAnsi="宋体" w:cs="宋体"/>
          <w:color w:val="000000"/>
          <w:sz w:val="24"/>
          <w:highlight w:val="none"/>
        </w:rPr>
      </w:pPr>
      <w:r>
        <w:rPr>
          <w:rFonts w:hint="eastAsia" w:hAnsi="宋体" w:cs="宋体"/>
          <w:color w:val="000000"/>
          <w:sz w:val="24"/>
          <w:highlight w:val="none"/>
        </w:rPr>
        <w:t xml:space="preserve">  与本投标有关的一切正式往来信函请寄：</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地址</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传真</w:t>
      </w:r>
      <w:r>
        <w:rPr>
          <w:rFonts w:hint="eastAsia" w:hAnsi="宋体" w:cs="宋体"/>
          <w:color w:val="000000"/>
          <w:sz w:val="24"/>
          <w:highlight w:val="none"/>
          <w:u w:val="single"/>
        </w:rPr>
        <w:t xml:space="preserve">                             </w:t>
      </w:r>
    </w:p>
    <w:p>
      <w:pPr>
        <w:pStyle w:val="9"/>
        <w:tabs>
          <w:tab w:val="left" w:pos="5580"/>
        </w:tabs>
        <w:kinsoku w:val="0"/>
        <w:overflowPunct w:val="0"/>
        <w:spacing w:line="240" w:lineRule="atLeast"/>
        <w:ind w:left="1080" w:leftChars="257" w:hanging="540"/>
        <w:rPr>
          <w:rFonts w:hint="eastAsia" w:hAnsi="宋体" w:cs="宋体"/>
          <w:b/>
          <w:color w:val="000000"/>
          <w:sz w:val="24"/>
          <w:highlight w:val="none"/>
        </w:rPr>
      </w:pPr>
      <w:r>
        <w:rPr>
          <w:rFonts w:hint="eastAsia" w:hAnsi="宋体" w:cs="宋体"/>
          <w:color w:val="000000"/>
          <w:sz w:val="24"/>
          <w:highlight w:val="none"/>
        </w:rPr>
        <w:t>电话</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电子函件</w:t>
      </w:r>
      <w:r>
        <w:rPr>
          <w:rFonts w:hint="eastAsia" w:hAnsi="宋体" w:cs="宋体"/>
          <w:color w:val="000000"/>
          <w:sz w:val="24"/>
          <w:highlight w:val="none"/>
          <w:u w:val="single"/>
        </w:rPr>
        <w:t xml:space="preserve">                         </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投标人名称（全称）-----------------</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投标人开户银行（全称）</w:t>
      </w:r>
      <w:r>
        <w:rPr>
          <w:rFonts w:hint="eastAsia" w:hAnsi="宋体" w:cs="宋体"/>
          <w:color w:val="000000"/>
          <w:sz w:val="24"/>
          <w:highlight w:val="none"/>
          <w:u w:val="single"/>
        </w:rPr>
        <w:t xml:space="preserve">　　　　　　 </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投标人银行帐号</w:t>
      </w:r>
      <w:r>
        <w:rPr>
          <w:rFonts w:hint="eastAsia" w:hAnsi="宋体" w:cs="宋体"/>
          <w:color w:val="000000"/>
          <w:sz w:val="24"/>
          <w:highlight w:val="none"/>
          <w:u w:val="single"/>
        </w:rPr>
        <w:t>　　　　　　　　 　　</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投标人单位章-------------------------</w:t>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日期-------------------------------</w:t>
      </w:r>
    </w:p>
    <w:p>
      <w:pPr>
        <w:pStyle w:val="4"/>
        <w:keepNext w:val="0"/>
        <w:keepLines w:val="0"/>
        <w:kinsoku w:val="0"/>
        <w:overflowPunct w:val="0"/>
        <w:spacing w:before="0"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bookmarkStart w:id="339" w:name="_Toc1266"/>
      <w:bookmarkStart w:id="340" w:name="_Toc19943"/>
      <w:bookmarkStart w:id="341" w:name="_Toc23473"/>
      <w:r>
        <w:rPr>
          <w:rFonts w:hint="eastAsia" w:ascii="宋体" w:hAnsi="宋体" w:eastAsia="宋体" w:cs="宋体"/>
          <w:color w:val="000000"/>
          <w:sz w:val="24"/>
          <w:highlight w:val="none"/>
        </w:rPr>
        <w:t>2   投标保证金</w:t>
      </w:r>
      <w:r>
        <w:rPr>
          <w:rFonts w:hint="eastAsia" w:ascii="宋体" w:hAnsi="宋体" w:eastAsia="宋体" w:cs="宋体"/>
          <w:color w:val="000000"/>
          <w:sz w:val="24"/>
          <w:highlight w:val="none"/>
          <w:lang w:val="en-US" w:eastAsia="zh-CN"/>
        </w:rPr>
        <w:t>打款（缴纳）</w:t>
      </w:r>
      <w:r>
        <w:rPr>
          <w:rFonts w:hint="eastAsia" w:ascii="宋体" w:hAnsi="宋体" w:eastAsia="宋体" w:cs="宋体"/>
          <w:color w:val="000000"/>
          <w:sz w:val="24"/>
          <w:highlight w:val="none"/>
        </w:rPr>
        <w:t>凭证</w:t>
      </w:r>
      <w:bookmarkEnd w:id="339"/>
      <w:bookmarkEnd w:id="340"/>
      <w:bookmarkEnd w:id="341"/>
    </w:p>
    <w:p>
      <w:pPr>
        <w:kinsoku w:val="0"/>
        <w:overflowPunct w:val="0"/>
        <w:ind w:firstLine="420" w:firstLineChars="200"/>
        <w:rPr>
          <w:rFonts w:hint="eastAsia" w:ascii="宋体" w:hAnsi="宋体" w:cs="宋体"/>
          <w:color w:val="000000"/>
          <w:sz w:val="24"/>
          <w:highlight w:val="none"/>
        </w:rPr>
      </w:pPr>
      <w:r>
        <w:rPr>
          <w:rFonts w:hint="eastAsia" w:ascii="宋体" w:hAnsi="宋体" w:cs="宋体"/>
          <w:color w:val="000000"/>
          <w:highlight w:val="none"/>
        </w:rPr>
        <w:t>投标人可将本项目投标保证金支付的汇款凭证、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pPr>
        <w:kinsoku w:val="0"/>
        <w:overflowPunct w:val="0"/>
        <w:jc w:val="center"/>
        <w:rPr>
          <w:rFonts w:hint="eastAsia" w:ascii="宋体" w:hAnsi="宋体" w:cs="宋体"/>
          <w:color w:val="000000"/>
          <w:sz w:val="28"/>
          <w:szCs w:val="28"/>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514" w:type="dxa"/>
            <w:noWrap w:val="0"/>
            <w:vAlign w:val="center"/>
          </w:tcPr>
          <w:p>
            <w:pPr>
              <w:kinsoku w:val="0"/>
              <w:overflowPunct w:val="0"/>
              <w:jc w:val="center"/>
              <w:rPr>
                <w:rFonts w:hint="default" w:ascii="宋体" w:hAnsi="宋体" w:eastAsia="宋体" w:cs="宋体"/>
                <w:color w:val="000000"/>
                <w:sz w:val="28"/>
                <w:szCs w:val="28"/>
                <w:highlight w:val="none"/>
                <w:vertAlign w:val="baseline"/>
                <w:lang w:val="en-US" w:eastAsia="zh-CN"/>
              </w:rPr>
            </w:pPr>
            <w:r>
              <w:rPr>
                <w:rFonts w:hint="eastAsia" w:ascii="宋体" w:hAnsi="宋体" w:cs="宋体"/>
                <w:color w:val="000000"/>
                <w:sz w:val="28"/>
                <w:szCs w:val="28"/>
                <w:highlight w:val="none"/>
                <w:vertAlign w:val="baseline"/>
                <w:lang w:val="en-US" w:eastAsia="zh-CN"/>
              </w:rPr>
              <w:t>投标保证金打款（缴纳）凭证</w:t>
            </w:r>
          </w:p>
        </w:tc>
      </w:tr>
    </w:tbl>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政府采购投标担保函 （投标文件格式六）</w:t>
      </w:r>
    </w:p>
    <w:p>
      <w:pPr>
        <w:kinsoku w:val="0"/>
        <w:overflowPunct w:val="0"/>
        <w:rPr>
          <w:rFonts w:hint="eastAsia" w:ascii="宋体" w:hAnsi="宋体" w:cs="宋体"/>
          <w:color w:val="000000"/>
          <w:highlight w:val="none"/>
        </w:rPr>
      </w:pPr>
      <w:r>
        <w:rPr>
          <w:rFonts w:hint="eastAsia" w:ascii="宋体" w:hAnsi="宋体" w:cs="宋体"/>
          <w:color w:val="000000"/>
          <w:highlight w:val="none"/>
        </w:rPr>
        <w:t>编号：</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（采购人或采购代理机构）：</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鉴于</w:t>
      </w:r>
      <w:r>
        <w:rPr>
          <w:rFonts w:hint="eastAsia" w:ascii="宋体" w:hAnsi="宋体" w:cs="宋体"/>
          <w:color w:val="000000"/>
          <w:highlight w:val="none"/>
          <w:u w:val="single"/>
        </w:rPr>
        <w:t xml:space="preserve">               </w:t>
      </w:r>
      <w:r>
        <w:rPr>
          <w:rFonts w:hint="eastAsia" w:ascii="宋体" w:hAnsi="宋体" w:cs="宋体"/>
          <w:color w:val="000000"/>
          <w:highlight w:val="none"/>
        </w:rPr>
        <w:t>（以下简称“投标人”）拟参加编号为</w:t>
      </w:r>
      <w:r>
        <w:rPr>
          <w:rFonts w:hint="eastAsia" w:ascii="宋体" w:hAnsi="宋体" w:cs="宋体"/>
          <w:color w:val="000000"/>
          <w:highlight w:val="none"/>
          <w:u w:val="single"/>
        </w:rPr>
        <w:t xml:space="preserve">            </w:t>
      </w:r>
      <w:r>
        <w:rPr>
          <w:rFonts w:hint="eastAsia" w:ascii="宋体" w:hAnsi="宋体" w:cs="宋体"/>
          <w:color w:val="000000"/>
          <w:highlight w:val="none"/>
        </w:rPr>
        <w:t>的</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p>
    <w:p>
      <w:pPr>
        <w:kinsoku w:val="0"/>
        <w:overflowPunct w:val="0"/>
        <w:rPr>
          <w:rFonts w:hint="eastAsia" w:ascii="宋体" w:hAnsi="宋体" w:cs="宋体"/>
          <w:color w:val="000000"/>
          <w:highlight w:val="none"/>
        </w:rPr>
      </w:pPr>
      <w:r>
        <w:rPr>
          <w:rFonts w:hint="eastAsia" w:ascii="宋体" w:hAnsi="宋体" w:cs="宋体"/>
          <w:color w:val="000000"/>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一、保证责任的情形及保证金额</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（一）在投标人出现下列情形之一时，我方承担保证责任：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1．中标后投标人无正当理由不与采购人或者采购代理机构签订《政府采购合同》；</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2．招标文件规定的投标人应当缴纳保证金的其他情形。</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（二）我方承担保证责任的最高金额为人民币</w:t>
      </w:r>
      <w:r>
        <w:rPr>
          <w:rFonts w:hint="eastAsia" w:ascii="宋体" w:hAnsi="宋体" w:cs="宋体"/>
          <w:color w:val="000000"/>
          <w:highlight w:val="none"/>
          <w:u w:val="single"/>
        </w:rPr>
        <w:t xml:space="preserve">      </w:t>
      </w:r>
      <w:r>
        <w:rPr>
          <w:rFonts w:hint="eastAsia" w:ascii="宋体" w:hAnsi="宋体" w:cs="宋体"/>
          <w:color w:val="000000"/>
          <w:highlight w:val="none"/>
        </w:rPr>
        <w:t>元（大写</w:t>
      </w:r>
      <w:r>
        <w:rPr>
          <w:rFonts w:hint="eastAsia" w:ascii="宋体" w:hAnsi="宋体" w:cs="宋体"/>
          <w:color w:val="000000"/>
          <w:highlight w:val="none"/>
          <w:u w:val="single"/>
        </w:rPr>
        <w:t xml:space="preserve">            </w:t>
      </w:r>
      <w:r>
        <w:rPr>
          <w:rFonts w:hint="eastAsia" w:ascii="宋体" w:hAnsi="宋体" w:cs="宋体"/>
          <w:color w:val="000000"/>
          <w:highlight w:val="none"/>
        </w:rPr>
        <w:t>），即本项目的投标保证金金额。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二、保证的方式及保证期间</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我方保证的方式为：连带责任保证。</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我方的保证期间为：自本保函生效之日起</w:t>
      </w:r>
      <w:r>
        <w:rPr>
          <w:rFonts w:hint="eastAsia" w:ascii="宋体" w:hAnsi="宋体" w:cs="宋体"/>
          <w:color w:val="000000"/>
          <w:highlight w:val="none"/>
          <w:u w:val="single"/>
        </w:rPr>
        <w:t xml:space="preserve">    </w:t>
      </w:r>
      <w:r>
        <w:rPr>
          <w:rFonts w:hint="eastAsia" w:ascii="宋体" w:hAnsi="宋体" w:cs="宋体"/>
          <w:color w:val="000000"/>
          <w:highlight w:val="none"/>
        </w:rPr>
        <w:t>个月止。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三、承担保证责任的程序</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2．我方在收到索赔通知及相关证明材料后，在</w:t>
      </w:r>
      <w:r>
        <w:rPr>
          <w:rFonts w:hint="eastAsia" w:ascii="宋体" w:hAnsi="宋体" w:cs="宋体"/>
          <w:color w:val="000000"/>
          <w:highlight w:val="none"/>
          <w:u w:val="single"/>
        </w:rPr>
        <w:t>　　　</w:t>
      </w:r>
      <w:r>
        <w:rPr>
          <w:rFonts w:hint="eastAsia" w:ascii="宋体" w:hAnsi="宋体" w:cs="宋体"/>
          <w:color w:val="000000"/>
          <w:highlight w:val="none"/>
        </w:rPr>
        <w:t>个工作日内进行审查，符合应承担保证责任情形的，我方应按照你方的要求代投标人向你方支付投标保证金。</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四、保证责任的终止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1．保证期间届满你方未向我方书面主张保证责任的，自保证期间届满次日起，我方保证责任自动终止。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2．我方按照本保函向你贵方履行了保证责任后，自我方向你贵方支付款项（支付款项从我方账户划出）之日起，保证责任终止。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3．按照法律法规的规定或出现我方保证责任终止的其它情形的，我方在本保函项下的保证责任亦终止。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五、免责条款</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1．依照法律规定或你方与投标人的另行约定，全部或者部分免除投标人投标保证金义务时，我方亦免除相应的保证责任。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2．因你方原因致使投标人发生本保函第一条第（一）款约定情形的，我方不承担保证责任。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3．因不可抗力造成投标人发生本保函第一条约定情形的，我方不承担保证责任。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4．你方或其他有权机关对招标文件进行任何澄清或修改，加重我方保证责任的，我方对加重部分不承担保证责任，但该澄清或修改经我方事先书面同意的除外。</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六、争议的解决</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因本保函发生的纠纷，由你我双方协商解决，协商不成的，通过诉讼程序解决，诉讼管辖地法院为</w:t>
      </w:r>
      <w:r>
        <w:rPr>
          <w:rFonts w:hint="eastAsia" w:ascii="宋体" w:hAnsi="宋体" w:cs="宋体"/>
          <w:color w:val="000000"/>
          <w:highlight w:val="none"/>
          <w:u w:val="single"/>
        </w:rPr>
        <w:t xml:space="preserve">          </w:t>
      </w:r>
      <w:r>
        <w:rPr>
          <w:rFonts w:hint="eastAsia" w:ascii="宋体" w:hAnsi="宋体" w:cs="宋体"/>
          <w:color w:val="000000"/>
          <w:highlight w:val="none"/>
        </w:rPr>
        <w:t>法院。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七、保函的生效</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本保函自我方加盖公章之日起生效。</w:t>
      </w:r>
    </w:p>
    <w:p>
      <w:pPr>
        <w:kinsoku w:val="0"/>
        <w:overflowPunct w:val="0"/>
        <w:ind w:firstLine="5565" w:firstLineChars="2650"/>
        <w:rPr>
          <w:rFonts w:hint="eastAsia" w:ascii="宋体" w:hAnsi="宋体" w:cs="宋体"/>
          <w:color w:val="000000"/>
          <w:highlight w:val="none"/>
        </w:rPr>
      </w:pPr>
      <w:r>
        <w:rPr>
          <w:rFonts w:hint="eastAsia" w:ascii="宋体" w:hAnsi="宋体" w:cs="宋体"/>
          <w:color w:val="000000"/>
          <w:highlight w:val="none"/>
        </w:rPr>
        <w:t>保证人：（公章）</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p>
    <w:p>
      <w:pPr>
        <w:kinsoku w:val="0"/>
        <w:overflowPunct w:val="0"/>
        <w:ind w:firstLine="5775" w:firstLineChars="2750"/>
        <w:rPr>
          <w:rFonts w:hint="eastAsia" w:ascii="宋体" w:hAnsi="宋体" w:cs="宋体"/>
          <w:color w:val="000000"/>
          <w:sz w:val="24"/>
          <w:highlight w:val="none"/>
        </w:rPr>
        <w:sectPr>
          <w:footerReference r:id="rId6" w:type="default"/>
          <w:pgSz w:w="11906" w:h="16838"/>
          <w:pgMar w:top="1474" w:right="1304" w:bottom="1474" w:left="1304" w:header="851" w:footer="992" w:gutter="0"/>
          <w:cols w:space="720" w:num="1"/>
          <w:docGrid w:linePitch="312" w:charSpace="0"/>
        </w:sectPr>
      </w:pPr>
      <w:r>
        <w:rPr>
          <w:rFonts w:hint="eastAsia" w:ascii="宋体" w:hAnsi="宋体" w:cs="宋体"/>
          <w:color w:val="000000"/>
          <w:highlight w:val="none"/>
        </w:rPr>
        <w:t>年     月      日</w:t>
      </w:r>
      <w:bookmarkStart w:id="342" w:name="_Hlt520356243"/>
      <w:bookmarkEnd w:id="342"/>
      <w:bookmarkStart w:id="343" w:name="_Hlt520355938"/>
      <w:bookmarkEnd w:id="343"/>
    </w:p>
    <w:p>
      <w:pPr>
        <w:pStyle w:val="4"/>
        <w:keepNext w:val="0"/>
        <w:keepLines w:val="0"/>
        <w:kinsoku w:val="0"/>
        <w:overflowPunct w:val="0"/>
        <w:spacing w:before="0" w:line="240" w:lineRule="atLeast"/>
        <w:rPr>
          <w:rFonts w:hint="eastAsia" w:ascii="宋体" w:hAnsi="宋体" w:eastAsia="宋体" w:cs="宋体"/>
          <w:color w:val="000000"/>
          <w:sz w:val="24"/>
          <w:highlight w:val="none"/>
        </w:rPr>
      </w:pPr>
      <w:bookmarkStart w:id="344" w:name="_Toc216582815"/>
      <w:bookmarkStart w:id="345" w:name="_Toc1881"/>
      <w:bookmarkStart w:id="346" w:name="_Toc10388"/>
      <w:bookmarkStart w:id="347" w:name="_Toc20897"/>
      <w:bookmarkStart w:id="348" w:name="_Toc515647818"/>
      <w:r>
        <w:rPr>
          <w:rFonts w:hint="eastAsia" w:ascii="宋体" w:hAnsi="宋体" w:eastAsia="宋体" w:cs="宋体"/>
          <w:color w:val="000000"/>
          <w:sz w:val="24"/>
          <w:highlight w:val="none"/>
        </w:rPr>
        <w:t>3   投标分项报价表</w:t>
      </w:r>
      <w:bookmarkEnd w:id="344"/>
      <w:r>
        <w:rPr>
          <w:rFonts w:hint="eastAsia" w:ascii="宋体" w:hAnsi="宋体" w:eastAsia="宋体" w:cs="宋体"/>
          <w:color w:val="000000"/>
          <w:sz w:val="24"/>
          <w:highlight w:val="none"/>
        </w:rPr>
        <w:t>（投标文件格式七）</w:t>
      </w:r>
      <w:bookmarkEnd w:id="345"/>
      <w:bookmarkEnd w:id="346"/>
      <w:bookmarkEnd w:id="347"/>
      <w:bookmarkEnd w:id="348"/>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项目名称:                      招标编号:                         包号: 　 　报价单位：人民币</w:t>
      </w:r>
      <w:r>
        <w:rPr>
          <w:rFonts w:hint="eastAsia" w:hAnsi="宋体" w:cs="宋体"/>
          <w:b/>
          <w:color w:val="000000"/>
          <w:sz w:val="24"/>
          <w:highlight w:val="none"/>
        </w:rPr>
        <w:t xml:space="preserve">  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序号</w:t>
            </w:r>
          </w:p>
        </w:tc>
        <w:tc>
          <w:tcPr>
            <w:tcW w:w="2510"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名称</w:t>
            </w:r>
          </w:p>
        </w:tc>
        <w:tc>
          <w:tcPr>
            <w:tcW w:w="1984"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型号和规格</w:t>
            </w:r>
          </w:p>
        </w:tc>
        <w:tc>
          <w:tcPr>
            <w:tcW w:w="1418"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数量</w:t>
            </w:r>
          </w:p>
        </w:tc>
        <w:tc>
          <w:tcPr>
            <w:tcW w:w="1215"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原产地</w:t>
            </w:r>
          </w:p>
        </w:tc>
        <w:tc>
          <w:tcPr>
            <w:tcW w:w="1152"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制造商名称</w:t>
            </w:r>
          </w:p>
        </w:tc>
        <w:tc>
          <w:tcPr>
            <w:tcW w:w="1177"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单价</w:t>
            </w:r>
          </w:p>
        </w:tc>
        <w:tc>
          <w:tcPr>
            <w:tcW w:w="1717"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总价</w:t>
            </w:r>
          </w:p>
        </w:tc>
        <w:tc>
          <w:tcPr>
            <w:tcW w:w="976"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1.</w:t>
            </w:r>
          </w:p>
        </w:tc>
        <w:tc>
          <w:tcPr>
            <w:tcW w:w="2510" w:type="dxa"/>
            <w:noWrap w:val="0"/>
            <w:vAlign w:val="center"/>
          </w:tcPr>
          <w:p>
            <w:pPr>
              <w:pStyle w:val="9"/>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2.</w:t>
            </w:r>
          </w:p>
        </w:tc>
        <w:tc>
          <w:tcPr>
            <w:tcW w:w="2510" w:type="dxa"/>
            <w:noWrap w:val="0"/>
            <w:vAlign w:val="center"/>
          </w:tcPr>
          <w:p>
            <w:pPr>
              <w:pStyle w:val="9"/>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3.</w:t>
            </w:r>
          </w:p>
        </w:tc>
        <w:tc>
          <w:tcPr>
            <w:tcW w:w="2510" w:type="dxa"/>
            <w:noWrap w:val="0"/>
            <w:vAlign w:val="center"/>
          </w:tcPr>
          <w:p>
            <w:pPr>
              <w:pStyle w:val="9"/>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4.</w:t>
            </w:r>
          </w:p>
        </w:tc>
        <w:tc>
          <w:tcPr>
            <w:tcW w:w="2510" w:type="dxa"/>
            <w:noWrap w:val="0"/>
            <w:vAlign w:val="center"/>
          </w:tcPr>
          <w:p>
            <w:pPr>
              <w:pStyle w:val="9"/>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5.</w:t>
            </w:r>
          </w:p>
        </w:tc>
        <w:tc>
          <w:tcPr>
            <w:tcW w:w="2510" w:type="dxa"/>
            <w:noWrap w:val="0"/>
            <w:vAlign w:val="center"/>
          </w:tcPr>
          <w:p>
            <w:pPr>
              <w:pStyle w:val="9"/>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6.</w:t>
            </w:r>
          </w:p>
        </w:tc>
        <w:tc>
          <w:tcPr>
            <w:tcW w:w="2510" w:type="dxa"/>
            <w:noWrap w:val="0"/>
            <w:vAlign w:val="center"/>
          </w:tcPr>
          <w:p>
            <w:pPr>
              <w:pStyle w:val="9"/>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总价：</w:t>
            </w:r>
          </w:p>
        </w:tc>
        <w:tc>
          <w:tcPr>
            <w:tcW w:w="2693" w:type="dxa"/>
            <w:gridSpan w:val="2"/>
            <w:noWrap w:val="0"/>
            <w:vAlign w:val="center"/>
          </w:tcPr>
          <w:p>
            <w:pPr>
              <w:pStyle w:val="9"/>
              <w:kinsoku w:val="0"/>
              <w:overflowPunct w:val="0"/>
              <w:spacing w:line="240" w:lineRule="atLeast"/>
              <w:ind w:left="1080" w:leftChars="257" w:hanging="540"/>
              <w:jc w:val="center"/>
              <w:rPr>
                <w:rFonts w:hint="eastAsia" w:hAnsi="宋体" w:cs="宋体"/>
                <w:color w:val="000000"/>
                <w:sz w:val="24"/>
                <w:highlight w:val="none"/>
              </w:rPr>
            </w:pPr>
          </w:p>
        </w:tc>
      </w:tr>
    </w:tbl>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9"/>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注:1.如果投标人认为需要，每种货物填写一份该表。</w:t>
      </w:r>
    </w:p>
    <w:p>
      <w:pPr>
        <w:pStyle w:val="9"/>
        <w:kinsoku w:val="0"/>
        <w:overflowPunct w:val="0"/>
        <w:spacing w:line="240" w:lineRule="atLeast"/>
        <w:ind w:left="1079" w:leftChars="428" w:hanging="180" w:hangingChars="75"/>
        <w:rPr>
          <w:rFonts w:hint="eastAsia" w:hAnsi="宋体" w:cs="宋体"/>
          <w:color w:val="000000"/>
          <w:sz w:val="24"/>
          <w:highlight w:val="none"/>
        </w:rPr>
      </w:pPr>
      <w:r>
        <w:rPr>
          <w:rFonts w:hint="eastAsia" w:hAnsi="宋体" w:cs="宋体"/>
          <w:color w:val="000000"/>
          <w:sz w:val="24"/>
          <w:highlight w:val="none"/>
        </w:rPr>
        <w:t>2.如果按单价计算的结果与总价不一致,以单价为准修正总价。</w:t>
      </w: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3.如果不提供详细分项报价将视为没有实质性响应招标文件。</w:t>
      </w: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4.上述各项的详细分项报价，应另页描述。</w:t>
      </w: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5.如果开标一览表（报价表）内容与投标文件中明细表内容不一致的，以开标一览表（报价表）内容为准。</w:t>
      </w: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br w:type="page"/>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49" w:name="_Toc216582816"/>
      <w:bookmarkStart w:id="350" w:name="_Toc32398"/>
      <w:bookmarkStart w:id="351" w:name="_Toc14037"/>
      <w:bookmarkStart w:id="352" w:name="_Toc18267"/>
      <w:bookmarkStart w:id="353" w:name="_Toc515647819"/>
      <w:r>
        <w:rPr>
          <w:rFonts w:hint="eastAsia" w:ascii="宋体" w:hAnsi="宋体" w:eastAsia="宋体" w:cs="宋体"/>
          <w:color w:val="000000"/>
          <w:sz w:val="24"/>
          <w:highlight w:val="none"/>
        </w:rPr>
        <w:t>4   货物说明一览表</w:t>
      </w:r>
      <w:bookmarkEnd w:id="349"/>
      <w:r>
        <w:rPr>
          <w:rFonts w:hint="eastAsia" w:ascii="宋体" w:hAnsi="宋体" w:eastAsia="宋体" w:cs="宋体"/>
          <w:color w:val="000000"/>
          <w:sz w:val="24"/>
          <w:highlight w:val="none"/>
        </w:rPr>
        <w:t>（投标文件格式八）</w:t>
      </w:r>
      <w:bookmarkEnd w:id="350"/>
      <w:bookmarkEnd w:id="351"/>
      <w:bookmarkEnd w:id="352"/>
      <w:bookmarkEnd w:id="353"/>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项目名称:                                    招标编号:                       包号:                      </w:t>
      </w:r>
    </w:p>
    <w:p>
      <w:pPr>
        <w:pStyle w:val="9"/>
        <w:kinsoku w:val="0"/>
        <w:overflowPunct w:val="0"/>
        <w:spacing w:line="240" w:lineRule="atLeast"/>
        <w:ind w:left="1080" w:leftChars="257" w:hanging="540"/>
        <w:rPr>
          <w:rFonts w:hint="eastAsia" w:hAnsi="宋体" w:cs="宋体"/>
          <w:color w:val="000000"/>
          <w:sz w:val="24"/>
          <w:highlight w:val="none"/>
        </w:rPr>
      </w:pP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序号</w:t>
            </w: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货物名称</w:t>
            </w: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主要规格</w:t>
            </w: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数量</w:t>
            </w: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交货期</w:t>
            </w: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交货地点</w:t>
            </w: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bl>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9"/>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注: 各项货物详细技术性能应另页描述。</w:t>
      </w:r>
    </w:p>
    <w:p>
      <w:pPr>
        <w:pStyle w:val="9"/>
        <w:kinsoku w:val="0"/>
        <w:overflowPunct w:val="0"/>
        <w:spacing w:line="240" w:lineRule="atLeast"/>
        <w:ind w:left="1080" w:leftChars="257" w:hanging="540"/>
        <w:jc w:val="center"/>
        <w:rPr>
          <w:rFonts w:hint="eastAsia" w:hAnsi="宋体" w:cs="宋体"/>
          <w:color w:val="000000"/>
          <w:sz w:val="24"/>
          <w:highlight w:val="none"/>
        </w:rPr>
      </w:pPr>
    </w:p>
    <w:p>
      <w:pPr>
        <w:pStyle w:val="9"/>
        <w:kinsoku w:val="0"/>
        <w:overflowPunct w:val="0"/>
        <w:spacing w:line="240" w:lineRule="atLeast"/>
        <w:ind w:left="1080" w:leftChars="257" w:hanging="540"/>
        <w:jc w:val="center"/>
        <w:rPr>
          <w:rFonts w:hint="eastAsia" w:hAnsi="宋体" w:cs="宋体"/>
          <w:color w:val="000000"/>
          <w:sz w:val="24"/>
          <w:highlight w:val="none"/>
        </w:rPr>
        <w:sectPr>
          <w:pgSz w:w="16838" w:h="11906" w:orient="landscape"/>
          <w:pgMar w:top="1474" w:right="1304" w:bottom="1474" w:left="1304" w:header="851" w:footer="992" w:gutter="0"/>
          <w:cols w:space="720" w:num="1"/>
          <w:docGrid w:linePitch="312" w:charSpace="0"/>
        </w:sect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54" w:name="_Toc216582817"/>
      <w:bookmarkStart w:id="355" w:name="_Toc22563"/>
      <w:bookmarkStart w:id="356" w:name="_Toc515647820"/>
      <w:bookmarkStart w:id="357" w:name="_Toc29780"/>
      <w:bookmarkStart w:id="358" w:name="_Toc28959"/>
      <w:r>
        <w:rPr>
          <w:rFonts w:hint="eastAsia" w:ascii="宋体" w:hAnsi="宋体" w:eastAsia="宋体" w:cs="宋体"/>
          <w:color w:val="000000"/>
          <w:sz w:val="24"/>
          <w:highlight w:val="none"/>
        </w:rPr>
        <w:t>5   技术规格偏离表</w:t>
      </w:r>
      <w:bookmarkEnd w:id="354"/>
      <w:r>
        <w:rPr>
          <w:rFonts w:hint="eastAsia" w:ascii="宋体" w:hAnsi="宋体" w:eastAsia="宋体" w:cs="宋体"/>
          <w:color w:val="000000"/>
          <w:sz w:val="24"/>
          <w:highlight w:val="none"/>
        </w:rPr>
        <w:t>（投标文件格式九）</w:t>
      </w:r>
      <w:bookmarkEnd w:id="355"/>
      <w:bookmarkEnd w:id="356"/>
      <w:bookmarkEnd w:id="357"/>
      <w:bookmarkEnd w:id="358"/>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rPr>
          <w:rFonts w:hint="eastAsia" w:hAnsi="宋体" w:cs="宋体"/>
          <w:color w:val="000000"/>
          <w:sz w:val="24"/>
          <w:highlight w:val="none"/>
        </w:rPr>
      </w:pPr>
      <w:r>
        <w:rPr>
          <w:rFonts w:hint="eastAsia" w:hAnsi="宋体" w:cs="宋体"/>
          <w:color w:val="000000"/>
          <w:sz w:val="24"/>
          <w:highlight w:val="none"/>
        </w:rPr>
        <w:t>项目名称:                       招标编号:                 包号:</w:t>
      </w:r>
    </w:p>
    <w:p>
      <w:pPr>
        <w:pStyle w:val="9"/>
        <w:kinsoku w:val="0"/>
        <w:overflowPunct w:val="0"/>
        <w:spacing w:line="240" w:lineRule="atLeast"/>
        <w:ind w:left="1080" w:leftChars="257" w:hanging="540"/>
        <w:rPr>
          <w:rFonts w:hint="eastAsia" w:hAnsi="宋体" w:cs="宋体"/>
          <w:color w:val="000000"/>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序号</w:t>
            </w:r>
          </w:p>
        </w:tc>
        <w:tc>
          <w:tcPr>
            <w:tcW w:w="1260"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货物名称</w:t>
            </w:r>
          </w:p>
        </w:tc>
        <w:tc>
          <w:tcPr>
            <w:tcW w:w="2340" w:type="dxa"/>
            <w:noWrap w:val="0"/>
            <w:vAlign w:val="center"/>
          </w:tcPr>
          <w:p>
            <w:pPr>
              <w:pStyle w:val="9"/>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招标文件条款号</w:t>
            </w:r>
          </w:p>
        </w:tc>
        <w:tc>
          <w:tcPr>
            <w:tcW w:w="1260"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招标规格</w:t>
            </w:r>
          </w:p>
        </w:tc>
        <w:tc>
          <w:tcPr>
            <w:tcW w:w="1260"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投标规格</w:t>
            </w:r>
          </w:p>
        </w:tc>
        <w:tc>
          <w:tcPr>
            <w:tcW w:w="900"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偏离</w:t>
            </w:r>
          </w:p>
        </w:tc>
        <w:tc>
          <w:tcPr>
            <w:tcW w:w="900" w:type="dxa"/>
            <w:noWrap w:val="0"/>
            <w:vAlign w:val="center"/>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bl>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9"/>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9"/>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u w:val="single"/>
        </w:rPr>
        <w:br w:type="page"/>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59" w:name="_Toc216582818"/>
      <w:bookmarkStart w:id="360" w:name="_Toc23"/>
      <w:bookmarkStart w:id="361" w:name="_Toc515647821"/>
      <w:bookmarkStart w:id="362" w:name="_Toc1980"/>
      <w:bookmarkStart w:id="363" w:name="_Toc28374"/>
      <w:r>
        <w:rPr>
          <w:rFonts w:hint="eastAsia" w:ascii="宋体" w:hAnsi="宋体" w:eastAsia="宋体" w:cs="宋体"/>
          <w:color w:val="000000"/>
          <w:sz w:val="24"/>
          <w:highlight w:val="none"/>
        </w:rPr>
        <w:t>6   商务条款偏离表</w:t>
      </w:r>
      <w:bookmarkEnd w:id="359"/>
      <w:r>
        <w:rPr>
          <w:rFonts w:hint="eastAsia" w:ascii="宋体" w:hAnsi="宋体" w:eastAsia="宋体" w:cs="宋体"/>
          <w:color w:val="000000"/>
          <w:sz w:val="24"/>
          <w:highlight w:val="none"/>
        </w:rPr>
        <w:t>（投标文件格式十）</w:t>
      </w:r>
      <w:bookmarkEnd w:id="360"/>
      <w:bookmarkEnd w:id="361"/>
      <w:bookmarkEnd w:id="362"/>
      <w:bookmarkEnd w:id="363"/>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项目名称:                      招标编号:             包号:</w:t>
      </w:r>
    </w:p>
    <w:p>
      <w:pPr>
        <w:pStyle w:val="9"/>
        <w:kinsoku w:val="0"/>
        <w:overflowPunct w:val="0"/>
        <w:spacing w:line="240" w:lineRule="atLeast"/>
        <w:ind w:left="1080" w:leftChars="257" w:hanging="540"/>
        <w:rPr>
          <w:rFonts w:hint="eastAsia" w:hAnsi="宋体" w:cs="宋体"/>
          <w:color w:val="000000"/>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序号</w:t>
            </w:r>
          </w:p>
        </w:tc>
        <w:tc>
          <w:tcPr>
            <w:tcW w:w="2040" w:type="dxa"/>
            <w:noWrap w:val="0"/>
            <w:vAlign w:val="top"/>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招标文件条款号</w:t>
            </w:r>
          </w:p>
        </w:tc>
        <w:tc>
          <w:tcPr>
            <w:tcW w:w="2520" w:type="dxa"/>
            <w:noWrap w:val="0"/>
            <w:vAlign w:val="top"/>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招标文件的商务条款</w:t>
            </w:r>
          </w:p>
        </w:tc>
        <w:tc>
          <w:tcPr>
            <w:tcW w:w="2520" w:type="dxa"/>
            <w:noWrap w:val="0"/>
            <w:vAlign w:val="top"/>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投标文件的商务条款</w:t>
            </w:r>
          </w:p>
        </w:tc>
        <w:tc>
          <w:tcPr>
            <w:tcW w:w="900" w:type="dxa"/>
            <w:noWrap w:val="0"/>
            <w:vAlign w:val="top"/>
          </w:tcPr>
          <w:p>
            <w:pPr>
              <w:pStyle w:val="9"/>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jc w:val="center"/>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9"/>
              <w:kinsoku w:val="0"/>
              <w:overflowPunct w:val="0"/>
              <w:spacing w:line="240" w:lineRule="atLeast"/>
              <w:ind w:left="1080" w:leftChars="257" w:hanging="540"/>
              <w:rPr>
                <w:rFonts w:hint="eastAsia" w:hAnsi="宋体" w:cs="宋体"/>
                <w:color w:val="000000"/>
                <w:sz w:val="24"/>
                <w:highlight w:val="none"/>
              </w:rPr>
            </w:pPr>
          </w:p>
        </w:tc>
      </w:tr>
    </w:tbl>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9"/>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9"/>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u w:val="single"/>
        </w:rPr>
        <w:br w:type="page"/>
      </w:r>
    </w:p>
    <w:p>
      <w:pPr>
        <w:pStyle w:val="4"/>
        <w:keepNext w:val="0"/>
        <w:keepLines w:val="0"/>
        <w:kinsoku w:val="0"/>
        <w:overflowPunct w:val="0"/>
        <w:spacing w:before="0" w:line="240" w:lineRule="atLeast"/>
        <w:rPr>
          <w:rFonts w:hint="eastAsia" w:ascii="宋体" w:hAnsi="宋体" w:eastAsia="宋体" w:cs="宋体"/>
          <w:b w:val="0"/>
          <w:color w:val="000000"/>
          <w:sz w:val="24"/>
          <w:highlight w:val="none"/>
        </w:rPr>
      </w:pPr>
      <w:bookmarkStart w:id="364" w:name="_Hlt520273973"/>
      <w:bookmarkEnd w:id="364"/>
      <w:bookmarkStart w:id="365" w:name="_Hlt520350918"/>
      <w:bookmarkEnd w:id="365"/>
      <w:bookmarkStart w:id="366" w:name="_Hlt520343000"/>
      <w:bookmarkEnd w:id="366"/>
      <w:bookmarkStart w:id="367" w:name="_Hlt520343392"/>
      <w:bookmarkEnd w:id="367"/>
      <w:bookmarkStart w:id="368" w:name="_Hlt520271212"/>
      <w:bookmarkEnd w:id="368"/>
      <w:bookmarkStart w:id="369" w:name="_Hlt520274407"/>
      <w:bookmarkEnd w:id="369"/>
      <w:bookmarkStart w:id="370" w:name="_Hlt520273711"/>
      <w:bookmarkEnd w:id="370"/>
      <w:bookmarkStart w:id="371" w:name="_Hlt520350957"/>
      <w:bookmarkEnd w:id="371"/>
      <w:bookmarkStart w:id="372" w:name="_Hlt520274911"/>
      <w:bookmarkEnd w:id="372"/>
      <w:bookmarkStart w:id="373" w:name="_Hlt520274393"/>
      <w:bookmarkEnd w:id="373"/>
      <w:bookmarkStart w:id="374" w:name="_Hlt520274065"/>
      <w:bookmarkEnd w:id="374"/>
      <w:bookmarkStart w:id="375" w:name="_Toc25347"/>
      <w:bookmarkStart w:id="376" w:name="_Toc21312"/>
      <w:bookmarkStart w:id="377" w:name="_Toc10725"/>
      <w:bookmarkStart w:id="378" w:name="_Toc515647823"/>
      <w:r>
        <w:rPr>
          <w:rFonts w:hint="eastAsia" w:ascii="宋体" w:hAnsi="宋体" w:eastAsia="宋体" w:cs="宋体"/>
          <w:color w:val="000000"/>
          <w:sz w:val="24"/>
          <w:highlight w:val="none"/>
        </w:rPr>
        <w:t xml:space="preserve">7-1 </w:t>
      </w:r>
      <w:r>
        <w:rPr>
          <w:rFonts w:hint="eastAsia" w:ascii="宋体" w:hAnsi="宋体" w:eastAsia="宋体" w:cs="宋体"/>
          <w:b w:val="0"/>
          <w:color w:val="000000"/>
          <w:sz w:val="24"/>
          <w:highlight w:val="none"/>
        </w:rPr>
        <w:t xml:space="preserve"> </w:t>
      </w:r>
      <w:r>
        <w:rPr>
          <w:rFonts w:hint="eastAsia" w:ascii="宋体" w:hAnsi="宋体" w:eastAsia="宋体" w:cs="宋体"/>
          <w:color w:val="000000"/>
          <w:sz w:val="24"/>
          <w:highlight w:val="none"/>
        </w:rPr>
        <w:t>投标人企业（单位）类型声明函（投标文件格式十一）</w:t>
      </w:r>
      <w:bookmarkEnd w:id="375"/>
      <w:bookmarkEnd w:id="376"/>
      <w:bookmarkEnd w:id="377"/>
      <w:bookmarkEnd w:id="378"/>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1、□本企业（单位）为直接投标人提供本企业（单位）制造的货物。</w:t>
      </w:r>
    </w:p>
    <w:p>
      <w:pPr>
        <w:numPr>
          <w:ilvl w:val="0"/>
          <w:numId w:val="10"/>
        </w:num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 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sz w:val="30"/>
          <w:szCs w:val="30"/>
          <w:highlight w:val="none"/>
        </w:rPr>
        <w:t xml:space="preserve"> </w:t>
      </w:r>
      <w:r>
        <w:rPr>
          <w:rFonts w:hint="eastAsia" w:ascii="宋体" w:hAnsi="宋体" w:cs="宋体"/>
          <w:color w:val="000000"/>
          <w:kern w:val="0"/>
          <w:sz w:val="24"/>
          <w:highlight w:val="none"/>
        </w:rPr>
        <w:t>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insoku w:val="0"/>
        <w:overflowPunct w:val="0"/>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投标人名称（盖单位章）：___________   ___ </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日　期：____________                     </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pPr>
        <w:pStyle w:val="4"/>
        <w:keepNext w:val="0"/>
        <w:keepLines w:val="0"/>
        <w:kinsoku w:val="0"/>
        <w:overflowPunct w:val="0"/>
        <w:spacing w:before="0" w:line="240" w:lineRule="atLeast"/>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br w:type="page"/>
      </w:r>
      <w:bookmarkStart w:id="379" w:name="_Toc13776"/>
      <w:bookmarkStart w:id="380" w:name="_Toc11803"/>
      <w:bookmarkStart w:id="381" w:name="_Toc515647824"/>
      <w:bookmarkStart w:id="382" w:name="_Toc10977"/>
      <w:r>
        <w:rPr>
          <w:rFonts w:hint="eastAsia" w:ascii="宋体" w:hAnsi="宋体" w:eastAsia="宋体" w:cs="宋体"/>
          <w:color w:val="000000"/>
          <w:sz w:val="24"/>
          <w:highlight w:val="none"/>
        </w:rPr>
        <w:t>7-2   制造商企业（单位）类型声明函（投标文件格式十二）</w:t>
      </w:r>
      <w:bookmarkEnd w:id="379"/>
      <w:bookmarkEnd w:id="380"/>
      <w:bookmarkEnd w:id="381"/>
      <w:bookmarkEnd w:id="382"/>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本企业为______（请填写：中型、小型、微型）企业。</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本单位为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本企业（单位）提供本企业（单位）制造的货物。</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本企业（单位）对上述声明的真实性负责。如有虚假，将依法承担相应责任。</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u w:val="single" w:color="FFFFFF"/>
        </w:rPr>
      </w:pPr>
      <w:r>
        <w:rPr>
          <w:rFonts w:hint="eastAsia" w:ascii="宋体" w:hAnsi="宋体" w:cs="宋体"/>
          <w:color w:val="000000"/>
          <w:kern w:val="0"/>
          <w:sz w:val="24"/>
          <w:highlight w:val="none"/>
          <w:u w:val="single" w:color="FFFFFF"/>
        </w:rPr>
        <w:t>本声明函经制造商和投标人共同盖章生效。</w:t>
      </w: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u w:val="single" w:color="FFFFFF"/>
        </w:rPr>
        <w:t>制造商名称（盖单位章）</w:t>
      </w:r>
      <w:r>
        <w:rPr>
          <w:rFonts w:hint="eastAsia" w:ascii="宋体" w:hAnsi="宋体" w:cs="宋体"/>
          <w:color w:val="000000"/>
          <w:kern w:val="0"/>
          <w:sz w:val="24"/>
          <w:highlight w:val="none"/>
        </w:rPr>
        <w:t xml:space="preserve">：                 </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投标人名称（盖单位章）：___________   ___ </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日　期：____________                     </w:t>
      </w:r>
    </w:p>
    <w:p>
      <w:pPr>
        <w:kinsoku w:val="0"/>
        <w:overflowPunct w:val="0"/>
        <w:spacing w:before="100" w:beforeAutospacing="1" w:after="100" w:afterAutospacing="1" w:line="330" w:lineRule="atLeast"/>
        <w:ind w:firstLine="420"/>
        <w:jc w:val="left"/>
        <w:rPr>
          <w:rFonts w:hint="eastAsia" w:ascii="宋体" w:hAnsi="宋体" w:cs="宋体"/>
          <w:color w:val="000000"/>
          <w:kern w:val="0"/>
          <w:szCs w:val="21"/>
          <w:highlight w:val="none"/>
        </w:rPr>
      </w:pPr>
    </w:p>
    <w:p>
      <w:pPr>
        <w:kinsoku w:val="0"/>
        <w:overflowPunct w:val="0"/>
        <w:rPr>
          <w:rFonts w:hint="eastAsia" w:ascii="宋体" w:hAnsi="宋体" w:cs="宋体"/>
          <w:color w:val="000000"/>
          <w:highlight w:val="none"/>
        </w:rPr>
      </w:pPr>
    </w:p>
    <w:p>
      <w:pPr>
        <w:kinsoku w:val="0"/>
        <w:overflowPunct w:val="0"/>
        <w:spacing w:before="100" w:beforeAutospacing="1" w:after="100" w:afterAutospacing="1" w:line="330" w:lineRule="atLeast"/>
        <w:jc w:val="left"/>
        <w:rPr>
          <w:rFonts w:hint="eastAsia" w:ascii="宋体" w:hAnsi="宋体" w:cs="宋体"/>
          <w:color w:val="000000"/>
          <w:highlight w:val="none"/>
        </w:rPr>
      </w:pPr>
    </w:p>
    <w:p>
      <w:pPr>
        <w:kinsoku w:val="0"/>
        <w:overflowPunct w:val="0"/>
        <w:spacing w:before="100" w:beforeAutospacing="1" w:after="100" w:afterAutospacing="1" w:line="330" w:lineRule="atLeast"/>
        <w:ind w:firstLine="630" w:firstLineChars="300"/>
        <w:jc w:val="left"/>
        <w:rPr>
          <w:rFonts w:hint="eastAsia" w:ascii="宋体" w:hAnsi="宋体" w:cs="宋体"/>
          <w:color w:val="000000"/>
          <w:highlight w:val="none"/>
        </w:rPr>
      </w:pPr>
    </w:p>
    <w:p>
      <w:pPr>
        <w:pStyle w:val="4"/>
        <w:keepNext w:val="0"/>
        <w:keepLines w:val="0"/>
        <w:kinsoku w:val="0"/>
        <w:overflowPunct w:val="0"/>
        <w:spacing w:before="0" w:line="240" w:lineRule="atLeast"/>
        <w:rPr>
          <w:rFonts w:hint="eastAsia" w:ascii="宋体" w:hAnsi="宋体" w:eastAsia="宋体" w:cs="宋体"/>
          <w:color w:val="000000"/>
          <w:sz w:val="24"/>
          <w:highlight w:val="none"/>
        </w:rPr>
      </w:pPr>
      <w:bookmarkStart w:id="383" w:name="_Toc515647825"/>
      <w:bookmarkStart w:id="384" w:name="_Toc23068"/>
      <w:bookmarkStart w:id="385" w:name="_Toc24603"/>
      <w:bookmarkStart w:id="386" w:name="_Toc19284"/>
      <w:bookmarkStart w:id="387" w:name="OLE_LINK14"/>
      <w:bookmarkStart w:id="388" w:name="OLE_LINK13"/>
      <w:r>
        <w:rPr>
          <w:rFonts w:hint="eastAsia" w:ascii="宋体" w:hAnsi="宋体" w:eastAsia="宋体" w:cs="宋体"/>
          <w:color w:val="000000"/>
          <w:sz w:val="24"/>
          <w:highlight w:val="none"/>
        </w:rPr>
        <w:t>7-3   残疾人福利性单位声明函（投标文件格式十三）</w:t>
      </w:r>
      <w:bookmarkEnd w:id="383"/>
      <w:bookmarkEnd w:id="384"/>
      <w:bookmarkEnd w:id="385"/>
      <w:bookmarkEnd w:id="386"/>
    </w:p>
    <w:bookmarkEnd w:id="387"/>
    <w:bookmarkEnd w:id="388"/>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p>
    <w:p>
      <w:pPr>
        <w:kinsoku w:val="0"/>
        <w:overflowPunct w:val="0"/>
        <w:spacing w:line="240" w:lineRule="atLeast"/>
        <w:ind w:firstLine="567"/>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insoku w:val="0"/>
        <w:overflowPunct w:val="0"/>
        <w:spacing w:line="240" w:lineRule="atLeast"/>
        <w:ind w:left="1080" w:leftChars="257" w:hanging="540"/>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本单位对上述声明的真实性负责。如有虚假，将依法承担相应责任。</w:t>
      </w: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 xml:space="preserve">              残疾人福利性单位名称（盖单位章）：______________</w:t>
      </w: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 xml:space="preserve">  </w:t>
      </w:r>
      <w:r>
        <w:rPr>
          <w:rFonts w:hint="eastAsia" w:ascii="宋体" w:hAnsi="宋体" w:cs="宋体"/>
          <w:color w:val="000000"/>
          <w:kern w:val="0"/>
          <w:sz w:val="24"/>
          <w:szCs w:val="20"/>
          <w:highlight w:val="none"/>
          <w:u w:val="single" w:color="FFFFFF"/>
        </w:rPr>
        <w:t xml:space="preserve">       </w:t>
      </w:r>
      <w:r>
        <w:rPr>
          <w:rFonts w:hint="eastAsia" w:ascii="宋体" w:hAnsi="宋体" w:cs="宋体"/>
          <w:color w:val="000000"/>
          <w:kern w:val="0"/>
          <w:sz w:val="24"/>
          <w:szCs w:val="20"/>
          <w:highlight w:val="none"/>
        </w:rPr>
        <w:t>日  期：_____________________________________________</w:t>
      </w: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pStyle w:val="5"/>
        <w:kinsoku w:val="0"/>
        <w:overflowPunct w:val="0"/>
        <w:rPr>
          <w:rFonts w:hint="eastAsia" w:hAnsi="宋体" w:cs="宋体"/>
          <w:color w:val="000000"/>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89" w:name="_Toc515647827"/>
      <w:bookmarkStart w:id="390" w:name="_Toc30795"/>
      <w:bookmarkStart w:id="391" w:name="_Toc10002"/>
      <w:bookmarkStart w:id="392" w:name="_Toc28099"/>
      <w:r>
        <w:rPr>
          <w:rFonts w:hint="eastAsia" w:ascii="宋体" w:hAnsi="宋体" w:eastAsia="宋体" w:cs="宋体"/>
          <w:color w:val="000000"/>
          <w:sz w:val="24"/>
          <w:highlight w:val="none"/>
        </w:rPr>
        <w:t>8   投标人关联单位的说明</w:t>
      </w:r>
      <w:bookmarkEnd w:id="389"/>
      <w:bookmarkEnd w:id="390"/>
      <w:bookmarkEnd w:id="391"/>
      <w:bookmarkEnd w:id="392"/>
    </w:p>
    <w:p>
      <w:pPr>
        <w:pStyle w:val="5"/>
        <w:kinsoku w:val="0"/>
        <w:overflowPunct w:val="0"/>
        <w:jc w:val="center"/>
        <w:rPr>
          <w:rFonts w:hint="eastAsia" w:hAnsi="宋体" w:cs="宋体"/>
          <w:color w:val="000000"/>
          <w:highlight w:val="none"/>
        </w:rPr>
      </w:pPr>
    </w:p>
    <w:p>
      <w:pPr>
        <w:pStyle w:val="5"/>
        <w:kinsoku w:val="0"/>
        <w:overflowPunct w:val="0"/>
        <w:ind w:firstLine="480" w:firstLineChars="200"/>
        <w:rPr>
          <w:rFonts w:hint="eastAsia" w:hAnsi="宋体" w:cs="宋体"/>
          <w:color w:val="000000"/>
          <w:highlight w:val="none"/>
        </w:rPr>
      </w:pPr>
      <w:r>
        <w:rPr>
          <w:rFonts w:hint="eastAsia" w:hAnsi="宋体" w:cs="宋体"/>
          <w:color w:val="000000"/>
          <w:highlight w:val="none"/>
        </w:rPr>
        <w:t>说明：投标人应当如实披露与本单位存在下列关联关系的单位名称：</w:t>
      </w:r>
    </w:p>
    <w:p>
      <w:pPr>
        <w:pStyle w:val="5"/>
        <w:kinsoku w:val="0"/>
        <w:overflowPunct w:val="0"/>
        <w:ind w:firstLine="480" w:firstLineChars="200"/>
        <w:rPr>
          <w:rFonts w:hint="eastAsia" w:hAnsi="宋体" w:eastAsia="宋体" w:cs="宋体"/>
          <w:color w:val="000000"/>
          <w:highlight w:val="none"/>
          <w:lang w:eastAsia="zh-CN"/>
        </w:rPr>
      </w:pPr>
      <w:r>
        <w:rPr>
          <w:rFonts w:hint="eastAsia" w:hAnsi="宋体" w:cs="宋体"/>
          <w:color w:val="000000"/>
          <w:highlight w:val="none"/>
        </w:rPr>
        <w:t>（1）与投标人单位负责人为同一人的其他单位；</w:t>
      </w:r>
    </w:p>
    <w:p>
      <w:pPr>
        <w:pStyle w:val="5"/>
        <w:kinsoku w:val="0"/>
        <w:overflowPunct w:val="0"/>
        <w:ind w:firstLine="480" w:firstLineChars="200"/>
        <w:rPr>
          <w:rFonts w:hint="eastAsia" w:hAnsi="宋体" w:cs="宋体"/>
          <w:color w:val="000000"/>
          <w:highlight w:val="none"/>
        </w:rPr>
      </w:pPr>
      <w:r>
        <w:rPr>
          <w:rFonts w:hint="eastAsia" w:hAnsi="宋体" w:cs="宋体"/>
          <w:color w:val="000000"/>
          <w:highlight w:val="none"/>
        </w:rPr>
        <w:t xml:space="preserve">    （2）与投标人存在直接控股、管理关系的其他单位。</w:t>
      </w: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bookmarkStart w:id="393" w:name="_Toc14039"/>
      <w:bookmarkStart w:id="394" w:name="_Toc515647828"/>
      <w:bookmarkStart w:id="395" w:name="_Toc7414"/>
      <w:bookmarkStart w:id="396" w:name="_Toc17333"/>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9  货物技术资料</w:t>
      </w:r>
    </w:p>
    <w:p>
      <w:pPr>
        <w:pStyle w:val="5"/>
        <w:rPr>
          <w:rFonts w:hint="eastAsia" w:hAnsi="宋体" w:cs="宋体"/>
          <w:b/>
          <w:color w:val="FF0000"/>
          <w:highlight w:val="none"/>
        </w:rPr>
      </w:pPr>
    </w:p>
    <w:p>
      <w:pPr>
        <w:pStyle w:val="5"/>
        <w:rPr>
          <w:rFonts w:hint="eastAsia" w:hAnsi="宋体" w:cs="宋体"/>
          <w:b/>
          <w:color w:val="FF0000"/>
          <w:highlight w:val="none"/>
        </w:rPr>
      </w:pPr>
    </w:p>
    <w:p>
      <w:pPr>
        <w:rPr>
          <w:rFonts w:hint="eastAsia" w:ascii="宋体" w:hAnsi="宋体" w:cs="宋体"/>
          <w:b/>
          <w:color w:val="FF0000"/>
          <w:kern w:val="0"/>
          <w:sz w:val="24"/>
          <w:szCs w:val="20"/>
          <w:highlight w:val="none"/>
        </w:rPr>
      </w:pPr>
    </w:p>
    <w:p>
      <w:pPr>
        <w:pStyle w:val="5"/>
        <w:rPr>
          <w:rFonts w:hint="eastAsia" w:hAnsi="宋体" w:cs="宋体"/>
          <w:b/>
          <w:color w:val="FF0000"/>
          <w:highlight w:val="none"/>
        </w:rPr>
      </w:pPr>
    </w:p>
    <w:p>
      <w:pPr>
        <w:rPr>
          <w:rFonts w:hint="eastAsia" w:ascii="宋体" w:hAnsi="宋体" w:cs="宋体"/>
          <w:b/>
          <w:color w:val="FF0000"/>
          <w:kern w:val="0"/>
          <w:sz w:val="24"/>
          <w:szCs w:val="20"/>
          <w:highlight w:val="none"/>
        </w:rPr>
      </w:pPr>
    </w:p>
    <w:p>
      <w:pPr>
        <w:pStyle w:val="5"/>
        <w:rPr>
          <w:rFonts w:hint="eastAsia" w:hAnsi="宋体" w:cs="宋体"/>
          <w:b/>
          <w:color w:val="FF0000"/>
          <w:highlight w:val="none"/>
        </w:rPr>
      </w:pPr>
    </w:p>
    <w:p>
      <w:pPr>
        <w:rPr>
          <w:rFonts w:hint="eastAsia" w:ascii="宋体" w:hAnsi="宋体" w:cs="宋体"/>
          <w:b/>
          <w:color w:val="FF0000"/>
          <w:kern w:val="0"/>
          <w:sz w:val="24"/>
          <w:szCs w:val="20"/>
          <w:highlight w:val="none"/>
        </w:rPr>
      </w:pPr>
    </w:p>
    <w:p>
      <w:pPr>
        <w:pStyle w:val="5"/>
        <w:rPr>
          <w:rFonts w:hint="eastAsia"/>
          <w:color w:val="FF0000"/>
          <w:highlight w:val="none"/>
        </w:rPr>
      </w:pPr>
    </w:p>
    <w:p>
      <w:pPr>
        <w:pStyle w:val="5"/>
        <w:rPr>
          <w:rFonts w:hint="eastAsia" w:hAnsi="宋体" w:cs="宋体"/>
          <w:b/>
          <w:highlight w:val="none"/>
        </w:rPr>
      </w:pPr>
    </w:p>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10  货物质量保证承诺书（投标文件格式十</w:t>
      </w:r>
      <w:r>
        <w:rPr>
          <w:rFonts w:hint="eastAsia" w:hAnsi="宋体" w:cs="宋体"/>
          <w:b/>
          <w:kern w:val="0"/>
          <w:sz w:val="24"/>
          <w:szCs w:val="20"/>
          <w:highlight w:val="none"/>
        </w:rPr>
        <w:t>四</w:t>
      </w:r>
      <w:r>
        <w:rPr>
          <w:rFonts w:hint="eastAsia" w:ascii="宋体" w:hAnsi="宋体" w:cs="宋体"/>
          <w:b/>
          <w:kern w:val="0"/>
          <w:sz w:val="24"/>
          <w:szCs w:val="20"/>
          <w:highlight w:val="none"/>
        </w:rPr>
        <w:t>）</w:t>
      </w:r>
    </w:p>
    <w:p>
      <w:pPr>
        <w:kinsoku w:val="0"/>
        <w:overflowPunct w:val="0"/>
        <w:spacing w:line="240" w:lineRule="atLeast"/>
        <w:ind w:left="1080" w:leftChars="257" w:hanging="540"/>
        <w:jc w:val="center"/>
        <w:rPr>
          <w:rFonts w:hint="eastAsia" w:ascii="宋体" w:hAnsi="宋体" w:cs="宋体"/>
          <w:b/>
          <w:kern w:val="0"/>
          <w:sz w:val="24"/>
          <w:szCs w:val="20"/>
          <w:highlight w:val="none"/>
        </w:rPr>
      </w:pPr>
    </w:p>
    <w:p>
      <w:pPr>
        <w:tabs>
          <w:tab w:val="left" w:pos="5580"/>
        </w:tabs>
        <w:kinsoku w:val="0"/>
        <w:overflowPunct w:val="0"/>
        <w:spacing w:line="240" w:lineRule="atLeast"/>
        <w:ind w:left="1080" w:hanging="1080"/>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（采购人） </w:t>
      </w:r>
    </w:p>
    <w:p>
      <w:pPr>
        <w:pStyle w:val="9"/>
        <w:tabs>
          <w:tab w:val="left" w:pos="5580"/>
        </w:tabs>
        <w:kinsoku w:val="0"/>
        <w:overflowPunct w:val="0"/>
        <w:spacing w:line="240" w:lineRule="atLeast"/>
        <w:ind w:left="1080" w:leftChars="257" w:hanging="540"/>
        <w:rPr>
          <w:rFonts w:hint="eastAsia" w:hAnsi="宋体" w:cs="宋体"/>
          <w:sz w:val="24"/>
          <w:highlight w:val="none"/>
        </w:rPr>
      </w:pPr>
    </w:p>
    <w:p>
      <w:pPr>
        <w:widowControl/>
        <w:spacing w:line="520" w:lineRule="exact"/>
        <w:ind w:firstLine="480" w:firstLineChars="200"/>
        <w:outlineLvl w:val="0"/>
        <w:rPr>
          <w:rFonts w:hint="eastAsia" w:hAnsi="宋体" w:cs="宋体"/>
          <w:sz w:val="24"/>
          <w:highlight w:val="none"/>
        </w:rPr>
      </w:pPr>
      <w:r>
        <w:rPr>
          <w:rFonts w:hint="eastAsia" w:hAnsi="宋体" w:cs="宋体"/>
          <w:sz w:val="24"/>
          <w:highlight w:val="none"/>
        </w:rPr>
        <w:t>本承诺书作为我方对</w:t>
      </w:r>
      <w:r>
        <w:rPr>
          <w:rFonts w:hint="eastAsia" w:hAnsi="宋体" w:cs="宋体"/>
          <w:sz w:val="24"/>
          <w:highlight w:val="none"/>
          <w:u w:val="single"/>
        </w:rPr>
        <w:t xml:space="preserve">          </w:t>
      </w:r>
      <w:r>
        <w:rPr>
          <w:rFonts w:hint="eastAsia" w:hAnsi="宋体" w:cs="宋体"/>
          <w:sz w:val="24"/>
          <w:highlight w:val="none"/>
        </w:rPr>
        <w:t>项目（项目编号：</w:t>
      </w:r>
      <w:r>
        <w:rPr>
          <w:rFonts w:hint="eastAsia" w:hAnsi="宋体" w:cs="宋体"/>
          <w:sz w:val="24"/>
          <w:highlight w:val="none"/>
          <w:u w:val="single"/>
        </w:rPr>
        <w:t xml:space="preserve">         </w:t>
      </w:r>
      <w:r>
        <w:rPr>
          <w:rFonts w:hint="eastAsia" w:hAnsi="宋体" w:cs="宋体"/>
          <w:sz w:val="24"/>
          <w:highlight w:val="none"/>
        </w:rPr>
        <w:t>） 所提供货物质量保证证明。我方郑重承诺： </w:t>
      </w:r>
    </w:p>
    <w:p>
      <w:pPr>
        <w:pStyle w:val="5"/>
        <w:rPr>
          <w:rFonts w:hint="eastAsia"/>
          <w:highlight w:val="none"/>
        </w:rPr>
      </w:pPr>
      <w:r>
        <w:rPr>
          <w:rFonts w:hint="eastAsia"/>
          <w:highlight w:val="none"/>
        </w:rPr>
        <w:t>1. 本公司保证所提供的货物是全新的、未使用的，并在各个方面符合合同规定的质量、规格和性能要求。  </w:t>
      </w:r>
    </w:p>
    <w:p>
      <w:pPr>
        <w:pStyle w:val="5"/>
        <w:rPr>
          <w:rFonts w:hint="eastAsia"/>
          <w:highlight w:val="none"/>
        </w:rPr>
      </w:pPr>
      <w:r>
        <w:rPr>
          <w:rFonts w:hint="eastAsia"/>
          <w:highlight w:val="none"/>
        </w:rPr>
        <w:t>2. 本公司产品在开始使用前的安装、调试过程中，将派专人对现场有关人员进行协助、指导、并免费对使用方指定的人员进行相关培训。  </w:t>
      </w:r>
    </w:p>
    <w:p>
      <w:pPr>
        <w:pStyle w:val="5"/>
        <w:rPr>
          <w:rFonts w:hint="eastAsia"/>
          <w:highlight w:val="none"/>
        </w:rPr>
      </w:pPr>
      <w:r>
        <w:rPr>
          <w:rFonts w:hint="eastAsia"/>
          <w:highlight w:val="none"/>
        </w:rPr>
        <w:t>3. 本公司保证所供货物与投标文件中承诺的品牌、质量、技术参数、规格和性能相一致。  </w:t>
      </w:r>
    </w:p>
    <w:p>
      <w:pPr>
        <w:pStyle w:val="5"/>
        <w:rPr>
          <w:rFonts w:hint="eastAsia"/>
          <w:highlight w:val="none"/>
        </w:rPr>
      </w:pPr>
      <w:r>
        <w:rPr>
          <w:rFonts w:hint="eastAsia"/>
          <w:highlight w:val="none"/>
        </w:rPr>
        <w:t>4. 产品的质量保证期为设备验收完毕后</w:t>
      </w:r>
      <w:r>
        <w:rPr>
          <w:rFonts w:hint="eastAsia"/>
          <w:highlight w:val="none"/>
          <w:u w:val="single"/>
        </w:rPr>
        <w:t xml:space="preserve">   </w:t>
      </w:r>
      <w:r>
        <w:rPr>
          <w:rFonts w:hint="eastAsia"/>
          <w:highlight w:val="none"/>
        </w:rPr>
        <w:t>月。</w:t>
      </w:r>
    </w:p>
    <w:p>
      <w:pPr>
        <w:pStyle w:val="5"/>
        <w:rPr>
          <w:rFonts w:hint="eastAsia"/>
          <w:highlight w:val="none"/>
        </w:rPr>
      </w:pPr>
      <w:r>
        <w:rPr>
          <w:rFonts w:hint="eastAsia"/>
          <w:highlight w:val="none"/>
        </w:rPr>
        <w:t>5. 本公司所提供货物在质保期内，由于产品质量问题不能满足要求，我公司：包修、包换、包退。  </w:t>
      </w:r>
    </w:p>
    <w:p>
      <w:pPr>
        <w:pStyle w:val="5"/>
        <w:rPr>
          <w:rFonts w:hint="eastAsia"/>
          <w:highlight w:val="none"/>
        </w:rPr>
      </w:pPr>
      <w:r>
        <w:rPr>
          <w:rFonts w:hint="eastAsia"/>
          <w:highlight w:val="none"/>
        </w:rPr>
        <w:t>6.  本公司所提供货物违背合同规定造成的损失，按合同条款和有关法律规定承担相应的经济责任。</w:t>
      </w:r>
    </w:p>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 xml:space="preserve"> </w:t>
      </w:r>
    </w:p>
    <w:p>
      <w:pPr>
        <w:pStyle w:val="5"/>
        <w:rPr>
          <w:rFonts w:hint="eastAsia" w:hAnsi="宋体" w:cs="宋体"/>
          <w:b/>
          <w:highlight w:val="none"/>
        </w:rPr>
      </w:pPr>
    </w:p>
    <w:p>
      <w:pPr>
        <w:rPr>
          <w:rFonts w:hint="eastAsia" w:ascii="宋体" w:hAnsi="宋体" w:cs="宋体"/>
          <w:b/>
          <w:kern w:val="0"/>
          <w:sz w:val="24"/>
          <w:szCs w:val="20"/>
          <w:highlight w:val="none"/>
        </w:rPr>
      </w:pPr>
    </w:p>
    <w:p>
      <w:pPr>
        <w:pStyle w:val="5"/>
        <w:rPr>
          <w:rFonts w:hint="eastAsia" w:hAnsi="宋体" w:cs="宋体"/>
          <w:b/>
          <w:highlight w:val="none"/>
        </w:rPr>
      </w:pPr>
    </w:p>
    <w:p>
      <w:pPr>
        <w:rPr>
          <w:rFonts w:hint="eastAsia" w:ascii="宋体" w:hAnsi="宋体" w:cs="宋体"/>
          <w:b/>
          <w:kern w:val="0"/>
          <w:sz w:val="24"/>
          <w:szCs w:val="20"/>
          <w:highlight w:val="none"/>
        </w:rPr>
      </w:pPr>
    </w:p>
    <w:p>
      <w:pPr>
        <w:pStyle w:val="5"/>
        <w:rPr>
          <w:rFonts w:hint="eastAsia"/>
          <w:highlight w:val="none"/>
        </w:rPr>
      </w:pP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投标人名称（公章）：____________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投标人代表签字：_______________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日期：        年    月     日</w:t>
      </w:r>
    </w:p>
    <w:p>
      <w:pPr>
        <w:pStyle w:val="5"/>
        <w:rPr>
          <w:rFonts w:hint="eastAsia"/>
          <w:color w:val="FF000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pStyle w:val="5"/>
        <w:rPr>
          <w:rFonts w:hint="eastAsia"/>
          <w:color w:val="FF000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pStyle w:val="5"/>
        <w:kinsoku w:val="0"/>
        <w:overflowPunct w:val="0"/>
        <w:ind w:firstLine="0"/>
        <w:rPr>
          <w:rFonts w:hint="eastAsia" w:hAnsi="宋体" w:cs="宋体"/>
          <w:color w:val="000000"/>
          <w:highlight w:val="none"/>
        </w:rPr>
      </w:pPr>
    </w:p>
    <w:p>
      <w:pPr>
        <w:pStyle w:val="5"/>
        <w:kinsoku w:val="0"/>
        <w:overflowPunct w:val="0"/>
        <w:ind w:firstLine="0"/>
        <w:rPr>
          <w:rFonts w:hint="eastAsia" w:hAnsi="宋体" w:cs="宋体"/>
          <w:highlight w:val="none"/>
        </w:rPr>
      </w:pPr>
    </w:p>
    <w:bookmarkEnd w:id="393"/>
    <w:bookmarkEnd w:id="394"/>
    <w:bookmarkEnd w:id="395"/>
    <w:bookmarkEnd w:id="396"/>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11  售后服务承诺及服务能力证明</w:t>
      </w:r>
    </w:p>
    <w:p>
      <w:pPr>
        <w:pStyle w:val="5"/>
        <w:rPr>
          <w:rFonts w:hint="eastAsia" w:hAnsi="宋体" w:cs="宋体"/>
          <w:b/>
          <w:highlight w:val="none"/>
        </w:rPr>
      </w:pPr>
    </w:p>
    <w:p>
      <w:pPr>
        <w:pStyle w:val="5"/>
        <w:rPr>
          <w:rFonts w:hint="eastAsia" w:hAnsi="宋体" w:cs="宋体"/>
          <w:b/>
          <w:highlight w:val="none"/>
        </w:rPr>
      </w:pPr>
    </w:p>
    <w:p>
      <w:pPr>
        <w:pStyle w:val="5"/>
        <w:rPr>
          <w:rFonts w:hint="eastAsia" w:hAnsi="宋体" w:cs="宋体"/>
          <w:b/>
          <w:highlight w:val="none"/>
        </w:rPr>
      </w:pPr>
    </w:p>
    <w:p>
      <w:pPr>
        <w:rPr>
          <w:rFonts w:hint="eastAsia" w:ascii="宋体" w:hAnsi="宋体" w:cs="宋体"/>
          <w:b/>
          <w:kern w:val="0"/>
          <w:sz w:val="24"/>
          <w:szCs w:val="20"/>
          <w:highlight w:val="none"/>
        </w:rPr>
      </w:pPr>
    </w:p>
    <w:p>
      <w:pPr>
        <w:pStyle w:val="5"/>
        <w:rPr>
          <w:rFonts w:hint="eastAsia" w:hAnsi="宋体" w:cs="宋体"/>
          <w:b/>
          <w:highlight w:val="none"/>
        </w:rPr>
      </w:pPr>
    </w:p>
    <w:p>
      <w:pPr>
        <w:rPr>
          <w:rFonts w:hint="eastAsia"/>
          <w:highlight w:val="none"/>
        </w:rPr>
      </w:pPr>
    </w:p>
    <w:p>
      <w:pPr>
        <w:pStyle w:val="5"/>
        <w:rPr>
          <w:rFonts w:hint="eastAsia" w:hAnsi="宋体" w:cs="宋体"/>
          <w:b/>
          <w:highlight w:val="none"/>
        </w:rPr>
      </w:pPr>
    </w:p>
    <w:p>
      <w:pPr>
        <w:pStyle w:val="5"/>
        <w:jc w:val="center"/>
        <w:rPr>
          <w:rFonts w:hAnsi="宋体" w:cs="宋体"/>
          <w:b/>
          <w:highlight w:val="none"/>
        </w:rPr>
      </w:pPr>
      <w:r>
        <w:rPr>
          <w:rFonts w:hint="eastAsia" w:hAnsi="宋体" w:cs="宋体"/>
          <w:b/>
          <w:highlight w:val="none"/>
        </w:rPr>
        <w:t>12  供货期承诺书（投标文件格式十五）</w:t>
      </w:r>
    </w:p>
    <w:p>
      <w:pPr>
        <w:pStyle w:val="5"/>
        <w:rPr>
          <w:rFonts w:hint="eastAsia" w:hAnsi="宋体" w:cs="宋体"/>
          <w:b/>
          <w:highlight w:val="none"/>
        </w:rPr>
      </w:pPr>
    </w:p>
    <w:p>
      <w:pPr>
        <w:pStyle w:val="5"/>
        <w:rPr>
          <w:rFonts w:hint="eastAsia" w:hAnsi="宋体" w:cs="宋体"/>
          <w:b/>
          <w:highlight w:val="none"/>
        </w:rPr>
      </w:pPr>
    </w:p>
    <w:p>
      <w:pPr>
        <w:tabs>
          <w:tab w:val="left" w:pos="5580"/>
        </w:tabs>
        <w:kinsoku w:val="0"/>
        <w:overflowPunct w:val="0"/>
        <w:spacing w:line="240" w:lineRule="atLeast"/>
        <w:ind w:left="1080" w:hanging="1080"/>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（采购人） </w:t>
      </w:r>
    </w:p>
    <w:p>
      <w:pPr>
        <w:pStyle w:val="9"/>
        <w:tabs>
          <w:tab w:val="left" w:pos="5580"/>
        </w:tabs>
        <w:kinsoku w:val="0"/>
        <w:overflowPunct w:val="0"/>
        <w:spacing w:line="240" w:lineRule="atLeast"/>
        <w:ind w:left="1080" w:leftChars="257" w:hanging="540"/>
        <w:rPr>
          <w:rFonts w:hint="eastAsia" w:hAnsi="宋体" w:cs="宋体"/>
          <w:sz w:val="24"/>
          <w:highlight w:val="none"/>
        </w:rPr>
      </w:pPr>
    </w:p>
    <w:p>
      <w:pPr>
        <w:widowControl/>
        <w:spacing w:line="520" w:lineRule="exact"/>
        <w:ind w:firstLine="480" w:firstLineChars="200"/>
        <w:outlineLvl w:val="0"/>
        <w:rPr>
          <w:rFonts w:hint="eastAsia" w:hAnsi="宋体" w:cs="宋体"/>
          <w:sz w:val="24"/>
          <w:highlight w:val="none"/>
        </w:rPr>
      </w:pPr>
      <w:r>
        <w:rPr>
          <w:rFonts w:hint="eastAsia" w:hAnsi="宋体" w:cs="宋体"/>
          <w:sz w:val="24"/>
          <w:highlight w:val="none"/>
        </w:rPr>
        <w:t>本承诺书作为我方对</w:t>
      </w:r>
      <w:r>
        <w:rPr>
          <w:rFonts w:hint="eastAsia" w:hAnsi="宋体" w:cs="宋体"/>
          <w:sz w:val="24"/>
          <w:highlight w:val="none"/>
          <w:u w:val="single"/>
        </w:rPr>
        <w:t xml:space="preserve">          </w:t>
      </w:r>
      <w:r>
        <w:rPr>
          <w:rFonts w:hint="eastAsia" w:hAnsi="宋体" w:cs="宋体"/>
          <w:sz w:val="24"/>
          <w:highlight w:val="none"/>
        </w:rPr>
        <w:t>项目（项目编号：</w:t>
      </w:r>
      <w:r>
        <w:rPr>
          <w:rFonts w:hint="eastAsia" w:hAnsi="宋体" w:cs="宋体"/>
          <w:sz w:val="24"/>
          <w:highlight w:val="none"/>
          <w:u w:val="single"/>
        </w:rPr>
        <w:t xml:space="preserve">         </w:t>
      </w:r>
      <w:r>
        <w:rPr>
          <w:rFonts w:hint="eastAsia" w:hAnsi="宋体" w:cs="宋体"/>
          <w:sz w:val="24"/>
          <w:highlight w:val="none"/>
        </w:rPr>
        <w:t>） 所提供的供货时间保证证明。我方郑重承诺： </w:t>
      </w:r>
    </w:p>
    <w:p>
      <w:pPr>
        <w:autoSpaceDE w:val="0"/>
        <w:autoSpaceDN w:val="0"/>
        <w:spacing w:line="52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1、自发出中标通知书之日起5日内，缴纳履约保证金并与贵方签订合同；</w:t>
      </w:r>
    </w:p>
    <w:p>
      <w:pPr>
        <w:autoSpaceDE w:val="0"/>
        <w:autoSpaceDN w:val="0"/>
        <w:spacing w:line="52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2、合同签订后</w:t>
      </w:r>
      <w:r>
        <w:rPr>
          <w:rFonts w:hint="eastAsia" w:ascii="宋体" w:hAnsi="宋体" w:cs="宋体"/>
          <w:sz w:val="24"/>
          <w:highlight w:val="none"/>
          <w:u w:val="single"/>
        </w:rPr>
        <w:t xml:space="preserve">    </w:t>
      </w:r>
      <w:r>
        <w:rPr>
          <w:rFonts w:hint="eastAsia" w:ascii="宋体" w:hAnsi="宋体" w:cs="宋体"/>
          <w:sz w:val="24"/>
          <w:highlight w:val="none"/>
        </w:rPr>
        <w:t>日内将货物送达贵方指定地点，并安装调试完毕；</w:t>
      </w:r>
    </w:p>
    <w:p>
      <w:pPr>
        <w:autoSpaceDE w:val="0"/>
        <w:autoSpaceDN w:val="0"/>
        <w:spacing w:line="520" w:lineRule="exact"/>
        <w:ind w:firstLine="480" w:firstLineChars="200"/>
        <w:outlineLvl w:val="0"/>
        <w:rPr>
          <w:highlight w:val="none"/>
        </w:rPr>
      </w:pPr>
      <w:r>
        <w:rPr>
          <w:rFonts w:hint="eastAsia" w:hAnsi="宋体" w:cs="宋体"/>
          <w:sz w:val="24"/>
          <w:highlight w:val="none"/>
        </w:rPr>
        <w:t>3、若我公司未按期供货或未按期安装调试完毕，我公司自愿接受扣除履约保证金的处罚，并由我方承担相应违约责任（包括无条件退货、取消中标资格等）。</w:t>
      </w:r>
    </w:p>
    <w:p>
      <w:pPr>
        <w:pStyle w:val="5"/>
        <w:rPr>
          <w:rFonts w:hint="eastAsia" w:hAnsi="宋体" w:cs="宋体"/>
          <w:b/>
          <w:szCs w:val="24"/>
          <w:highlight w:val="none"/>
        </w:rPr>
      </w:pPr>
    </w:p>
    <w:p>
      <w:pPr>
        <w:rPr>
          <w:rFonts w:hint="eastAsia" w:ascii="宋体" w:hAnsi="宋体" w:cs="宋体"/>
          <w:b/>
          <w:kern w:val="0"/>
          <w:sz w:val="24"/>
          <w:highlight w:val="none"/>
        </w:rPr>
      </w:pPr>
    </w:p>
    <w:p>
      <w:pPr>
        <w:pStyle w:val="5"/>
        <w:rPr>
          <w:rFonts w:hint="eastAsia" w:hAnsi="宋体" w:cs="宋体"/>
          <w:b/>
          <w:szCs w:val="24"/>
          <w:highlight w:val="none"/>
        </w:rPr>
      </w:pPr>
    </w:p>
    <w:p>
      <w:pPr>
        <w:rPr>
          <w:rFonts w:hint="eastAsia"/>
          <w:highlight w:val="none"/>
        </w:rPr>
      </w:pPr>
    </w:p>
    <w:p>
      <w:pPr>
        <w:rPr>
          <w:rFonts w:hint="eastAsia" w:ascii="宋体" w:hAnsi="宋体" w:cs="宋体"/>
          <w:b/>
          <w:kern w:val="0"/>
          <w:sz w:val="24"/>
          <w:highlight w:val="none"/>
        </w:rPr>
      </w:pPr>
    </w:p>
    <w:p>
      <w:pPr>
        <w:pStyle w:val="5"/>
        <w:rPr>
          <w:rFonts w:hint="eastAsia"/>
          <w:highlight w:val="none"/>
        </w:rPr>
      </w:pP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投标人名称（公章）：____________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投标人代表签字：_______________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日期：        年    月     日</w:t>
      </w:r>
    </w:p>
    <w:p>
      <w:pPr>
        <w:kinsoku w:val="0"/>
        <w:overflowPunct w:val="0"/>
        <w:spacing w:line="240" w:lineRule="atLeast"/>
        <w:ind w:left="1080" w:leftChars="257" w:hanging="540"/>
        <w:jc w:val="center"/>
        <w:rPr>
          <w:rFonts w:hint="eastAsia" w:ascii="宋体" w:hAnsi="宋体" w:cs="宋体"/>
          <w:b/>
          <w:sz w:val="48"/>
          <w:szCs w:val="48"/>
          <w:highlight w:val="none"/>
        </w:rPr>
      </w:pPr>
    </w:p>
    <w:p>
      <w:pPr>
        <w:kinsoku w:val="0"/>
        <w:overflowPunct w:val="0"/>
        <w:spacing w:line="240" w:lineRule="atLeast"/>
        <w:ind w:left="1080" w:leftChars="257" w:hanging="540"/>
        <w:jc w:val="center"/>
        <w:rPr>
          <w:rFonts w:hint="eastAsia" w:ascii="宋体" w:hAnsi="宋体" w:cs="宋体"/>
          <w:b/>
          <w:sz w:val="48"/>
          <w:szCs w:val="48"/>
          <w:highlight w:val="none"/>
        </w:rPr>
      </w:pPr>
    </w:p>
    <w:p>
      <w:pPr>
        <w:kinsoku w:val="0"/>
        <w:overflowPunct w:val="0"/>
        <w:spacing w:line="240" w:lineRule="atLeast"/>
        <w:ind w:left="1080" w:leftChars="257" w:hanging="540"/>
        <w:jc w:val="center"/>
        <w:rPr>
          <w:rFonts w:hint="eastAsia" w:ascii="宋体" w:hAnsi="宋体" w:cs="宋体"/>
          <w:b/>
          <w:sz w:val="48"/>
          <w:szCs w:val="48"/>
          <w:highlight w:val="none"/>
        </w:rPr>
      </w:pPr>
    </w:p>
    <w:p>
      <w:pPr>
        <w:pStyle w:val="5"/>
        <w:rPr>
          <w:rFonts w:hint="eastAsia" w:hAnsi="宋体" w:cs="宋体"/>
          <w:b/>
          <w:sz w:val="48"/>
          <w:szCs w:val="48"/>
          <w:highlight w:val="none"/>
        </w:rPr>
      </w:pPr>
    </w:p>
    <w:p>
      <w:pPr>
        <w:rPr>
          <w:rFonts w:hint="eastAsia" w:ascii="宋体" w:hAnsi="宋体" w:cs="宋体"/>
          <w:b/>
          <w:sz w:val="48"/>
          <w:szCs w:val="48"/>
          <w:highlight w:val="none"/>
        </w:rPr>
      </w:pPr>
    </w:p>
    <w:p>
      <w:pPr>
        <w:pStyle w:val="5"/>
        <w:rPr>
          <w:rFonts w:hint="eastAsia"/>
          <w:highlight w:val="none"/>
        </w:rPr>
      </w:pPr>
    </w:p>
    <w:p>
      <w:pPr>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w:t>
      </w:r>
      <w:r>
        <w:rPr>
          <w:rFonts w:hint="eastAsia" w:hAnsi="宋体" w:cs="宋体"/>
          <w:b/>
          <w:kern w:val="0"/>
          <w:sz w:val="24"/>
          <w:szCs w:val="20"/>
          <w:highlight w:val="none"/>
        </w:rPr>
        <w:t>3</w:t>
      </w:r>
      <w:r>
        <w:rPr>
          <w:rFonts w:hint="eastAsia" w:ascii="宋体" w:hAnsi="宋体" w:cs="宋体"/>
          <w:b/>
          <w:kern w:val="0"/>
          <w:sz w:val="24"/>
          <w:szCs w:val="20"/>
          <w:highlight w:val="none"/>
        </w:rPr>
        <w:t xml:space="preserve">  技术培训方案</w:t>
      </w:r>
    </w:p>
    <w:p>
      <w:pPr>
        <w:pStyle w:val="5"/>
        <w:rPr>
          <w:rFonts w:hint="eastAsia" w:hAnsi="宋体" w:cs="宋体"/>
          <w:b/>
          <w:color w:val="FF0000"/>
          <w:sz w:val="48"/>
          <w:szCs w:val="48"/>
          <w:highlight w:val="none"/>
        </w:rPr>
      </w:pPr>
    </w:p>
    <w:p>
      <w:pPr>
        <w:kinsoku w:val="0"/>
        <w:overflowPunct w:val="0"/>
        <w:spacing w:line="240" w:lineRule="atLeast"/>
        <w:rPr>
          <w:rFonts w:hint="eastAsia" w:ascii="宋体" w:hAnsi="宋体" w:cs="宋体"/>
          <w:b/>
          <w:color w:val="000000"/>
          <w:sz w:val="30"/>
          <w:szCs w:val="30"/>
          <w:highlight w:val="none"/>
        </w:rPr>
      </w:pPr>
    </w:p>
    <w:p>
      <w:pPr>
        <w:pStyle w:val="5"/>
        <w:rPr>
          <w:rFonts w:hint="eastAsia"/>
          <w:highlight w:val="none"/>
        </w:rPr>
      </w:pPr>
    </w:p>
    <w:p>
      <w:pPr>
        <w:pStyle w:val="5"/>
        <w:rPr>
          <w:rFonts w:hint="eastAsia"/>
          <w:highlight w:val="none"/>
        </w:rPr>
      </w:pPr>
    </w:p>
    <w:p>
      <w:pPr>
        <w:pStyle w:val="5"/>
        <w:rPr>
          <w:rFonts w:hint="eastAsia" w:hAnsi="宋体" w:cs="宋体"/>
          <w:b/>
          <w:highlight w:val="none"/>
        </w:rPr>
      </w:pPr>
    </w:p>
    <w:p>
      <w:pPr>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14 同类产品项目业绩一览表（投标文件格式十</w:t>
      </w:r>
      <w:r>
        <w:rPr>
          <w:rFonts w:hint="eastAsia" w:hAnsi="宋体" w:cs="宋体"/>
          <w:b/>
          <w:kern w:val="0"/>
          <w:sz w:val="24"/>
          <w:szCs w:val="20"/>
          <w:highlight w:val="none"/>
        </w:rPr>
        <w:t>六</w:t>
      </w:r>
      <w:r>
        <w:rPr>
          <w:rFonts w:hint="eastAsia" w:ascii="宋体" w:hAnsi="宋体" w:cs="宋体"/>
          <w:b/>
          <w:kern w:val="0"/>
          <w:sz w:val="24"/>
          <w:szCs w:val="20"/>
          <w:highlight w:val="none"/>
        </w:rPr>
        <w:t>）</w:t>
      </w:r>
    </w:p>
    <w:p>
      <w:pPr>
        <w:pStyle w:val="5"/>
        <w:rPr>
          <w:highlight w:val="none"/>
        </w:rPr>
      </w:pPr>
    </w:p>
    <w:tbl>
      <w:tblPr>
        <w:tblStyle w:val="14"/>
        <w:tblW w:w="0" w:type="auto"/>
        <w:tblInd w:w="38" w:type="dxa"/>
        <w:tblLayout w:type="fixed"/>
        <w:tblCellMar>
          <w:top w:w="0" w:type="dxa"/>
          <w:left w:w="0" w:type="dxa"/>
          <w:bottom w:w="0" w:type="dxa"/>
          <w:right w:w="0" w:type="dxa"/>
        </w:tblCellMar>
      </w:tblPr>
      <w:tblGrid>
        <w:gridCol w:w="802"/>
        <w:gridCol w:w="1224"/>
        <w:gridCol w:w="1375"/>
        <w:gridCol w:w="1692"/>
        <w:gridCol w:w="1552"/>
        <w:gridCol w:w="1064"/>
        <w:gridCol w:w="1500"/>
      </w:tblGrid>
      <w:tr>
        <w:tblPrEx>
          <w:tblCellMar>
            <w:top w:w="0" w:type="dxa"/>
            <w:left w:w="0" w:type="dxa"/>
            <w:bottom w:w="0" w:type="dxa"/>
            <w:right w:w="0" w:type="dxa"/>
          </w:tblCellMar>
        </w:tblPrEx>
        <w:trPr>
          <w:trHeight w:val="878" w:hRule="atLeast"/>
        </w:trPr>
        <w:tc>
          <w:tcPr>
            <w:tcW w:w="802" w:type="dxa"/>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序号</w:t>
            </w:r>
          </w:p>
        </w:tc>
        <w:tc>
          <w:tcPr>
            <w:tcW w:w="1224"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采购单位</w:t>
            </w:r>
          </w:p>
        </w:tc>
        <w:tc>
          <w:tcPr>
            <w:tcW w:w="1375"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项目名称</w:t>
            </w:r>
          </w:p>
        </w:tc>
        <w:tc>
          <w:tcPr>
            <w:tcW w:w="1692" w:type="dxa"/>
            <w:tcBorders>
              <w:top w:val="single" w:color="000000" w:sz="8" w:space="0"/>
              <w:left w:val="nil"/>
              <w:bottom w:val="single" w:color="000000" w:sz="4" w:space="0"/>
              <w:right w:val="single" w:color="000000" w:sz="4" w:space="0"/>
            </w:tcBorders>
            <w:noWrap w:val="0"/>
            <w:vAlign w:val="center"/>
          </w:tcPr>
          <w:p>
            <w:pPr>
              <w:widowControl/>
              <w:jc w:val="center"/>
              <w:rPr>
                <w:rFonts w:ascii="楷体" w:hAnsi="楷体" w:eastAsia="楷体" w:cs="楷体"/>
                <w:kern w:val="0"/>
                <w:sz w:val="24"/>
                <w:highlight w:val="none"/>
              </w:rPr>
            </w:pPr>
            <w:r>
              <w:rPr>
                <w:rFonts w:hint="eastAsia" w:ascii="楷体" w:hAnsi="楷体" w:eastAsia="楷体" w:cs="楷体"/>
                <w:kern w:val="0"/>
                <w:sz w:val="24"/>
                <w:highlight w:val="none"/>
              </w:rPr>
              <w:t>项目编号</w:t>
            </w:r>
          </w:p>
        </w:tc>
        <w:tc>
          <w:tcPr>
            <w:tcW w:w="1552"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货物名称</w:t>
            </w:r>
          </w:p>
        </w:tc>
        <w:tc>
          <w:tcPr>
            <w:tcW w:w="1064"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数量</w:t>
            </w:r>
          </w:p>
        </w:tc>
        <w:tc>
          <w:tcPr>
            <w:tcW w:w="1500"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项目金额</w:t>
            </w:r>
          </w:p>
        </w:tc>
      </w:tr>
      <w:tr>
        <w:tblPrEx>
          <w:tblCellMar>
            <w:top w:w="0" w:type="dxa"/>
            <w:left w:w="0" w:type="dxa"/>
            <w:bottom w:w="0" w:type="dxa"/>
            <w:right w:w="0" w:type="dxa"/>
          </w:tblCellMar>
        </w:tblPrEx>
        <w:trPr>
          <w:trHeight w:val="785"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highlight w:val="none"/>
              </w:rPr>
            </w:pPr>
            <w:r>
              <w:rPr>
                <w:rFonts w:hint="eastAsia"/>
                <w:highlight w:val="none"/>
              </w:rPr>
              <w:t>1</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lang w:bidi="ar"/>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lang w:bidi="ar"/>
              </w:rPr>
            </w:pPr>
          </w:p>
        </w:tc>
      </w:tr>
      <w:tr>
        <w:tblPrEx>
          <w:tblCellMar>
            <w:top w:w="0" w:type="dxa"/>
            <w:left w:w="0" w:type="dxa"/>
            <w:bottom w:w="0" w:type="dxa"/>
            <w:right w:w="0" w:type="dxa"/>
          </w:tblCellMar>
        </w:tblPrEx>
        <w:trPr>
          <w:trHeight w:val="801"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楷体" w:hAnsi="楷体" w:eastAsia="楷体" w:cs="楷体"/>
                <w:kern w:val="0"/>
                <w:sz w:val="24"/>
                <w:highlight w:val="none"/>
              </w:rPr>
            </w:pPr>
            <w:r>
              <w:rPr>
                <w:rFonts w:hint="eastAsia" w:ascii="楷体" w:hAnsi="楷体" w:eastAsia="楷体" w:cs="楷体"/>
                <w:kern w:val="0"/>
                <w:sz w:val="24"/>
                <w:highlight w:val="none"/>
              </w:rPr>
              <w:t>2</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rPr>
            </w:pPr>
          </w:p>
        </w:tc>
      </w:tr>
      <w:tr>
        <w:tblPrEx>
          <w:tblCellMar>
            <w:top w:w="0" w:type="dxa"/>
            <w:left w:w="0" w:type="dxa"/>
            <w:bottom w:w="0" w:type="dxa"/>
            <w:right w:w="0" w:type="dxa"/>
          </w:tblCellMar>
        </w:tblPrEx>
        <w:trPr>
          <w:trHeight w:val="934"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3</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rPr>
            </w:pPr>
          </w:p>
        </w:tc>
      </w:tr>
      <w:tr>
        <w:tblPrEx>
          <w:tblCellMar>
            <w:top w:w="0" w:type="dxa"/>
            <w:left w:w="0" w:type="dxa"/>
            <w:bottom w:w="0" w:type="dxa"/>
            <w:right w:w="0" w:type="dxa"/>
          </w:tblCellMar>
        </w:tblPrEx>
        <w:trPr>
          <w:trHeight w:val="934"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楷体" w:hAnsi="楷体" w:eastAsia="楷体" w:cs="楷体"/>
                <w:kern w:val="0"/>
                <w:sz w:val="24"/>
                <w:highlight w:val="none"/>
              </w:rPr>
            </w:pPr>
            <w:r>
              <w:rPr>
                <w:rFonts w:hint="eastAsia" w:ascii="楷体" w:hAnsi="楷体" w:eastAsia="楷体" w:cs="楷体"/>
                <w:kern w:val="0"/>
                <w:sz w:val="24"/>
                <w:highlight w:val="none"/>
              </w:rPr>
              <w:t>...</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rPr>
            </w:pPr>
          </w:p>
        </w:tc>
      </w:tr>
    </w:tbl>
    <w:p>
      <w:pPr>
        <w:pStyle w:val="5"/>
        <w:rPr>
          <w:rFonts w:hint="eastAsia" w:hAnsi="宋体" w:cs="宋体"/>
          <w:b/>
          <w:color w:val="FF0000"/>
          <w:sz w:val="48"/>
          <w:szCs w:val="48"/>
          <w:highlight w:val="none"/>
        </w:rPr>
      </w:pPr>
    </w:p>
    <w:p>
      <w:pPr>
        <w:pStyle w:val="5"/>
        <w:rPr>
          <w:rFonts w:hint="eastAsia"/>
          <w:highlight w:val="none"/>
        </w:rPr>
      </w:pPr>
    </w:p>
    <w:p>
      <w:pPr>
        <w:pStyle w:val="5"/>
        <w:rPr>
          <w:rFonts w:hint="eastAsia"/>
          <w:highlight w:val="none"/>
        </w:rPr>
      </w:pPr>
    </w:p>
    <w:p>
      <w:pPr>
        <w:pStyle w:val="5"/>
        <w:rPr>
          <w:rFonts w:hint="eastAsia"/>
          <w:highlight w:val="none"/>
        </w:rPr>
      </w:pPr>
    </w:p>
    <w:p>
      <w:pPr>
        <w:pStyle w:val="5"/>
        <w:rPr>
          <w:rFonts w:hint="eastAsia"/>
          <w:highlight w:val="none"/>
        </w:rPr>
      </w:pPr>
    </w:p>
    <w:p>
      <w:pPr>
        <w:kinsoku w:val="0"/>
        <w:overflowPunct w:val="0"/>
        <w:spacing w:line="240" w:lineRule="atLeast"/>
        <w:ind w:left="1080" w:leftChars="257" w:hanging="540"/>
        <w:jc w:val="center"/>
        <w:rPr>
          <w:rFonts w:hint="eastAsia" w:ascii="宋体" w:hAnsi="宋体" w:cs="宋体"/>
          <w:b/>
          <w:color w:val="000000"/>
          <w:sz w:val="52"/>
          <w:szCs w:val="52"/>
          <w:highlight w:val="none"/>
        </w:rPr>
      </w:pPr>
    </w:p>
    <w:p>
      <w:pPr>
        <w:kinsoku w:val="0"/>
        <w:overflowPunct w:val="0"/>
        <w:spacing w:line="240" w:lineRule="atLeast"/>
        <w:ind w:left="1080" w:leftChars="257" w:hanging="540"/>
        <w:jc w:val="center"/>
        <w:rPr>
          <w:rFonts w:hint="eastAsia" w:ascii="宋体" w:hAnsi="宋体" w:cs="宋体"/>
          <w:b/>
          <w:color w:val="000000"/>
          <w:sz w:val="52"/>
          <w:highlight w:val="none"/>
        </w:rPr>
      </w:pPr>
    </w:p>
    <w:p>
      <w:pPr>
        <w:pStyle w:val="5"/>
        <w:kinsoku w:val="0"/>
        <w:overflowPunct w:val="0"/>
        <w:rPr>
          <w:rFonts w:hint="eastAsia" w:hAnsi="宋体" w:cs="宋体"/>
          <w:b/>
          <w:color w:val="000000"/>
          <w:sz w:val="52"/>
          <w:highlight w:val="none"/>
        </w:rPr>
      </w:pPr>
    </w:p>
    <w:p>
      <w:pPr>
        <w:pStyle w:val="5"/>
        <w:kinsoku w:val="0"/>
        <w:overflowPunct w:val="0"/>
        <w:rPr>
          <w:rFonts w:hint="eastAsia" w:hAnsi="宋体" w:cs="宋体"/>
          <w:b/>
          <w:color w:val="000000"/>
          <w:sz w:val="52"/>
          <w:highlight w:val="none"/>
        </w:rPr>
      </w:pPr>
    </w:p>
    <w:p>
      <w:pPr>
        <w:kinsoku w:val="0"/>
        <w:overflowPunct w:val="0"/>
        <w:spacing w:line="240" w:lineRule="atLeast"/>
        <w:rPr>
          <w:rFonts w:hint="eastAsia" w:ascii="宋体" w:hAnsi="宋体" w:cs="宋体"/>
          <w:b/>
          <w:color w:val="000000"/>
          <w:sz w:val="48"/>
          <w:szCs w:val="4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52"/>
          <w:highlight w:val="none"/>
        </w:rPr>
      </w:pPr>
    </w:p>
    <w:p>
      <w:pPr>
        <w:kinsoku w:val="0"/>
        <w:overflowPunct w:val="0"/>
        <w:spacing w:line="240" w:lineRule="atLeast"/>
        <w:ind w:left="1080" w:leftChars="257" w:hanging="540"/>
        <w:jc w:val="center"/>
        <w:rPr>
          <w:rFonts w:hint="eastAsia" w:ascii="宋体" w:hAnsi="宋体" w:cs="宋体"/>
          <w:b/>
          <w:color w:val="000000"/>
          <w:sz w:val="52"/>
          <w:highlight w:val="none"/>
        </w:rPr>
      </w:pPr>
    </w:p>
    <w:p>
      <w:pPr>
        <w:kinsoku w:val="0"/>
        <w:overflowPunct w:val="0"/>
        <w:spacing w:line="240" w:lineRule="atLeast"/>
        <w:rPr>
          <w:rFonts w:hint="eastAsia" w:ascii="宋体" w:hAnsi="宋体" w:cs="宋体"/>
          <w:b/>
          <w:color w:val="000000"/>
          <w:sz w:val="52"/>
          <w:highlight w:val="none"/>
        </w:rPr>
      </w:pPr>
    </w:p>
    <w:p>
      <w:pPr>
        <w:pStyle w:val="5"/>
        <w:kinsoku w:val="0"/>
        <w:overflowPunct w:val="0"/>
        <w:jc w:val="center"/>
        <w:rPr>
          <w:rFonts w:hint="eastAsia" w:hAnsi="宋体" w:cs="宋体"/>
          <w:b/>
          <w:color w:val="000000"/>
          <w:sz w:val="52"/>
          <w:highlight w:val="none"/>
        </w:rPr>
      </w:pPr>
      <w:r>
        <w:rPr>
          <w:rFonts w:hint="eastAsia" w:hAnsi="宋体" w:cs="宋体"/>
          <w:b/>
          <w:color w:val="000000"/>
          <w:sz w:val="52"/>
          <w:highlight w:val="none"/>
        </w:rPr>
        <w:t>第二册</w:t>
      </w:r>
    </w:p>
    <w:p>
      <w:pPr>
        <w:pStyle w:val="5"/>
        <w:kinsoku w:val="0"/>
        <w:overflowPunct w:val="0"/>
        <w:rPr>
          <w:rFonts w:hint="eastAsia" w:hAnsi="宋体" w:cs="宋体"/>
          <w:b/>
          <w:color w:val="000000"/>
          <w:sz w:val="52"/>
          <w:highlight w:val="none"/>
        </w:rPr>
      </w:pPr>
    </w:p>
    <w:p>
      <w:pPr>
        <w:pStyle w:val="5"/>
        <w:kinsoku w:val="0"/>
        <w:overflowPunct w:val="0"/>
        <w:rPr>
          <w:rFonts w:hint="eastAsia" w:hAnsi="宋体" w:cs="宋体"/>
          <w:b/>
          <w:color w:val="000000"/>
          <w:sz w:val="52"/>
          <w:highlight w:val="none"/>
        </w:rPr>
      </w:pPr>
    </w:p>
    <w:p>
      <w:pPr>
        <w:pStyle w:val="5"/>
        <w:kinsoku w:val="0"/>
        <w:overflowPunct w:val="0"/>
        <w:rPr>
          <w:rFonts w:hint="eastAsia" w:hAnsi="宋体" w:cs="宋体"/>
          <w:b/>
          <w:color w:val="000000"/>
          <w:sz w:val="52"/>
          <w:highlight w:val="none"/>
        </w:rPr>
      </w:pPr>
    </w:p>
    <w:p>
      <w:pPr>
        <w:pStyle w:val="5"/>
        <w:kinsoku w:val="0"/>
        <w:overflowPunct w:val="0"/>
        <w:rPr>
          <w:rFonts w:hint="eastAsia" w:hAnsi="宋体" w:cs="宋体"/>
          <w:b/>
          <w:color w:val="000000"/>
          <w:sz w:val="52"/>
          <w:highlight w:val="none"/>
        </w:rPr>
      </w:pPr>
    </w:p>
    <w:p>
      <w:pPr>
        <w:pStyle w:val="5"/>
        <w:kinsoku w:val="0"/>
        <w:overflowPunct w:val="0"/>
        <w:rPr>
          <w:rFonts w:hint="eastAsia" w:hAnsi="宋体"/>
          <w:color w:val="000000"/>
          <w:highlight w:val="none"/>
        </w:rPr>
      </w:pPr>
    </w:p>
    <w:p>
      <w:pPr>
        <w:pStyle w:val="5"/>
        <w:kinsoku w:val="0"/>
        <w:overflowPunct w:val="0"/>
        <w:rPr>
          <w:rFonts w:hint="eastAsia" w:hAnsi="宋体"/>
          <w:color w:val="000000"/>
          <w:highlight w:val="none"/>
        </w:rPr>
      </w:pPr>
    </w:p>
    <w:p>
      <w:pPr>
        <w:pStyle w:val="5"/>
        <w:kinsoku w:val="0"/>
        <w:overflowPunct w:val="0"/>
        <w:rPr>
          <w:rFonts w:hint="eastAsia" w:hAnsi="宋体"/>
          <w:color w:val="000000"/>
          <w:highlight w:val="none"/>
        </w:rPr>
      </w:pPr>
    </w:p>
    <w:p>
      <w:pPr>
        <w:pStyle w:val="5"/>
        <w:kinsoku w:val="0"/>
        <w:overflowPunct w:val="0"/>
        <w:rPr>
          <w:rFonts w:hint="eastAsia" w:hAnsi="宋体" w:cs="宋体"/>
          <w:color w:val="000000"/>
          <w:highlight w:val="none"/>
        </w:rPr>
      </w:pPr>
      <w:r>
        <w:rPr>
          <w:rFonts w:hint="eastAsia" w:hAnsi="宋体" w:cs="宋体"/>
          <w:color w:val="000000"/>
          <w:szCs w:val="24"/>
          <w:highlight w:val="none"/>
          <w:shd w:val="clear" w:color="auto" w:fill="FFFFFF"/>
        </w:rPr>
        <w:t xml:space="preserve">        </w:t>
      </w:r>
    </w:p>
    <w:p>
      <w:pPr>
        <w:kinsoku w:val="0"/>
        <w:overflowPunct w:val="0"/>
        <w:spacing w:line="240" w:lineRule="atLeast"/>
        <w:ind w:left="1080" w:leftChars="257" w:hanging="540"/>
        <w:rPr>
          <w:rFonts w:hint="eastAsia" w:ascii="宋体" w:hAnsi="宋体" w:cs="宋体"/>
          <w:color w:val="000000"/>
          <w:sz w:val="24"/>
          <w:highlight w:val="none"/>
        </w:rPr>
        <w:sectPr>
          <w:headerReference r:id="rId7" w:type="default"/>
          <w:headerReference r:id="rId8" w:type="even"/>
          <w:footerReference r:id="rId9" w:type="even"/>
          <w:pgSz w:w="11906" w:h="16838"/>
          <w:pgMar w:top="1474" w:right="1304" w:bottom="1474" w:left="1304" w:header="851" w:footer="992" w:gutter="0"/>
          <w:cols w:space="720" w:num="1"/>
          <w:docGrid w:linePitch="312" w:charSpace="0"/>
        </w:sectPr>
      </w:pPr>
    </w:p>
    <w:p>
      <w:pPr>
        <w:jc w:val="center"/>
        <w:rPr>
          <w:rFonts w:hint="eastAsia"/>
          <w:highlight w:val="none"/>
        </w:rPr>
      </w:pPr>
      <w:bookmarkStart w:id="397" w:name="_Toc216582811"/>
      <w:bookmarkStart w:id="398" w:name="_Toc219175635"/>
      <w:bookmarkStart w:id="399" w:name="_Toc216513787"/>
      <w:bookmarkStart w:id="400" w:name="_Toc218935351"/>
      <w:r>
        <w:rPr>
          <w:rFonts w:hint="eastAsia" w:ascii="宋体" w:hAnsi="宋体" w:cs="宋体"/>
          <w:b/>
          <w:kern w:val="0"/>
          <w:sz w:val="32"/>
          <w:szCs w:val="32"/>
          <w:highlight w:val="none"/>
        </w:rPr>
        <w:t>资格审查表</w:t>
      </w:r>
    </w:p>
    <w:p>
      <w:pPr>
        <w:kinsoku w:val="0"/>
        <w:overflowPunct w:val="0"/>
        <w:jc w:val="center"/>
        <w:rPr>
          <w:rFonts w:hint="eastAsia" w:ascii="宋体" w:hAnsi="宋体" w:cs="宋体"/>
          <w:b/>
          <w:kern w:val="0"/>
          <w:sz w:val="32"/>
          <w:szCs w:val="32"/>
          <w:highlight w:val="none"/>
        </w:rPr>
      </w:pPr>
    </w:p>
    <w:tbl>
      <w:tblPr>
        <w:tblStyle w:val="14"/>
        <w:tblpPr w:leftFromText="180" w:rightFromText="180" w:vertAnchor="text" w:horzAnchor="page" w:tblpX="2990" w:tblpY="632"/>
        <w:tblOverlap w:val="never"/>
        <w:tblW w:w="8996" w:type="dxa"/>
        <w:tblInd w:w="0" w:type="dxa"/>
        <w:tblLayout w:type="fixed"/>
        <w:tblCellMar>
          <w:top w:w="0" w:type="dxa"/>
          <w:left w:w="108" w:type="dxa"/>
          <w:bottom w:w="0" w:type="dxa"/>
          <w:right w:w="108" w:type="dxa"/>
        </w:tblCellMar>
      </w:tblPr>
      <w:tblGrid>
        <w:gridCol w:w="979"/>
        <w:gridCol w:w="1417"/>
        <w:gridCol w:w="1041"/>
        <w:gridCol w:w="2456"/>
        <w:gridCol w:w="1360"/>
        <w:gridCol w:w="1743"/>
      </w:tblGrid>
      <w:tr>
        <w:tblPrEx>
          <w:tblCellMar>
            <w:top w:w="0" w:type="dxa"/>
            <w:left w:w="108" w:type="dxa"/>
            <w:bottom w:w="0" w:type="dxa"/>
            <w:right w:w="108" w:type="dxa"/>
          </w:tblCellMar>
        </w:tblPrEx>
        <w:trPr>
          <w:trHeight w:val="4022" w:hRule="atLeast"/>
        </w:trPr>
        <w:tc>
          <w:tcPr>
            <w:tcW w:w="97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投标人名称</w:t>
            </w:r>
          </w:p>
        </w:tc>
        <w:tc>
          <w:tcPr>
            <w:tcW w:w="1417"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lang w:val="en-US" w:eastAsia="zh-CN"/>
              </w:rPr>
              <w:t>具有独立承担民事责任的能力（三证合一的营业执照，原件、可扫描的影印件和复印件均可）</w:t>
            </w:r>
          </w:p>
        </w:tc>
        <w:tc>
          <w:tcPr>
            <w:tcW w:w="1041"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lang w:val="en-US" w:eastAsia="zh-CN"/>
              </w:rPr>
              <w:t>法人代表资格证明书及授权书、被授权人身份证(法人投具有法人身份证及法人代表资格证明书)</w:t>
            </w:r>
          </w:p>
        </w:tc>
        <w:tc>
          <w:tcPr>
            <w:tcW w:w="2456"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kern w:val="0"/>
                <w:sz w:val="20"/>
                <w:szCs w:val="20"/>
                <w:highlight w:val="none"/>
                <w:lang w:val="en-US" w:eastAsia="zh-CN" w:bidi="ar"/>
              </w:rPr>
              <w:t>具有税务局开具依法缴纳近一个月</w:t>
            </w:r>
            <w:r>
              <w:rPr>
                <w:rFonts w:hint="eastAsia" w:ascii="宋体" w:hAnsi="宋体" w:cs="宋体"/>
                <w:highlight w:val="none"/>
                <w:shd w:val="clear" w:color="auto" w:fill="FFFFFF"/>
                <w:lang w:val="en-US" w:eastAsia="zh-CN"/>
              </w:rPr>
              <w:t>（2022年3月-2022年5月，任意一月）</w:t>
            </w:r>
            <w:r>
              <w:rPr>
                <w:rFonts w:hint="eastAsia" w:ascii="宋体" w:hAnsi="宋体" w:cs="宋体"/>
                <w:kern w:val="0"/>
                <w:sz w:val="20"/>
                <w:szCs w:val="20"/>
                <w:highlight w:val="none"/>
                <w:lang w:val="en-US" w:eastAsia="zh-CN" w:bidi="ar"/>
              </w:rPr>
              <w:t>完税证明及2020年或2021年财务审计报告（新成立公司须提供前一个月的银行资信证明）</w:t>
            </w:r>
            <w:r>
              <w:rPr>
                <w:rFonts w:hint="eastAsia" w:ascii="宋体" w:hAnsi="宋体" w:cs="宋体"/>
                <w:kern w:val="0"/>
                <w:sz w:val="20"/>
                <w:szCs w:val="20"/>
                <w:highlight w:val="none"/>
                <w:lang w:bidi="ar"/>
              </w:rPr>
              <w:tab/>
            </w:r>
          </w:p>
          <w:p>
            <w:pPr>
              <w:tabs>
                <w:tab w:val="left" w:pos="267"/>
              </w:tabs>
              <w:kinsoku w:val="0"/>
              <w:overflowPunct w:val="0"/>
              <w:jc w:val="left"/>
              <w:rPr>
                <w:rFonts w:ascii="宋体" w:hAnsi="宋体" w:cs="宋体"/>
                <w:kern w:val="0"/>
                <w:sz w:val="20"/>
                <w:szCs w:val="20"/>
                <w:highlight w:val="none"/>
                <w:lang w:bidi="ar"/>
              </w:rPr>
            </w:pPr>
            <w:r>
              <w:rPr>
                <w:rFonts w:hint="eastAsia" w:ascii="宋体" w:hAnsi="宋体" w:cs="宋体"/>
                <w:kern w:val="0"/>
                <w:sz w:val="20"/>
                <w:szCs w:val="20"/>
                <w:highlight w:val="none"/>
                <w:lang w:bidi="ar"/>
              </w:rPr>
              <w:tab/>
            </w:r>
          </w:p>
          <w:p>
            <w:pPr>
              <w:kinsoku w:val="0"/>
              <w:overflowPunct w:val="0"/>
              <w:jc w:val="center"/>
              <w:rPr>
                <w:rFonts w:hint="eastAsia" w:ascii="宋体" w:hAnsi="宋体" w:cs="宋体"/>
                <w:highlight w:val="none"/>
                <w:shd w:val="clear" w:color="auto" w:fill="FFFFFF"/>
              </w:rPr>
            </w:pPr>
          </w:p>
        </w:tc>
        <w:tc>
          <w:tcPr>
            <w:tcW w:w="1360"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default" w:ascii="宋体" w:hAnsi="宋体" w:cs="宋体"/>
                <w:highlight w:val="none"/>
                <w:shd w:val="clear" w:color="auto" w:fill="FFFFFF"/>
                <w:lang w:val="en-US"/>
              </w:rPr>
            </w:pPr>
            <w:r>
              <w:rPr>
                <w:rFonts w:hint="eastAsia" w:ascii="宋体" w:hAnsi="宋体" w:cs="宋体"/>
                <w:highlight w:val="none"/>
                <w:shd w:val="clear" w:color="auto" w:fill="FFFFFF"/>
                <w:lang w:val="en-US" w:eastAsia="zh-CN"/>
              </w:rPr>
              <w:t>投标保证金打款（缴纳凭证）</w:t>
            </w:r>
          </w:p>
        </w:tc>
        <w:tc>
          <w:tcPr>
            <w:tcW w:w="1743"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rPr>
              <w:t>结论</w:t>
            </w:r>
          </w:p>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rPr>
              <w:t>（是否通过资格审核）</w:t>
            </w:r>
          </w:p>
        </w:tc>
      </w:tr>
      <w:tr>
        <w:tblPrEx>
          <w:tblCellMar>
            <w:top w:w="0" w:type="dxa"/>
            <w:left w:w="108" w:type="dxa"/>
            <w:bottom w:w="0" w:type="dxa"/>
            <w:right w:w="108" w:type="dxa"/>
          </w:tblCellMar>
        </w:tblPrEx>
        <w:trPr>
          <w:trHeight w:val="4022" w:hRule="atLeast"/>
        </w:trPr>
        <w:tc>
          <w:tcPr>
            <w:tcW w:w="97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lang w:val="en-US" w:eastAsia="zh-CN"/>
              </w:rPr>
            </w:pPr>
          </w:p>
        </w:tc>
        <w:tc>
          <w:tcPr>
            <w:tcW w:w="1041"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lang w:val="en-US" w:eastAsia="zh-CN"/>
              </w:rPr>
            </w:pPr>
          </w:p>
        </w:tc>
        <w:tc>
          <w:tcPr>
            <w:tcW w:w="2456"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p>
        </w:tc>
        <w:tc>
          <w:tcPr>
            <w:tcW w:w="1360"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lang w:val="en-US" w:eastAsia="zh-CN"/>
              </w:rPr>
            </w:pPr>
          </w:p>
        </w:tc>
        <w:tc>
          <w:tcPr>
            <w:tcW w:w="1743"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p>
        </w:tc>
      </w:tr>
    </w:tbl>
    <w:p>
      <w:pPr>
        <w:kinsoku w:val="0"/>
        <w:overflowPunct w:val="0"/>
        <w:rPr>
          <w:rFonts w:hint="eastAsia" w:ascii="宋体" w:hAnsi="宋体" w:cs="宋体"/>
          <w:color w:val="000000"/>
          <w:highlight w:val="none"/>
        </w:rPr>
      </w:pPr>
    </w:p>
    <w:p>
      <w:pPr>
        <w:pStyle w:val="3"/>
        <w:keepNext w:val="0"/>
        <w:keepLines w:val="0"/>
        <w:numPr>
          <w:ilvl w:val="0"/>
          <w:numId w:val="11"/>
        </w:numPr>
        <w:kinsoku w:val="0"/>
        <w:overflowPunct w:val="0"/>
        <w:spacing w:before="0" w:after="0" w:line="240" w:lineRule="atLeast"/>
        <w:rPr>
          <w:rFonts w:hint="eastAsia" w:hAnsi="宋体" w:cs="宋体"/>
          <w:color w:val="000000"/>
          <w:highlight w:val="none"/>
        </w:rPr>
        <w:sectPr>
          <w:pgSz w:w="16838" w:h="11906" w:orient="landscape"/>
          <w:pgMar w:top="1474" w:right="1304" w:bottom="1474" w:left="1304" w:header="851" w:footer="992" w:gutter="0"/>
          <w:cols w:space="720" w:num="1"/>
          <w:docGrid w:linePitch="312" w:charSpace="0"/>
        </w:sectPr>
      </w:pPr>
    </w:p>
    <w:bookmarkEnd w:id="397"/>
    <w:bookmarkEnd w:id="398"/>
    <w:bookmarkEnd w:id="399"/>
    <w:bookmarkEnd w:id="400"/>
    <w:p>
      <w:pPr>
        <w:pStyle w:val="3"/>
        <w:keepNext w:val="0"/>
        <w:keepLines w:val="0"/>
        <w:tabs>
          <w:tab w:val="left" w:pos="0"/>
        </w:tabs>
        <w:kinsoku w:val="0"/>
        <w:overflowPunct w:val="0"/>
        <w:spacing w:before="0" w:after="0" w:line="240" w:lineRule="atLeast"/>
        <w:rPr>
          <w:rFonts w:hint="eastAsia" w:hAnsi="宋体" w:cs="宋体"/>
          <w:highlight w:val="none"/>
        </w:rPr>
      </w:pPr>
      <w:bookmarkStart w:id="401" w:name="_Toc219175638"/>
      <w:bookmarkStart w:id="402" w:name="_Toc216582825"/>
      <w:bookmarkStart w:id="403" w:name="_Toc9032"/>
      <w:bookmarkStart w:id="404" w:name="_Toc507399906"/>
      <w:bookmarkStart w:id="405" w:name="_Toc22779"/>
      <w:bookmarkStart w:id="406" w:name="_Toc218935354"/>
      <w:bookmarkStart w:id="407" w:name="_Toc9887"/>
      <w:bookmarkStart w:id="408" w:name="_Toc515647831"/>
      <w:bookmarkStart w:id="409" w:name="_Toc512937852"/>
      <w:r>
        <w:rPr>
          <w:rFonts w:hint="eastAsia" w:hAnsi="宋体" w:cs="宋体"/>
          <w:highlight w:val="none"/>
        </w:rPr>
        <w:t>第3章货物需求一览表及技术规格</w:t>
      </w:r>
      <w:bookmarkEnd w:id="401"/>
      <w:bookmarkEnd w:id="402"/>
      <w:bookmarkEnd w:id="403"/>
      <w:bookmarkEnd w:id="404"/>
      <w:bookmarkEnd w:id="405"/>
      <w:bookmarkEnd w:id="406"/>
      <w:bookmarkEnd w:id="407"/>
      <w:bookmarkEnd w:id="408"/>
    </w:p>
    <w:tbl>
      <w:tblPr>
        <w:tblStyle w:val="14"/>
        <w:tblW w:w="10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4"/>
        <w:gridCol w:w="713"/>
        <w:gridCol w:w="6683"/>
        <w:gridCol w:w="634"/>
        <w:gridCol w:w="683"/>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1025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lang w:val="en-US" w:eastAsia="zh-CN" w:bidi="ar"/>
              </w:rPr>
              <w:t>巴楚县基础教育设施设备提升-教学仪器及生活设备采购项目：第二标段班班通，大门口、食堂、教学楼走廊监控设备，校园广播等设施设备采购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名称</w:t>
            </w:r>
          </w:p>
        </w:tc>
        <w:tc>
          <w:tcPr>
            <w:tcW w:w="6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规格  型号  功能</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单位</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数量</w:t>
            </w:r>
          </w:p>
        </w:tc>
        <w:tc>
          <w:tcPr>
            <w:tcW w:w="76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804"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68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6896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班班通</w:t>
            </w:r>
          </w:p>
        </w:tc>
        <w:tc>
          <w:tcPr>
            <w:tcW w:w="63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83"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5" w:hRule="atLeast"/>
        </w:trPr>
        <w:tc>
          <w:tcPr>
            <w:tcW w:w="7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7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班班通设备*</w:t>
            </w:r>
          </w:p>
        </w:tc>
        <w:tc>
          <w:tcPr>
            <w:tcW w:w="66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详细见附</w:t>
            </w:r>
          </w:p>
        </w:tc>
        <w:tc>
          <w:tcPr>
            <w:tcW w:w="6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w:t>
            </w:r>
          </w:p>
        </w:tc>
        <w:tc>
          <w:tcPr>
            <w:tcW w:w="6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53</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核心产品、提供检验检测报告、提供样品、中标单位样品不退（教育局永久保存）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值班室设备</w:t>
            </w:r>
          </w:p>
        </w:tc>
        <w:tc>
          <w:tcPr>
            <w:tcW w:w="63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83"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安检门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六防区安检门</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矩正</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公共安检系列 一键式开关机、紧急制停、L型光电二级单能量探测器，通道尺寸：500*300、尺寸的极限偏差,±20㎜，传输速度：0.22米/秒，穿透力：10mm钢板、射线束发射角：60度；含显示器、鼠标等配件、保证正常使用</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门禁一体机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用户数 ：≥1500 ；指纹容量：≥ 1500枚 、≥1500卡；记录容量：≥ 8万条；通讯方式 TCP/IP、USB-host；其它功能 定时状态转换，记录查询、高级门禁、有线门铃；使用温度 0℃～45℃；使用湿度 20%～80% RH；电源规格 DC 12V～1.5A；尺寸： ≥83*≥181*≥34mm</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UPS门禁电源12V3A</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输入标准220VAC ，50HZ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直流输出标准12VDC，3A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外形尺寸≥180*≥77*≥77MM</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设开门按钮输入，可直接开启电锁，停电可持续工作最大12小时</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身份证阅读器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标准规范 符合ISO/ICE 14443Type B标准，以及《GA450-2013台式居民身份证；读器通用技术要求》；读卡时间 &lt;1S；阅读距离 &lt;3cm；数据接口 USB接口；工作电压 5V USB供电；工作频率 13.56MHZ（fc）；系统平台 WIN2000/XP/WIN7/WIN8/WIN8.1；开发工具 SDK支持VC/VB/DEPH/PB等；工作温度 0℃~50℃；存储温度 -40℃~60℃；工作相对湿度 &lt;90%   ；含电脑阅读软件、保证正常使用。</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电磁锁</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LED指示；适用于90度开的任何有框门；电压：DC12V输入；工作电流；500mA/250mA；抗拉力：280kg级</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感应卡</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IC卡片</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20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六类网线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符合国标，铜线</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60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电源线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符合国标</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60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辅材</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抗拉管、膨胀螺丝、自攻螺丝等辅材、保证安检门、门禁一体机正常使用</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非接触式电子体温仪</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LED数字屏幕、准确度：0.2±、量度单位：C和F度、语音播放、数据回访功能。高温预警实时播放、usb供电；含架子。</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办公设备</w:t>
            </w:r>
          </w:p>
        </w:tc>
        <w:tc>
          <w:tcPr>
            <w:tcW w:w="63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83"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资料柜</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质：精选冷轧钢板、固定、耐用不易变形、承重性强、每层隔板能承重30-50kg、长期存放不变形；板材厚度≥1mm；品牌锁具、200把不互开、安全储物；钢制锁片、坚固耐用、可更换锁片、使用无忧；把手：固定耐磨、使用寿命长不褪色；标签栏设计:设计科学、方便、牢固、合理分类管理，尺寸: ≥1800*≥850*≥390。</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电脑</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1.CPU:Intel处理器（i5及以上）； 2.主板：主板必须能与上述（所投）处理器匹配，并支持WIN7操作系统。投标单位编制投标参数时必须列明所投主板芯片组具体型号（扩展槽：≥1个PCI-E*16，≥2个PCI-E*1，≥1个PCI）*3.内存：≥8G DDR4 2400MHz；4.硬盘：≥512G  SSD固态硬盘；5.显卡：独立显卡，显存2G或以上（投标单位编制投标参数时必须列明所投显卡芯片具体型号）； 6.光驱：DVDRW刻录光驱；7.电源：≥180W宽网高效电源（节能）；8.机箱：≥15L机箱，接口：8个或以上外置USB接口，前四后四（前置至少2个USB3.0）；9.键鼠：商用抗细菌键盘和鼠标；USB光电鼠标、防水键盘；10.网卡：集成100/1000MB自适应网卡；11.声卡：集成；12.显示器：≥23寸，WLED液晶显示器（低蓝光护眼显示器）；13.头戴式台式电脑专用耳麦：嵌入式直插头或USB接口，线缆长度≥1.5米，带麦，灵敏度:≥54dB/mW，防尘防水；14.安全：配置机箱报警开关保证硬件安全断电可用。15.稳定的正版网络同传功能：原厂网络同传机房管理软件；16.操作系统和办公软件:Windows7专业版+ WPS办公软件。交货时提供厂家订单确认函或教育经销商正版软件供货说明函，最终用户和订单信息官网可查。必须安装在提供的计算机上，保证电脑正常使用。17.提供一套正版还原软件，不安装。</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1"/>
                <w:szCs w:val="21"/>
                <w:u w:val="none"/>
                <w:lang w:val="en-US" w:eastAsia="zh-CN" w:bidi="ar"/>
              </w:rPr>
              <w:t>提供检验检测报告、提供样品、中标单位样品不退（教育局永久保存）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打印机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黑白激光打印机；打印幅面A4、鼓粉分离技术、屏幕显示LED指示灯、纸张输出容量标准250+1，标配双面自动打印、 自动纠错，水印打印，多页合并打印、反转打印、小册子打印、页眉页脚打印等、随机墨粉容量≥2600页、随机硒鼓寿命≥12000页</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A4多功能一体机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自动双面，A4纸张，扫描打印复印一体机、处理器266MHZ、内存≥32MB、鼓粉分离技术、自动双面打印、中文字符*2液晶显示、分辨率≥HQ1200dpi，≥600×600dpi、复印分辨率≥600*600dpi</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A3多功能一体机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A3黑白复合机；1、基本功能：  复印/GDI网络打印/USB彩色扫描，标配彩色扫描，标配双面器；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2、操作面板： 四行中文显示液晶屏；2、支持双面自动输稿器：≥50张，且支持150页连续复印/扫描功能；</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彩色激光多功能一体机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A4幅面多功能彩色激光一体机，打印、复印、原装碳粉（四色各一支）</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密码锁文件柜</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尺寸：≥1850mm*≥900mm*≥420mm、尺寸的极限偏差,±20㎜；材质：冷轧钢板；工艺：静电喷涂工艺；内部设置双抽钢板厚度：1.3mm；承重强、韧性高、表面光滑平整、坚固耐用、不易变形；指纹、密码输入错误报警、柜体收到振动、移动、敲打150分贝报警功能；6枚指纹容量；离合式防爆把手、夜景屏、设置主钥匙、应急钥匙设置；</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大门口、食堂、教学楼走廊监控设备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监控摄像头</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当分辨率为2560 x 1920时，清晰度不小于1900TVL。最大亮度鉴别等级不小于11级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信噪比不小于55dB。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红外摄像机在30米距离下应能探测到目标。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摄像机应能在DC12V±25%范围内正常工作，支持POE供电。</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射频电磁场辐射抗扰度限值应符合GB/T 17626.3-2006中试验等级3的规定。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传导骚扰限值应符合GB 9254-2008中等级A的规定。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辐射骚扰限值应符合GB 9254-2008中等级A的规定。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不低于IP66防尘防水等级。</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摄像机能够在-30~60摄氏度，湿度小于93%环境下稳定工作。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具有SD卡接口，最大支持256GB SD卡。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具有1个RJ45网络接口，1个SD卡接口，1个内置麦克风，1个DC12V电源输出接口，支持POE供电。</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1"/>
                <w:szCs w:val="21"/>
                <w:u w:val="none"/>
                <w:lang w:val="en-US" w:eastAsia="zh-CN" w:bidi="ar"/>
              </w:rPr>
              <w:t>提供检验检测报告、提供样品、中标单位样品不退（教育局永久保存）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球机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内置2个镜头，可以输出两路视频图像，1路全景视频图像、1路细节视频图像</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内置2颗GPU芯片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视频输出支持2560×1440@25fps，分辨力不小于1400TVL，红外距离可达150米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在彩色模式下，当环境低照度降低至设定阈值，样机可自动开启白光灯补光，在白天、夜晚均可输出彩色视频图像</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细节镜头支持23倍光学变倍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支持最低照度可达彩色0.0002Lux，黑白0.0001Lux</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支持水平手控速度不小于550°/S，垂直速度不小于120°/S，云台定位精度为±0.1°</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水平旋转范围为360°连续旋转，垂直旋转范围为-20°~90°</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支持对镜头前盖玻璃加热，去除玻璃上的冰状和水状附着物。</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需具备智能分析抗干扰功能，当篮球、小狗、树叶等非人或车辆目标经过检测区域时，不会触发报警。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支持快捷配置功能，可在预览画面开启/关闭“快捷配置”页面，对曝光参数、OSD、智能资源分配模式等参数进行配置，并可一键恢复为默认设置。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支持循环跟踪功能，当全景视频图像中有多个目标触发报警事件后，细节视频图像可联动对多个目标循环跟踪。</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支持300个预置位，可按照所设置的预置位完成不小于8条巡航路径，支持不小于4条模式路径设置，支持预置位视频冻结功能；可实现RS485接口优先或RJ45网络接口优先控制功能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支持智能红外、透雾、强光抑制、电子防抖、数字降噪、防红外过曝功能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支持区域遮盖功能，支持设置不少于24个不规则四边形区域，可设置不同颜色</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球机应具备本机存储功能，支持SD卡热插拔，最大支持256GB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支持采用H.265、H.264视频编码标准，H.264编码支持Baseline/Main/High Profile，音频编码支持G.711ulaw/G.711alaw/G.726/G.722.1</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支持区域入侵、越界入侵、徘徊、物品移除、物品遗留、人员聚集、停车、快速移动，并联动报警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具备较好的防护性能环境适应性，支持IP67，6kV防浪涌，工作温度范围可达-40℃-70℃</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具备较好的电源适应性，电压在DC36V±30%范围内变化时，设备可正常工作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支持电源电压低于设定阈值时，可通过客户端软件或IE浏览器给出欠压报警提示，并可在预览界面显示报警图标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支持二维码功能检测，在IE浏览器下，可通过手机扫描预览界面上的二维码获取设备资料</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支持跟踪报警功能，可对监视画面中的多个目标进行跟踪，并可显示移动目标的属性（人、车、其他）；当移动目标进入监视画面时可报警上传，离开监视画面5s后解除报警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支持双路智能行为分析功能，全景通道和细节通道均支持区域入侵、越界侦测、进入区域、离开区域等SMART智能行为分析功能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支持白平衡参数锁定功能，可将白平衡参数锁定为当前设定值，锁定后白平衡参数值不应改变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支持图片合成功能，报警事件触发后，样机可联动全景视频图像与细节视频图像进行抓图，并将两张报警图片合成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支持定位联动功能，可自动标定全景视频图像与细节视频图像，使通过客户端软件或IE浏览器在全景视频图像中点击或框选任意区域后，在细节视频图像旋转角度范围允许的条件下，可将该区域处于细节视频图像中央，标定点数量不少于6个，且标定用时不大于1s；在设备正前方，距离1m处，报警声压最大值应≥80dB(A)</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支架</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鸭嘴支架</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监控电源</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小耳朵监控电源</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球机电源</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24V球机电源</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支架</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球机支架</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录像机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16路8盘位硬盘录像机</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硬盘</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8TB监控硬盘</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录像机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1.需支持≥64路H.264、H.265混合接入，输入带宽≥320M；</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 内置≥16个硬盘槽位，可满配≥10TB硬盘，支持RAID0、1、5、10，支持全局热备盘；</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 支持≥16路1080P解码，支持1/8、1/4、1/2、1、2、4、8、16、32、64、128、256等倍速回放录像，支持录像回放的剪辑和回放截图功能；</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 支持接入云台，并可以通过本地图形用户界面或者客户端软件实现云台的8个方向的转动、变倍、聚焦、巡航功能、预置点的设置与调用等功能；</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 支持秒级检索查看硬盘中录像文件，秒级检索录像文件中的人员、车辆、人体等活动目标，并以弹窗形式来展示活动目标关联的录像片段；</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 支持组合报警模式，可设置将NVR的报警输入口关联IPC的报警事件，只有当两个报警事件同时触发才能产生报警，组合报警模式支持遮挡报警、移动侦测、人脸抓拍、音频异常侦测报警事件；</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 支持设备级联，NVR接入NVR、DVR设备，选择通道添加；</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 支持本地预览权限的配置</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9. 支持报警事件、异常事件实时计数提醒，并以图标形式在监控界面上提醒用户。</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10. 具有≥2个HDMI输出接口、≥2个VGA输出接口，支持多屏输出功能，可设置≥4屏显示输出视频图像，其中HDMI和VGA接口可同源输出视频图像，不同HDMI或VGA接口之间可异源输出视频图像；</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11. 具有≥2个千兆网口、≥3个USB接口（其中≥1个USB3.0）、≥1个eSATA接口、≥16路报警输入、≥4路报警输出；；</w:t>
            </w:r>
          </w:p>
          <w:p>
            <w:pPr>
              <w:keepNext w:val="0"/>
              <w:keepLines w:val="0"/>
              <w:widowControl/>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12. 支持标准机架式安装，安装高度≤3U，工作温度范围不低于-10℃—＋55℃。需满足330路监控设备存储录像要求（需删除）</w:t>
            </w:r>
          </w:p>
          <w:p>
            <w:pPr>
              <w:keepNext w:val="0"/>
              <w:keepLines w:val="0"/>
              <w:widowControl/>
              <w:suppressLineNumbers w:val="0"/>
              <w:jc w:val="left"/>
              <w:textAlignment w:val="top"/>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.13.存储≥90天</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机柜</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12U墙上壁挂机柜</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机柜</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42U服务器机柜</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显示器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42寸 显示器（含壁挂架）</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监控箱</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监控专用箱（300*400mm）</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网线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安普 国标纯铜 过测  超五类 网线</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箱</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电源线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安普 国标无氧铜 2*1.0 纯铜 电源线</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卷</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水晶头</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特级水晶头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盒</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光纤线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24芯光纤线</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光端盒</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光端盒</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双联操作台</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双联操作台</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尾纤</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尾纤</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熔纤</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熔纤</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点</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16口千兆交换机</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SG108 网络标准：IEEE802.3/U/X/ab 10/100/1000Mbps自协商端口 支持QoS流量优化 千兆 8口交换机；工作环境 温蒂0-45度，湿度10%-90% 无凝结；</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 ≥24个千兆电口；支持存储转发，交换容量≥48Gbps，包转发率≥35Mpps；</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 支持通过管理平台和手机APP对交换机进行远程控制、状态查看、系统拓扑展示、管理、远程升级、远程重启；</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 支持通过管理平台对交换机间不同的连接方式进行系统拓扑识别，至少包括网线连接、光纤连接、无线连接；支持通过管理平台展示交换机间链路详情，包括传输速率、链路两端设备信息和链路带宽告警展示；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 支持通过管理平台和手机APP在网络拓扑中展示交换机详情，至少包括基本信息、交换机性能使用信息、交换机面板状态、端口信息；支持通过管理平台和手机APP在系统异常时实时推送交换机告警信息并展示告警内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 支持通过管理平台对交换机进行端口远距离传输配置，最远传输距离≥240米；支持对交换机进行高优先级端口配置，处于高优先级端口的数据会被优先转发。</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6.为保证设备兼容性，需与监控设备为同一品牌。</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收发器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HTB-GS-03 千兆 光纤收发器 10/100/1000M</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插线板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无线多孔插线板</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综合安防管理平台软件</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2"/>
              </w:numPr>
              <w:suppressLineNumbers w:val="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最少支持用户≥10000个，最大支持≥500个用户并发登录请求以及≥10000个用户同时在线。</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需支持组件集群高可用，包括但不限于：设备接入服务和智能设备接入服务集群高可用、媒体网关服务集群高可用、视频联网网关服务集群高可用、视频点播服务集群高可用。</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3、需支持以中心管理服务为核心的网络拓扑结构，支持对系统中的分组、服务器、组件等统计概览、查看</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4、需支持多色彩（红、橙、黄）展示运行告警状态，支持告警统计、概览、处理，支持告警记录查看、查询，支持告警单条、批量处理；</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5、要求支持本地安装、卸载组件，支持本地组件服务配置，回传配置信息；支持修改本地告警配置，从中心获取告警配置信息。</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6、要求监控点最少管理容量≥10000路。</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7、要求系统支持国标协议上下级平台级联，支持流媒体集群配置。</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8、要求支持接入SDK、ONVIF、GB/T28181等协议的设备。</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9、要求支持BS客户端、CS客户端视频预览，支持多浏览器实时预览。</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10、需支持在预览监控点画面时进行一键上墙、 云台控制、语音对讲。</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11、要求支持视频画面叠加水印，包括视频预览、录像回放、即时回放、录像剪辑、紧急录像和录像下载时叠加。</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12、要求最大支持管理电视墙≥100个，监控点上墙出图像耗时小于3秒。</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13、要求支持大屏控制，可对大屏进行1/4/9/16/25分屏、拼接、开窗、窗口漫游的操作，通过客户端支持电视墙开窗后支持分割，并可将大屏分屏配置另保存为场景。</w:t>
            </w:r>
          </w:p>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14、要求支持GB28181-2011/2016协议平台级联。15、本次监控路数授权≥10000路。需要完成与巴楚县县级安防管理平台对接，并完成后期画面上墙工作。</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平台服务器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1、2U双路标准机架式服务器。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2、CPU：1颗intel至强系列处理器，核数≥10核，主频≥2.2GHz。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3、内存：32G*2 DDR4，16根内存插槽，最大支持扩展至2TB内存。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4、硬盘：4块600G 10K 2.5寸 SAS硬盘。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5、阵列卡：SAS_HBA卡, 支持RAID 0/1/10。</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6、PCIE扩展：最大可支持6个PCIE扩展插槽。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7、网口：2个千兆电口。</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8、其他接口：1个RJ45管理接口，后置2个USB 3.0接口，前置2个USB2.0接口，1个VGA接口。</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9、电源：（1+1）高效铂金CRPS冗余电源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10.土工的服务器用于安装上述软件，保证软件安装后流畅运行</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校园广播设备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小合计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服务器设备</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控制主机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1.IP网络数字广播服务器软件的运行载体，是广播系统的控制中心。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安装在主控室，对整个广播系统进行实时有效的管理。工业级机柜式机箱设计，机箱采用钢结构，有较高的防磁、防尘、防冲击的能力；大于等于17英寸LED液晶显示屏，高分辨率(1920*1080)，内置五线工业加固触摸屏；内置抽拉键盘、触控鼠标面板；最高≥480M传输速率。3.自带2路千兆网卡，同时兼容百兆网络。自适应交换机连接系统；4.支持双显卡；5.具有一路短路触发开机运行接口，用于外部设备定时驱动开机运行，实现无人值守功能；6.支持操作系统配置通电自动开机、定时自动开机，定时自动关机功能；7.运载服务器软件后构成系统管理控制中心，服务器软件采用后台系统服务运行，开机系统即可自动运行；8.支持录音存储功能，可在后台自定义设置录音文件保存路径。9.触摸屏：10点电容触摸屏；10.芯片组：由于Intel B75；8.标准接口：6 x 串口；1xHDMI、1xVGA；8xUSB口；9.存储：支持3.5"、2.5"、国标硬盘，128G；10.内存：DDR3 1333/1600 MHz  大于等于16GB；11.网卡：2个Realtek GbE，1000M；12.网络协议：支持IPV6、IPV4网络协议；13.CPU：Intel Core  i5   3.10GHz 四核；14.系统音频信号信噪比：LINE：70dB；MIC：60dB；15.系统音频信号失真度：1KHz&lt;0.5%</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16.系统音频信号标准输入电平：LINE：300mV； MIC：5mV；17.系统音频信号标准输出电平：0dBV；优于以上参数产品均为适宜产品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数字化IP网络广播客户端管理软件</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产品用途</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广播系统管理和控制软件，安装于网络广播控制中心或计算机，是广播系统数据交换、系统运行和功能操作的综合管理平台。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1.软件是整个系统的运行核心，统一管理系统内所有音频终端，包括寻呼话筒、对讲终端、广播终端和消防接口设备，实时显示音频终端的IP地址、在线状态、任务状态、音量等运行状态。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3.管理节目库资源，为所有音频终端器提供定时播放和实时点播媒体服务，响应各终端的节目播放请求，为各音频工作站提供数据接口服务。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4.提供全双工语音数据交换，响应各对讲终端的呼叫和通话请求，支持一键呼叫、一键对讲、一键求助、一键报警等通话模式，支持自动接听、手动接听，支持自定义接听提示音。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6.支持终端短路输入联动触发，可任意设置联动触发方案和触发终端数量，触发方案包括短路输出、音乐播放、巡更警报等。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8.支持多套定时打铃方案同时启用，每套定时打铃方案支持多套任务同时进行，支持一键启用/停用所有方案。</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9.支持定时打铃功能，支持打铃方案克隆，任务执行与停止控制、定时任务禁用与启用功能。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10.支持定时巡更功能，支持自定义巡更任务的执行时间及重复周期，可自定义指示灯闪烁间隔时间0-30s。</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11.支持今日任务列表查看，轻松管理今日执行的所有定时任务信息和执行状态。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12.支持终端防拆报警，终端拆卸触发警报或其他终端联动触发警报；支持报警任务自动解除报警功能。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13.支持音频终端外控电源管理，支持定时打开和延时关闭；支持对灯光控制功能，可对灯光模式进行配置。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14.支持全区、分区消防联动，支持消防N±N模式，支持人工报警与数字报警。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15.支持统一管理终端登陆密码，支持多级优先级管理，并支持轻松自动授权。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16.支持多用户、任意级别的分控管理，实现远程节目播放管理。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17.支持多用户、多级别、指定权限、指定功能、指定终端对后台进行分类管理。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18.支持终端3、4制音控强切功能，（4线制音控需外接电源）。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19.网络广播系统支持IPV6、IPV4网络协议，可实现基于IPV6网络的终端广播、定时任务播放、远程喊话、对讲功能。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20.支持对8路功率分区终端进行功率控制分区设置，通过web页面后台或分控客户端均可轻松设置分区。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21.支持对终端设置时间显示配置，可设置0-6级别亮度值，可设置离线后不显示时间等模式。</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22.支持对终端设置不同的灯光模式，可分别自定义设置红灯亮、红灯灭、绿灯/蓝灯亮、绿灯/蓝灯灭时间0.1S-10S。</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23.支持配置终端冻结时间，在终端被冻结期间禁止终端执行任务，适用于考试或休息等场景。</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24.支持广播、对讲、实时采集、终端监听进行录音。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25.支持远程遥控点播功能，实现操场远程遥控点播。</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26.支持终端音频采播功能，实现听力考试语音文件采播。</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27.支持本地音频采集功能，播放到任意指定终端。</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28.支持离线定时打铃功能，实现断网时终端托管执行定时打铃任务；支持定时打铃任务离线下载。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29.支持设置节假日或特殊日期，实现指定时间停用所有定时任务。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30.支持广播接收方提示音，广播接收方响应广播任务时，加入“叮咚”提示音。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31.扩展支持电话广播功能，实现电话发起全区广播、分区广播、终端对讲的功能。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32.支持文本广播功能，可实现将文本转成语音，支持后台调整语速、设置播放语音功能。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33.支持配置指定终端在指定时间段内启用考试模式，考试模式下，数模备份能进行相互切换，支持一键结束所有设备的考试模式。</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34.支持对终端进行远程固件升级，无需到终端本地升级，减轻维护人员工作强度。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35.支持后台换肤功能，可根据喜好自由切换皮肤主题。</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36.支持多语言功能，支持中文、繁体中文、英文、韩文等。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37.支持终端明细导出功能，支持通过表格方式导出当前系统终端的配置详情，为系统管理带来方便。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38.支持批量修改定时任务的时间、音量、执行终端。</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39.扩展支持手机移动端WIFI点播、广播、对讲功能，兼容Android和IOS系统手机APP进行操作。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40.支持提供二次软件开发包、提供标准MFC动态链接库和HTTP协议，实现与第三方平台整合。</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41.支持对接高精准基于GPS的定时系统，可脱离因特网独立进行广播系统授时，使得系统时间误差每年小于1/300000秒。</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42.支持电子地图功能，在地图/导览图上可实时查看终端状态。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43.支持在线地图功能，可直接使用百度地图实现在地图上实时查看终端状态。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44.支持终端自定义区域划分，实现对终端的实时状态分区域管理。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45.日志记录系统运行状态，实时记录系统运行及终端工作状态，每次呼叫、通话和广播操作均有记录。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46.支持媒体文件分类分用户管理，可配置公有/私有文件夹，私有文件单独使用。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47.系统兼容路由器、交换机、网桥网关、Modem、Internet、2G、3G、4G等任意网络结构。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48.Windows服务模式，支持win7及更高版本系统。</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49.采用后台系统服务运行，是企业级的标准服务器工作模式，开机系统即可自动运行，相比运行在界面前台的软件具有更高的稳定性和可靠性。优于以上参数产品均为适宜产品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音源设备</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话筒</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话筒带前奏音（开启时，有前奏音乐放出），具备有灯环提示功能，具有良好的抗手机、电磁、高频干扰能力。</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1.换能方式：驻极体</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2.指向性：心型指向</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3.频率响应：40Hz-16kHz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4.灵敏度：-43dB±2dB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5.前奏音灵敏度：-50dB±2dB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6.钟声提示：带钟声提示功能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7.线材配备：10米（卡农母头转6.35音频线）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8.电源：~AC 220/50Hz（电源适配器DC 11.4V）；电池：DC9V</w:t>
            </w:r>
          </w:p>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CD播放器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1.标准机箱尺寸设计，1U高度铝合金面板；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2.微电脑控制，支持轻触式面板按键操作、或红外遥控器控制操作。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3.吸入式机芯，防尘效果更好，使用寿命更长；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4.高亮度动态VFD荧光显示，清晰醒目；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5.采用数码机芯，系统+ESS解码方案，超强纠错功能；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6.自动播放控制，全数码伺服；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7.可播放：CD/VCD/ MP3/DVD碟片；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8.1路音频信号左右声道（L /R）输出；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9.内置宽频高保真监听扬声器，音质丰满、清晰；并设有监听音量调节旋钮，音量可调；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10.内置MP3播放器，可读USB和SD卡；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1.电源：~220V / 50Hz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2.电源功耗：30W±5优于以上参数产品均为适宜产品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调谐器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1.机柜式需手动控制的AM/FM数字收音机；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2.为广播系统提供音源。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1.标准机柜式设计（1U），黑色氧化铝拉丝面板，人性化的抽手，考究的工艺，尽显高档气质；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2.高亮度动态VFD荧光显示，清晰醒目，微电脑控制，轻触式按键操作；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3.调频、调幅（AM/FM）立体声二波段接收可选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4.电台频率自动搜索存储功能，且有断电记忆功能；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5.采用石英锁相环路频率合成器式调谐回路技术，接收频率精确稳定；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6.两组接收天线输入：AM接收天线输入；FM接收天线75Ω输入；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7.1路音频信号左右声道（L /R）输出；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8.可通过面板按键或红外遥控器控制操作。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1.电源：～220V / 50Hz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2.电源功耗：30W±5优于以上参数产品均为适宜产品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调音台</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1.专业型紧凑式调音台，采用超低噪声离散式麦克风前置放大器和+48V幻象电源，功能强大齐全，音质动听。</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2.提供4路Mic输入接口兼容4路线路输入接口，话筒输入接口带48V幻象电源。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3.提供4组立体线性输入，可连接立体设备。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4.每路单声道输入通道设有3段EQ，设有峰值LED指示灯。</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5.提供1组立体声主输出、1组辅助输出、1组立体声监听输出、1路耳机监听输出、1组CD/Tape输出。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6.内置24位DSP效果器，提供100种预设效果。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1.麦克风输入：4路（4个卡侬接口）2.线路输入：4路单插单声道/立体声自动切换混合接口3.立体声输入：4组（8路单声道）4.CD/Tape输入：1路CD/TAPE RCA立体声输入接口</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5.输出通路：1组立体声主输出、1组辅助输出、1组立体声监听输出、1路耳机监听输出、1组CD/Tape输出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6.效果器：24位DSP效果器（包括人声、小房子、大厅、回声、回声+回响、盘子、声乐板、合唱GTR，旋转GTR、颤音GTR类型），100种预设效果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7.幻象电源：+48V带开关8.频率响应：20Hz-20kHz，±3dB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9.失真度：&lt;0.003%（A-weighted）10.麦克风均衡输入噪音：-119dB（A-weighted）11.共模抑制比：60dB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12.单通道输入增益：MIC：0 to 48dB，LINE:-33 to+15dB13.立体通道输入增益：LINE：-8 to+6dB14.主混音串音：-87dBu（A-weighted）15.通道串音：-85dBu（A-weighted）16.最大输出水平：+20dBu17.MIC输入高通滤波：75Hz，18dB/oct18.单通道均衡：高频：±15dB@12KHz；中频：±12dB@2.5KHz；低频：±15dB@80Hz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19.电源：外接AC18V/1A（AC 230-240V 50/60Hz）电源适配器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20.功耗：≤18W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IP音频采集器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专为IP网络广播系统采集外部模拟音频信号设计，可将模拟音频采集编码成数字音频，通过网络传输到指定区域终端播放。</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1.全铝外壳工艺，体积小巧精致，坚固耐用。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2.设备采用嵌入式计算机技术和DSP音频处理技术设计。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3.内置网络硬件音频编码模块，支持TCP/IP、UDP协议，实现网络化传输16位CD音质的音频信号。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4.内置2组RCA输入端子，带输入音量调节，灵活适配多种不同灵敏度音频设备，支持输入音频压限功能。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5.支持5分区独立触发打开或关闭采集功能，面板带有5个分区触发按键及指示灯。</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6.支持定时采播任务、临时采播任务，采播任务优先级别可通过服务器设置。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支持“普通采播”、“中级采播”和“高级采播”三种采播模式，“普通采播”，可获得极低延迟的网络音频采集效果，“中级采播”可获得低延迟一般音质的网络采集效果，“高级采播”，可获得极低失真率的网络音频采集效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8.支持路由器、交换机、网桥网关、Modem、Internet、2G、3G、4G等任意网络结构。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9.支持广播系统对终端进行远程固件升级，无需到终端本地升级，减轻维护人员工作强度。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10.支持音频触发采集任务；可通过服务器的采集配置，实现AUX输入自动触发采集任务。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1.网络接口：标准RJ45输入2.支持协议：TCP/IP，UDP3.音频格式：MP3、PCM4.采样率：8KHz~48KHz5.传输速率：100Mbps6.音频模式：ADPCM PCM7.输入频率：80Hz～16KHz   +1/-3dB8.AUX输入灵敏度：350mV 标准莲花座输入接口（非平衡）9.AUX声压触发阀值：≥10MV10.谐波失真：≤0.3%11.信噪比：≥68dB12.环境温度：5℃～40℃13.环境湿度：20%～80%相对湿度，无结露14.功耗：≤10W15.输入电源：DC12V/1A</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寻呼话筒</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适用于各种呼叫中心、报警中心、值班室、领导办公室、会议室等场合，可以对网络中的各种终端进行单向(对点，分区或者全区)喊话，双向对讲和监听。</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1.桌面式设计，自带电阻触屏。显示清晰，触感灵敏。人性化的人机操作界面。</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2.自带数字键，功能键界面。支持呼叫分区及多个分区，呼叫全区广播；支持直接操作呼叫或对讲任意终端；支持直接操作监听（环境监听）任意终端根据实际环境</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3.采用嵌入式计算机技术和DSP音频处理技术设计。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4.内置1路网络硬件音频解码模块，支持TCP/IP、UDP协议，实现网络化传输16位CD音质的音频信号。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5.兼容路由器、交换机、网桥网关、Modem、Internet、2G、3G、4G等任意网络结构。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6.支持全双工双向对讲功能，自带网络回声消除模块；IP终端之间实现两两双向对讲，延时低于100ms；同时网络回声啸叫彻底抑制。</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7.支持求助信号铃声、闪灯提示，一键接受求助、对讲功能，同时也可以支持免提通话和接收广播，实现快速链接。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8.支持多种呼叫策略，包括无响应转移、占线转移、关机转移。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9.支持自动接听、手动接听，支持自定义接听提示音。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10.支持转移时间、无人接听时间、呼叫等待时间自定义。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11.内置2W全频高保真扬声器，实现双向通话和网络监听。</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12.一个φ3.5耳机插座和一个φ3.5MIC输入插座，匹配市场上95%的耳机和便携式麦克风。</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13.一路音频线路输出，外扩功率放大器；一路音频线路输入，提供多音源传输。</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14.一路报警触发短路输出，级联外扩警示设备或控制门禁；一路短路输入，可以用作触发预置语音提示（或报警），亦可用于控制门禁联动输入短路信号。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15.数字化产品，扩容方便，不受地理位置限制，无需增加机房管理设备，采用共网免线路施工的设计理念，安装简便。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16.支持广播系统对终端进行远程固件升级，无需到终端本地升级，减轻维护人员工作强度。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17.可支持按键自定义一键呼叫广播功能。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1.网络接口：标准RJ45输入2.支持协议：TCP/IP，UDP3.网络协议：支持IPv6、IPv4网络协议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4.音频格式：MP35.采样率：8KHz~48KHz6.传输速率：100Mbps7.音频模式：16位CD音质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8.显示屏尺寸：7英寸9.屏幕分辨率：800 x 480 像素10.屏幕类型：65K色DGUS屏11.键盘类型：虚拟QWERTY键12.键盘输入方式：触控13.内接扬声器阻抗及额定功率：4Ω，2W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14.总偕波失真：≤1%15.内置喇叭频率响应：317Hz~3.4KHz  +1/-3dB16.LIEN OUT频率响应：80Hz~16KHz  +1/-3dB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17.信噪比：&gt;65dB18.PHONE OUT输出阻抗及额定功率：32Ω，2mW19.LINE OUT 输出电平：1000mV 工业标准压线接线端子20.LINE OUT 输出阻抗：470Ω21.LINE IN输入灵敏度：350mV  工业标准压线接线端子22.MIC输入灵敏度（非平衡）：10mV23.短路输入：干接点输入24.短路输出：最大1A/30VDC干接点25.工作温度：5℃～40℃</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26.工作湿度：20%～80%相对湿度，无结露27.整机功耗：≤6W28.输入电源：～190V-240V 50Hz-60Hz(电源适配器);DC24V/1.5A优于以上参数产品均为适宜产品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联动报警设备</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采集器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产品介绍</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设置于消防中心，用于采集消防报警短路信号。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1.标准机柜式设计，1U高度，高档拉丝铝合金面板，工艺考究，尽显高档气质。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2.设备采用嵌入式计算机技术和DSP音频处理技术设计。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3.支持16路消防短路信号输入，可无限扩展输入接口，方便更大的系统使用。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4.面板支持一键取消任务。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5.支持后台设置报警策略，可为每路短路信号输入端口配置报警策略，关联联动的终端及播放曲目等功能。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6.标配网络接口，全速率连接最高可达1000M。</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7.支持广播系统对终端进行远程固件升级，无需到终端本地升级，减轻维护人员工作强度。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1.网络接口：标准RJ45输入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2.传输速率：100Mbps</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3.支持协议：TCP/IP、UDP</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4.短路接口：工业标准压线接线端子</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5.功耗：≤20W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6.输入电源：～190V-240V 50Hz-60Hz</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其它配套设备</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IP网络音箱</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适用于普通教室，多媒体教室，办公室，会议室，监狱，医院科室，地铁等场所播放录制语音文件或背景音乐节目。同时还可以作为本地广播扩音。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1.专业一体化壁挂式音箱设计，箱体符合声音共振原理设计理念；十分美观大方。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2.设备采用嵌入式计算机技术和DSP音频处理技术设计。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3.内置1路网络硬件音频解码模块，支持TCP/IP、UDP，实现网络化传输16位CD音质的音频信号。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4.内置2 x 20W（MAX）的双通道数字功率放大器，一路接主音箱，一路外接到副音箱；音质非常细腻，功率强劲；具有网络音量设置。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5.具备有1路线路（AUX）输入接口，具有独立的音量电位器控制，支持断网本地寻呼功能；同时支持缄默强度预置减少功能，支持背景伴奏预置功能。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6.可扩展2.4G无线音频模块，实现2.4G无线麦克风进行本地扩音。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7.可扩展连接蓝牙接收器实现接收蓝牙音频进行本地扩声。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8.内置2级优先设置：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1）网络报警信号优先AUX和网络背景音乐信号。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2）AUX优先网络背景音乐信号。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9.兼容路由器、交换机、网桥网关、Modem、Internet、2G、3G、4G等任意网络结构。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10.数字化产品，扩容方便，不受地理位置限制，无需增加机房管理设备，采用共网免线路施工的设计理念，安装简便。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11.支持广播系统对终端进行远程固件升级，无需到终端本地升级，减轻维护人员工作强度。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 网络接口：标准RJ45输入2. 传输速率：100Mbps3. 支持协议：TCP/IP，UDP4. 音频格式：MP3</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 音频模式：16位CD音质6. 采样率：8KHz～48KHz7. AUX输入灵敏度：350mV  (非平衡）8. 频率响应：80Hz～16KHz   +1/-3dB9. 谐波失真：≤1%</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 信噪比：＞65dB11. 整机功耗：≤50W12. 保护电路：过载、短路保护电路15. 工作电源：～190V-240V 50Hz-60Hz,优于以上参数产品均为适宜产品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电源时序器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为广播系统其它设备提供电源供电，并可结合系统主机进行电源上、断电管理的设备。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1.标准机柜式设计（2U），黑色氧化铝拉丝面板，人性化的抽手，考究的工艺，尽显高档气质。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2.16路电源输出，每路输出AC 220V(10A)， 电源插口总容量达 6000W。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3.设有电子锁开关，可手动控制16个电源上断电；也可与定时器、智能控制器相连接，实现自动控制；支持配置CH1和CH2通道为受控或不受控状态。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4.16路电源插座依次间隔1秒打开。</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5.有24V消防信号输入接口；有消防短路报警触发信号输出。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1.电源：AC ~220V  50Hz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2.电源功耗：50W,优于以上参数产品均为适宜产品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控制电脑</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台式电脑（cpu I5 8G内存 512G固态SSD 2G独立显卡 Win7操作系统）含23.8英寸高清显示器、键鼠,优于以上参数产品均为适宜产品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设备机柜</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42U</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网络交换机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16口全千兆非网管交换机</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二、广播分控设备（暂设3套，设置于教师办公室、教务处等）</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IP网络广播系统分控软件</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分控工作站软件是利用IP网络（局域网、广域网）远程登录到服务器，实现远程音频播放，实时采播、会话管理、广播室讲话等功能。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1.数字客户端分控软件运行于Windows操作系统的台式电脑或笔记本电脑（兼容(win7s等版本)），用户登陆通过系统服务器的权限验证即可进行对广播系统的控制。</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2.客户端软件利用网络（局域网、广域网）远程登录到服务器，支持多套客户端软件同时登录到服务器，各套客户端软件独立工作。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3.可实现终端状态查看、音频播放、监听、广播及对讲、会话状态监控等功能。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4.支持创建文本广播任务，可实现将文本转成语音，支持后台调整语速、设置播放语音、循环次数的功能。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5.支持创建声卡采集任务，可通过分控客户端所在电脑的声卡进行实时采播，并且支持将采播的内容进行录音存储。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6.支持远程对某终端/分区或全区进行实时的寻呼广播，支持选择网络寻呼话筒进行实时对讲。</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7.支持临时定时任务配置和管理，提供多种音源选择（音乐播放、声卡采集、终端采集）。</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8.支持媒体文件分类分用户管理，可配置公有/私有文件夹，私有文件单独使用。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9.支持一键触发报警任务，后台预置报警任务，紧急时刻客户端一键触发。支持人工报警弹窗提醒。,优于以上参数产品均为适宜产品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寻呼话筒</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适用于各种呼叫中心、报警中心、值班室、领导办公室、会议室等场合，可以对网络中的各种终端进行单向(对点，分区或者全区)喊话，双向对讲和监听。</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1.桌面式设计，自带7英寸800 x 480的图形点阵K600+内核65K色显示的电阻触屏。显示清晰，触感灵敏。人性化的人机操作界面。</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2.自带数字键，功能键界面。支持呼叫分区及多个分区，呼叫全区广播；支持直接操作呼叫或对讲任意终端；支持直接操作监听（环境监听）任意终端根据实际环境，监听距离达到5m。</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3.采用嵌入式计算机技术和DSP音频处理技术设计。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4.内置1路网络硬件音频解码模块，支持TCP/IP、UDP协议，实现网络化传输16位CD音质的音频信号。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5.兼容路由器、交换机、网桥网关、Modem、Internet、2G、3G、4G等任意网络结构。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6.支持全双工双向对讲功能，自带网络回声消除模块；IP终端之间实现两两双向对讲，延时低于100ms；同时网络回声啸叫彻底抑制。</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7.支持求助信号铃声、闪灯提示，一键接受求助、对讲功能，同时也可以支持免提通话和接收广播，实现快速链接。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8.支持多种呼叫策略，包括无响应转移、占线转移、关机转移。</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9.支持自动接听、手动接听，支持自定义接听提示音。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10.支持转移时间、无人接听时间、呼叫等待时间自定义。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11.内置2W全频高保真扬声器，实现双向通话和网络监听。</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12.一个φ3.5耳机插座和一个φ3.5MIC输入插座，匹配市场上95%的耳机和便携式麦克风。</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13.一路音频线路输出，外扩功率放大器；一路音频线路输入，提供多音源传输。</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14.一路报警触发短路输出，级联外扩警示设备或控制门禁；一路短路输入，可以用作触发预置语音提示（或报警），亦可用于控制门禁联动输入短路信号。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15.数字化产品，扩容方便，不受地理位置限制，无需增加机房管理设备，采用共网免线路施工的设计理念，安装简便。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16.支持广播系统对终端进行远程固件升级，无需到终端本地升级，减轻维护人员工作强度。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17.可支持10个按键自定义一键呼叫广播功能。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1.网络接口：标准RJ45输入2.支持协议：TCP/IP，UDP3.网络协议：支持IPv6、IPv4网络协议4.音频格式：MP35.传输速率：100Mbps7.音频模式：16位CD音质8.显示屏尺寸≥7英寸</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9.键盘类型：虚拟QWERTY键盘，触控.整机功耗：≤6W,优于以上参数产品均为适宜产品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三、前端设备</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教学楼</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IP网络音箱</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适用于普通教室，多媒体教室，办公室，会议室，监狱，医院科室，地铁等场所播放录制语音文件或背景音乐节目。同时还可以作为本地广播扩音。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1.专业一体化壁挂式音箱设计，箱体符合声音共振原理设计理念；十分美观大方。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2.设备采用嵌入式计算机技术和DSP音频处理技术设计。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3.内置1路网络硬件音频解码模块，支持TCP/IP、UDP，实现网络化传输16位CD音质的音频信号。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4.内置2 x 20W（MAX）的双通道数字功率放大器，一路接主音箱，一路外接到副音箱；音质非常细腻，功率强劲；具有网络音量设置。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5.具备有1路线路（AUX）输入接口，具有独立的音量电位器控制，支持断网本地寻呼功能；同时支持缄默强度预置减少功能，支持背景伴奏预置功能。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6.可扩展2.4G无线音频模块，实现2.4G无线麦克风进行本地扩音。</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7.可扩展连接蓝牙接收器实现接收蓝牙音频进行本地扩声。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8.内置2级优先设置：</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 xml:space="preserve">1）网络报警信号优先AUX和网络背景音乐信号。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2）AUX优先网络背景音乐信号。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9.兼容路由器、交换机、网桥网关、Modem、Internet、2G、3G、4G等任意网络结构。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10.数字化产品，扩容方便，不受地理位置限制，无需增加机房管理设备，采用共网免线路施工的设计理念，安装简便。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11.支持广播系统对终端进行远程固件升级，无需到终端本地升级，减轻维护人员工作强度。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 网络接口：标准RJ45输入2. 传输速率：100Mbps3. 支持协议：TCP/IP，UDP4. 音频格式：MP3</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 音频模式：16位CD音质6. 采样率：8KHz～48KHz7. AUX输入灵敏度：350mV  (非平衡）8. 频率响应：80Hz～16KHz   +1/-3dB9. 谐波失真：≤1%</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 信噪比：＞65dB11. 整机功耗：≤50W12. 保护电路：过载、短路保护电路15. 工作电源：～190V-240V 50Hz-60Hz,优于以上参数产品均为适宜产品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对</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53</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IP网络功放终端</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安装在各个广播管理区域的弱电间或分控机房，内置高保真功率放大器，用于大厅、走廊、室外等区域的节目播放和本地广播。</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1.标准19英寸机架设计，黑色氧化铝拉丝面板，坚固的抽手，专业的机械组装工艺，机器外观非常高档。</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2.工业级3.4英寸LCD显示屏，可以清晰显示大多数点阵图案和机器工作状态；配备红外遥控器，点播服务器节目库任意内容，可控制播放/暂停，操作灵活简单。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3.设备采用嵌入式计算机技术和DSP音频处理技术设计。</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4.内置1路网络硬件音频解码模块，支持TCP/IP、UDP，实现网络化传输16位CD音质的音频信号。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5.内置高保真专业数字功放，具有60W定压100V功率输出。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6.1路线路（AUX）和1路话筒（MIC）输入接口，具有独立的音量和高低音调节电位器控制，支持断网本地寻呼功能。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10.内置智能电源管理，无音乐或呼叫时，自动切断功放电源，有信号时自动打开功放电源，支持IP软件编程预打开功放电源功能。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11.内置3级优先设置：EMC为最高优先。网络报警信号优先MIC,AUX和网络背景音乐信号。MIC优先AUX和网络背景音乐信号。AUX和网络背景音乐为同级，无任何优先。</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12.支持缄默强度预置减少功能，支持背景伴奏预置功能；支持状态灯显示，包括电平指示灯、保护指示灯、待机指示灯等。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13.兼容路由器、交换机、网桥网关、Modem、Internet、2G、3G、4G等任意网络结构。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14.数字化产品，扩容方便，不受地理位置限制，无需增加机房管理设备，采用共网免线路施工的设计理念，安装简便。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15.支持广播系统对终端进行远程固件升级，无需到终端本地升级，减轻维护人员工作强度。</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16.具有USB播放功能，接入U盘。可遥控播放任意一首歌曲和播放上一曲、下一曲、暂停、停止等功能（或选择面板按键操作）。</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17、自带1路100V定压功率备份输入接口，可灵活组成一主多备、多主一备、多主多备的高可靠公共打铃系统。</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18、内置高性能主/备切换检测模块，断网断电以及本机故障时0.3秒内切换到备份功率输入，满足高可靠公共打铃系统需求。</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技术参数1.网络接口：标准RJ45输入：2.传输速率：100Mbps3.支持协议：TCP/IP，UDP4.音频格式：MP35.音频模式：16位CD音质5.高音提升、衰减：±10dB6.低音提升、衰减：±10dB7.谐波失真：≤1%8.输入电源：~220V 50Hz,优于以上参数产品均为适宜产品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壁挂音箱</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产品特点：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室内壁挂音箱，流线型外观，声音辐射角度大，采用全频设计，使用于学校，酒店，宾馆，超市等。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1．额定功率（100V）：3W,6W,10W；2．额定功率（70V）：1.5W,3W,5W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3．灵敏度：91dB±3dB；4．阻抗：COM/3.3KΩ/1.7KΩ/1KΩ</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5．频率响应：130-18KHz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6．喇叭单元：6.5"×1；7．防护等级：IP5X,优于以上参数产品均为适宜产品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只</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食堂</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网络音柱</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数字网络解码模块与音柱一体化设计，铝合金防水防锈外壳结构；安装在各个广播管理区域的户外立柱，用于公园、广场、街道、旅游景点等户外场所的节目播放及本地广播。</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功能特点：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1.专业的一体化结构设计，良好的箱体密封性能，快速传导的全铜镀镍接地柱。符合户外恶劣环境的使用及安全要求，且符合IP54防护等级认证要求。</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2.内置一路网络数字音频解码模块，支持IP/TCP、UDP、IGMP(组播)等通讯协议，实现网络化传输16位CD音质的音频信号。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3.内置数字功率放大器模块，音质细腻，功率强劲。</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4.支持服务器统一授权操作管理功能，统一配置管理用户及密码功能；支持100级自定义音频优先级默音控制功能。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5.支持局域网和广域网应用，兼容路由器、交换机、网桥网关、Modem、Internet、2G、3G、4G、组播、单播等任意网络架构。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6.数字化产品，扩容方便，不受地理位置限制，无需增加机房管理设备，采用共网免线路施工的设计理念，安装简便。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7.支持现场电压过高（254V±5%），自动断电保护；当电压恢复正常，可以自动上电重新上线，增加设备使用寿命。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8.支持现场设备不接地线情况，当终端空闲时，会自动播放提示音；当正常接地后，设备才不再继续提示；可以预防户外雷电天气，不接地状态下，有概率损坏设备。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*可定制DC24V供电，以满足户外太阳能蓄电池供电需求。</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1.网络接口：标准RJ45输入；2.支持协议：TCP/IP，UDP；3.音频格式：MP3；4.采样率：8K～48KHz；5.传输速率：100Mbps；6.音频模式：16位CD音质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7.额定功率：30W 8.工作电压：～220V 50Hz 9.整机功耗：≤50W  10.喇叭单元：4”×2,</w:t>
            </w:r>
          </w:p>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优于以上参数产品均为适宜产品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室外</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网络音柱</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数字网络解码模块与音柱一体化设计，铝合金防水防锈外壳结构；安装在各个广播管理区域的户外立柱，用于公园、广场、街道、旅游景点等户外场所的节目播放及本地广播。</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功能特点：</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1.专业的一体化结构设计，良好的箱体密封性能，快速传导的全铜镀镍接地柱。符合户外恶劣环境的使用及安全要求，且符合IP54防护等级认证要求。</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2.内置一路网络数字音频解码模块，支持IP/TCP、UDP、IGMP(组播)等通讯协议，实现网络化传输16位CD音质的音频信号。</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3.内置数字功率放大器模块，音质细腻，功率强劲。</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4.支持服务器统一授权操作管理功能，统一配置管理用户及密码功能；支持100级自定义音频优先级默音控制功能。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5.支持局域网和广域网应用，兼容路由器、交换机、网桥网关、Modem、Internet、2G、3G、4G、组播、单播等任意网络架构。</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6.数字化产品，扩容方便，不受地理位置限制，无需增加机房管理设备，采用共网免线路施工的设计理念，安装简便。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7.支持现场电压过高（254V±5%），自动断电保护；当电压恢复正常，可以自动上电重新上线，增加设备使用寿命。</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8.支持现场设备不接地线情况，当终端空闲时，会自动播放提示音；当正常接地后，设备才不再继续提示；可以预防户外雷电天气，不接地状态下，有概率损坏设备。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*可定制DC24V供电，以满足户外太阳能蓄电池供电需求。</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技术参数：</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1.网络接口：标准RJ45输入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2.支持协议：TCP/IP，UDP</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3.音频格式：MP3</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4.采样率：8K～48KHz</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5.传输速率：100Mbps</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6.音频模式：16位CD音质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7.额定功率：60W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8.最大功率：240W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9.总偕波失真：≤1%</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10.频率响应：130Hz～16KHz  +1dB/-3dB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11.信噪比：≥65dB</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12.防护等级：IP54</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13.整机功耗：≤102W</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14.喇叭单元：4”×4</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四、辅助材料</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b/>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音频连接线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 1.8米音频连接线：莲花（RCA）-6.35话筒插头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条</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音频连接线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 1.8米音频连接线：3.5（耳机插头）-双6.35话筒插头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条</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网络交换机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16口全千兆非网管交换机</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前端楼层功放交换机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共用楼层弱电间交换机（8口千兆）</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前端设备机柜</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19英寸24U共用楼层弱电间设备机柜</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网线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六类网线、非屏蔽纯铜线千兆网线，305米/箱</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箱</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水晶头</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六类水晶头 RJ45工程类千兆水晶头 100个/盒</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盒</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广播喇叭线</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国标环保纯铜电线电缆RVV2*1.5</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卷</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71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电源线</w:t>
            </w:r>
          </w:p>
        </w:tc>
        <w:tc>
          <w:tcPr>
            <w:tcW w:w="66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国标环保纯铜铜芯电源线 RVV2*1.5</w:t>
            </w:r>
          </w:p>
        </w:tc>
        <w:tc>
          <w:tcPr>
            <w:tcW w:w="6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卷</w:t>
            </w:r>
          </w:p>
        </w:tc>
        <w:tc>
          <w:tcPr>
            <w:tcW w:w="68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804"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其他设备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业务管理交换机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万兆交换机，24个10/100/1000Base-T自适应电口，4个万兆SFP+光口；交换容量336Gbps/3.36Tbps，包转发率108Mpps/126Mpps，支持全端口线速转发；支持aNAC统一管理、统一查看状态、VLAN等配置管理；支持终端识别、终端准入、安全防护及安全画像可视；支持胖瘦一体化，含：交换机管理平台软件(1套);M线缆(1个);产品质保(3年);软件升级(3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存储组网交换机</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万兆交换机，12个万兆光口，12个千兆电口；交换容量1.28Tbps/12.8Tbps， 包转发率480Mpps；支持全端口线速转发；支持aNAC统一管理、统一查看状态、VLAN、堆叠等配置管理；支持终端识别、终端准入、安全防护及安全画像可视；支持胖瘦一体化</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含：交换机管理平台软件(1套);线缆(1个);产品质保(3年);软件升级(3年);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超融合服务器</w:t>
            </w: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硬件参数：规格：2U，CPU：2颗Gold 6226R 2.9 GHz（16C），内存：4*32GB DDR4 2666，系统盘：2*240GB SATA SSD，标配盘位数：12，电源：冗余电源，接口：6千兆电口+2万兆光口。</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含：光纤线-多模-LC-LC-5M(2个);万兆多模-850-300m-双纤(4个);固态硬盘：960G-SSD（混合型）(2个);机械硬盘8T(2个);产品质保(3年);软件升级(3年);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深信服计算服务器虚拟化软件V6.0</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深信服虚拟存储软件V3.0</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授权销售key-金色</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025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备注：一、监控设备保证两所学校各视频保存90天或90天以上、达到相关部门相关要求。含线槽、双面胶、PVC管、弯头，扎丝、铁丝、电胶布、膨胀螺丝等等辅材及安装调试费用。</w:t>
            </w:r>
          </w:p>
        </w:tc>
      </w:tr>
    </w:tbl>
    <w:p>
      <w:pPr>
        <w:kinsoku w:val="0"/>
        <w:overflowPunct w:val="0"/>
        <w:jc w:val="center"/>
        <w:rPr>
          <w:rFonts w:hint="eastAsia" w:ascii="宋体" w:hAnsi="宋体" w:cs="宋体"/>
          <w:color w:val="000000"/>
          <w:sz w:val="24"/>
          <w:highlight w:val="none"/>
        </w:rPr>
      </w:pPr>
    </w:p>
    <w:p>
      <w:pPr>
        <w:pStyle w:val="4"/>
        <w:jc w:val="left"/>
        <w:rPr>
          <w:rFonts w:hint="eastAsia"/>
          <w:sz w:val="32"/>
          <w:szCs w:val="20"/>
          <w:highlight w:val="none"/>
          <w:lang w:val="en-US" w:eastAsia="zh-CN"/>
        </w:rPr>
      </w:pPr>
      <w:r>
        <w:rPr>
          <w:rFonts w:hint="eastAsia"/>
          <w:sz w:val="32"/>
          <w:szCs w:val="20"/>
          <w:highlight w:val="none"/>
          <w:lang w:val="en-US" w:eastAsia="zh-CN"/>
        </w:rPr>
        <w:t>附件：</w:t>
      </w:r>
    </w:p>
    <w:p>
      <w:pPr>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班班通设备技术参数</w:t>
      </w:r>
    </w:p>
    <w:p>
      <w:pPr>
        <w:pStyle w:val="5"/>
        <w:rPr>
          <w:rFonts w:hint="default"/>
          <w:lang w:val="en-US" w:eastAsia="zh-CN"/>
        </w:rPr>
      </w:pPr>
    </w:p>
    <w:p>
      <w:pPr>
        <w:pageBreakBefore w:val="0"/>
        <w:kinsoku/>
        <w:wordWrap/>
        <w:overflowPunct/>
        <w:topLinePunct w:val="0"/>
        <w:autoSpaceDE/>
        <w:autoSpaceDN/>
        <w:bidi w:val="0"/>
        <w:adjustRightInd/>
        <w:spacing w:line="400" w:lineRule="exact"/>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一、硬件部分</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1.外观一体化设计，外部无任何可见内部功能模块连接线。</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2.屏幕显示尺寸： ≥</w:t>
      </w:r>
      <w:r>
        <w:rPr>
          <w:rFonts w:hint="eastAsia" w:ascii="仿宋_GB2312" w:eastAsia="仿宋_GB2312" w:cs="Times New Roman"/>
          <w:b w:val="0"/>
          <w:bCs/>
          <w:sz w:val="24"/>
          <w:highlight w:val="none"/>
          <w:lang w:val="en-US" w:eastAsia="zh-CN"/>
        </w:rPr>
        <w:t>75</w:t>
      </w:r>
      <w:r>
        <w:rPr>
          <w:rFonts w:hint="default" w:ascii="仿宋_GB2312" w:hAnsi="Times New Roman" w:eastAsia="仿宋_GB2312" w:cs="Times New Roman"/>
          <w:b w:val="0"/>
          <w:bCs/>
          <w:sz w:val="24"/>
          <w:highlight w:val="none"/>
          <w:lang w:val="en-US" w:eastAsia="zh-CN"/>
        </w:rPr>
        <w:t>英寸A规屏幕，显示比例16:9，具备防眩光效果。整机屏幕采用钢化玻璃</w:t>
      </w:r>
      <w:r>
        <w:rPr>
          <w:rFonts w:hint="eastAsia" w:ascii="仿宋_GB2312" w:eastAsia="仿宋_GB2312" w:cs="Times New Roman"/>
          <w:b w:val="0"/>
          <w:bCs/>
          <w:sz w:val="24"/>
          <w:highlight w:val="none"/>
          <w:lang w:val="en-US" w:eastAsia="zh-CN"/>
        </w:rPr>
        <w:t>，内置前置摄像头像素不低于500 万</w:t>
      </w:r>
      <w:r>
        <w:rPr>
          <w:rFonts w:hint="default" w:ascii="仿宋_GB2312" w:hAnsi="Times New Roman" w:eastAsia="仿宋_GB2312" w:cs="Times New Roman"/>
          <w:b w:val="0"/>
          <w:bCs/>
          <w:sz w:val="24"/>
          <w:highlight w:val="none"/>
          <w:lang w:val="en-US" w:eastAsia="zh-CN"/>
        </w:rPr>
        <w:t>。</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3.屏幕图像分辨率达</w:t>
      </w:r>
      <w:r>
        <w:rPr>
          <w:rFonts w:hint="eastAsia" w:ascii="仿宋_GB2312" w:hAnsi="Times New Roman" w:eastAsia="仿宋_GB2312" w:cs="Times New Roman"/>
          <w:b w:val="0"/>
          <w:bCs/>
          <w:sz w:val="24"/>
          <w:highlight w:val="none"/>
          <w:lang w:val="en-US" w:eastAsia="zh-CN"/>
        </w:rPr>
        <w:t>3840</w:t>
      </w:r>
      <w:r>
        <w:rPr>
          <w:rFonts w:hint="default" w:ascii="仿宋_GB2312" w:hAnsi="Times New Roman"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2160</w:t>
      </w:r>
      <w:r>
        <w:rPr>
          <w:rFonts w:hint="default" w:ascii="仿宋_GB2312" w:hAnsi="Times New Roman" w:eastAsia="仿宋_GB2312" w:cs="Times New Roman"/>
          <w:b w:val="0"/>
          <w:bCs/>
          <w:sz w:val="24"/>
          <w:highlight w:val="none"/>
          <w:lang w:val="en-US" w:eastAsia="zh-CN"/>
        </w:rPr>
        <w:t>，显示性能满足FHD高清点对点要求。</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4.整机经过产品可靠性检验，MTBF大于120000小时。</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5.电源要求：AC 100V～240V</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6.屏幕显示灰度分辨等级达到128灰阶以上，保证画面显示效果细腻。</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7.输入端子:≥1路VGA；≥1路Audio；≥1路AV；≥2路HDMI；≥1路TV RF；≥2路USB,至少一路可随通道自动切换，方便外接其他设备时在任意通道均可使用；≥1路Line in；≥1路RS232接口；≥1路RJ45， VGA输入≥1个。</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 xml:space="preserve">8.输出端子：≥1路耳机；≥1路同轴输出；≥1路Touch USB out。 </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9.图像制式：PAL/SECAM/NTSC</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10.喇叭输出功率：≥12瓦x2</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11.智能亮度调节：整机能感应并自动调节屏幕亮度来达到在不同光照环境下的最佳显示效果，此功能可自行开启或关闭。</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12.采用红外触控技术，支持在Windows与安卓系统中进行十点触控及十点书写。13.书写方式：手指或笔触摸</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14.触摸屏具有防遮挡功能，触摸接收器在单点或多点遮挡后仍能正常书写，确保老师课堂操作的流畅性。为保证触摸书写流畅度，书写延迟时间需控制在100ms以内。</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15.触摸框内部通道切换速度小于1秒，外部通道切换小于4秒，切换后即达到可触摸状态。</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16.快速通道跳转：整机处于非内置PC通道下，在屏幕侧边可调出PC通道按钮，支持用户一键回到PC通道；同时支持用户自定义设置常用快捷通道，可从侧边栏一键进入该通道，提升老师教学效率。</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17.支持在嵌入式系统下自定义侧边栏设置，并在任意通道下调取快捷白板、聚光灯、秒表、倒计时、倒计日等小工具。</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18.内置电脑：</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（1）采用模块化电脑方案，采用80pin或以上通用接口，实现无单独接线的插拔。</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（2）处理器：i</w:t>
      </w:r>
      <w:r>
        <w:rPr>
          <w:rFonts w:hint="eastAsia" w:ascii="仿宋_GB2312" w:hAnsi="Times New Roman" w:eastAsia="仿宋_GB2312" w:cs="Times New Roman"/>
          <w:b w:val="0"/>
          <w:bCs/>
          <w:sz w:val="24"/>
          <w:highlight w:val="none"/>
          <w:lang w:val="en-US" w:eastAsia="zh-CN"/>
        </w:rPr>
        <w:t>5及以上</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（3）内存：</w:t>
      </w:r>
      <w:r>
        <w:rPr>
          <w:rFonts w:hint="eastAsia" w:ascii="仿宋_GB2312" w:hAnsi="Times New Roman" w:eastAsia="仿宋_GB2312" w:cs="Times New Roman"/>
          <w:b w:val="0"/>
          <w:bCs/>
          <w:sz w:val="24"/>
          <w:highlight w:val="none"/>
          <w:lang w:val="en-US" w:eastAsia="zh-CN"/>
        </w:rPr>
        <w:t>8</w:t>
      </w:r>
      <w:r>
        <w:rPr>
          <w:rFonts w:hint="default" w:ascii="仿宋_GB2312" w:hAnsi="Times New Roman" w:eastAsia="仿宋_GB2312" w:cs="Times New Roman"/>
          <w:b w:val="0"/>
          <w:bCs/>
          <w:sz w:val="24"/>
          <w:highlight w:val="none"/>
          <w:lang w:val="en-US" w:eastAsia="zh-CN"/>
        </w:rPr>
        <w:t>G DDR4笔记本内存或以上配置</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（4）硬盘：</w:t>
      </w:r>
      <w:r>
        <w:rPr>
          <w:rFonts w:hint="eastAsia" w:ascii="仿宋_GB2312" w:hAnsi="Times New Roman" w:eastAsia="仿宋_GB2312" w:cs="Times New Roman"/>
          <w:b w:val="0"/>
          <w:bCs/>
          <w:sz w:val="24"/>
          <w:highlight w:val="none"/>
          <w:lang w:val="en-US" w:eastAsia="zh-CN"/>
        </w:rPr>
        <w:t>512</w:t>
      </w:r>
      <w:r>
        <w:rPr>
          <w:rFonts w:hint="default" w:ascii="仿宋_GB2312" w:hAnsi="Times New Roman" w:eastAsia="仿宋_GB2312" w:cs="Times New Roman"/>
          <w:b w:val="0"/>
          <w:bCs/>
          <w:sz w:val="24"/>
          <w:highlight w:val="none"/>
          <w:lang w:val="en-US" w:eastAsia="zh-CN"/>
        </w:rPr>
        <w:t xml:space="preserve">G  SSD固态硬盘。 </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（5）具有独立非外扩展的电脑USB接口：电脑上至少6个USB接口，其中至少包含2个USB3.0接口。</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（6）具有独立非外扩展的视频输出接口：≥1路HDMI ；≥1路DP。</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（7）具有标准PC防盗锁孔，确保电脑模块安全防盗。</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（8）内置网卡：支持10M/100M/1000M自适应。</w:t>
      </w:r>
    </w:p>
    <w:p>
      <w:pPr>
        <w:pageBreakBefore w:val="0"/>
        <w:kinsoku/>
        <w:wordWrap/>
        <w:overflowPunct/>
        <w:topLinePunct w:val="0"/>
        <w:autoSpaceDE/>
        <w:autoSpaceDN/>
        <w:bidi w:val="0"/>
        <w:adjustRightInd/>
        <w:spacing w:line="400" w:lineRule="exact"/>
        <w:jc w:val="left"/>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二、系统部分，无线同屏系统</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1.支持Android 4.0及IOS 7.0以上版本系统。</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2.可与交互智能平板实现无线连接，可对连接的设备进行密码的权限管理。</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3.支持横屏及竖屏双模式，满足不同用户的使用习惯。</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4.支持手机投屏，可通过相应软件将手机屏幕画面实时投影到大屏上。</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5.具备客户端生成热点功能，在没有路由器的情况下，可通过客户端生成局域网热点供外部终端进行无线连接，并支持二维码扫描连接，无需手动设置。</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6.客户端热点具备智能开启功能，打开软件状态下，可自动判断当前网络条件，若无网络可自动开启热点。</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7.支持对移动终端设备进行接入锁定，防止学生随意接入影响老师使用。</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8.可实现交互智能平板与手持终端屏幕同步显示，支持多种手持终端的手势识别，包括单指点击、单指漫游、双指缩放，支持远程文本输入。</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9.大小屏同步显示时支持同步放大功能，可使用小屏远程同步放大大屏画面，突出重点和细节内容。</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10.支持Office、WPS及白板软件课件远程同步，可通过移动端对智能平板上的课件实现页面预览、远程翻页、双向批注、激光笔、聚光灯等功能，其中批注功能支持3种或以上颜色。</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11.支持模拟电脑触摸板功能，能够对智能平板进行远程控制，支持鼠标左键/右键、双指滚轮，并有常用快捷键按键集成，如一键关闭窗口、一键切换窗口、一键回到桌面、一键打开键盘等。同时，可通过移动端实现激光笔、聚光灯、双向批注及撤销功能，其中批注功能支持3种或以上颜色。</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12.支持移动展台功能，可一键对试卷、课本等实物进行拍摄，将实物照片一键上传至智能平板中，并可通过移动端实现激光笔、聚光灯、双向批注及撤销功能，其中批注功能支持3种或以上颜色。同时，还能将实物照片一键在白板教学软件里打开，进行双向批注、缩放、旋转等操作。</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13.支持多图对比展示功能，可将多位学生的作业、试卷或实验结果进行拍摄，并上传至智能平板的互动教学软件里进行对比展示，支持点评功能，可给每位同学的作品以不同的奖章。</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14.具备本地文件智能管理功能，可对移动终端上的图片、视频自动分类，方便快速找到相应文件，并支持一键上传到交互智能平板中并打开。</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15.支持操作指引教学，在老师第一次使用软件时，提供箭头指引，让老师逐步熟悉软件使用。</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16.以上所有功能操作需在同一软件平台上实现，且需保证移动授课软件与交互智能平板设备为同一品牌，以保证软件稳定性。</w:t>
      </w:r>
    </w:p>
    <w:p>
      <w:pPr>
        <w:pageBreakBefore w:val="0"/>
        <w:kinsoku/>
        <w:wordWrap/>
        <w:overflowPunct/>
        <w:topLinePunct w:val="0"/>
        <w:autoSpaceDE/>
        <w:autoSpaceDN/>
        <w:bidi w:val="0"/>
        <w:adjustRightInd/>
        <w:spacing w:line="400" w:lineRule="exact"/>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三、软件部分</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软件易用性：批注状态切换明确：软件提供明确的、突出的、并且唯一的图标或按钮来指示用户书写和鼠标两种状态的一键切换，方便教师快速上手。切换为书写状态时，保留用户原来操作的背景，不能新键一个页面，方便用户进行对各种运行的软件和文档进行标注。</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2、软件兼容性：在教学软件中，可一键打开自定义的浏览器窗口。软件支持Office软件、PDF、视频、图片、WPS等格式的资源，导入到软件中进行演示播放。</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3、教学工具：提供包括浏览器、软键盘、计时器、探照灯、屏幕截图、放大镜、计算器、屏幕锁定、量角器、等在内的常用教学辅助工具。量角器、直尺和三角板提供双游标，方便用户测量使用。</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4、丰富的白板教学工具：软件应提供常用教学工具，应提供包括浏览器、软键盘、计时器、探照灯、屏幕截图、放大镜、计算器、随机点名、转盘、屏幕锁定、量角器（双游标）等在内的至少70种以上的教学展示的辅助工具，并提供工具名称清单列表。</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5、屏幕录制及回放：为方便老师课堂中的动态示范教学，软件支持页面单个对象的轨迹回放或整个页面操作过程的轨迹回放功能。同时支持微课录制，支持对页面局部区域或全屏进行录制。</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6、手写识别快速学习：为方便教师展开中英文教学，手写汉字、拼音或英语单词，系统可以自动识别为正规文本。</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7、菜单设置：为了增加有效显示面积和方便老师使用，白板软件菜单可隐藏也可跟随到屏幕的左右任意侧，老师站在屏幕两边均可立刻调出白板软件的功能菜单，可根据用户使用按照一定比例缩放菜单。</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8、页面功能：为方便课堂学习内容回顾，软件支持页面保存功能，老师随时可以浏览页面、调整顺序、编辑修改；页面内容可以全部或部分导出，导出的内容除了可以生成软件专用格式以外，还可以导出为gif,jpg,bmp,png等多种格式作为素材</w:t>
      </w:r>
      <w:r>
        <w:rPr>
          <w:rFonts w:hint="eastAsia" w:ascii="仿宋_GB2312" w:eastAsia="仿宋_GB2312" w:cs="Times New Roman"/>
          <w:b w:val="0"/>
          <w:bCs/>
          <w:sz w:val="24"/>
          <w:highlight w:val="none"/>
          <w:lang w:val="en-US" w:eastAsia="zh-CN"/>
        </w:rPr>
        <w:t>。</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9、在线教学资源：提供按学科、年级、章节、知识点展开的在线教学资源；配套中小学科目，涵盖图片、视频、课件等多媒体资源。</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10、软件兼容：为提高老师使用的积极性，减少重复制作课件的负担，要求教学软件具有较高的兼容性和开放性，在教学软件当中可导入PDF、PPT、WORD、EXCEL等课件使用，并且不改变课件本身效果。</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11、课后练习题：提供中小学语文、数学课后练习题库。</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bCs w:val="0"/>
          <w:sz w:val="24"/>
          <w:highlight w:val="none"/>
          <w:lang w:val="en-US" w:eastAsia="zh-CN"/>
        </w:rPr>
      </w:pPr>
      <w:r>
        <w:rPr>
          <w:rFonts w:hint="default" w:ascii="仿宋_GB2312" w:hAnsi="Times New Roman" w:eastAsia="仿宋_GB2312" w:cs="Times New Roman"/>
          <w:b/>
          <w:bCs w:val="0"/>
          <w:sz w:val="24"/>
          <w:highlight w:val="none"/>
          <w:lang w:val="en-US" w:eastAsia="zh-CN"/>
        </w:rPr>
        <w:t>12、配套仿真实验：配套提供高中、初中、小学和幼儿的多个仿真实验；实现实验教学与电子白板或一体机教学完美结合；包括了科学、物理、化学、生物等学科，按知识点用树状结构进行分类和展开；同时提供实验目的、实验器材、药品、实验步骤、注意事项的讲解，实验的同步练习、探究活动等所需的辅助练习资料和功能；仿真实验过程，对于违反实验操作规范的，软件能有相关提示，实验过程中可以观察到颜色变化、剧烈燃烧等相关实验现象。实验总数量不少于450个 ，提供实验名称清单证明</w:t>
      </w:r>
      <w:r>
        <w:rPr>
          <w:rFonts w:hint="eastAsia" w:ascii="仿宋_GB2312" w:eastAsia="仿宋_GB2312" w:cs="Times New Roman"/>
          <w:b/>
          <w:bCs w:val="0"/>
          <w:sz w:val="24"/>
          <w:highlight w:val="none"/>
          <w:lang w:val="en-US" w:eastAsia="zh-CN"/>
        </w:rPr>
        <w:t>。</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13、板中板功能:教学软件内包含板中板教学工具，多层板面应用互动。</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14、软件联网自动提示更新升级，在白板软件中提供白板软件基本操作的培训操作视频，方便老师熟悉白板软件的操作。同时也提供使用白板软件进行教学的多个示范视频。提供基于PPT课件的交互式教学设计培训视频。</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bCs w:val="0"/>
          <w:sz w:val="24"/>
          <w:highlight w:val="none"/>
          <w:lang w:val="en-US" w:eastAsia="zh-CN"/>
        </w:rPr>
      </w:pPr>
      <w:r>
        <w:rPr>
          <w:rFonts w:hint="eastAsia" w:ascii="仿宋_GB2312" w:hAnsi="Times New Roman" w:eastAsia="仿宋_GB2312" w:cs="Times New Roman"/>
          <w:b w:val="0"/>
          <w:bCs/>
          <w:sz w:val="24"/>
          <w:highlight w:val="none"/>
          <w:lang w:val="en-US" w:eastAsia="zh-CN"/>
        </w:rPr>
        <w:t>1</w:t>
      </w:r>
      <w:r>
        <w:rPr>
          <w:rFonts w:hint="default" w:ascii="仿宋_GB2312" w:hAnsi="Times New Roman" w:eastAsia="仿宋_GB2312" w:cs="Times New Roman"/>
          <w:b w:val="0"/>
          <w:bCs/>
          <w:sz w:val="24"/>
          <w:highlight w:val="none"/>
          <w:lang w:val="en-US" w:eastAsia="zh-CN"/>
        </w:rPr>
        <w:t>5、</w:t>
      </w:r>
      <w:r>
        <w:rPr>
          <w:rFonts w:hint="default" w:ascii="仿宋_GB2312" w:hAnsi="Times New Roman" w:eastAsia="仿宋_GB2312" w:cs="Times New Roman"/>
          <w:b/>
          <w:bCs w:val="0"/>
          <w:sz w:val="24"/>
          <w:highlight w:val="none"/>
          <w:lang w:val="en-US" w:eastAsia="zh-CN"/>
        </w:rPr>
        <w:t>电脑安装WIN7专业版系统，</w:t>
      </w:r>
      <w:r>
        <w:rPr>
          <w:rFonts w:hint="eastAsia" w:ascii="仿宋_GB2312" w:eastAsia="仿宋_GB2312" w:cs="Times New Roman"/>
          <w:b/>
          <w:bCs w:val="0"/>
          <w:sz w:val="24"/>
          <w:highlight w:val="none"/>
          <w:lang w:val="en-US" w:eastAsia="zh-CN"/>
        </w:rPr>
        <w:t>安装WPS</w:t>
      </w:r>
      <w:r>
        <w:rPr>
          <w:rFonts w:hint="default" w:ascii="仿宋_GB2312" w:hAnsi="Times New Roman" w:eastAsia="仿宋_GB2312" w:cs="Times New Roman"/>
          <w:b/>
          <w:bCs w:val="0"/>
          <w:sz w:val="24"/>
          <w:highlight w:val="none"/>
          <w:lang w:val="en-US" w:eastAsia="zh-CN"/>
        </w:rPr>
        <w:t>国产办公软件，安装360杀毒软件。</w:t>
      </w:r>
    </w:p>
    <w:p>
      <w:pPr>
        <w:pageBreakBefore w:val="0"/>
        <w:kinsoku/>
        <w:wordWrap/>
        <w:overflowPunct/>
        <w:topLinePunct w:val="0"/>
        <w:autoSpaceDE/>
        <w:autoSpaceDN/>
        <w:bidi w:val="0"/>
        <w:adjustRightInd/>
        <w:spacing w:line="400" w:lineRule="exact"/>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四、校级管理平台(含客户端和服务器平台端)：</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1、管理平台可在WINDOWS、ANDROID、IOS等多种不同的操作系统上通过网页浏览器登陆操作。</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2、可实现集中远程控制各设备的定时开关机。校园内各教室的一体机设备进行分组设置。设备屏幕画面进行实时监控。</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3、可实现对监控设备进行信息发布。</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4、可实时查看各个教室设备的开关机状态，联网情况、系统信息。</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5、可批量对教室联网设备进行自定义时间执行远程控制任务。</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6、可查看和管理发布信息和远程开关机任务清单，管理员可快速设置控制任务。</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7、平台支持一体机设备的开机频率、开机时间、操作系统和指令执行统计，统计数据采用直观的图表形式，统计数据还可以导出为Excel和Word文档。</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8、平台具有高安全性，实施用户权限管理，降低集中管理风险。</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9、每个项目内学校部署对应的校级平台。</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eastAsia" w:ascii="仿宋_GB2312" w:eastAsia="仿宋_GB2312" w:cs="Times New Roman"/>
          <w:b w:val="0"/>
          <w:bCs/>
          <w:sz w:val="24"/>
          <w:highlight w:val="none"/>
          <w:lang w:val="en-US" w:eastAsia="zh-CN"/>
        </w:rPr>
        <w:t>四、</w:t>
      </w:r>
      <w:r>
        <w:rPr>
          <w:rFonts w:hint="default" w:ascii="仿宋_GB2312" w:hAnsi="Times New Roman" w:eastAsia="仿宋_GB2312" w:cs="Times New Roman"/>
          <w:b w:val="0"/>
          <w:bCs/>
          <w:sz w:val="24"/>
          <w:highlight w:val="none"/>
          <w:lang w:val="en-US" w:eastAsia="zh-CN"/>
        </w:rPr>
        <w:t>移动授课：</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1、无线移动推送播放：提供从移动设备分类显示和选择推送音乐、图像、视频、办公文档、PDF、电子书、等多类型文件到大屏幕上播放。实时推送移动设备的摄像头拍摄的画面到大屏幕上。</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2、无线连接和控制：大屏接收端提供二维码下载客户端、用移动设备扫二维码无线连接到大屏幕，大屏接收端可设置设备名称、支持用手机或平板等移动设备无线控制大屏幕，包括模拟鼠标和触摸控制。</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3、无线镜像和传屏：无线传送大屏幕画面到常用移动设备上显示，移动设备对大屏幕可进行无线触控、批注功能。提供移动设备的屏幕画面无线传送到大屏幕上。在移动设备上提供显示同一局域网内的全部大屏幕接收端列表, 更改移动设备名称的功能，移动设备传屏的同时支持大屏幕上反向触控移动设备，无需连接触控、VGA或HDMI线。</w:t>
      </w:r>
    </w:p>
    <w:p>
      <w:pPr>
        <w:pageBreakBefore w:val="0"/>
        <w:kinsoku/>
        <w:wordWrap/>
        <w:overflowPunct/>
        <w:topLinePunct w:val="0"/>
        <w:autoSpaceDE/>
        <w:autoSpaceDN/>
        <w:bidi w:val="0"/>
        <w:adjustRightInd/>
        <w:spacing w:line="400" w:lineRule="exact"/>
        <w:textAlignment w:val="auto"/>
        <w:rPr>
          <w:rFonts w:hint="default"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4、多屏管理：大屏的接收端可同时连接多个移动设备，连接的设备列表上支持断开连接</w:t>
      </w:r>
      <w:r>
        <w:rPr>
          <w:rFonts w:hint="eastAsia" w:ascii="仿宋_GB2312" w:eastAsia="仿宋_GB2312" w:cs="Times New Roman"/>
          <w:b w:val="0"/>
          <w:bCs/>
          <w:sz w:val="24"/>
          <w:highlight w:val="none"/>
          <w:lang w:val="en-US" w:eastAsia="zh-CN"/>
        </w:rPr>
        <w:t>。</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default" w:ascii="仿宋_GB2312" w:hAnsi="Times New Roman" w:eastAsia="仿宋_GB2312" w:cs="Times New Roman"/>
          <w:b w:val="0"/>
          <w:bCs/>
          <w:sz w:val="24"/>
          <w:highlight w:val="none"/>
          <w:lang w:val="en-US" w:eastAsia="zh-CN"/>
        </w:rPr>
        <w:t>5、扩展屏无线传屏：可实现一边板书或播放打开PPT等格式课件，另一边进行无线传屏。或者实现另一边进行远程控制批注授课。</w:t>
      </w:r>
    </w:p>
    <w:p>
      <w:pPr>
        <w:pageBreakBefore w:val="0"/>
        <w:kinsoku/>
        <w:wordWrap/>
        <w:overflowPunct/>
        <w:topLinePunct w:val="0"/>
        <w:autoSpaceDE/>
        <w:autoSpaceDN/>
        <w:bidi w:val="0"/>
        <w:adjustRightInd/>
        <w:spacing w:line="400" w:lineRule="exact"/>
        <w:textAlignment w:val="auto"/>
        <w:rPr>
          <w:rFonts w:hint="eastAsia" w:ascii="仿宋_GB2312" w:eastAsia="仿宋_GB2312" w:cs="Times New Roman"/>
          <w:b w:val="0"/>
          <w:bCs/>
          <w:sz w:val="24"/>
          <w:highlight w:val="none"/>
          <w:lang w:val="en-US" w:eastAsia="zh-CN"/>
        </w:rPr>
      </w:pPr>
      <w:r>
        <w:rPr>
          <w:rFonts w:hint="eastAsia" w:ascii="仿宋_GB2312" w:eastAsia="仿宋_GB2312" w:cs="Times New Roman"/>
          <w:b w:val="0"/>
          <w:bCs/>
          <w:sz w:val="24"/>
          <w:highlight w:val="none"/>
          <w:lang w:val="en-US" w:eastAsia="zh-CN"/>
        </w:rPr>
        <w:t>6、</w:t>
      </w:r>
      <w:r>
        <w:rPr>
          <w:rFonts w:hint="default" w:ascii="仿宋_GB2312" w:hAnsi="Times New Roman" w:eastAsia="仿宋_GB2312" w:cs="Times New Roman"/>
          <w:b w:val="0"/>
          <w:bCs/>
          <w:sz w:val="24"/>
          <w:highlight w:val="none"/>
          <w:lang w:val="en-US" w:eastAsia="zh-CN"/>
        </w:rPr>
        <w:t>教学资源：</w:t>
      </w:r>
      <w:r>
        <w:rPr>
          <w:rFonts w:hint="eastAsia" w:ascii="仿宋_GB2312" w:eastAsia="仿宋_GB2312" w:cs="Times New Roman"/>
          <w:b w:val="0"/>
          <w:bCs/>
          <w:sz w:val="24"/>
          <w:highlight w:val="none"/>
          <w:lang w:val="en-US" w:eastAsia="zh-CN"/>
        </w:rPr>
        <w:t>安装</w:t>
      </w:r>
      <w:r>
        <w:rPr>
          <w:rFonts w:hint="default" w:ascii="仿宋_GB2312" w:hAnsi="Times New Roman" w:eastAsia="仿宋_GB2312" w:cs="Times New Roman"/>
          <w:b w:val="0"/>
          <w:bCs/>
          <w:sz w:val="24"/>
          <w:highlight w:val="none"/>
          <w:lang w:val="en-US" w:eastAsia="zh-CN"/>
        </w:rPr>
        <w:t>不少于50GB</w:t>
      </w:r>
      <w:r>
        <w:rPr>
          <w:rFonts w:hint="eastAsia" w:ascii="仿宋_GB2312" w:eastAsia="仿宋_GB2312" w:cs="Times New Roman"/>
          <w:b w:val="0"/>
          <w:bCs/>
          <w:sz w:val="24"/>
          <w:highlight w:val="none"/>
          <w:lang w:val="en-US" w:eastAsia="zh-CN"/>
        </w:rPr>
        <w:t>的部编版、人教版等</w:t>
      </w:r>
      <w:r>
        <w:rPr>
          <w:rFonts w:hint="default" w:ascii="仿宋_GB2312" w:hAnsi="Times New Roman" w:eastAsia="仿宋_GB2312" w:cs="Times New Roman"/>
          <w:b w:val="0"/>
          <w:bCs/>
          <w:sz w:val="24"/>
          <w:highlight w:val="none"/>
          <w:lang w:val="en-US" w:eastAsia="zh-CN"/>
        </w:rPr>
        <w:t>同步教学资源，资源内容应涵盖全国主流教材版本，各主要学科教学内容；资源格式包括文本、PPT、音频、视频、动画、试题等</w:t>
      </w:r>
      <w:r>
        <w:rPr>
          <w:rFonts w:hint="eastAsia" w:ascii="仿宋_GB2312" w:eastAsia="仿宋_GB2312" w:cs="Times New Roman"/>
          <w:b w:val="0"/>
          <w:bCs/>
          <w:sz w:val="24"/>
          <w:highlight w:val="none"/>
          <w:lang w:val="en-US" w:eastAsia="zh-CN"/>
        </w:rPr>
        <w:t>。</w:t>
      </w:r>
    </w:p>
    <w:p>
      <w:pPr>
        <w:pageBreakBefore w:val="0"/>
        <w:kinsoku/>
        <w:wordWrap/>
        <w:overflowPunct/>
        <w:topLinePunct w:val="0"/>
        <w:autoSpaceDE/>
        <w:autoSpaceDN/>
        <w:bidi w:val="0"/>
        <w:adjustRightInd/>
        <w:spacing w:line="400" w:lineRule="exact"/>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五、组合式推拉黑板</w:t>
      </w:r>
    </w:p>
    <w:p>
      <w:pPr>
        <w:pageBreakBefore w:val="0"/>
        <w:kinsoku/>
        <w:wordWrap/>
        <w:overflowPunct/>
        <w:topLinePunct w:val="0"/>
        <w:autoSpaceDE/>
        <w:autoSpaceDN/>
        <w:bidi w:val="0"/>
        <w:adjustRightInd/>
        <w:spacing w:line="400" w:lineRule="exact"/>
        <w:textAlignment w:val="auto"/>
        <w:rPr>
          <w:rFonts w:hint="eastAsia" w:ascii="仿宋_GB2312" w:hAnsi="Times New Roman" w:eastAsia="仿宋_GB2312" w:cs="Times New Roman"/>
          <w:b w:val="0"/>
          <w:bCs/>
          <w:sz w:val="24"/>
          <w:highlight w:val="none"/>
          <w:lang w:val="en-US" w:eastAsia="zh-CN"/>
        </w:rPr>
      </w:pPr>
      <w:r>
        <w:rPr>
          <w:rFonts w:hint="eastAsia" w:ascii="仿宋_GB2312" w:eastAsia="仿宋_GB2312" w:cs="Times New Roman"/>
          <w:b w:val="0"/>
          <w:bCs/>
          <w:sz w:val="24"/>
          <w:highlight w:val="none"/>
          <w:lang w:val="en-US" w:eastAsia="zh-CN"/>
        </w:rPr>
        <w:t>1.</w:t>
      </w:r>
      <w:r>
        <w:rPr>
          <w:rFonts w:hint="eastAsia" w:ascii="仿宋_GB2312" w:hAnsi="Times New Roman" w:eastAsia="仿宋_GB2312" w:cs="Times New Roman"/>
          <w:b w:val="0"/>
          <w:bCs/>
          <w:sz w:val="24"/>
          <w:highlight w:val="none"/>
          <w:lang w:val="en-US" w:eastAsia="zh-CN"/>
        </w:rPr>
        <w:t>外形尺寸：与一体机相适应（75寸一体机建议4000mm*1200mm）。</w:t>
      </w:r>
      <w:r>
        <w:rPr>
          <w:rFonts w:hint="eastAsia" w:ascii="仿宋_GB2312" w:hAnsi="Times New Roman" w:eastAsia="仿宋_GB2312" w:cs="Times New Roman"/>
          <w:b w:val="0"/>
          <w:bCs/>
          <w:sz w:val="24"/>
          <w:highlight w:val="none"/>
          <w:lang w:val="en-US" w:eastAsia="zh-CN"/>
        </w:rPr>
        <w:br w:type="textWrapping"/>
      </w:r>
      <w:r>
        <w:rPr>
          <w:rFonts w:hint="eastAsia" w:ascii="仿宋_GB2312" w:eastAsia="仿宋_GB2312" w:cs="Times New Roman"/>
          <w:b w:val="0"/>
          <w:bCs/>
          <w:sz w:val="24"/>
          <w:highlight w:val="none"/>
          <w:lang w:val="en-US" w:eastAsia="zh-CN"/>
        </w:rPr>
        <w:t>2.</w:t>
      </w:r>
      <w:r>
        <w:rPr>
          <w:rFonts w:hint="eastAsia" w:ascii="仿宋_GB2312" w:hAnsi="Times New Roman" w:eastAsia="仿宋_GB2312" w:cs="Times New Roman"/>
          <w:b w:val="0"/>
          <w:bCs/>
          <w:sz w:val="24"/>
          <w:highlight w:val="none"/>
          <w:lang w:val="en-US" w:eastAsia="zh-CN"/>
        </w:rPr>
        <w:t>产品结构：内外双层结构，根据所配一体机适当调整。</w:t>
      </w:r>
      <w:r>
        <w:rPr>
          <w:rFonts w:hint="eastAsia" w:ascii="仿宋_GB2312" w:hAnsi="Times New Roman" w:eastAsia="仿宋_GB2312" w:cs="Times New Roman"/>
          <w:b w:val="0"/>
          <w:bCs/>
          <w:sz w:val="24"/>
          <w:highlight w:val="none"/>
          <w:lang w:val="en-US" w:eastAsia="zh-CN"/>
        </w:rPr>
        <w:br w:type="textWrapping"/>
      </w:r>
      <w:r>
        <w:rPr>
          <w:rFonts w:hint="eastAsia" w:ascii="仿宋_GB2312" w:eastAsia="仿宋_GB2312" w:cs="Times New Roman"/>
          <w:b w:val="0"/>
          <w:bCs/>
          <w:sz w:val="24"/>
          <w:highlight w:val="none"/>
          <w:lang w:val="en-US" w:eastAsia="zh-CN"/>
        </w:rPr>
        <w:t>3.</w:t>
      </w:r>
      <w:r>
        <w:rPr>
          <w:rFonts w:hint="eastAsia" w:ascii="仿宋_GB2312" w:hAnsi="Times New Roman" w:eastAsia="仿宋_GB2312" w:cs="Times New Roman"/>
          <w:b w:val="0"/>
          <w:bCs/>
          <w:sz w:val="24"/>
          <w:highlight w:val="none"/>
          <w:lang w:val="en-US" w:eastAsia="zh-CN"/>
        </w:rPr>
        <w:t>边框：外框铝型材正面尺寸≥68mm，壁厚≥1.2mm,香槟色工业铝型材。耐腐蚀、耐磨性达到GB/T5237-2000标准。内框铝型材正面尺寸≥50mm,壁厚1.0mm，香槟色工业铝型材，耐腐蚀、耐磨性达到GB/T5237-2000标准 。</w:t>
      </w:r>
      <w:r>
        <w:rPr>
          <w:rFonts w:hint="eastAsia" w:ascii="仿宋_GB2312" w:hAnsi="Times New Roman" w:eastAsia="仿宋_GB2312" w:cs="Times New Roman"/>
          <w:b w:val="0"/>
          <w:bCs/>
          <w:sz w:val="24"/>
          <w:highlight w:val="none"/>
          <w:lang w:val="en-US" w:eastAsia="zh-CN"/>
        </w:rPr>
        <w:br w:type="textWrapping"/>
      </w:r>
      <w:r>
        <w:rPr>
          <w:rFonts w:hint="eastAsia" w:ascii="仿宋_GB2312" w:hAnsi="Times New Roman" w:eastAsia="仿宋_GB2312" w:cs="Times New Roman"/>
          <w:b w:val="0"/>
          <w:bCs/>
          <w:sz w:val="24"/>
          <w:highlight w:val="none"/>
          <w:lang w:val="en-US" w:eastAsia="zh-CN"/>
        </w:rPr>
        <w:t>4</w:t>
      </w:r>
      <w:r>
        <w:rPr>
          <w:rFonts w:hint="eastAsia" w:ascii="仿宋_GB2312"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书写板面：采用厚度为0.30mm高档墨绿色金属烤漆书写板，表面细致光洁，书写流畅，抗撞击、磨损、刮擦、不褪色，使用寿命</w:t>
      </w:r>
      <w:r>
        <w:rPr>
          <w:rFonts w:hint="eastAsia" w:ascii="仿宋_GB2312" w:eastAsia="仿宋_GB2312" w:cs="Times New Roman"/>
          <w:b w:val="0"/>
          <w:bCs/>
          <w:sz w:val="24"/>
          <w:highlight w:val="none"/>
          <w:lang w:val="en-US" w:eastAsia="zh-CN"/>
        </w:rPr>
        <w:t>6</w:t>
      </w:r>
      <w:r>
        <w:rPr>
          <w:rFonts w:hint="eastAsia" w:ascii="仿宋_GB2312" w:hAnsi="Times New Roman" w:eastAsia="仿宋_GB2312" w:cs="Times New Roman"/>
          <w:b w:val="0"/>
          <w:bCs/>
          <w:sz w:val="24"/>
          <w:highlight w:val="none"/>
          <w:lang w:val="en-US" w:eastAsia="zh-CN"/>
        </w:rPr>
        <w:t>年以上。</w:t>
      </w:r>
      <w:r>
        <w:rPr>
          <w:rFonts w:hint="eastAsia" w:ascii="仿宋_GB2312" w:hAnsi="Times New Roman" w:eastAsia="仿宋_GB2312" w:cs="Times New Roman"/>
          <w:b w:val="0"/>
          <w:bCs/>
          <w:sz w:val="24"/>
          <w:highlight w:val="none"/>
          <w:lang w:val="en-US" w:eastAsia="zh-CN"/>
        </w:rPr>
        <w:br w:type="textWrapping"/>
      </w:r>
      <w:r>
        <w:rPr>
          <w:rFonts w:hint="eastAsia" w:ascii="仿宋_GB2312" w:hAnsi="Times New Roman" w:eastAsia="仿宋_GB2312" w:cs="Times New Roman"/>
          <w:b w:val="0"/>
          <w:bCs/>
          <w:sz w:val="24"/>
          <w:highlight w:val="none"/>
          <w:lang w:val="en-US" w:eastAsia="zh-CN"/>
        </w:rPr>
        <w:t>5</w:t>
      </w:r>
      <w:r>
        <w:rPr>
          <w:rFonts w:hint="eastAsia" w:ascii="仿宋_GB2312"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采用环保型双组份聚氨酯胶水，自动化流水线覆板作业，确保粘接牢固板面平整，甲醛释放量≤0.2mg/L，符合GB/T 28231-2011《书写板安全卫生要求》。</w:t>
      </w:r>
      <w:r>
        <w:rPr>
          <w:rFonts w:hint="eastAsia" w:ascii="仿宋_GB2312" w:hAnsi="Times New Roman" w:eastAsia="仿宋_GB2312" w:cs="Times New Roman"/>
          <w:b w:val="0"/>
          <w:bCs/>
          <w:sz w:val="24"/>
          <w:highlight w:val="none"/>
          <w:lang w:val="en-US" w:eastAsia="zh-CN"/>
        </w:rPr>
        <w:br w:type="textWrapping"/>
      </w:r>
      <w:r>
        <w:rPr>
          <w:rFonts w:hint="eastAsia" w:ascii="仿宋_GB2312" w:hAnsi="Times New Roman" w:eastAsia="仿宋_GB2312" w:cs="Times New Roman"/>
          <w:b w:val="0"/>
          <w:bCs/>
          <w:sz w:val="24"/>
          <w:highlight w:val="none"/>
          <w:lang w:val="en-US" w:eastAsia="zh-CN"/>
        </w:rPr>
        <w:t>6</w:t>
      </w:r>
      <w:r>
        <w:rPr>
          <w:rFonts w:hint="eastAsia" w:ascii="仿宋_GB2312"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夹层：采用高密度聚苯乙烯板做夹层，厚度≥20mm，面层平整，无折痕，不变形，吸音强且环保，书写无噪音。</w:t>
      </w:r>
      <w:r>
        <w:rPr>
          <w:rFonts w:hint="eastAsia" w:ascii="仿宋_GB2312" w:hAnsi="Times New Roman" w:eastAsia="仿宋_GB2312" w:cs="Times New Roman"/>
          <w:b w:val="0"/>
          <w:bCs/>
          <w:sz w:val="24"/>
          <w:highlight w:val="none"/>
          <w:lang w:val="en-US" w:eastAsia="zh-CN"/>
        </w:rPr>
        <w:br w:type="textWrapping"/>
      </w:r>
      <w:r>
        <w:rPr>
          <w:rFonts w:hint="eastAsia" w:ascii="仿宋_GB2312" w:hAnsi="Times New Roman" w:eastAsia="仿宋_GB2312" w:cs="Times New Roman"/>
          <w:b w:val="0"/>
          <w:bCs/>
          <w:sz w:val="24"/>
          <w:highlight w:val="none"/>
          <w:lang w:val="en-US" w:eastAsia="zh-CN"/>
        </w:rPr>
        <w:t>7</w:t>
      </w:r>
      <w:r>
        <w:rPr>
          <w:rFonts w:hint="eastAsia" w:ascii="仿宋_GB2312"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背板：采用高档优质镀锌板，厚度≥0.27mm，板面平整，镀层牢固、光滑而均匀。</w:t>
      </w:r>
      <w:r>
        <w:rPr>
          <w:rFonts w:hint="eastAsia" w:ascii="仿宋_GB2312" w:hAnsi="Times New Roman" w:eastAsia="仿宋_GB2312" w:cs="Times New Roman"/>
          <w:b w:val="0"/>
          <w:bCs/>
          <w:sz w:val="24"/>
          <w:highlight w:val="none"/>
          <w:lang w:val="en-US" w:eastAsia="zh-CN"/>
        </w:rPr>
        <w:br w:type="textWrapping"/>
      </w:r>
      <w:r>
        <w:rPr>
          <w:rFonts w:hint="eastAsia" w:ascii="仿宋_GB2312" w:hAnsi="Times New Roman" w:eastAsia="仿宋_GB2312" w:cs="Times New Roman"/>
          <w:b w:val="0"/>
          <w:bCs/>
          <w:sz w:val="24"/>
          <w:highlight w:val="none"/>
          <w:lang w:val="en-US" w:eastAsia="zh-CN"/>
        </w:rPr>
        <w:t>8</w:t>
      </w:r>
      <w:r>
        <w:rPr>
          <w:rFonts w:hint="eastAsia" w:ascii="仿宋_GB2312"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外框四角与绿板四角采用ABS工程塑料，模具一次成型，抗冲击力强。</w:t>
      </w:r>
      <w:r>
        <w:rPr>
          <w:rFonts w:hint="eastAsia" w:ascii="仿宋_GB2312" w:hAnsi="Times New Roman" w:eastAsia="仿宋_GB2312" w:cs="Times New Roman"/>
          <w:b w:val="0"/>
          <w:bCs/>
          <w:sz w:val="24"/>
          <w:highlight w:val="none"/>
          <w:lang w:val="en-US" w:eastAsia="zh-CN"/>
        </w:rPr>
        <w:br w:type="textWrapping"/>
      </w:r>
      <w:r>
        <w:rPr>
          <w:rFonts w:hint="eastAsia" w:ascii="仿宋_GB2312" w:hAnsi="Times New Roman" w:eastAsia="仿宋_GB2312" w:cs="Times New Roman"/>
          <w:b w:val="0"/>
          <w:bCs/>
          <w:sz w:val="24"/>
          <w:highlight w:val="none"/>
          <w:lang w:val="en-US" w:eastAsia="zh-CN"/>
        </w:rPr>
        <w:t>9</w:t>
      </w:r>
      <w:r>
        <w:rPr>
          <w:rFonts w:hint="eastAsia" w:ascii="仿宋_GB2312"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整套书写板的两端装置固定挡板，并设有滑动缓冲胶垫，缓解滑动发出的噪音以及强烈碰撞造成的损坏。配置带拉手的高档锌合金镶嵌式钩锁。 </w:t>
      </w:r>
      <w:r>
        <w:rPr>
          <w:rFonts w:hint="eastAsia" w:ascii="仿宋_GB2312" w:hAnsi="Times New Roman" w:eastAsia="仿宋_GB2312" w:cs="Times New Roman"/>
          <w:b w:val="0"/>
          <w:bCs/>
          <w:sz w:val="24"/>
          <w:highlight w:val="none"/>
          <w:lang w:val="en-US" w:eastAsia="zh-CN"/>
        </w:rPr>
        <w:br w:type="textWrapping"/>
      </w:r>
      <w:r>
        <w:rPr>
          <w:rFonts w:hint="eastAsia" w:ascii="仿宋_GB2312" w:hAnsi="Times New Roman" w:eastAsia="仿宋_GB2312" w:cs="Times New Roman"/>
          <w:b w:val="0"/>
          <w:bCs/>
          <w:sz w:val="24"/>
          <w:highlight w:val="none"/>
          <w:lang w:val="en-US" w:eastAsia="zh-CN"/>
        </w:rPr>
        <w:t>10</w:t>
      </w:r>
      <w:r>
        <w:rPr>
          <w:rFonts w:hint="eastAsia" w:ascii="仿宋_GB2312" w:eastAsia="仿宋_GB2312" w:cs="Times New Roman"/>
          <w:b w:val="0"/>
          <w:bCs/>
          <w:sz w:val="24"/>
          <w:highlight w:val="none"/>
          <w:lang w:val="en-US" w:eastAsia="zh-CN"/>
        </w:rPr>
        <w:t>.</w:t>
      </w:r>
      <w:r>
        <w:rPr>
          <w:rFonts w:hint="eastAsia" w:ascii="仿宋_GB2312" w:hAnsi="Times New Roman" w:eastAsia="仿宋_GB2312" w:cs="Times New Roman"/>
          <w:b w:val="0"/>
          <w:bCs/>
          <w:sz w:val="24"/>
          <w:highlight w:val="none"/>
          <w:lang w:val="en-US" w:eastAsia="zh-CN"/>
        </w:rPr>
        <w:t>滑轨与外框整体成型，具备独立、隐形的特点。滑轮采用隐形安装、传动，不露一根螺钉。滑轮后置，隔离滑轮与粉笔灰的接触面，杜绝长期使用后，因粉笔灰沉积导致书写板推拉困难，杜绝滑轮脱轨。</w:t>
      </w:r>
    </w:p>
    <w:p>
      <w:pPr>
        <w:pStyle w:val="5"/>
        <w:rPr>
          <w:rFonts w:hint="default"/>
          <w:lang w:val="en-US" w:eastAsia="zh-CN"/>
        </w:rPr>
      </w:pPr>
    </w:p>
    <w:bookmarkEnd w:id="409"/>
    <w:p>
      <w:pPr>
        <w:pStyle w:val="5"/>
        <w:numPr>
          <w:ilvl w:val="0"/>
          <w:numId w:val="0"/>
        </w:numPr>
        <w:kinsoku w:val="0"/>
        <w:overflowPunct w:val="0"/>
        <w:ind w:leftChars="0"/>
        <w:rPr>
          <w:rFonts w:hint="eastAsia" w:hAnsi="宋体" w:cs="宋体"/>
          <w:color w:val="000000"/>
          <w:kern w:val="2"/>
          <w:sz w:val="28"/>
          <w:szCs w:val="28"/>
          <w:highlight w:val="none"/>
          <w:lang w:val="en-US" w:eastAsia="zh-CN"/>
        </w:rPr>
      </w:pPr>
    </w:p>
    <w:p>
      <w:pPr>
        <w:pStyle w:val="5"/>
        <w:numPr>
          <w:ilvl w:val="0"/>
          <w:numId w:val="0"/>
        </w:numPr>
        <w:kinsoku w:val="0"/>
        <w:overflowPunct w:val="0"/>
        <w:ind w:leftChars="0"/>
        <w:rPr>
          <w:rFonts w:hint="eastAsia" w:hAnsi="宋体" w:cs="宋体"/>
          <w:color w:val="000000"/>
          <w:kern w:val="2"/>
          <w:sz w:val="28"/>
          <w:szCs w:val="28"/>
          <w:highlight w:val="none"/>
          <w:lang w:val="en-US" w:eastAsia="zh-CN"/>
        </w:rPr>
      </w:pPr>
      <w:r>
        <w:rPr>
          <w:rFonts w:hint="eastAsia" w:hAnsi="宋体" w:cs="宋体"/>
          <w:color w:val="000000"/>
          <w:kern w:val="2"/>
          <w:sz w:val="28"/>
          <w:szCs w:val="28"/>
          <w:highlight w:val="none"/>
          <w:lang w:val="en-US" w:eastAsia="zh-CN"/>
        </w:rPr>
        <w:t>一、其他要求</w:t>
      </w:r>
    </w:p>
    <w:p>
      <w:pPr>
        <w:pStyle w:val="5"/>
        <w:kinsoku w:val="0"/>
        <w:overflowPunct w:val="0"/>
        <w:ind w:left="0" w:leftChars="0" w:firstLine="0" w:firstLineChars="0"/>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1、供货期：合同签订后</w:t>
      </w:r>
      <w:r>
        <w:rPr>
          <w:rFonts w:hint="eastAsia" w:hAnsi="宋体" w:cs="宋体"/>
          <w:color w:val="000000"/>
          <w:kern w:val="2"/>
          <w:sz w:val="24"/>
          <w:szCs w:val="24"/>
          <w:highlight w:val="none"/>
          <w:lang w:val="en-US" w:eastAsia="zh-CN" w:bidi="ar-SA"/>
        </w:rPr>
        <w:t>60</w:t>
      </w:r>
      <w:r>
        <w:rPr>
          <w:rFonts w:hint="eastAsia" w:ascii="宋体" w:hAnsi="宋体" w:eastAsia="宋体" w:cs="宋体"/>
          <w:color w:val="000000"/>
          <w:kern w:val="2"/>
          <w:sz w:val="24"/>
          <w:szCs w:val="24"/>
          <w:highlight w:val="none"/>
          <w:lang w:val="en-US" w:eastAsia="zh-CN" w:bidi="ar-SA"/>
        </w:rPr>
        <w:t>日内完成供货、安装、调试等</w:t>
      </w:r>
    </w:p>
    <w:p>
      <w:pPr>
        <w:pStyle w:val="5"/>
        <w:ind w:left="0" w:leftChars="0" w:firstLine="0" w:firstLineChars="0"/>
        <w:rPr>
          <w:rFonts w:hint="default"/>
          <w:highlight w:val="none"/>
          <w:lang w:val="en-US" w:eastAsia="zh-CN"/>
        </w:rPr>
      </w:pPr>
      <w:r>
        <w:rPr>
          <w:rFonts w:hint="eastAsia" w:ascii="宋体" w:hAnsi="宋体" w:eastAsia="宋体" w:cs="宋体"/>
          <w:color w:val="000000"/>
          <w:kern w:val="2"/>
          <w:sz w:val="24"/>
          <w:szCs w:val="24"/>
          <w:highlight w:val="none"/>
          <w:lang w:val="en-US" w:eastAsia="zh-CN" w:bidi="ar-SA"/>
        </w:rPr>
        <w:t>2、质保期：1年及以上</w:t>
      </w:r>
    </w:p>
    <w:p>
      <w:pPr>
        <w:keepNext w:val="0"/>
        <w:keepLines w:val="0"/>
        <w:widowControl w:val="0"/>
        <w:suppressLineNumbers w:val="0"/>
        <w:overflowPunct w:val="0"/>
        <w:spacing w:before="0" w:beforeAutospacing="0" w:after="0" w:afterAutospacing="0" w:line="320" w:lineRule="exact"/>
        <w:ind w:left="0" w:right="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3、付款方式：签订合同后付</w:t>
      </w:r>
      <w:r>
        <w:rPr>
          <w:rFonts w:hint="eastAsia" w:ascii="宋体" w:hAnsi="宋体" w:cs="宋体"/>
          <w:color w:val="000000"/>
          <w:kern w:val="2"/>
          <w:sz w:val="24"/>
          <w:szCs w:val="24"/>
          <w:highlight w:val="none"/>
          <w:lang w:val="en-US" w:eastAsia="zh-CN" w:bidi="ar-SA"/>
        </w:rPr>
        <w:t>50</w:t>
      </w:r>
      <w:r>
        <w:rPr>
          <w:rFonts w:hint="eastAsia" w:ascii="宋体" w:hAnsi="宋体" w:eastAsia="宋体" w:cs="宋体"/>
          <w:color w:val="000000"/>
          <w:kern w:val="2"/>
          <w:sz w:val="24"/>
          <w:szCs w:val="24"/>
          <w:highlight w:val="none"/>
          <w:lang w:val="en-US" w:eastAsia="zh-CN" w:bidi="ar-SA"/>
        </w:rPr>
        <w:t>%、设备安装调试完成，达到使用条件后付</w:t>
      </w:r>
      <w:r>
        <w:rPr>
          <w:rFonts w:hint="eastAsia" w:ascii="宋体" w:hAnsi="宋体" w:cs="宋体"/>
          <w:color w:val="000000"/>
          <w:kern w:val="2"/>
          <w:sz w:val="24"/>
          <w:szCs w:val="24"/>
          <w:highlight w:val="none"/>
          <w:lang w:val="en-US" w:eastAsia="zh-CN" w:bidi="ar-SA"/>
        </w:rPr>
        <w:t>30</w:t>
      </w:r>
      <w:r>
        <w:rPr>
          <w:rFonts w:hint="eastAsia" w:ascii="宋体" w:hAnsi="宋体" w:eastAsia="宋体" w:cs="宋体"/>
          <w:color w:val="000000"/>
          <w:kern w:val="2"/>
          <w:sz w:val="24"/>
          <w:szCs w:val="24"/>
          <w:highlight w:val="none"/>
          <w:lang w:val="en-US" w:eastAsia="zh-CN" w:bidi="ar-SA"/>
        </w:rPr>
        <w:t>%，验收合格</w:t>
      </w:r>
      <w:r>
        <w:rPr>
          <w:rFonts w:hint="eastAsia" w:ascii="宋体" w:hAnsi="宋体" w:cs="宋体"/>
          <w:color w:val="000000"/>
          <w:kern w:val="2"/>
          <w:sz w:val="24"/>
          <w:szCs w:val="24"/>
          <w:highlight w:val="none"/>
          <w:lang w:val="en-US" w:eastAsia="zh-CN" w:bidi="ar-SA"/>
        </w:rPr>
        <w:t>完成结算后</w:t>
      </w:r>
      <w:r>
        <w:rPr>
          <w:rFonts w:hint="eastAsia" w:ascii="宋体" w:hAnsi="宋体" w:eastAsia="宋体" w:cs="宋体"/>
          <w:color w:val="000000"/>
          <w:kern w:val="2"/>
          <w:sz w:val="24"/>
          <w:szCs w:val="24"/>
          <w:highlight w:val="none"/>
          <w:lang w:val="en-US" w:eastAsia="zh-CN" w:bidi="ar-SA"/>
        </w:rPr>
        <w:t>支付</w:t>
      </w:r>
      <w:r>
        <w:rPr>
          <w:rFonts w:hint="eastAsia" w:ascii="宋体" w:hAnsi="宋体"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％，质保期满后</w:t>
      </w:r>
      <w:r>
        <w:rPr>
          <w:rFonts w:hint="eastAsia" w:ascii="宋体" w:hAnsi="宋体" w:cs="宋体"/>
          <w:color w:val="000000"/>
          <w:kern w:val="2"/>
          <w:sz w:val="24"/>
          <w:szCs w:val="24"/>
          <w:highlight w:val="none"/>
          <w:lang w:val="en-US" w:eastAsia="zh-CN" w:bidi="ar-SA"/>
        </w:rPr>
        <w:t>支付剩余部分</w:t>
      </w:r>
      <w:r>
        <w:rPr>
          <w:rFonts w:hint="eastAsia" w:ascii="宋体" w:hAnsi="宋体" w:eastAsia="宋体" w:cs="宋体"/>
          <w:color w:val="000000"/>
          <w:kern w:val="2"/>
          <w:sz w:val="24"/>
          <w:szCs w:val="24"/>
          <w:highlight w:val="none"/>
          <w:lang w:val="en-US" w:eastAsia="zh-CN" w:bidi="ar-SA"/>
        </w:rPr>
        <w:t>。</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4、供货及安装地点：</w:t>
      </w:r>
      <w:r>
        <w:rPr>
          <w:rFonts w:hint="eastAsia" w:ascii="宋体" w:hAnsi="宋体" w:cs="宋体"/>
          <w:color w:val="000000"/>
          <w:kern w:val="2"/>
          <w:sz w:val="24"/>
          <w:szCs w:val="24"/>
          <w:highlight w:val="none"/>
          <w:lang w:val="en-US" w:eastAsia="zh-CN" w:bidi="ar-SA"/>
        </w:rPr>
        <w:t>巴楚县第五中学</w:t>
      </w:r>
      <w:r>
        <w:rPr>
          <w:rFonts w:hint="eastAsia" w:ascii="宋体" w:hAnsi="宋体" w:eastAsia="宋体" w:cs="宋体"/>
          <w:color w:val="000000"/>
          <w:kern w:val="2"/>
          <w:sz w:val="24"/>
          <w:szCs w:val="24"/>
          <w:highlight w:val="none"/>
          <w:lang w:val="en-US" w:eastAsia="zh-CN" w:bidi="ar-SA"/>
        </w:rPr>
        <w:t>，色力布亚镇</w:t>
      </w:r>
      <w:r>
        <w:rPr>
          <w:rFonts w:hint="eastAsia" w:ascii="宋体" w:hAnsi="宋体" w:cs="宋体"/>
          <w:color w:val="000000"/>
          <w:kern w:val="2"/>
          <w:sz w:val="24"/>
          <w:szCs w:val="24"/>
          <w:highlight w:val="none"/>
          <w:lang w:val="en-US" w:eastAsia="zh-CN" w:bidi="ar-SA"/>
        </w:rPr>
        <w:t>第三中学</w:t>
      </w:r>
      <w:r>
        <w:rPr>
          <w:rFonts w:hint="eastAsia" w:ascii="宋体" w:hAnsi="宋体" w:eastAsia="宋体" w:cs="宋体"/>
          <w:color w:val="000000"/>
          <w:kern w:val="2"/>
          <w:sz w:val="24"/>
          <w:szCs w:val="24"/>
          <w:highlight w:val="none"/>
          <w:lang w:val="en-US" w:eastAsia="zh-CN" w:bidi="ar-SA"/>
        </w:rPr>
        <w:t>。</w:t>
      </w:r>
    </w:p>
    <w:p>
      <w:pPr>
        <w:pStyle w:val="5"/>
        <w:ind w:left="0" w:leftChars="0" w:firstLine="0" w:firstLineChars="0"/>
        <w:rPr>
          <w:rFonts w:hint="eastAsia"/>
          <w:highlight w:val="none"/>
          <w:lang w:val="en-US" w:eastAsia="zh-CN"/>
        </w:rPr>
      </w:pPr>
      <w:r>
        <w:rPr>
          <w:rFonts w:hint="eastAsia"/>
          <w:highlight w:val="none"/>
          <w:lang w:val="en-US" w:eastAsia="zh-CN"/>
        </w:rPr>
        <w:t>5、本标段包含运费及与本标段相关的一切费用</w:t>
      </w:r>
    </w:p>
    <w:p>
      <w:pPr>
        <w:numPr>
          <w:ilvl w:val="0"/>
          <w:numId w:val="0"/>
        </w:numPr>
        <w:rPr>
          <w:rFonts w:hint="eastAsia" w:hAnsi="宋体" w:cs="宋体"/>
          <w:b/>
          <w:bCs/>
          <w:szCs w:val="21"/>
          <w:highlight w:val="none"/>
        </w:rPr>
      </w:pPr>
      <w:r>
        <w:rPr>
          <w:rFonts w:hint="eastAsia" w:hAnsi="宋体" w:cs="宋体"/>
          <w:b/>
          <w:bCs/>
          <w:szCs w:val="21"/>
          <w:highlight w:val="none"/>
          <w:lang w:val="en-US" w:eastAsia="zh-CN"/>
        </w:rPr>
        <w:t>6、</w:t>
      </w:r>
      <w:r>
        <w:rPr>
          <w:rFonts w:hint="eastAsia" w:hAnsi="宋体" w:cs="宋体"/>
          <w:b/>
          <w:bCs/>
          <w:szCs w:val="21"/>
          <w:highlight w:val="none"/>
        </w:rPr>
        <w:t>如因货物运输、安装、调试等原因造成货物堆积，产生的仓储、储存等费用，由中标公司自行承担。</w:t>
      </w:r>
    </w:p>
    <w:p>
      <w:pPr>
        <w:pStyle w:val="2"/>
        <w:rPr>
          <w:rFonts w:hint="eastAsia" w:eastAsia="宋体" w:cs="Times New Roman"/>
          <w:sz w:val="28"/>
          <w:szCs w:val="28"/>
          <w:highlight w:val="none"/>
          <w:lang w:val="en-US" w:eastAsia="zh-CN"/>
        </w:rPr>
      </w:pPr>
      <w:r>
        <w:rPr>
          <w:rFonts w:hint="eastAsia" w:ascii="Times New Roman" w:hAnsi="宋体" w:eastAsia="宋体" w:cs="宋体"/>
          <w:b/>
          <w:bCs/>
          <w:kern w:val="2"/>
          <w:sz w:val="21"/>
          <w:szCs w:val="21"/>
          <w:highlight w:val="none"/>
          <w:lang w:val="en-US" w:eastAsia="zh-CN" w:bidi="ar-SA"/>
        </w:rPr>
        <w:t>7、</w:t>
      </w:r>
      <w:r>
        <w:rPr>
          <w:rFonts w:hint="eastAsia" w:hAnsi="宋体" w:cs="宋体"/>
          <w:b/>
          <w:bCs/>
          <w:sz w:val="21"/>
          <w:szCs w:val="21"/>
          <w:highlight w:val="none"/>
        </w:rPr>
        <w:t>货物在验收、交付业主方使用之前，丢失、遗失、损坏、损失等由中标单位自行承担。</w:t>
      </w:r>
    </w:p>
    <w:p>
      <w:pPr>
        <w:spacing w:line="360" w:lineRule="auto"/>
        <w:rPr>
          <w:rFonts w:hint="eastAsia" w:eastAsia="宋体" w:cs="Times New Roman"/>
          <w:sz w:val="28"/>
          <w:szCs w:val="28"/>
          <w:highlight w:val="none"/>
          <w:lang w:val="en-US" w:eastAsia="zh-CN"/>
        </w:rPr>
      </w:pPr>
      <w:r>
        <w:rPr>
          <w:rFonts w:hint="eastAsia" w:eastAsia="宋体" w:cs="Times New Roman"/>
          <w:sz w:val="28"/>
          <w:szCs w:val="28"/>
          <w:highlight w:val="none"/>
          <w:lang w:val="en-US" w:eastAsia="zh-CN"/>
        </w:rPr>
        <w:t>二、验收标准和方式:</w:t>
      </w:r>
    </w:p>
    <w:p>
      <w:pPr>
        <w:pStyle w:val="2"/>
        <w:numPr>
          <w:ilvl w:val="0"/>
          <w:numId w:val="0"/>
        </w:numP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1、由</w:t>
      </w:r>
      <w:r>
        <w:rPr>
          <w:rFonts w:hint="eastAsia" w:cs="Times New Roman"/>
          <w:kern w:val="2"/>
          <w:sz w:val="24"/>
          <w:szCs w:val="24"/>
          <w:highlight w:val="none"/>
          <w:lang w:val="en-US" w:eastAsia="zh-CN" w:bidi="ar-SA"/>
        </w:rPr>
        <w:t>巴楚县教育局</w:t>
      </w:r>
      <w:r>
        <w:rPr>
          <w:rFonts w:hint="eastAsia" w:ascii="Times New Roman" w:hAnsi="Times New Roman" w:eastAsia="宋体" w:cs="Times New Roman"/>
          <w:kern w:val="2"/>
          <w:sz w:val="24"/>
          <w:szCs w:val="24"/>
          <w:highlight w:val="none"/>
          <w:lang w:val="en-US" w:eastAsia="zh-CN" w:bidi="ar-SA"/>
        </w:rPr>
        <w:t>组织相关人员（供应商、</w:t>
      </w:r>
      <w:r>
        <w:rPr>
          <w:rFonts w:hint="eastAsia" w:cs="Times New Roman"/>
          <w:kern w:val="2"/>
          <w:sz w:val="24"/>
          <w:szCs w:val="24"/>
          <w:highlight w:val="none"/>
          <w:lang w:val="en-US" w:eastAsia="zh-CN" w:bidi="ar-SA"/>
        </w:rPr>
        <w:t>学校</w:t>
      </w:r>
      <w:r>
        <w:rPr>
          <w:rFonts w:hint="eastAsia" w:ascii="Times New Roman" w:hAnsi="Times New Roman" w:eastAsia="宋体" w:cs="Times New Roman"/>
          <w:kern w:val="2"/>
          <w:sz w:val="24"/>
          <w:szCs w:val="24"/>
          <w:highlight w:val="none"/>
          <w:lang w:val="en-US" w:eastAsia="zh-CN" w:bidi="ar-SA"/>
        </w:rPr>
        <w:t>工作人员及相关单位）成立验收小组。</w:t>
      </w:r>
    </w:p>
    <w:p>
      <w:pPr>
        <w:spacing w:line="360" w:lineRule="auto"/>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2、负责本项目范围内的采购及安装，如发现服务质量缺陷的、乙方应当负责返工或者采取补救措施。</w:t>
      </w:r>
    </w:p>
    <w:p>
      <w:pPr>
        <w:spacing w:line="360" w:lineRule="auto"/>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3、售后服务要求：负责维修、操作人员的免费培训服务，让相关维修、操作人员具备了解设备结构、工作原理，熟练操作设备并能解决一般故障的能力。</w:t>
      </w:r>
    </w:p>
    <w:p>
      <w:pPr>
        <w:spacing w:line="360" w:lineRule="auto"/>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4、质保期内在使用过程中发现质量问题或故障时在接到通知后必须以最快速度予以响应。到达现场进行维修保证、售后维修的及时、快捷。重大问题或其它无法迅速解决的问题应在一周内解决或提出明确解决方案，否则应赔偿相应损失。</w:t>
      </w:r>
    </w:p>
    <w:p>
      <w:pPr>
        <w:pStyle w:val="5"/>
        <w:kinsoku w:val="0"/>
        <w:overflowPunct w:val="0"/>
        <w:rPr>
          <w:rFonts w:hint="eastAsia" w:hAnsi="宋体" w:cs="宋体"/>
          <w:color w:val="000000"/>
          <w:kern w:val="2"/>
          <w:szCs w:val="24"/>
          <w:highlight w:val="none"/>
        </w:rPr>
      </w:pPr>
    </w:p>
    <w:p>
      <w:pPr>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12"/>
        <w:rPr>
          <w:rFonts w:hint="eastAsia" w:hAnsi="宋体" w:cs="宋体"/>
          <w:color w:val="000000"/>
          <w:kern w:val="2"/>
          <w:szCs w:val="24"/>
          <w:highlight w:val="none"/>
        </w:rPr>
      </w:pPr>
    </w:p>
    <w:p>
      <w:pPr>
        <w:pStyle w:val="5"/>
        <w:kinsoku w:val="0"/>
        <w:overflowPunct w:val="0"/>
        <w:rPr>
          <w:rFonts w:hint="eastAsia" w:hAnsi="宋体" w:cs="宋体"/>
          <w:color w:val="000000"/>
          <w:kern w:val="2"/>
          <w:szCs w:val="24"/>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bookmarkStart w:id="410" w:name="_Toc7971"/>
      <w:bookmarkStart w:id="411" w:name="_Toc23331"/>
      <w:bookmarkStart w:id="412" w:name="_Toc507399907"/>
      <w:bookmarkStart w:id="413" w:name="_Toc216582826"/>
      <w:bookmarkStart w:id="414" w:name="_Toc515647832"/>
      <w:bookmarkStart w:id="415" w:name="_Toc218935355"/>
      <w:bookmarkStart w:id="416" w:name="_Toc32647"/>
      <w:bookmarkStart w:id="417" w:name="_Toc219175639"/>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center"/>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center"/>
        <w:rPr>
          <w:rFonts w:hint="eastAsia" w:hAnsi="宋体" w:cs="宋体"/>
          <w:color w:val="000000"/>
          <w:kern w:val="2"/>
          <w:sz w:val="28"/>
          <w:szCs w:val="28"/>
          <w:highlight w:val="none"/>
        </w:rPr>
      </w:pPr>
      <w:r>
        <w:rPr>
          <w:rFonts w:hint="eastAsia" w:hAnsi="宋体" w:cs="宋体"/>
          <w:color w:val="000000"/>
          <w:kern w:val="2"/>
          <w:sz w:val="28"/>
          <w:szCs w:val="28"/>
          <w:highlight w:val="none"/>
        </w:rPr>
        <w:t>第4章评标方法和标准</w:t>
      </w:r>
      <w:bookmarkEnd w:id="410"/>
      <w:bookmarkEnd w:id="411"/>
      <w:bookmarkEnd w:id="412"/>
      <w:bookmarkEnd w:id="413"/>
      <w:bookmarkEnd w:id="414"/>
      <w:bookmarkEnd w:id="415"/>
      <w:bookmarkEnd w:id="416"/>
      <w:bookmarkEnd w:id="417"/>
    </w:p>
    <w:p>
      <w:pPr>
        <w:pStyle w:val="8"/>
        <w:tabs>
          <w:tab w:val="clear" w:pos="567"/>
        </w:tabs>
        <w:kinsoku w:val="0"/>
        <w:overflowPunct w:val="0"/>
        <w:spacing w:before="0" w:line="240" w:lineRule="atLeast"/>
        <w:ind w:firstLine="540" w:firstLineChars="225"/>
        <w:rPr>
          <w:rFonts w:hint="eastAsia" w:cs="宋体"/>
          <w:color w:val="000000"/>
          <w:highlight w:val="none"/>
        </w:rPr>
      </w:pPr>
    </w:p>
    <w:p>
      <w:pPr>
        <w:pStyle w:val="8"/>
        <w:tabs>
          <w:tab w:val="clear" w:pos="567"/>
        </w:tabs>
        <w:kinsoku w:val="0"/>
        <w:overflowPunct w:val="0"/>
        <w:spacing w:before="0" w:line="240" w:lineRule="atLeast"/>
        <w:ind w:firstLine="540" w:firstLineChars="225"/>
        <w:rPr>
          <w:rFonts w:hint="eastAsia" w:cs="宋体"/>
          <w:color w:val="000000"/>
          <w:highlight w:val="none"/>
        </w:rPr>
      </w:pPr>
      <w:r>
        <w:rPr>
          <w:rFonts w:hint="eastAsia" w:cs="宋体"/>
          <w:color w:val="000000"/>
          <w:highlight w:val="none"/>
        </w:rPr>
        <w:t>1.本项目将按照招标文件第一章投标人须知总则中“五 开标及评标”、“六 确定中标”及本章的规定评标。</w:t>
      </w:r>
    </w:p>
    <w:p>
      <w:pPr>
        <w:pStyle w:val="8"/>
        <w:tabs>
          <w:tab w:val="clear" w:pos="567"/>
        </w:tabs>
        <w:kinsoku w:val="0"/>
        <w:overflowPunct w:val="0"/>
        <w:spacing w:before="100" w:beforeAutospacing="1" w:after="100" w:afterAutospacing="1" w:line="240" w:lineRule="atLeast"/>
        <w:ind w:left="1080" w:leftChars="257" w:hanging="540"/>
        <w:rPr>
          <w:rFonts w:hint="eastAsia" w:cs="宋体"/>
          <w:color w:val="000000"/>
          <w:highlight w:val="none"/>
        </w:rPr>
      </w:pPr>
      <w:r>
        <w:rPr>
          <w:rFonts w:hint="eastAsia" w:cs="宋体"/>
          <w:color w:val="000000"/>
          <w:highlight w:val="none"/>
        </w:rPr>
        <w:t>（内容要包括投标无效界定和详细评标标准）</w:t>
      </w:r>
    </w:p>
    <w:p>
      <w:pPr>
        <w:pStyle w:val="8"/>
        <w:tabs>
          <w:tab w:val="clear" w:pos="567"/>
        </w:tabs>
        <w:kinsoku w:val="0"/>
        <w:overflowPunct w:val="0"/>
        <w:spacing w:before="0" w:line="360" w:lineRule="auto"/>
        <w:ind w:left="-181" w:leftChars="-86" w:firstLine="660" w:firstLineChars="275"/>
        <w:rPr>
          <w:rFonts w:hint="eastAsia" w:cs="宋体"/>
          <w:color w:val="000000"/>
          <w:highlight w:val="none"/>
        </w:rPr>
      </w:pPr>
      <w:r>
        <w:rPr>
          <w:rFonts w:hint="eastAsia" w:cs="宋体"/>
          <w:color w:val="000000"/>
          <w:highlight w:val="none"/>
        </w:rPr>
        <w:t>2.如采购人所采购产品为政府强制采购的节能产品，投标人所投产品的品牌及型号必须为清单中有效期内产品并提供证明文件，否则其投标将被认定为</w:t>
      </w:r>
      <w:r>
        <w:rPr>
          <w:rFonts w:hint="eastAsia" w:cs="宋体"/>
          <w:b/>
          <w:bCs/>
          <w:color w:val="000000"/>
          <w:highlight w:val="none"/>
        </w:rPr>
        <w:t>投标无效</w:t>
      </w:r>
      <w:r>
        <w:rPr>
          <w:rFonts w:hint="eastAsia" w:cs="宋体"/>
          <w:color w:val="000000"/>
          <w:highlight w:val="none"/>
        </w:rPr>
        <w:t>。</w:t>
      </w:r>
    </w:p>
    <w:p>
      <w:pPr>
        <w:pStyle w:val="8"/>
        <w:tabs>
          <w:tab w:val="clear" w:pos="567"/>
        </w:tabs>
        <w:kinsoku w:val="0"/>
        <w:overflowPunct w:val="0"/>
        <w:spacing w:before="0" w:line="360" w:lineRule="auto"/>
        <w:ind w:left="-181" w:leftChars="-86" w:firstLine="660" w:firstLineChars="275"/>
        <w:rPr>
          <w:rFonts w:hint="eastAsia" w:cs="宋体"/>
          <w:color w:val="000000"/>
          <w:highlight w:val="none"/>
        </w:rPr>
      </w:pPr>
      <w:r>
        <w:rPr>
          <w:rFonts w:hint="eastAsia" w:cs="宋体"/>
          <w:color w:val="000000"/>
          <w:highlight w:val="none"/>
        </w:rPr>
        <w:t>3.同品牌处理办法：</w:t>
      </w:r>
    </w:p>
    <w:p>
      <w:pPr>
        <w:pStyle w:val="8"/>
        <w:tabs>
          <w:tab w:val="clear" w:pos="567"/>
        </w:tabs>
        <w:kinsoku w:val="0"/>
        <w:overflowPunct w:val="0"/>
        <w:spacing w:before="0" w:line="360" w:lineRule="auto"/>
        <w:ind w:left="-181" w:leftChars="-86" w:firstLine="660" w:firstLineChars="275"/>
        <w:rPr>
          <w:rFonts w:hint="eastAsia" w:cs="宋体"/>
          <w:color w:val="000000"/>
          <w:highlight w:val="none"/>
        </w:rPr>
      </w:pPr>
      <w:r>
        <w:rPr>
          <w:rFonts w:hint="eastAsia" w:cs="宋体"/>
          <w:color w:val="000000"/>
          <w:highlight w:val="none"/>
        </w:rPr>
        <w:t>如采用综合评标法，则：</w:t>
      </w:r>
      <w:r>
        <w:rPr>
          <w:rFonts w:hint="eastAsia"/>
          <w:b/>
          <w:color w:val="000000"/>
          <w:highlight w:val="none"/>
          <w:u w:val="single"/>
        </w:rPr>
        <w:t>按一家投标人计算，评审后得分最高的同品牌投标人获得中标人推荐资格；</w:t>
      </w:r>
      <w:r>
        <w:rPr>
          <w:rFonts w:hint="eastAsia" w:cs="宋体"/>
          <w:color w:val="000000"/>
          <w:highlight w:val="none"/>
        </w:rPr>
        <w:t>。</w:t>
      </w:r>
    </w:p>
    <w:p>
      <w:pPr>
        <w:pStyle w:val="8"/>
        <w:tabs>
          <w:tab w:val="clear" w:pos="567"/>
        </w:tabs>
        <w:kinsoku w:val="0"/>
        <w:overflowPunct w:val="0"/>
        <w:spacing w:before="0" w:line="360" w:lineRule="auto"/>
        <w:ind w:left="-181" w:leftChars="-86" w:firstLine="660" w:firstLineChars="275"/>
        <w:rPr>
          <w:rFonts w:hint="eastAsia" w:cs="宋体"/>
          <w:color w:val="000000"/>
          <w:highlight w:val="none"/>
        </w:rPr>
      </w:pPr>
      <w:r>
        <w:rPr>
          <w:rFonts w:hint="eastAsia" w:cs="宋体"/>
          <w:color w:val="000000"/>
          <w:highlight w:val="none"/>
        </w:rPr>
        <w:t xml:space="preserve">4.中标候选人并列式时的处理方式：   </w:t>
      </w:r>
    </w:p>
    <w:p>
      <w:pPr>
        <w:pStyle w:val="8"/>
        <w:tabs>
          <w:tab w:val="clear" w:pos="567"/>
        </w:tabs>
        <w:kinsoku w:val="0"/>
        <w:overflowPunct w:val="0"/>
        <w:spacing w:before="0" w:line="360" w:lineRule="auto"/>
        <w:ind w:left="-181" w:leftChars="-86" w:firstLine="180" w:firstLineChars="75"/>
        <w:rPr>
          <w:rFonts w:hint="eastAsia" w:cs="宋体"/>
          <w:color w:val="000000"/>
          <w:highlight w:val="none"/>
        </w:rPr>
      </w:pPr>
      <w:r>
        <w:rPr>
          <w:rFonts w:hint="eastAsia" w:cs="宋体"/>
          <w:color w:val="000000"/>
          <w:highlight w:val="none"/>
        </w:rPr>
        <w:t>采用综合评标法，</w:t>
      </w:r>
      <w:r>
        <w:rPr>
          <w:rFonts w:hint="eastAsia"/>
          <w:b/>
          <w:color w:val="000000"/>
          <w:highlight w:val="none"/>
          <w:u w:val="single"/>
        </w:rPr>
        <w:t>按修正和扣除后的投标报价由低到高顺序排列 。</w:t>
      </w:r>
    </w:p>
    <w:p>
      <w:pPr>
        <w:kinsoku w:val="0"/>
        <w:overflowPunct w:val="0"/>
        <w:spacing w:line="440" w:lineRule="exact"/>
        <w:outlineLvl w:val="0"/>
        <w:rPr>
          <w:rFonts w:hint="eastAsia" w:ascii="宋体" w:hAnsi="宋体" w:cs="宋体"/>
          <w:b/>
          <w:color w:val="000000"/>
          <w:sz w:val="32"/>
          <w:szCs w:val="32"/>
          <w:highlight w:val="none"/>
        </w:rPr>
      </w:pPr>
    </w:p>
    <w:p>
      <w:pPr>
        <w:kinsoku w:val="0"/>
        <w:overflowPunct w:val="0"/>
        <w:spacing w:line="440" w:lineRule="exact"/>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投标文件符合性检查</w:t>
      </w:r>
    </w:p>
    <w:p>
      <w:pPr>
        <w:kinsoku w:val="0"/>
        <w:overflowPunct w:val="0"/>
        <w:spacing w:line="440" w:lineRule="exact"/>
        <w:jc w:val="left"/>
        <w:outlineLvl w:val="0"/>
        <w:rPr>
          <w:rFonts w:hint="eastAsia" w:ascii="宋体" w:hAnsi="宋体" w:cs="宋体" w:eastAsiaTheme="minorEastAsia"/>
          <w:b/>
          <w:color w:val="000000"/>
          <w:sz w:val="36"/>
          <w:szCs w:val="36"/>
          <w:highlight w:val="none"/>
          <w:lang w:eastAsia="zh-CN"/>
        </w:rPr>
      </w:pPr>
      <w:r>
        <w:rPr>
          <w:rFonts w:hint="eastAsia" w:ascii="宋体" w:hAnsi="宋体" w:cs="宋体"/>
          <w:bCs/>
          <w:color w:val="000000"/>
          <w:szCs w:val="21"/>
          <w:highlight w:val="none"/>
        </w:rPr>
        <w:t xml:space="preserve">    投标文件的和符合性检查</w:t>
      </w:r>
      <w:r>
        <w:rPr>
          <w:rFonts w:hint="eastAsia" w:ascii="宋体" w:hAnsi="宋体" w:cs="宋体"/>
          <w:bCs/>
          <w:color w:val="000000"/>
          <w:szCs w:val="21"/>
          <w:highlight w:val="none"/>
          <w:lang w:eastAsia="zh-CN"/>
        </w:rPr>
        <w:t>：</w:t>
      </w:r>
    </w:p>
    <w:p>
      <w:pPr>
        <w:pStyle w:val="2"/>
        <w:jc w:val="both"/>
        <w:outlineLvl w:val="2"/>
        <w:rPr>
          <w:rFonts w:hint="eastAsia" w:ascii="仿宋_GB2312" w:hAnsi="Calibri" w:eastAsia="仿宋_GB2312"/>
          <w:b/>
          <w:bCs/>
          <w:sz w:val="28"/>
          <w:szCs w:val="28"/>
          <w:highlight w:val="none"/>
        </w:rPr>
      </w:pPr>
    </w:p>
    <w:p>
      <w:pPr>
        <w:pStyle w:val="2"/>
        <w:jc w:val="both"/>
        <w:outlineLvl w:val="2"/>
        <w:rPr>
          <w:rFonts w:hint="eastAsia" w:ascii="仿宋_GB2312" w:hAnsi="Calibri" w:eastAsia="仿宋_GB2312"/>
          <w:b/>
          <w:bCs/>
          <w:sz w:val="28"/>
          <w:szCs w:val="28"/>
          <w:highlight w:val="none"/>
        </w:rPr>
      </w:pPr>
    </w:p>
    <w:p>
      <w:pPr>
        <w:pStyle w:val="2"/>
        <w:jc w:val="center"/>
        <w:outlineLvl w:val="2"/>
        <w:rPr>
          <w:rFonts w:ascii="仿宋_GB2312" w:hAnsi="Calibri" w:eastAsia="仿宋_GB2312"/>
          <w:b/>
          <w:bCs/>
          <w:sz w:val="28"/>
          <w:szCs w:val="28"/>
          <w:highlight w:val="none"/>
        </w:rPr>
      </w:pPr>
      <w:r>
        <w:rPr>
          <w:rFonts w:hint="eastAsia" w:ascii="仿宋_GB2312" w:hAnsi="Calibri" w:eastAsia="仿宋_GB2312"/>
          <w:b/>
          <w:bCs/>
          <w:sz w:val="28"/>
          <w:szCs w:val="28"/>
          <w:highlight w:val="none"/>
        </w:rPr>
        <w:t>商务符合性审查表</w:t>
      </w:r>
    </w:p>
    <w:p>
      <w:pPr>
        <w:rPr>
          <w:rFonts w:hint="eastAsia"/>
          <w:highlight w:val="none"/>
        </w:rPr>
      </w:pPr>
    </w:p>
    <w:p>
      <w:pPr>
        <w:rPr>
          <w:rFonts w:hint="eastAsia"/>
          <w:highlight w:val="none"/>
        </w:rPr>
      </w:pPr>
    </w:p>
    <w:tbl>
      <w:tblPr>
        <w:tblStyle w:val="14"/>
        <w:tblpPr w:leftFromText="180" w:rightFromText="180" w:vertAnchor="text" w:horzAnchor="page" w:tblpXSpec="center" w:tblpY="215"/>
        <w:tblOverlap w:val="never"/>
        <w:tblW w:w="10205" w:type="dxa"/>
        <w:jc w:val="center"/>
        <w:tblLayout w:type="fixed"/>
        <w:tblCellMar>
          <w:top w:w="0" w:type="dxa"/>
          <w:left w:w="108" w:type="dxa"/>
          <w:bottom w:w="0" w:type="dxa"/>
          <w:right w:w="108" w:type="dxa"/>
        </w:tblCellMar>
      </w:tblPr>
      <w:tblGrid>
        <w:gridCol w:w="2743"/>
        <w:gridCol w:w="5812"/>
        <w:gridCol w:w="591"/>
        <w:gridCol w:w="563"/>
        <w:gridCol w:w="496"/>
      </w:tblGrid>
      <w:tr>
        <w:tblPrEx>
          <w:tblCellMar>
            <w:top w:w="0" w:type="dxa"/>
            <w:left w:w="108" w:type="dxa"/>
            <w:bottom w:w="0" w:type="dxa"/>
            <w:right w:w="108" w:type="dxa"/>
          </w:tblCellMar>
        </w:tblPrEx>
        <w:trPr>
          <w:trHeight w:val="645" w:hRule="atLeast"/>
          <w:jc w:val="center"/>
        </w:trPr>
        <w:tc>
          <w:tcPr>
            <w:tcW w:w="85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审查事项</w:t>
            </w: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投标单位名称及审查情况</w:t>
            </w:r>
          </w:p>
        </w:tc>
      </w:tr>
      <w:tr>
        <w:tblPrEx>
          <w:tblCellMar>
            <w:top w:w="0" w:type="dxa"/>
            <w:left w:w="108" w:type="dxa"/>
            <w:bottom w:w="0" w:type="dxa"/>
            <w:right w:w="108" w:type="dxa"/>
          </w:tblCellMar>
        </w:tblPrEx>
        <w:trPr>
          <w:trHeight w:val="633"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招标文件条款（投标单位须知条款号）</w:t>
            </w:r>
          </w:p>
        </w:tc>
        <w:tc>
          <w:tcPr>
            <w:tcW w:w="58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本项目要求</w:t>
            </w:r>
          </w:p>
        </w:tc>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中小企业招标要求（1.3.</w:t>
            </w:r>
            <w:r>
              <w:rPr>
                <w:rFonts w:hint="eastAsia" w:ascii="仿宋_GB2312" w:hAnsi="Calibri" w:eastAsia="仿宋_GB2312"/>
                <w:sz w:val="24"/>
                <w:highlight w:val="none"/>
                <w:lang w:val="en-US" w:eastAsia="zh-CN"/>
              </w:rPr>
              <w:t>6</w:t>
            </w:r>
            <w:r>
              <w:rPr>
                <w:rFonts w:hint="eastAsia" w:ascii="仿宋_GB2312" w:hAnsi="Calibri" w:eastAsia="仿宋_GB2312"/>
                <w:sz w:val="24"/>
                <w:highlight w:val="none"/>
              </w:rPr>
              <w:t>）</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本项目适用</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联合体投标规定（1.4）</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本项目不接受联合体</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投标单位的关联性（1.5）</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 xml:space="preserve">在同一包内，单位负责人非同一人或者不存在直接控股、管理关系的不同投标单位。 </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未发现影响采购人决策行为（1.7）</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投标单位在招标过程中未向采购人提供、给予任何有价值的物品，影响其正常决策行为。</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满足招标范围的完整性要求（8.1）</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 xml:space="preserve">投标单位对所投分包招标文件中所列的所有服务内容进行招标及报价。 </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228"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未包含价格调整要求</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（11.4）</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投标单位所报的各分项招标报价在合同履行过程中是固定不变的，不得以任何理由予以变更。</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lang w:val="en-US" w:eastAsia="zh-CN"/>
              </w:rPr>
              <w:t>投</w:t>
            </w:r>
            <w:r>
              <w:rPr>
                <w:rFonts w:hint="eastAsia" w:ascii="仿宋_GB2312" w:hAnsi="Calibri" w:eastAsia="仿宋_GB2312"/>
                <w:sz w:val="24"/>
                <w:highlight w:val="none"/>
              </w:rPr>
              <w:t>标保证金（12.1）</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符合招标文件要求</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招标有效期满足要求</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（13.1）</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自提交投标文件截止之日起</w:t>
            </w:r>
            <w:r>
              <w:rPr>
                <w:rFonts w:hint="eastAsia" w:ascii="仿宋_GB2312" w:hAnsi="Calibri" w:eastAsia="仿宋_GB2312"/>
                <w:sz w:val="24"/>
                <w:highlight w:val="none"/>
                <w:lang w:val="en-US" w:eastAsia="zh-CN"/>
              </w:rPr>
              <w:t>9</w:t>
            </w:r>
            <w:r>
              <w:rPr>
                <w:rFonts w:hint="eastAsia" w:ascii="仿宋_GB2312" w:hAnsi="Calibri" w:eastAsia="仿宋_GB2312"/>
                <w:sz w:val="24"/>
                <w:highlight w:val="none"/>
              </w:rPr>
              <w:t>0日历日内</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投标文件的签署和盖章符合要求（14.2、14.4）</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按照招标文件规定要求签署、盖章。</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7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投标文件的装订方式</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（14.3）</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所有投标文件采用不可拆装的胶订方式装订</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接受价格的算术修正</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（20.</w:t>
            </w:r>
            <w:r>
              <w:rPr>
                <w:rFonts w:hint="eastAsia" w:ascii="仿宋_GB2312" w:hAnsi="Calibri" w:eastAsia="仿宋_GB2312"/>
                <w:sz w:val="24"/>
                <w:highlight w:val="none"/>
                <w:lang w:val="en-US" w:eastAsia="zh-CN"/>
              </w:rPr>
              <w:t>3</w:t>
            </w:r>
            <w:r>
              <w:rPr>
                <w:rFonts w:hint="eastAsia" w:ascii="仿宋_GB2312" w:hAnsi="Calibri" w:eastAsia="仿宋_GB2312"/>
                <w:sz w:val="24"/>
                <w:highlight w:val="none"/>
              </w:rPr>
              <w:t>）</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投标文件报价出现前后不一致的，应按照招标文件规定的顺序修正。</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符合强制采购节能产品要求（20.</w:t>
            </w:r>
            <w:r>
              <w:rPr>
                <w:rFonts w:hint="eastAsia" w:ascii="仿宋_GB2312" w:hAnsi="Calibri" w:eastAsia="仿宋_GB2312"/>
                <w:sz w:val="24"/>
                <w:highlight w:val="none"/>
                <w:lang w:val="en-US" w:eastAsia="zh-CN"/>
              </w:rPr>
              <w:t>6</w:t>
            </w:r>
            <w:r>
              <w:rPr>
                <w:rFonts w:hint="eastAsia" w:ascii="仿宋_GB2312" w:hAnsi="Calibri" w:eastAsia="仿宋_GB2312"/>
                <w:sz w:val="24"/>
                <w:highlight w:val="none"/>
              </w:rPr>
              <w:t>）</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w:t>
            </w:r>
            <w:r>
              <w:rPr>
                <w:rFonts w:hint="eastAsia" w:ascii="仿宋_GB2312" w:hAnsi="Calibri" w:eastAsia="仿宋_GB2312"/>
                <w:sz w:val="24"/>
                <w:highlight w:val="none"/>
                <w:lang w:val="en-US" w:eastAsia="zh-CN"/>
              </w:rPr>
              <w:t>不</w:t>
            </w:r>
            <w:r>
              <w:rPr>
                <w:rFonts w:hint="eastAsia" w:ascii="仿宋_GB2312" w:hAnsi="Calibri" w:eastAsia="仿宋_GB2312"/>
                <w:sz w:val="24"/>
                <w:highlight w:val="none"/>
              </w:rPr>
              <w:t>适用</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未发现串通投标（22.2）</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未与其他投标单位串通参加招标，或者与采购人串通参加招标。</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报价说明可以接受（22.2）</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投标单位的报价明显低于其他通过符合性审查投标单位的报价，有可能影响履约的，投标单位能按照规定证明其报价合理性。</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无采购人不能接受的附加条件（22.2）</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 xml:space="preserve">投标文件未含有采购人不能接受的附加条件。 </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519" w:hRule="atLeast"/>
          <w:jc w:val="center"/>
        </w:trPr>
        <w:tc>
          <w:tcPr>
            <w:tcW w:w="85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结论</w:t>
            </w:r>
          </w:p>
        </w:tc>
        <w:tc>
          <w:tcPr>
            <w:tcW w:w="59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p>
        </w:tc>
      </w:tr>
    </w:tbl>
    <w:p>
      <w:pPr>
        <w:spacing w:line="300" w:lineRule="auto"/>
        <w:rPr>
          <w:rFonts w:ascii="仿宋_GB2312" w:hAnsi="Calibri" w:eastAsia="仿宋_GB2312"/>
          <w:b/>
          <w:bCs/>
          <w:sz w:val="24"/>
          <w:highlight w:val="none"/>
        </w:rPr>
      </w:pPr>
      <w:r>
        <w:rPr>
          <w:rFonts w:hint="eastAsia" w:ascii="仿宋_GB2312" w:hAnsi="Calibri" w:eastAsia="仿宋_GB2312"/>
          <w:b/>
          <w:bCs/>
          <w:sz w:val="24"/>
          <w:highlight w:val="none"/>
        </w:rPr>
        <w:t>说明：</w:t>
      </w:r>
    </w:p>
    <w:p>
      <w:pPr>
        <w:spacing w:line="300" w:lineRule="auto"/>
        <w:ind w:left="60"/>
        <w:rPr>
          <w:rFonts w:ascii="仿宋_GB2312" w:hAnsi="Calibri" w:eastAsia="仿宋_GB2312"/>
          <w:b/>
          <w:bCs/>
          <w:sz w:val="24"/>
          <w:highlight w:val="none"/>
        </w:rPr>
      </w:pPr>
      <w:r>
        <w:rPr>
          <w:rFonts w:hint="eastAsia" w:ascii="仿宋_GB2312" w:hAnsi="Calibri" w:eastAsia="仿宋_GB2312"/>
          <w:b/>
          <w:bCs/>
          <w:sz w:val="24"/>
          <w:highlight w:val="none"/>
        </w:rPr>
        <w:t>（1）上述各项中用“√”表示合格，“×”表示不合格；</w:t>
      </w:r>
    </w:p>
    <w:p>
      <w:pPr>
        <w:spacing w:line="300" w:lineRule="auto"/>
        <w:ind w:left="782" w:leftChars="28" w:hanging="723" w:hangingChars="300"/>
        <w:rPr>
          <w:rFonts w:ascii="仿宋_GB2312" w:hAnsi="Calibri" w:eastAsia="仿宋_GB2312"/>
          <w:b/>
          <w:bCs/>
          <w:sz w:val="24"/>
          <w:highlight w:val="none"/>
        </w:rPr>
      </w:pPr>
      <w:r>
        <w:rPr>
          <w:rFonts w:hint="eastAsia" w:ascii="仿宋_GB2312" w:hAnsi="Calibri" w:eastAsia="仿宋_GB2312"/>
          <w:b/>
          <w:bCs/>
          <w:sz w:val="24"/>
          <w:highlight w:val="none"/>
        </w:rPr>
        <w:t>（2）上述各项中如有一项为“×”，则结论为“×”，表示该投标文件中存在重大偏差，不能通过初步评审；评审小组对某一分项评审认为不合格时，必须要写明原因。</w:t>
      </w:r>
    </w:p>
    <w:p>
      <w:pPr>
        <w:pStyle w:val="5"/>
        <w:spacing w:line="300" w:lineRule="auto"/>
        <w:ind w:left="723" w:hanging="723" w:hangingChars="300"/>
        <w:jc w:val="both"/>
        <w:rPr>
          <w:rFonts w:ascii="仿宋_GB2312" w:hAnsi="Calibri" w:eastAsia="仿宋_GB2312"/>
          <w:b/>
          <w:bCs/>
          <w:kern w:val="2"/>
          <w:szCs w:val="24"/>
          <w:highlight w:val="none"/>
        </w:rPr>
      </w:pPr>
      <w:r>
        <w:rPr>
          <w:rFonts w:hint="eastAsia" w:ascii="仿宋_GB2312" w:hAnsi="Calibri" w:eastAsia="仿宋_GB2312"/>
          <w:b/>
          <w:bCs/>
          <w:kern w:val="2"/>
          <w:szCs w:val="24"/>
          <w:highlight w:val="none"/>
        </w:rPr>
        <w:t>（3）投标文件最终合格与否，以所有评审小组的评审意见中少数服从多数为原则定论。</w:t>
      </w:r>
    </w:p>
    <w:p>
      <w:pPr>
        <w:spacing w:line="240" w:lineRule="atLeast"/>
        <w:rPr>
          <w:rFonts w:ascii="仿宋_GB2312" w:hAnsi="Calibri" w:eastAsia="仿宋_GB2312"/>
          <w:b/>
          <w:bCs/>
          <w:sz w:val="24"/>
          <w:highlight w:val="none"/>
        </w:rPr>
      </w:pPr>
      <w:r>
        <w:rPr>
          <w:rFonts w:hint="eastAsia" w:ascii="仿宋_GB2312" w:hAnsi="Calibri" w:eastAsia="仿宋_GB2312"/>
          <w:b/>
          <w:bCs/>
          <w:sz w:val="24"/>
          <w:highlight w:val="none"/>
        </w:rPr>
        <w:t>未通过资格审查的投标单位不进入评审；通过资格审查的投标单位少于不足三家的，不得评审。</w:t>
      </w:r>
    </w:p>
    <w:p>
      <w:pPr>
        <w:spacing w:line="240" w:lineRule="atLeast"/>
        <w:rPr>
          <w:rFonts w:ascii="仿宋_GB2312" w:hAnsi="Calibri" w:eastAsia="仿宋_GB2312"/>
          <w:b/>
          <w:bCs/>
          <w:sz w:val="24"/>
          <w:highlight w:val="none"/>
        </w:rPr>
      </w:pPr>
    </w:p>
    <w:p>
      <w:pPr>
        <w:pStyle w:val="8"/>
        <w:tabs>
          <w:tab w:val="clear" w:pos="567"/>
        </w:tabs>
        <w:kinsoku w:val="0"/>
        <w:overflowPunct w:val="0"/>
        <w:spacing w:before="0" w:line="360" w:lineRule="auto"/>
        <w:jc w:val="center"/>
        <w:rPr>
          <w:rFonts w:hint="eastAsia" w:cs="宋体"/>
          <w:color w:val="000000"/>
          <w:sz w:val="36"/>
          <w:szCs w:val="36"/>
          <w:highlight w:val="none"/>
        </w:rPr>
      </w:pPr>
      <w:r>
        <w:rPr>
          <w:rFonts w:hint="eastAsia" w:ascii="宋体" w:hAnsi="宋体" w:cs="宋体"/>
          <w:b/>
          <w:bCs/>
          <w:color w:val="000000"/>
          <w:sz w:val="32"/>
          <w:szCs w:val="40"/>
          <w:highlight w:val="none"/>
        </w:rPr>
        <w:t>综合评分表</w:t>
      </w:r>
    </w:p>
    <w:tbl>
      <w:tblPr>
        <w:tblStyle w:val="14"/>
        <w:tblpPr w:leftFromText="180" w:rightFromText="180" w:vertAnchor="text" w:horzAnchor="page" w:tblpXSpec="center" w:tblpY="295"/>
        <w:tblOverlap w:val="never"/>
        <w:tblW w:w="9731" w:type="dxa"/>
        <w:jc w:val="center"/>
        <w:tblLayout w:type="fixed"/>
        <w:tblCellMar>
          <w:top w:w="15" w:type="dxa"/>
          <w:left w:w="15" w:type="dxa"/>
          <w:bottom w:w="15" w:type="dxa"/>
          <w:right w:w="15" w:type="dxa"/>
        </w:tblCellMar>
      </w:tblPr>
      <w:tblGrid>
        <w:gridCol w:w="1169"/>
        <w:gridCol w:w="1259"/>
        <w:gridCol w:w="6383"/>
        <w:gridCol w:w="920"/>
      </w:tblGrid>
      <w:tr>
        <w:tblPrEx>
          <w:tblCellMar>
            <w:top w:w="15" w:type="dxa"/>
            <w:left w:w="15" w:type="dxa"/>
            <w:bottom w:w="15" w:type="dxa"/>
            <w:right w:w="15" w:type="dxa"/>
          </w:tblCellMar>
        </w:tblPrEx>
        <w:trPr>
          <w:trHeight w:val="379" w:hRule="atLeast"/>
          <w:jc w:val="center"/>
        </w:trPr>
        <w:tc>
          <w:tcPr>
            <w:tcW w:w="1169" w:type="dxa"/>
            <w:tcBorders>
              <w:top w:val="single" w:color="000000" w:sz="4" w:space="0"/>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名称</w:t>
            </w: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评审项目</w:t>
            </w:r>
          </w:p>
        </w:tc>
        <w:tc>
          <w:tcPr>
            <w:tcW w:w="638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评分内容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分值</w:t>
            </w:r>
          </w:p>
        </w:tc>
      </w:tr>
      <w:tr>
        <w:tblPrEx>
          <w:tblCellMar>
            <w:top w:w="15" w:type="dxa"/>
            <w:left w:w="15" w:type="dxa"/>
            <w:bottom w:w="15" w:type="dxa"/>
            <w:right w:w="15" w:type="dxa"/>
          </w:tblCellMar>
        </w:tblPrEx>
        <w:trPr>
          <w:trHeight w:val="759" w:hRule="atLeast"/>
          <w:jc w:val="center"/>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价格因素 </w:t>
            </w:r>
          </w:p>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（30分）</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top"/>
              <w:rPr>
                <w:rFonts w:hint="eastAsia"/>
                <w:bCs/>
                <w:sz w:val="20"/>
                <w:szCs w:val="22"/>
                <w:highlight w:val="none"/>
                <w:lang w:bidi="ar"/>
              </w:rPr>
            </w:pPr>
            <w:r>
              <w:rPr>
                <w:rFonts w:hint="eastAsia"/>
                <w:bCs/>
                <w:sz w:val="20"/>
                <w:szCs w:val="22"/>
                <w:highlight w:val="none"/>
                <w:lang w:bidi="ar"/>
              </w:rPr>
              <w:t>报价部分</w:t>
            </w:r>
          </w:p>
        </w:tc>
        <w:tc>
          <w:tcPr>
            <w:tcW w:w="6383" w:type="dxa"/>
            <w:tcBorders>
              <w:top w:val="single" w:color="000000" w:sz="4" w:space="0"/>
              <w:bottom w:val="single" w:color="000000" w:sz="4" w:space="0"/>
              <w:right w:val="single" w:color="000000" w:sz="4" w:space="0"/>
            </w:tcBorders>
            <w:noWrap w:val="0"/>
            <w:vAlign w:val="top"/>
          </w:tcPr>
          <w:p>
            <w:pPr>
              <w:kinsoku w:val="0"/>
              <w:overflowPunct w:val="0"/>
              <w:jc w:val="left"/>
              <w:textAlignment w:val="top"/>
              <w:rPr>
                <w:rFonts w:hint="eastAsia"/>
                <w:bCs/>
                <w:sz w:val="20"/>
                <w:szCs w:val="22"/>
                <w:highlight w:val="none"/>
                <w:lang w:bidi="ar"/>
              </w:rPr>
            </w:pPr>
            <w:r>
              <w:rPr>
                <w:rFonts w:hint="eastAsia"/>
                <w:bCs/>
                <w:sz w:val="20"/>
                <w:szCs w:val="22"/>
                <w:highlight w:val="none"/>
                <w:lang w:bidi="ar"/>
              </w:rPr>
              <w:t>满足招标文件要求且投标价格最低的投标报价为评标基准价，其价格分为满分30分。其他投标人的价格分统一按照下列公式计算：投标报价得分=(评标基准价／投标报价)×价格权值×100%（价格权值为30分）；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r>
              <w:rPr>
                <w:rFonts w:hint="eastAsia" w:ascii="宋体" w:hAnsi="宋体" w:cs="宋体"/>
                <w:kern w:val="0"/>
                <w:szCs w:val="21"/>
                <w:highlight w:val="none"/>
                <w:lang w:val="en-US" w:eastAsia="zh-CN" w:bidi="ar"/>
              </w:rPr>
              <w:t>0</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1900" w:hRule="atLeast"/>
          <w:jc w:val="center"/>
        </w:trPr>
        <w:tc>
          <w:tcPr>
            <w:tcW w:w="1169" w:type="dxa"/>
            <w:vMerge w:val="restart"/>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技术因素</w:t>
            </w:r>
          </w:p>
          <w:p>
            <w:pPr>
              <w:kinsoku w:val="0"/>
              <w:overflowPunct w:val="0"/>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（52分）</w:t>
            </w: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bidi="ar"/>
              </w:rPr>
            </w:pPr>
            <w:r>
              <w:rPr>
                <w:rFonts w:hint="eastAsia"/>
                <w:bCs/>
                <w:sz w:val="20"/>
                <w:szCs w:val="22"/>
                <w:highlight w:val="none"/>
                <w:lang w:bidi="ar"/>
              </w:rPr>
              <w:t>产品质量</w:t>
            </w:r>
          </w:p>
        </w:tc>
        <w:tc>
          <w:tcPr>
            <w:tcW w:w="6383" w:type="dxa"/>
            <w:tcBorders>
              <w:top w:val="single" w:color="000000" w:sz="4" w:space="0"/>
              <w:bottom w:val="single" w:color="000000" w:sz="4" w:space="0"/>
              <w:right w:val="single" w:color="000000" w:sz="4" w:space="0"/>
            </w:tcBorders>
            <w:noWrap w:val="0"/>
            <w:vAlign w:val="center"/>
          </w:tcPr>
          <w:p>
            <w:pPr>
              <w:kinsoku w:val="0"/>
              <w:overflowPunct w:val="0"/>
              <w:jc w:val="left"/>
              <w:textAlignment w:val="top"/>
              <w:rPr>
                <w:rFonts w:hint="eastAsia"/>
                <w:b/>
                <w:bCs/>
                <w:lang w:val="en-US" w:eastAsia="zh-CN"/>
              </w:rPr>
            </w:pPr>
            <w:r>
              <w:rPr>
                <w:rFonts w:hint="eastAsia"/>
                <w:lang w:val="en-US" w:eastAsia="zh-CN"/>
              </w:rPr>
              <w:t>为保证产品质量，投标商需提供官方出具或者官方授权委托第三方机构出具的关于此项目中所有产品的质量检测报告，</w:t>
            </w:r>
            <w:r>
              <w:rPr>
                <w:rFonts w:hint="eastAsia"/>
              </w:rPr>
              <w:t>检</w:t>
            </w:r>
            <w:r>
              <w:rPr>
                <w:rFonts w:hint="eastAsia"/>
                <w:lang w:val="en-US" w:eastAsia="zh-CN"/>
              </w:rPr>
              <w:t>测</w:t>
            </w:r>
            <w:r>
              <w:rPr>
                <w:rFonts w:hint="eastAsia"/>
              </w:rPr>
              <w:t>报告无缺页漏页，</w:t>
            </w:r>
            <w:r>
              <w:rPr>
                <w:rFonts w:hint="eastAsia"/>
                <w:lang w:val="en-US" w:eastAsia="zh-CN"/>
              </w:rPr>
              <w:t>检测</w:t>
            </w:r>
            <w:r>
              <w:rPr>
                <w:rFonts w:hint="eastAsia"/>
              </w:rPr>
              <w:t>所投产品</w:t>
            </w:r>
            <w:r>
              <w:rPr>
                <w:rFonts w:hint="eastAsia"/>
                <w:lang w:val="en-US" w:eastAsia="zh-CN"/>
              </w:rPr>
              <w:t>是否</w:t>
            </w:r>
            <w:r>
              <w:rPr>
                <w:rFonts w:hint="eastAsia"/>
              </w:rPr>
              <w:t>合格，根据检</w:t>
            </w:r>
            <w:r>
              <w:rPr>
                <w:rFonts w:hint="eastAsia"/>
                <w:lang w:val="en-US" w:eastAsia="zh-CN"/>
              </w:rPr>
              <w:t>测</w:t>
            </w:r>
            <w:r>
              <w:rPr>
                <w:rFonts w:hint="eastAsia"/>
              </w:rPr>
              <w:t>报告的各项指标对比要求参数，不得提供虚假检测报告，检测报告需有检测机构有效联系电话</w:t>
            </w:r>
            <w:r>
              <w:rPr>
                <w:rFonts w:hint="eastAsia"/>
                <w:lang w:eastAsia="zh-CN"/>
              </w:rPr>
              <w:t>（</w:t>
            </w:r>
            <w:r>
              <w:rPr>
                <w:rFonts w:hint="eastAsia"/>
                <w:lang w:val="en-US" w:eastAsia="zh-CN"/>
              </w:rPr>
              <w:t>必要时</w:t>
            </w:r>
            <w:r>
              <w:rPr>
                <w:rFonts w:hint="eastAsia"/>
              </w:rPr>
              <w:t>支持现场进行查询核验</w:t>
            </w:r>
            <w:r>
              <w:rPr>
                <w:rFonts w:hint="eastAsia"/>
                <w:lang w:eastAsia="zh-CN"/>
              </w:rPr>
              <w:t>），</w:t>
            </w:r>
            <w:r>
              <w:rPr>
                <w:rFonts w:hint="eastAsia"/>
                <w:lang w:val="en-US" w:eastAsia="zh-CN"/>
              </w:rPr>
              <w:t>每提供一个得2分，完全提供得6分，未提供不得分。</w:t>
            </w:r>
          </w:p>
          <w:p>
            <w:pPr>
              <w:pStyle w:val="5"/>
              <w:rPr>
                <w:rFonts w:hint="default"/>
                <w:lang w:val="en-US"/>
              </w:rPr>
            </w:pP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szCs w:val="21"/>
                <w:highlight w:val="none"/>
              </w:rPr>
            </w:pPr>
            <w:r>
              <w:rPr>
                <w:rFonts w:hint="eastAsia" w:ascii="宋体" w:hAnsi="宋体" w:cs="宋体"/>
                <w:kern w:val="0"/>
                <w:szCs w:val="21"/>
                <w:highlight w:val="none"/>
                <w:lang w:val="en-US" w:eastAsia="zh-CN" w:bidi="ar"/>
              </w:rPr>
              <w:t>6</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2204" w:hRule="atLeast"/>
          <w:jc w:val="center"/>
        </w:trPr>
        <w:tc>
          <w:tcPr>
            <w:tcW w:w="1169" w:type="dxa"/>
            <w:vMerge w:val="continue"/>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bidi="ar"/>
              </w:rPr>
            </w:pPr>
            <w:r>
              <w:rPr>
                <w:rFonts w:hint="eastAsia"/>
                <w:bCs/>
                <w:sz w:val="20"/>
                <w:szCs w:val="22"/>
                <w:highlight w:val="none"/>
                <w:lang w:bidi="ar"/>
              </w:rPr>
              <w:t>产品参数</w:t>
            </w:r>
          </w:p>
        </w:tc>
        <w:tc>
          <w:tcPr>
            <w:tcW w:w="6383" w:type="dxa"/>
            <w:tcBorders>
              <w:top w:val="single" w:color="000000" w:sz="4" w:space="0"/>
              <w:bottom w:val="single" w:color="000000" w:sz="4" w:space="0"/>
              <w:right w:val="single" w:color="000000" w:sz="4" w:space="0"/>
            </w:tcBorders>
            <w:noWrap w:val="0"/>
            <w:vAlign w:val="center"/>
          </w:tcPr>
          <w:p>
            <w:pPr>
              <w:numPr>
                <w:ilvl w:val="0"/>
                <w:numId w:val="0"/>
              </w:numPr>
              <w:kinsoku w:val="0"/>
              <w:overflowPunct w:val="0"/>
              <w:jc w:val="left"/>
              <w:textAlignment w:val="top"/>
              <w:rPr>
                <w:rFonts w:hint="eastAsia"/>
                <w:lang w:val="en-US" w:eastAsia="zh-CN"/>
              </w:rPr>
            </w:pPr>
            <w:r>
              <w:rPr>
                <w:rFonts w:hint="eastAsia"/>
                <w:lang w:val="en-US" w:eastAsia="zh-CN"/>
              </w:rPr>
              <w:t>1、</w:t>
            </w:r>
            <w:r>
              <w:rPr>
                <w:rFonts w:hint="eastAsia"/>
              </w:rPr>
              <w:t>根据投标单位所投产品参数进行核准，</w:t>
            </w:r>
            <w:r>
              <w:rPr>
                <w:rFonts w:hint="eastAsia"/>
                <w:lang w:val="en-US" w:eastAsia="zh-CN"/>
              </w:rPr>
              <w:t>完全满足招标文件要求得30分，核心产品如有一项参数不满足扣2分，（核心产品共18分）</w:t>
            </w:r>
          </w:p>
          <w:p>
            <w:pPr>
              <w:pStyle w:val="5"/>
              <w:ind w:left="0" w:leftChars="0" w:firstLine="0" w:firstLineChars="0"/>
              <w:rPr>
                <w:rFonts w:hint="eastAsia"/>
                <w:lang w:val="en-US" w:eastAsia="zh-CN"/>
              </w:rPr>
            </w:pPr>
            <w:r>
              <w:rPr>
                <w:rFonts w:hint="eastAsia"/>
                <w:lang w:val="en-US" w:eastAsia="zh-CN"/>
              </w:rPr>
              <w:t>其余</w:t>
            </w:r>
            <w:r>
              <w:rPr>
                <w:rFonts w:hint="eastAsia"/>
              </w:rPr>
              <w:t>参数如出现负偏离、不响应，每一项扣</w:t>
            </w:r>
            <w:r>
              <w:rPr>
                <w:rFonts w:hint="eastAsia"/>
                <w:lang w:val="en-US" w:eastAsia="zh-CN"/>
              </w:rPr>
              <w:t>1</w:t>
            </w:r>
            <w:r>
              <w:rPr>
                <w:rFonts w:hint="eastAsia"/>
              </w:rPr>
              <w:t>分</w:t>
            </w:r>
            <w:r>
              <w:rPr>
                <w:rFonts w:hint="eastAsia"/>
                <w:lang w:eastAsia="zh-CN"/>
              </w:rPr>
              <w:t>（</w:t>
            </w:r>
            <w:r>
              <w:rPr>
                <w:rFonts w:hint="eastAsia"/>
                <w:lang w:val="en-US" w:eastAsia="zh-CN"/>
              </w:rPr>
              <w:t>提供样品的商品不响应每项扣2分</w:t>
            </w:r>
            <w:r>
              <w:rPr>
                <w:rFonts w:hint="eastAsia"/>
                <w:lang w:eastAsia="zh-CN"/>
              </w:rPr>
              <w:t>），</w:t>
            </w:r>
            <w:r>
              <w:rPr>
                <w:rFonts w:hint="eastAsia"/>
              </w:rPr>
              <w:t>扣完为止，具体由评委视具体情况给分。</w:t>
            </w:r>
          </w:p>
          <w:p>
            <w:pPr>
              <w:pStyle w:val="5"/>
              <w:rPr>
                <w:rFonts w:hint="default"/>
                <w:lang w:val="en-US" w:eastAsia="zh-CN"/>
              </w:rPr>
            </w:pPr>
            <w:r>
              <w:rPr>
                <w:rFonts w:hint="eastAsia"/>
                <w:lang w:val="en-US" w:eastAsia="zh-CN"/>
              </w:rPr>
              <w:t>提供参数中要求带样品的，样品需和检验检测报告保持一致，否则整个产品参数不得分。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30</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864" w:hRule="atLeast"/>
          <w:jc w:val="center"/>
        </w:trPr>
        <w:tc>
          <w:tcPr>
            <w:tcW w:w="1169" w:type="dxa"/>
            <w:vMerge w:val="continue"/>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p>
        </w:tc>
        <w:tc>
          <w:tcPr>
            <w:tcW w:w="1259" w:type="dxa"/>
            <w:tcBorders>
              <w:top w:val="single" w:color="000000" w:sz="4" w:space="0"/>
              <w:left w:val="single" w:color="000000" w:sz="4" w:space="0"/>
              <w:right w:val="single" w:color="000000" w:sz="4" w:space="0"/>
            </w:tcBorders>
            <w:noWrap w:val="0"/>
            <w:vAlign w:val="center"/>
          </w:tcPr>
          <w:p>
            <w:pPr>
              <w:pStyle w:val="5"/>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样品</w:t>
            </w:r>
          </w:p>
        </w:tc>
        <w:tc>
          <w:tcPr>
            <w:tcW w:w="6383" w:type="dxa"/>
            <w:tcBorders>
              <w:top w:val="single" w:color="000000" w:sz="4" w:space="0"/>
              <w:bottom w:val="single" w:color="000000" w:sz="4" w:space="0"/>
              <w:right w:val="single" w:color="000000" w:sz="4" w:space="0"/>
            </w:tcBorders>
            <w:noWrap w:val="0"/>
            <w:vAlign w:val="center"/>
          </w:tcPr>
          <w:p>
            <w:pPr>
              <w:pStyle w:val="5"/>
              <w:ind w:left="0" w:leftChars="0" w:firstLine="0" w:firstLineChars="0"/>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提供一个样品得2分，最多6分。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default" w:ascii="宋体" w:hAnsi="宋体" w:cs="宋体"/>
                <w:kern w:val="0"/>
                <w:szCs w:val="21"/>
                <w:highlight w:val="none"/>
                <w:lang w:val="en-US" w:eastAsia="zh-CN" w:bidi="ar"/>
              </w:rPr>
            </w:pPr>
            <w:r>
              <w:rPr>
                <w:rFonts w:hint="eastAsia" w:ascii="宋体" w:hAnsi="宋体" w:cs="宋体"/>
                <w:kern w:val="0"/>
                <w:szCs w:val="21"/>
                <w:highlight w:val="none"/>
                <w:lang w:val="en-US" w:eastAsia="zh-CN" w:bidi="ar"/>
              </w:rPr>
              <w:t>6分</w:t>
            </w:r>
          </w:p>
        </w:tc>
      </w:tr>
      <w:tr>
        <w:tblPrEx>
          <w:tblCellMar>
            <w:top w:w="15" w:type="dxa"/>
            <w:left w:w="15" w:type="dxa"/>
            <w:bottom w:w="15" w:type="dxa"/>
            <w:right w:w="15" w:type="dxa"/>
          </w:tblCellMar>
        </w:tblPrEx>
        <w:trPr>
          <w:trHeight w:val="987" w:hRule="atLeast"/>
          <w:jc w:val="center"/>
        </w:trPr>
        <w:tc>
          <w:tcPr>
            <w:tcW w:w="1169" w:type="dxa"/>
            <w:vMerge w:val="continue"/>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val="zh-CN" w:bidi="ar"/>
              </w:rPr>
            </w:pPr>
            <w:r>
              <w:rPr>
                <w:rFonts w:hint="eastAsia"/>
                <w:bCs/>
                <w:sz w:val="20"/>
                <w:szCs w:val="22"/>
                <w:highlight w:val="none"/>
                <w:lang w:val="zh-CN" w:bidi="ar"/>
              </w:rPr>
              <w:t>供货</w:t>
            </w:r>
            <w:r>
              <w:rPr>
                <w:rFonts w:hint="eastAsia"/>
                <w:bCs/>
                <w:sz w:val="20"/>
                <w:szCs w:val="22"/>
                <w:highlight w:val="none"/>
                <w:lang w:val="en-US" w:eastAsia="zh-CN" w:bidi="ar"/>
              </w:rPr>
              <w:t>安装</w:t>
            </w:r>
            <w:r>
              <w:rPr>
                <w:rFonts w:hint="eastAsia"/>
                <w:bCs/>
                <w:sz w:val="20"/>
                <w:szCs w:val="22"/>
                <w:highlight w:val="none"/>
                <w:lang w:val="zh-CN" w:bidi="ar"/>
              </w:rPr>
              <w:t>方案</w:t>
            </w:r>
            <w:r>
              <w:rPr>
                <w:rFonts w:hint="eastAsia"/>
                <w:bCs/>
                <w:sz w:val="20"/>
                <w:szCs w:val="22"/>
                <w:highlight w:val="none"/>
                <w:lang w:val="en-US" w:eastAsia="zh-CN" w:bidi="ar"/>
              </w:rPr>
              <w:t>和供货</w:t>
            </w:r>
            <w:r>
              <w:rPr>
                <w:rFonts w:hint="eastAsia"/>
                <w:bCs/>
                <w:sz w:val="20"/>
                <w:szCs w:val="22"/>
                <w:highlight w:val="none"/>
                <w:lang w:val="zh-CN" w:bidi="ar"/>
              </w:rPr>
              <w:t>保障措施</w:t>
            </w:r>
          </w:p>
          <w:p>
            <w:pPr>
              <w:kinsoku w:val="0"/>
              <w:overflowPunct w:val="0"/>
              <w:jc w:val="left"/>
              <w:textAlignment w:val="top"/>
              <w:rPr>
                <w:rFonts w:hint="eastAsia"/>
                <w:bCs/>
                <w:sz w:val="20"/>
                <w:szCs w:val="22"/>
                <w:highlight w:val="none"/>
                <w:lang w:bidi="ar"/>
              </w:rPr>
            </w:pPr>
          </w:p>
        </w:tc>
        <w:tc>
          <w:tcPr>
            <w:tcW w:w="6383" w:type="dxa"/>
            <w:tcBorders>
              <w:top w:val="single" w:color="000000" w:sz="4" w:space="0"/>
              <w:bottom w:val="single" w:color="000000" w:sz="4" w:space="0"/>
              <w:right w:val="single" w:color="000000" w:sz="4" w:space="0"/>
            </w:tcBorders>
            <w:noWrap w:val="0"/>
            <w:vAlign w:val="center"/>
          </w:tcPr>
          <w:p>
            <w:pPr>
              <w:kinsoku w:val="0"/>
              <w:overflowPunct w:val="0"/>
              <w:jc w:val="left"/>
              <w:textAlignment w:val="top"/>
              <w:rPr>
                <w:rFonts w:hint="eastAsia"/>
                <w:lang w:val="en-US" w:eastAsia="zh-CN"/>
              </w:rPr>
            </w:pPr>
            <w:r>
              <w:rPr>
                <w:rFonts w:hint="eastAsia"/>
                <w:lang w:val="en-US" w:eastAsia="zh-CN"/>
              </w:rPr>
              <w:t>1、提供</w:t>
            </w:r>
            <w:r>
              <w:rPr>
                <w:rFonts w:hint="eastAsia"/>
              </w:rPr>
              <w:t>具备完</w:t>
            </w:r>
            <w:r>
              <w:rPr>
                <w:rFonts w:hint="eastAsia"/>
                <w:lang w:val="en-US" w:eastAsia="zh-CN"/>
              </w:rPr>
              <w:t>整</w:t>
            </w:r>
            <w:r>
              <w:rPr>
                <w:rFonts w:hint="eastAsia"/>
              </w:rPr>
              <w:t>的供货</w:t>
            </w:r>
            <w:r>
              <w:rPr>
                <w:rFonts w:hint="eastAsia"/>
                <w:lang w:val="en-US" w:eastAsia="zh-CN"/>
              </w:rPr>
              <w:t>及安装</w:t>
            </w:r>
            <w:r>
              <w:rPr>
                <w:rFonts w:hint="eastAsia"/>
              </w:rPr>
              <w:t>计划</w:t>
            </w:r>
            <w:r>
              <w:rPr>
                <w:rFonts w:hint="eastAsia"/>
                <w:lang w:eastAsia="zh-CN"/>
              </w:rPr>
              <w:t>、</w:t>
            </w:r>
            <w:r>
              <w:rPr>
                <w:rFonts w:hint="eastAsia"/>
                <w:lang w:val="en-US" w:eastAsia="zh-CN"/>
              </w:rPr>
              <w:t>具体可操作性强的售后服务方案</w:t>
            </w:r>
            <w:r>
              <w:rPr>
                <w:rFonts w:hint="eastAsia"/>
              </w:rPr>
              <w:t>，</w:t>
            </w:r>
            <w:r>
              <w:rPr>
                <w:rFonts w:hint="eastAsia"/>
                <w:lang w:val="en-US" w:eastAsia="zh-CN"/>
              </w:rPr>
              <w:t>有准确的</w:t>
            </w:r>
            <w:r>
              <w:rPr>
                <w:rFonts w:hint="eastAsia"/>
              </w:rPr>
              <w:t>质量保障措施</w:t>
            </w:r>
            <w:r>
              <w:rPr>
                <w:rFonts w:hint="eastAsia"/>
                <w:lang w:val="en-US" w:eastAsia="zh-CN"/>
              </w:rPr>
              <w:t>和详细安全管理措施，优5分</w:t>
            </w:r>
          </w:p>
          <w:p>
            <w:pPr>
              <w:kinsoku w:val="0"/>
              <w:overflowPunct w:val="0"/>
              <w:jc w:val="left"/>
              <w:textAlignment w:val="top"/>
              <w:rPr>
                <w:rFonts w:hint="eastAsia"/>
                <w:lang w:val="en-US" w:eastAsia="zh-CN"/>
              </w:rPr>
            </w:pPr>
            <w:r>
              <w:rPr>
                <w:rFonts w:hint="eastAsia"/>
                <w:lang w:val="en-US" w:eastAsia="zh-CN"/>
              </w:rPr>
              <w:t>2、提供较为良好</w:t>
            </w:r>
            <w:r>
              <w:rPr>
                <w:rFonts w:hint="eastAsia"/>
              </w:rPr>
              <w:t>的供货</w:t>
            </w:r>
            <w:r>
              <w:rPr>
                <w:rFonts w:hint="eastAsia"/>
                <w:lang w:val="en-US" w:eastAsia="zh-CN"/>
              </w:rPr>
              <w:t>及安装</w:t>
            </w:r>
            <w:r>
              <w:rPr>
                <w:rFonts w:hint="eastAsia"/>
              </w:rPr>
              <w:t>计划</w:t>
            </w:r>
            <w:r>
              <w:rPr>
                <w:rFonts w:hint="eastAsia"/>
                <w:lang w:eastAsia="zh-CN"/>
              </w:rPr>
              <w:t>、</w:t>
            </w:r>
            <w:r>
              <w:rPr>
                <w:rFonts w:hint="eastAsia"/>
                <w:lang w:val="en-US" w:eastAsia="zh-CN"/>
              </w:rPr>
              <w:t>可操作性一般的售后服务方案</w:t>
            </w:r>
            <w:r>
              <w:rPr>
                <w:rFonts w:hint="eastAsia"/>
              </w:rPr>
              <w:t>，</w:t>
            </w:r>
            <w:r>
              <w:rPr>
                <w:rFonts w:hint="eastAsia"/>
                <w:lang w:val="en-US" w:eastAsia="zh-CN"/>
              </w:rPr>
              <w:t>良好的</w:t>
            </w:r>
            <w:r>
              <w:rPr>
                <w:rFonts w:hint="eastAsia"/>
              </w:rPr>
              <w:t>质量保障措施</w:t>
            </w:r>
            <w:r>
              <w:rPr>
                <w:rFonts w:hint="eastAsia"/>
                <w:lang w:val="en-US" w:eastAsia="zh-CN"/>
              </w:rPr>
              <w:t>和安全管理措施，良3分</w:t>
            </w:r>
          </w:p>
          <w:p>
            <w:pPr>
              <w:kinsoku w:val="0"/>
              <w:overflowPunct w:val="0"/>
              <w:jc w:val="left"/>
              <w:textAlignment w:val="top"/>
              <w:rPr>
                <w:rFonts w:hint="eastAsia"/>
                <w:lang w:val="en-US" w:eastAsia="zh-CN"/>
              </w:rPr>
            </w:pPr>
            <w:r>
              <w:rPr>
                <w:rFonts w:hint="eastAsia"/>
                <w:lang w:val="en-US" w:eastAsia="zh-CN"/>
              </w:rPr>
              <w:t>3、提供简单的</w:t>
            </w:r>
            <w:r>
              <w:rPr>
                <w:rFonts w:hint="eastAsia"/>
              </w:rPr>
              <w:t>供货</w:t>
            </w:r>
            <w:r>
              <w:rPr>
                <w:rFonts w:hint="eastAsia"/>
                <w:lang w:val="en-US" w:eastAsia="zh-CN"/>
              </w:rPr>
              <w:t>及安装</w:t>
            </w:r>
            <w:r>
              <w:rPr>
                <w:rFonts w:hint="eastAsia"/>
              </w:rPr>
              <w:t>计划</w:t>
            </w:r>
            <w:r>
              <w:rPr>
                <w:rFonts w:hint="eastAsia"/>
                <w:lang w:eastAsia="zh-CN"/>
              </w:rPr>
              <w:t>、</w:t>
            </w:r>
            <w:r>
              <w:rPr>
                <w:rFonts w:hint="eastAsia"/>
                <w:lang w:val="en-US" w:eastAsia="zh-CN"/>
              </w:rPr>
              <w:t>无可操作性的售后服务方案</w:t>
            </w:r>
            <w:r>
              <w:rPr>
                <w:rFonts w:hint="eastAsia"/>
              </w:rPr>
              <w:t>，</w:t>
            </w:r>
            <w:r>
              <w:rPr>
                <w:rFonts w:hint="eastAsia"/>
                <w:lang w:val="en-US" w:eastAsia="zh-CN"/>
              </w:rPr>
              <w:t>简单的</w:t>
            </w:r>
            <w:r>
              <w:rPr>
                <w:rFonts w:hint="eastAsia"/>
              </w:rPr>
              <w:t>质量保障措施</w:t>
            </w:r>
            <w:r>
              <w:rPr>
                <w:rFonts w:hint="eastAsia"/>
                <w:lang w:val="en-US" w:eastAsia="zh-CN"/>
              </w:rPr>
              <w:t>和详细安全管理措施，差2分</w:t>
            </w:r>
          </w:p>
          <w:p>
            <w:pPr>
              <w:kinsoku w:val="0"/>
              <w:overflowPunct w:val="0"/>
              <w:jc w:val="left"/>
              <w:textAlignment w:val="top"/>
              <w:rPr>
                <w:rFonts w:hint="eastAsia"/>
                <w:lang w:val="en-US" w:eastAsia="zh-CN"/>
              </w:rPr>
            </w:pPr>
            <w:r>
              <w:rPr>
                <w:rFonts w:hint="eastAsia"/>
                <w:lang w:val="en-US" w:eastAsia="zh-CN"/>
              </w:rPr>
              <w:t>注：优：内容有针对性，条例清晰，语言通顺。</w:t>
            </w:r>
          </w:p>
          <w:p>
            <w:pPr>
              <w:kinsoku w:val="0"/>
              <w:overflowPunct w:val="0"/>
              <w:jc w:val="left"/>
              <w:textAlignment w:val="top"/>
              <w:rPr>
                <w:rFonts w:hint="eastAsia"/>
                <w:lang w:val="en-US" w:eastAsia="zh-CN"/>
              </w:rPr>
            </w:pPr>
            <w:r>
              <w:rPr>
                <w:rFonts w:hint="eastAsia"/>
                <w:lang w:val="en-US" w:eastAsia="zh-CN"/>
              </w:rPr>
              <w:t>良：内容基本符合招标人需求，条例较为清晰，语言通顺。</w:t>
            </w:r>
          </w:p>
          <w:p>
            <w:pPr>
              <w:kinsoku w:val="0"/>
              <w:overflowPunct w:val="0"/>
              <w:jc w:val="left"/>
              <w:textAlignment w:val="top"/>
              <w:rPr>
                <w:rFonts w:hint="eastAsia"/>
                <w:lang w:val="en-US" w:eastAsia="zh-CN"/>
              </w:rPr>
            </w:pPr>
            <w:r>
              <w:rPr>
                <w:rFonts w:hint="eastAsia"/>
                <w:lang w:val="en-US" w:eastAsia="zh-CN"/>
              </w:rPr>
              <w:t>差：内容没有针对性，概念模糊，语言不通顺，存在错别字。</w:t>
            </w:r>
          </w:p>
          <w:p>
            <w:pPr>
              <w:pStyle w:val="5"/>
              <w:rPr>
                <w:rFonts w:hint="default"/>
                <w:lang w:val="en-US" w:eastAsia="zh-CN"/>
              </w:rPr>
            </w:pPr>
            <w:r>
              <w:rPr>
                <w:rFonts w:hint="eastAsia" w:ascii="Times New Roman" w:hAnsi="Times New Roman" w:eastAsia="宋体" w:cs="Times New Roman"/>
                <w:b/>
                <w:bCs/>
                <w:kern w:val="2"/>
                <w:sz w:val="21"/>
                <w:szCs w:val="24"/>
                <w:lang w:val="en-US" w:eastAsia="zh-CN" w:bidi="ar-SA"/>
              </w:rPr>
              <w:t>不提供不得分</w:t>
            </w:r>
            <w:r>
              <w:rPr>
                <w:rFonts w:hint="eastAsia" w:ascii="Times New Roman" w:hAnsi="Times New Roman" w:eastAsia="宋体" w:cs="Times New Roman"/>
                <w:kern w:val="2"/>
                <w:sz w:val="21"/>
                <w:szCs w:val="24"/>
                <w:lang w:val="en-US" w:eastAsia="zh-CN" w:bidi="ar-SA"/>
              </w:rPr>
              <w:t>。</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914" w:hRule="atLeast"/>
          <w:jc w:val="center"/>
        </w:trPr>
        <w:tc>
          <w:tcPr>
            <w:tcW w:w="1169" w:type="dxa"/>
            <w:vMerge w:val="continue"/>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bidi="ar"/>
              </w:rPr>
            </w:pPr>
            <w:r>
              <w:rPr>
                <w:rFonts w:hint="eastAsia"/>
                <w:bCs/>
                <w:sz w:val="20"/>
                <w:szCs w:val="22"/>
                <w:highlight w:val="none"/>
                <w:lang w:val="en-US" w:eastAsia="zh-CN" w:bidi="ar"/>
              </w:rPr>
              <w:t>企业人员配备</w:t>
            </w:r>
          </w:p>
        </w:tc>
        <w:tc>
          <w:tcPr>
            <w:tcW w:w="6383" w:type="dxa"/>
            <w:tcBorders>
              <w:top w:val="single" w:color="000000" w:sz="4" w:space="0"/>
              <w:bottom w:val="single" w:color="000000" w:sz="4" w:space="0"/>
              <w:right w:val="single" w:color="000000" w:sz="4" w:space="0"/>
            </w:tcBorders>
            <w:noWrap w:val="0"/>
            <w:vAlign w:val="center"/>
          </w:tcPr>
          <w:p>
            <w:pPr>
              <w:kinsoku w:val="0"/>
              <w:overflowPunct w:val="0"/>
              <w:jc w:val="left"/>
              <w:textAlignment w:val="top"/>
              <w:rPr>
                <w:rFonts w:hint="eastAsia"/>
                <w:lang w:val="en-US" w:eastAsia="zh-CN"/>
              </w:rPr>
            </w:pPr>
            <w:r>
              <w:rPr>
                <w:rFonts w:hint="eastAsia"/>
                <w:lang w:val="en-US" w:eastAsia="zh-CN"/>
              </w:rPr>
              <w:t>提供关于实施该项目的安装、调试、维护人员计划书，计划中需承诺安装人员具有专业技术能力，</w:t>
            </w:r>
          </w:p>
          <w:p>
            <w:pPr>
              <w:kinsoku w:val="0"/>
              <w:overflowPunct w:val="0"/>
              <w:jc w:val="left"/>
              <w:textAlignment w:val="top"/>
              <w:rPr>
                <w:rFonts w:hint="eastAsia"/>
                <w:lang w:val="en-US" w:eastAsia="zh-CN"/>
              </w:rPr>
            </w:pPr>
            <w:r>
              <w:rPr>
                <w:rFonts w:hint="eastAsia"/>
                <w:lang w:val="en-US" w:eastAsia="zh-CN"/>
              </w:rPr>
              <w:t>计划加盖鲜章，并明确承诺标准，（若签订合同后出现与承诺不符情况，将按照违约处理，具体以合同为准）</w:t>
            </w:r>
            <w:r>
              <w:rPr>
                <w:rFonts w:hint="eastAsia"/>
                <w:lang w:eastAsia="zh-CN"/>
              </w:rPr>
              <w:t>，</w:t>
            </w:r>
            <w:r>
              <w:rPr>
                <w:rFonts w:hint="eastAsia"/>
                <w:lang w:val="en-US" w:eastAsia="zh-CN"/>
              </w:rPr>
              <w:t>计划有车辆保障，承诺每个供货地点不少于一辆货车得2分；计划中明确表明安装期限得1分；计划提前完成供货承诺，每提前5天得0.5分最多得2分，不提供不得分。</w:t>
            </w:r>
          </w:p>
          <w:p>
            <w:pPr>
              <w:pStyle w:val="5"/>
              <w:rPr>
                <w:rFonts w:hint="default"/>
                <w:lang w:val="en-US"/>
              </w:rPr>
            </w:pPr>
            <w:r>
              <w:rPr>
                <w:rFonts w:hint="eastAsia"/>
                <w:bCs/>
                <w:sz w:val="20"/>
                <w:szCs w:val="22"/>
                <w:highlight w:val="none"/>
                <w:lang w:val="en-US" w:eastAsia="zh-CN" w:bidi="ar"/>
              </w:rPr>
              <w:t>注：未加盖鲜章不得分，没有承诺标准不得分。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672" w:hRule="atLeast"/>
          <w:jc w:val="center"/>
        </w:trPr>
        <w:tc>
          <w:tcPr>
            <w:tcW w:w="1169" w:type="dxa"/>
            <w:vMerge w:val="restart"/>
            <w:tcBorders>
              <w:top w:val="single" w:color="auto" w:sz="4" w:space="0"/>
              <w:left w:val="single" w:color="auto" w:sz="4" w:space="0"/>
              <w:right w:val="single" w:color="auto"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商务因素</w:t>
            </w:r>
          </w:p>
          <w:p>
            <w:pPr>
              <w:kinsoku w:val="0"/>
              <w:overflowPunct w:val="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w:t>
            </w:r>
            <w:r>
              <w:rPr>
                <w:rFonts w:hint="eastAsia" w:ascii="宋体" w:hAnsi="宋体" w:cs="宋体"/>
                <w:kern w:val="0"/>
                <w:szCs w:val="21"/>
                <w:highlight w:val="none"/>
                <w:lang w:val="en-US" w:eastAsia="zh-CN" w:bidi="ar"/>
              </w:rPr>
              <w:t>18</w:t>
            </w:r>
            <w:r>
              <w:rPr>
                <w:rFonts w:hint="eastAsia" w:ascii="宋体" w:hAnsi="宋体" w:cs="宋体"/>
                <w:kern w:val="0"/>
                <w:szCs w:val="21"/>
                <w:highlight w:val="none"/>
                <w:lang w:bidi="ar"/>
              </w:rPr>
              <w:t>分）</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default" w:ascii="宋体" w:hAnsi="宋体" w:cs="宋体"/>
                <w:kern w:val="0"/>
                <w:sz w:val="20"/>
                <w:szCs w:val="20"/>
                <w:highlight w:val="none"/>
                <w:lang w:val="en-US" w:eastAsia="zh-CN" w:bidi="ar"/>
              </w:rPr>
            </w:pPr>
            <w:r>
              <w:rPr>
                <w:rFonts w:hint="eastAsia" w:ascii="宋体" w:hAnsi="宋体" w:eastAsia="宋体" w:cs="Times New Roman"/>
                <w:color w:val="auto"/>
                <w:highlight w:val="none"/>
                <w:lang w:val="en-US" w:eastAsia="zh-CN"/>
              </w:rPr>
              <w:t>应急处理方案</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eastAsiaTheme="minorEastAsia"/>
                <w:highlight w:val="none"/>
                <w:lang w:eastAsia="zh-CN"/>
              </w:rPr>
            </w:pPr>
            <w:r>
              <w:rPr>
                <w:rFonts w:hint="eastAsia"/>
                <w:highlight w:val="none"/>
                <w:lang w:val="en-US" w:eastAsia="zh-CN"/>
              </w:rPr>
              <w:t>1、针对突发情况，在满足需求的前提下提供详细、可操作性强的</w:t>
            </w:r>
            <w:r>
              <w:rPr>
                <w:rFonts w:hint="eastAsia"/>
                <w:highlight w:val="none"/>
                <w:lang w:eastAsia="zh-CN"/>
              </w:rPr>
              <w:t>，</w:t>
            </w:r>
            <w:r>
              <w:rPr>
                <w:rFonts w:hint="eastAsia"/>
                <w:highlight w:val="none"/>
              </w:rPr>
              <w:t>得</w:t>
            </w:r>
            <w:r>
              <w:rPr>
                <w:rFonts w:hint="eastAsia"/>
                <w:highlight w:val="none"/>
                <w:lang w:val="en-US" w:eastAsia="zh-CN"/>
              </w:rPr>
              <w:t>4</w:t>
            </w:r>
            <w:r>
              <w:rPr>
                <w:rFonts w:hint="eastAsia"/>
                <w:highlight w:val="none"/>
              </w:rPr>
              <w:t>分</w:t>
            </w:r>
            <w:r>
              <w:rPr>
                <w:rFonts w:hint="eastAsia"/>
                <w:highlight w:val="none"/>
                <w:lang w:eastAsia="zh-CN"/>
              </w:rPr>
              <w:t>。</w:t>
            </w:r>
          </w:p>
          <w:p>
            <w:pPr>
              <w:kinsoku w:val="0"/>
              <w:overflowPunct w:val="0"/>
              <w:jc w:val="left"/>
              <w:textAlignment w:val="top"/>
              <w:rPr>
                <w:rFonts w:hint="eastAsia"/>
                <w:highlight w:val="none"/>
              </w:rPr>
            </w:pPr>
            <w:r>
              <w:rPr>
                <w:rFonts w:hint="eastAsia"/>
                <w:highlight w:val="none"/>
                <w:lang w:val="en-US" w:eastAsia="zh-CN"/>
              </w:rPr>
              <w:t>2、针对突发情况，在满足需求的前提下提供良好的、可操作性强的</w:t>
            </w:r>
            <w:r>
              <w:rPr>
                <w:rFonts w:hint="eastAsia"/>
                <w:highlight w:val="none"/>
              </w:rPr>
              <w:t>应急处理方案</w:t>
            </w:r>
            <w:r>
              <w:rPr>
                <w:rFonts w:hint="eastAsia"/>
                <w:highlight w:val="none"/>
                <w:lang w:eastAsia="zh-CN"/>
              </w:rPr>
              <w:t>，</w:t>
            </w:r>
            <w:r>
              <w:rPr>
                <w:rFonts w:hint="eastAsia"/>
                <w:highlight w:val="none"/>
              </w:rPr>
              <w:t>得</w:t>
            </w:r>
            <w:r>
              <w:rPr>
                <w:rFonts w:hint="eastAsia"/>
                <w:highlight w:val="none"/>
                <w:lang w:val="en-US" w:eastAsia="zh-CN"/>
              </w:rPr>
              <w:t>2</w:t>
            </w:r>
            <w:r>
              <w:rPr>
                <w:rFonts w:hint="eastAsia"/>
                <w:highlight w:val="none"/>
              </w:rPr>
              <w:t>分</w:t>
            </w:r>
          </w:p>
          <w:p>
            <w:pPr>
              <w:kinsoku w:val="0"/>
              <w:overflowPunct w:val="0"/>
              <w:jc w:val="left"/>
              <w:textAlignment w:val="top"/>
              <w:rPr>
                <w:rFonts w:hint="eastAsia"/>
                <w:highlight w:val="none"/>
              </w:rPr>
            </w:pPr>
            <w:r>
              <w:rPr>
                <w:rFonts w:hint="eastAsia"/>
                <w:highlight w:val="none"/>
                <w:lang w:val="en-US" w:eastAsia="zh-CN"/>
              </w:rPr>
              <w:t>3、针对突发情况，在满足需求的前提下提供一般的、可操作性强的</w:t>
            </w:r>
            <w:r>
              <w:rPr>
                <w:rFonts w:hint="eastAsia"/>
                <w:highlight w:val="none"/>
              </w:rPr>
              <w:t>应急处理方案</w:t>
            </w:r>
            <w:r>
              <w:rPr>
                <w:rFonts w:hint="eastAsia"/>
                <w:highlight w:val="none"/>
                <w:lang w:eastAsia="zh-CN"/>
              </w:rPr>
              <w:t>，</w:t>
            </w:r>
            <w:r>
              <w:rPr>
                <w:rFonts w:hint="eastAsia"/>
                <w:highlight w:val="none"/>
              </w:rPr>
              <w:t>得</w:t>
            </w:r>
            <w:r>
              <w:rPr>
                <w:rFonts w:hint="eastAsia"/>
                <w:highlight w:val="none"/>
                <w:lang w:val="en-US" w:eastAsia="zh-CN"/>
              </w:rPr>
              <w:t>1</w:t>
            </w:r>
            <w:r>
              <w:rPr>
                <w:rFonts w:hint="eastAsia"/>
                <w:highlight w:val="none"/>
              </w:rPr>
              <w:t>分</w:t>
            </w:r>
          </w:p>
          <w:p>
            <w:pPr>
              <w:pStyle w:val="5"/>
              <w:rPr>
                <w:rFonts w:hint="default"/>
                <w:highlight w:val="none"/>
                <w:lang w:val="en-US" w:eastAsia="zh-CN"/>
              </w:rPr>
            </w:pPr>
            <w:r>
              <w:rPr>
                <w:rFonts w:hint="eastAsia" w:ascii="Times New Roman" w:hAnsi="Times New Roman" w:eastAsia="宋体" w:cs="Times New Roman"/>
                <w:b/>
                <w:bCs/>
                <w:kern w:val="2"/>
                <w:sz w:val="21"/>
                <w:szCs w:val="24"/>
                <w:highlight w:val="none"/>
                <w:lang w:val="en-US" w:eastAsia="zh-CN" w:bidi="ar-SA"/>
              </w:rPr>
              <w:t>备注：应急处理方案针对供货、疫情、售后及维修，由评审小组进行横向对比，确定方案完善、合理及得分。</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hint="eastAsia" w:ascii="宋体" w:hAnsi="宋体" w:cs="宋体"/>
                <w:szCs w:val="21"/>
                <w:highlight w:val="none"/>
              </w:rPr>
            </w:pPr>
            <w:r>
              <w:rPr>
                <w:rFonts w:hint="eastAsia" w:ascii="宋体" w:hAnsi="宋体" w:cs="宋体"/>
                <w:kern w:val="0"/>
                <w:szCs w:val="21"/>
                <w:highlight w:val="none"/>
                <w:lang w:val="en-US" w:eastAsia="zh-CN" w:bidi="ar"/>
              </w:rPr>
              <w:t>4</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2025" w:hRule="atLeast"/>
          <w:jc w:val="center"/>
        </w:trPr>
        <w:tc>
          <w:tcPr>
            <w:tcW w:w="1169" w:type="dxa"/>
            <w:vMerge w:val="continue"/>
            <w:tcBorders>
              <w:left w:val="single" w:color="auto" w:sz="4" w:space="0"/>
              <w:right w:val="single" w:color="auto" w:sz="4" w:space="0"/>
            </w:tcBorders>
            <w:noWrap w:val="0"/>
            <w:vAlign w:val="center"/>
          </w:tcPr>
          <w:p>
            <w:pPr>
              <w:kinsoku w:val="0"/>
              <w:overflowPunct w:val="0"/>
              <w:jc w:val="center"/>
              <w:rPr>
                <w:rFonts w:hint="eastAsia" w:ascii="宋体" w:hAnsi="宋体" w:cs="宋体"/>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售后服务承诺及方案</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3"/>
              </w:numPr>
              <w:kinsoku/>
              <w:wordWrap/>
              <w:overflowPunct/>
              <w:topLinePunct w:val="0"/>
              <w:autoSpaceDE/>
              <w:autoSpaceDN/>
              <w:bidi w:val="0"/>
              <w:adjustRightInd/>
              <w:snapToGrid/>
              <w:spacing w:before="1" w:line="360" w:lineRule="exact"/>
              <w:jc w:val="both"/>
              <w:textAlignment w:val="auto"/>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完全满足招标文件质保期得1分。</w:t>
            </w:r>
          </w:p>
          <w:p>
            <w:pPr>
              <w:keepNext w:val="0"/>
              <w:keepLines w:val="0"/>
              <w:pageBreakBefore w:val="0"/>
              <w:numPr>
                <w:ilvl w:val="0"/>
                <w:numId w:val="0"/>
              </w:numPr>
              <w:kinsoku/>
              <w:wordWrap/>
              <w:overflowPunct/>
              <w:topLinePunct w:val="0"/>
              <w:autoSpaceDE/>
              <w:autoSpaceDN/>
              <w:bidi w:val="0"/>
              <w:adjustRightInd/>
              <w:snapToGrid/>
              <w:spacing w:before="1" w:line="360" w:lineRule="exact"/>
              <w:jc w:val="both"/>
              <w:textAlignment w:val="auto"/>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2、在产品正常质保期外所投产品每增加6个月加1分（提供质保承诺书（格式自拟））满分5分，不提供不得分。</w:t>
            </w:r>
          </w:p>
          <w:p>
            <w:pPr>
              <w:kinsoku w:val="0"/>
              <w:overflowPunct w:val="0"/>
              <w:jc w:val="left"/>
              <w:textAlignment w:val="top"/>
              <w:rPr>
                <w:rFonts w:hint="default"/>
                <w:bCs/>
                <w:sz w:val="20"/>
                <w:szCs w:val="22"/>
                <w:highlight w:val="none"/>
                <w:lang w:val="en-US" w:bidi="ar"/>
              </w:rPr>
            </w:pPr>
            <w:r>
              <w:rPr>
                <w:rFonts w:hint="eastAsia" w:ascii="宋体" w:hAnsi="宋体" w:eastAsia="宋体"/>
                <w:color w:val="000000"/>
                <w:szCs w:val="21"/>
                <w:highlight w:val="none"/>
                <w:lang w:val="en-US" w:eastAsia="zh-CN"/>
              </w:rPr>
              <w:t>3、</w:t>
            </w:r>
            <w:r>
              <w:rPr>
                <w:rFonts w:hint="eastAsia" w:ascii="宋体" w:hAnsi="宋体" w:eastAsia="宋体" w:cs="宋体"/>
                <w:color w:val="auto"/>
                <w:kern w:val="2"/>
                <w:sz w:val="21"/>
                <w:szCs w:val="21"/>
                <w:highlight w:val="none"/>
                <w:lang w:val="en-US" w:eastAsia="zh-CN" w:bidi="ar-SA"/>
              </w:rPr>
              <w:t>提供</w:t>
            </w:r>
            <w:r>
              <w:rPr>
                <w:rFonts w:hint="eastAsia" w:ascii="宋体" w:hAnsi="宋体" w:cs="宋体"/>
                <w:color w:val="auto"/>
                <w:kern w:val="2"/>
                <w:sz w:val="21"/>
                <w:szCs w:val="21"/>
                <w:highlight w:val="none"/>
                <w:lang w:val="en-US" w:eastAsia="zh-CN" w:bidi="ar-SA"/>
              </w:rPr>
              <w:t>中标后建立</w:t>
            </w:r>
            <w:r>
              <w:rPr>
                <w:rFonts w:hint="eastAsia" w:ascii="宋体" w:hAnsi="宋体" w:eastAsia="宋体" w:cs="宋体"/>
                <w:color w:val="auto"/>
                <w:kern w:val="2"/>
                <w:sz w:val="21"/>
                <w:szCs w:val="21"/>
                <w:highlight w:val="none"/>
                <w:lang w:val="en-US" w:eastAsia="zh-CN" w:bidi="ar-SA"/>
              </w:rPr>
              <w:t>售后服务点</w:t>
            </w:r>
            <w:r>
              <w:rPr>
                <w:rFonts w:hint="eastAsia" w:ascii="宋体" w:hAnsi="宋体" w:cs="宋体"/>
                <w:color w:val="auto"/>
                <w:kern w:val="2"/>
                <w:sz w:val="21"/>
                <w:szCs w:val="21"/>
                <w:highlight w:val="none"/>
                <w:lang w:val="en-US" w:eastAsia="zh-CN" w:bidi="ar-SA"/>
              </w:rPr>
              <w:t>承诺得1分</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color w:val="auto"/>
                <w:kern w:val="2"/>
                <w:sz w:val="21"/>
                <w:szCs w:val="21"/>
                <w:highlight w:val="none"/>
                <w:lang w:val="en-US" w:eastAsia="zh-CN" w:bidi="ar-SA"/>
              </w:rPr>
              <w:t>供应商所投产品出现</w:t>
            </w:r>
            <w:r>
              <w:rPr>
                <w:rFonts w:hint="eastAsia" w:ascii="宋体" w:hAnsi="宋体" w:cs="宋体"/>
                <w:color w:val="auto"/>
                <w:kern w:val="2"/>
                <w:sz w:val="21"/>
                <w:szCs w:val="21"/>
                <w:highlight w:val="none"/>
                <w:lang w:val="en-US" w:eastAsia="zh-CN" w:bidi="ar-SA"/>
              </w:rPr>
              <w:t>损坏、</w:t>
            </w:r>
            <w:r>
              <w:rPr>
                <w:rFonts w:hint="eastAsia" w:ascii="宋体" w:hAnsi="宋体" w:eastAsia="宋体" w:cs="宋体"/>
                <w:color w:val="auto"/>
                <w:kern w:val="2"/>
                <w:sz w:val="21"/>
                <w:szCs w:val="21"/>
                <w:highlight w:val="none"/>
                <w:lang w:val="en-US" w:eastAsia="zh-CN" w:bidi="ar-SA"/>
              </w:rPr>
              <w:t>故障时，</w:t>
            </w:r>
            <w:r>
              <w:rPr>
                <w:rFonts w:hint="eastAsia" w:ascii="宋体" w:hAnsi="宋体" w:cs="宋体"/>
                <w:color w:val="auto"/>
                <w:kern w:val="2"/>
                <w:sz w:val="21"/>
                <w:szCs w:val="21"/>
                <w:highlight w:val="none"/>
                <w:lang w:val="en-US" w:eastAsia="zh-CN" w:bidi="ar-SA"/>
              </w:rPr>
              <w:t>完成维修时限</w:t>
            </w:r>
            <w:r>
              <w:rPr>
                <w:rFonts w:hint="eastAsia" w:ascii="宋体" w:hAnsi="宋体" w:eastAsia="宋体" w:cs="宋体"/>
                <w:color w:val="auto"/>
                <w:kern w:val="2"/>
                <w:sz w:val="21"/>
                <w:szCs w:val="21"/>
                <w:highlight w:val="none"/>
                <w:lang w:val="en-US" w:eastAsia="zh-CN" w:bidi="ar-SA"/>
              </w:rPr>
              <w:t>，售后响应时间</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小时</w:t>
            </w:r>
            <w:r>
              <w:rPr>
                <w:rFonts w:hint="eastAsia" w:ascii="宋体" w:hAnsi="宋体" w:cs="宋体"/>
                <w:color w:val="auto"/>
                <w:kern w:val="2"/>
                <w:sz w:val="21"/>
                <w:szCs w:val="21"/>
                <w:highlight w:val="none"/>
                <w:lang w:val="en-US" w:eastAsia="zh-CN" w:bidi="ar-SA"/>
              </w:rPr>
              <w:t>内</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分，响应时间</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小时</w:t>
            </w:r>
            <w:r>
              <w:rPr>
                <w:rFonts w:hint="eastAsia" w:ascii="宋体" w:hAnsi="宋体" w:cs="宋体"/>
                <w:color w:val="auto"/>
                <w:kern w:val="2"/>
                <w:sz w:val="21"/>
                <w:szCs w:val="21"/>
                <w:highlight w:val="none"/>
                <w:lang w:val="en-US" w:eastAsia="zh-CN" w:bidi="ar-SA"/>
              </w:rPr>
              <w:t>内</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。注：中标后未兑现承诺，招标人有权扣除部分质保金用于维修和建立售后服务点。（具体以合同约定为准）</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9</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788" w:hRule="atLeast"/>
          <w:jc w:val="center"/>
        </w:trPr>
        <w:tc>
          <w:tcPr>
            <w:tcW w:w="1169" w:type="dxa"/>
            <w:vMerge w:val="continue"/>
            <w:tcBorders>
              <w:left w:val="single" w:color="auto" w:sz="4" w:space="0"/>
              <w:right w:val="single" w:color="auto" w:sz="4" w:space="0"/>
            </w:tcBorders>
            <w:noWrap w:val="0"/>
            <w:vAlign w:val="center"/>
          </w:tcPr>
          <w:p>
            <w:pPr>
              <w:kinsoku w:val="0"/>
              <w:overflowPunct w:val="0"/>
              <w:jc w:val="center"/>
              <w:rPr>
                <w:rFonts w:hint="eastAsia" w:ascii="宋体" w:hAnsi="宋体" w:cs="宋体"/>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ascii="宋体" w:hAnsi="宋体" w:eastAsia="宋体" w:cs="宋体"/>
                <w:kern w:val="0"/>
                <w:sz w:val="20"/>
                <w:szCs w:val="15"/>
                <w:highlight w:val="none"/>
                <w:lang w:val="en-US" w:eastAsia="zh-CN"/>
              </w:rPr>
            </w:pPr>
            <w:r>
              <w:rPr>
                <w:rFonts w:hint="eastAsia" w:ascii="宋体" w:hAnsi="宋体" w:cs="宋体"/>
                <w:kern w:val="0"/>
                <w:sz w:val="20"/>
                <w:szCs w:val="15"/>
                <w:highlight w:val="none"/>
                <w:lang w:val="en-US" w:eastAsia="zh-CN"/>
              </w:rPr>
              <w:t>业绩</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highlight w:val="none"/>
                <w:lang w:val="en-US" w:eastAsia="zh-CN"/>
              </w:rPr>
            </w:pPr>
            <w:r>
              <w:rPr>
                <w:rFonts w:hint="eastAsia"/>
                <w:highlight w:val="none"/>
                <w:lang w:val="en-US" w:eastAsia="zh-CN"/>
              </w:rPr>
              <w:t>每提供一个相关业绩（中标通知书、合同、验收报告需一同提供）得2分，满分4分</w:t>
            </w:r>
          </w:p>
          <w:p>
            <w:pPr>
              <w:pStyle w:val="5"/>
              <w:rPr>
                <w:rFonts w:hint="default"/>
                <w:highlight w:val="none"/>
                <w:lang w:val="en-US" w:eastAsia="zh-CN"/>
              </w:rPr>
            </w:pPr>
            <w:r>
              <w:rPr>
                <w:rFonts w:hint="eastAsia"/>
                <w:bCs/>
                <w:sz w:val="20"/>
                <w:szCs w:val="22"/>
                <w:highlight w:val="none"/>
                <w:lang w:val="en-US" w:eastAsia="zh-CN" w:bidi="ar"/>
              </w:rPr>
              <w:t>备注：相关业绩指，教育类设备采购和安装项目，且需提供中标通知书、合同、验收报告。</w:t>
            </w:r>
            <w:r>
              <w:rPr>
                <w:rFonts w:hint="eastAsia" w:ascii="Times New Roman" w:cs="Times New Roman"/>
                <w:kern w:val="2"/>
                <w:sz w:val="21"/>
                <w:szCs w:val="24"/>
                <w:lang w:val="en-US" w:eastAsia="zh-CN" w:bidi="ar-SA"/>
              </w:rPr>
              <w:t>（</w:t>
            </w:r>
            <w:r>
              <w:rPr>
                <w:rFonts w:hint="eastAsia"/>
                <w:bCs/>
                <w:sz w:val="20"/>
                <w:szCs w:val="22"/>
                <w:highlight w:val="none"/>
                <w:lang w:val="en-US" w:eastAsia="zh-CN" w:bidi="ar"/>
              </w:rPr>
              <w:t>原件、影印件、复印件均可，复印、影印件需加盖鲜章）</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4</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788" w:hRule="atLeast"/>
          <w:jc w:val="center"/>
        </w:trPr>
        <w:tc>
          <w:tcPr>
            <w:tcW w:w="1169" w:type="dxa"/>
            <w:vMerge w:val="continue"/>
            <w:tcBorders>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ascii="宋体" w:hAnsi="宋体" w:cs="宋体"/>
                <w:kern w:val="0"/>
                <w:sz w:val="20"/>
                <w:szCs w:val="15"/>
                <w:highlight w:val="none"/>
                <w:lang w:val="en-US" w:eastAsia="zh-CN" w:bidi="ar-SA"/>
              </w:rPr>
            </w:pPr>
            <w:r>
              <w:rPr>
                <w:rFonts w:hint="eastAsia" w:ascii="宋体" w:hAnsi="宋体" w:cs="宋体"/>
                <w:kern w:val="0"/>
                <w:sz w:val="20"/>
                <w:szCs w:val="15"/>
                <w:highlight w:val="none"/>
              </w:rPr>
              <w:t>标函质量</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bCs/>
                <w:sz w:val="20"/>
                <w:szCs w:val="22"/>
                <w:highlight w:val="none"/>
                <w:lang w:val="en-US" w:eastAsia="zh-CN" w:bidi="ar"/>
              </w:rPr>
            </w:pPr>
            <w:r>
              <w:rPr>
                <w:rFonts w:hint="eastAsia"/>
                <w:bCs/>
                <w:sz w:val="20"/>
                <w:szCs w:val="22"/>
                <w:highlight w:val="none"/>
                <w:lang w:val="en-US" w:eastAsia="zh-CN" w:bidi="ar"/>
              </w:rPr>
              <w:t>对响应文件制作是否规范、响应文件编制的内容是否完整、齐全、叙述是否严谨；标书是否有涂改、错页、漏页现象等的综合评审：</w:t>
            </w:r>
          </w:p>
          <w:p>
            <w:pPr>
              <w:kinsoku w:val="0"/>
              <w:overflowPunct w:val="0"/>
              <w:jc w:val="left"/>
              <w:textAlignment w:val="top"/>
              <w:rPr>
                <w:rFonts w:hint="eastAsia"/>
                <w:bCs/>
                <w:sz w:val="20"/>
                <w:szCs w:val="22"/>
                <w:highlight w:val="none"/>
                <w:lang w:val="en-US" w:eastAsia="zh-CN" w:bidi="ar"/>
              </w:rPr>
            </w:pPr>
            <w:r>
              <w:rPr>
                <w:rFonts w:hint="eastAsia"/>
                <w:bCs/>
                <w:sz w:val="20"/>
                <w:szCs w:val="22"/>
                <w:highlight w:val="none"/>
                <w:lang w:val="en-US" w:eastAsia="zh-CN" w:bidi="ar"/>
              </w:rPr>
              <w:t xml:space="preserve">内容完整、齐全、无错页、漏页得1分； </w:t>
            </w:r>
          </w:p>
          <w:p>
            <w:pPr>
              <w:kinsoku w:val="0"/>
              <w:overflowPunct w:val="0"/>
              <w:jc w:val="left"/>
              <w:textAlignment w:val="top"/>
              <w:rPr>
                <w:rFonts w:hint="eastAsia"/>
                <w:bCs/>
                <w:kern w:val="2"/>
                <w:sz w:val="20"/>
                <w:szCs w:val="22"/>
                <w:highlight w:val="none"/>
                <w:lang w:val="en-US" w:eastAsia="zh-CN" w:bidi="ar"/>
              </w:rPr>
            </w:pPr>
            <w:r>
              <w:rPr>
                <w:rFonts w:hint="eastAsia"/>
                <w:bCs/>
                <w:sz w:val="20"/>
                <w:szCs w:val="22"/>
                <w:highlight w:val="none"/>
                <w:lang w:val="en-US" w:eastAsia="zh-CN" w:bidi="ar"/>
              </w:rPr>
              <w:t>内容较差，不齐全得 0分。</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1分</w:t>
            </w:r>
          </w:p>
        </w:tc>
      </w:tr>
    </w:tbl>
    <w:p>
      <w:pPr>
        <w:kinsoku w:val="0"/>
        <w:overflowPunct w:val="0"/>
        <w:spacing w:line="240" w:lineRule="atLeast"/>
        <w:jc w:val="center"/>
        <w:rPr>
          <w:rFonts w:hint="eastAsia" w:ascii="宋体" w:hAnsi="宋体" w:cs="宋体"/>
          <w:b/>
          <w:color w:val="000000"/>
          <w:sz w:val="48"/>
          <w:szCs w:val="48"/>
          <w:highlight w:val="none"/>
        </w:rPr>
      </w:pPr>
      <w:r>
        <w:rPr>
          <w:rFonts w:hint="eastAsia" w:ascii="宋体" w:hAnsi="宋体" w:cs="宋体"/>
          <w:b/>
          <w:bCs/>
          <w:color w:val="000000"/>
          <w:sz w:val="22"/>
          <w:szCs w:val="28"/>
          <w:highlight w:val="none"/>
        </w:rPr>
        <w:t>综合评分表</w:t>
      </w:r>
      <w:r>
        <w:rPr>
          <w:rFonts w:hint="eastAsia" w:ascii="宋体" w:hAnsi="宋体" w:cs="宋体"/>
          <w:color w:val="000000"/>
          <w:highlight w:val="none"/>
        </w:rPr>
        <w:br w:type="page"/>
      </w:r>
      <w:bookmarkStart w:id="418" w:name="_Toc507399904"/>
      <w:r>
        <w:rPr>
          <w:rFonts w:hint="eastAsia" w:ascii="宋体" w:hAnsi="宋体" w:cs="宋体"/>
          <w:b/>
          <w:color w:val="000000"/>
          <w:sz w:val="48"/>
          <w:szCs w:val="48"/>
          <w:highlight w:val="none"/>
        </w:rPr>
        <w:t>第三册</w:t>
      </w:r>
    </w:p>
    <w:p>
      <w:pPr>
        <w:pStyle w:val="5"/>
        <w:kinsoku w:val="0"/>
        <w:overflowPunct w:val="0"/>
        <w:rPr>
          <w:rFonts w:hint="eastAsia"/>
          <w:color w:val="000000"/>
          <w:highlight w:val="none"/>
        </w:rPr>
      </w:pPr>
    </w:p>
    <w:p>
      <w:pPr>
        <w:kinsoku w:val="0"/>
        <w:overflowPunct w:val="0"/>
        <w:rPr>
          <w:rFonts w:hint="eastAsia" w:ascii="宋体" w:hAnsi="宋体" w:cs="宋体"/>
          <w:color w:val="000000"/>
          <w:highlight w:val="none"/>
        </w:rPr>
      </w:pPr>
    </w:p>
    <w:p>
      <w:pPr>
        <w:pStyle w:val="3"/>
        <w:keepNext w:val="0"/>
        <w:keepLines w:val="0"/>
        <w:numPr>
          <w:ilvl w:val="0"/>
          <w:numId w:val="11"/>
        </w:numPr>
        <w:tabs>
          <w:tab w:val="left" w:pos="0"/>
          <w:tab w:val="clear" w:pos="3134"/>
        </w:tabs>
        <w:kinsoku w:val="0"/>
        <w:overflowPunct w:val="0"/>
        <w:spacing w:before="0" w:after="0" w:line="240" w:lineRule="atLeast"/>
        <w:ind w:left="0" w:hanging="15"/>
        <w:rPr>
          <w:rFonts w:hint="eastAsia" w:hAnsi="宋体" w:cs="宋体"/>
          <w:color w:val="000000"/>
          <w:highlight w:val="none"/>
        </w:rPr>
      </w:pPr>
      <w:bookmarkStart w:id="419" w:name="_Toc4796"/>
      <w:bookmarkStart w:id="420" w:name="_Toc6865"/>
      <w:bookmarkStart w:id="421" w:name="_Toc515647833"/>
      <w:bookmarkStart w:id="422" w:name="_Toc4337"/>
      <w:r>
        <w:rPr>
          <w:rFonts w:hint="eastAsia" w:hAnsi="宋体" w:cs="宋体"/>
          <w:color w:val="000000"/>
          <w:highlight w:val="none"/>
        </w:rPr>
        <w:t>政府采购合同</w:t>
      </w:r>
      <w:bookmarkEnd w:id="418"/>
      <w:bookmarkEnd w:id="419"/>
      <w:bookmarkEnd w:id="420"/>
      <w:bookmarkEnd w:id="421"/>
      <w:bookmarkEnd w:id="422"/>
      <w:bookmarkStart w:id="423" w:name="_Hlt487972895"/>
      <w:bookmarkEnd w:id="423"/>
      <w:bookmarkStart w:id="424" w:name="_Toc216513788"/>
      <w:bookmarkStart w:id="425" w:name="_Toc487900382"/>
    </w:p>
    <w:bookmarkEnd w:id="424"/>
    <w:bookmarkEnd w:id="425"/>
    <w:p>
      <w:pPr>
        <w:kinsoku w:val="0"/>
        <w:overflowPunct w:val="0"/>
        <w:spacing w:line="240" w:lineRule="atLeast"/>
        <w:rPr>
          <w:rFonts w:hint="eastAsia" w:ascii="宋体" w:hAnsi="宋体" w:cs="宋体"/>
          <w:b/>
          <w:color w:val="000000"/>
          <w:kern w:val="44"/>
          <w:sz w:val="32"/>
          <w:szCs w:val="20"/>
          <w:highlight w:val="none"/>
        </w:rPr>
      </w:pPr>
    </w:p>
    <w:p>
      <w:pPr>
        <w:kinsoku w:val="0"/>
        <w:overflowPunct w:val="0"/>
        <w:rPr>
          <w:rFonts w:hint="eastAsia" w:ascii="宋体" w:hAnsi="宋体" w:cs="宋体"/>
          <w:color w:val="000000"/>
          <w:sz w:val="24"/>
          <w:highlight w:val="none"/>
          <w:u w:val="single"/>
        </w:rPr>
      </w:pPr>
      <w:r>
        <w:rPr>
          <w:rFonts w:hint="eastAsia" w:ascii="宋体" w:hAnsi="宋体" w:cs="宋体"/>
          <w:color w:val="000000"/>
          <w:sz w:val="24"/>
          <w:highlight w:val="none"/>
        </w:rPr>
        <w:t>合同编号：</w:t>
      </w:r>
      <w:r>
        <w:rPr>
          <w:rFonts w:hint="eastAsia" w:ascii="宋体" w:hAnsi="宋体" w:cs="宋体"/>
          <w:color w:val="000000"/>
          <w:sz w:val="24"/>
          <w:highlight w:val="none"/>
          <w:u w:val="single"/>
        </w:rPr>
        <w:t xml:space="preserve">           </w:t>
      </w:r>
    </w:p>
    <w:p>
      <w:pPr>
        <w:kinsoku w:val="0"/>
        <w:overflowPunct w:val="0"/>
        <w:spacing w:line="480" w:lineRule="auto"/>
        <w:jc w:val="center"/>
        <w:rPr>
          <w:rFonts w:hint="eastAsia" w:ascii="宋体" w:hAnsi="宋体" w:cs="宋体"/>
          <w:b/>
          <w:color w:val="000000"/>
          <w:sz w:val="28"/>
          <w:szCs w:val="28"/>
          <w:highlight w:val="none"/>
        </w:rPr>
      </w:pPr>
    </w:p>
    <w:p>
      <w:pPr>
        <w:kinsoku w:val="0"/>
        <w:overflowPunct w:val="0"/>
        <w:spacing w:line="480" w:lineRule="auto"/>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政府采购合同参考范本</w:t>
      </w:r>
    </w:p>
    <w:p>
      <w:pPr>
        <w:kinsoku w:val="0"/>
        <w:overflowPunct w:val="0"/>
        <w:spacing w:line="48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（货物类）</w:t>
      </w:r>
    </w:p>
    <w:p>
      <w:pPr>
        <w:pStyle w:val="18"/>
        <w:kinsoku w:val="0"/>
        <w:overflowPunct w:val="0"/>
        <w:ind w:firstLine="0"/>
        <w:rPr>
          <w:rFonts w:hint="eastAsia" w:hAnsi="宋体" w:cs="宋体"/>
          <w:color w:val="000000"/>
          <w:szCs w:val="24"/>
          <w:highlight w:val="none"/>
        </w:rPr>
      </w:pPr>
    </w:p>
    <w:p>
      <w:pPr>
        <w:pStyle w:val="18"/>
        <w:kinsoku w:val="0"/>
        <w:overflowPunct w:val="0"/>
        <w:ind w:firstLine="0"/>
        <w:rPr>
          <w:rFonts w:hint="eastAsia" w:hAnsi="宋体" w:cs="宋体"/>
          <w:color w:val="000000"/>
          <w:szCs w:val="24"/>
          <w:highlight w:val="none"/>
        </w:rPr>
      </w:pPr>
    </w:p>
    <w:p>
      <w:pPr>
        <w:pStyle w:val="18"/>
        <w:kinsoku w:val="0"/>
        <w:overflowPunct w:val="0"/>
        <w:ind w:firstLine="0"/>
        <w:jc w:val="center"/>
        <w:rPr>
          <w:rFonts w:hint="eastAsia" w:hAnsi="宋体" w:cs="宋体"/>
          <w:b/>
          <w:color w:val="000000"/>
          <w:szCs w:val="24"/>
          <w:highlight w:val="none"/>
        </w:rPr>
      </w:pPr>
      <w:r>
        <w:rPr>
          <w:rFonts w:hint="eastAsia" w:hAnsi="宋体" w:cs="宋体"/>
          <w:b/>
          <w:color w:val="000000"/>
          <w:szCs w:val="24"/>
          <w:highlight w:val="none"/>
        </w:rPr>
        <w:t>第一部分 合同书</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kinsoku w:val="0"/>
        <w:overflowPunct w:val="0"/>
        <w:rPr>
          <w:rFonts w:hint="eastAsia" w:ascii="宋体" w:hAnsi="宋体" w:cs="宋体"/>
          <w:color w:val="000000"/>
          <w:highlight w:val="none"/>
        </w:rPr>
      </w:pPr>
    </w:p>
    <w:p>
      <w:pPr>
        <w:kinsoku w:val="0"/>
        <w:overflowPunct w:val="0"/>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kinsoku w:val="0"/>
        <w:overflowPunct w:val="0"/>
        <w:autoSpaceDE w:val="0"/>
        <w:autoSpaceDN w:val="0"/>
        <w:adjustRightInd w:val="0"/>
        <w:spacing w:line="600" w:lineRule="exact"/>
        <w:ind w:firstLine="640"/>
        <w:jc w:val="center"/>
        <w:rPr>
          <w:rFonts w:hint="eastAsia" w:ascii="宋体" w:hAnsi="宋体" w:cs="宋体"/>
          <w:color w:val="000000"/>
          <w:sz w:val="24"/>
          <w:highlight w:val="none"/>
        </w:rPr>
        <w:sectPr>
          <w:headerReference r:id="rId12" w:type="first"/>
          <w:footerReference r:id="rId15" w:type="first"/>
          <w:headerReference r:id="rId10" w:type="default"/>
          <w:footerReference r:id="rId13" w:type="default"/>
          <w:headerReference r:id="rId11" w:type="even"/>
          <w:footerReference r:id="rId14" w:type="even"/>
          <w:pgSz w:w="11907" w:h="16840"/>
          <w:pgMar w:top="1474" w:right="1304" w:bottom="1474" w:left="1304" w:header="851" w:footer="851" w:gutter="0"/>
          <w:cols w:space="720" w:num="1"/>
          <w:docGrid w:linePitch="462" w:charSpace="0"/>
        </w:sectPr>
      </w:pPr>
    </w:p>
    <w:p>
      <w:pPr>
        <w:kinsoku w:val="0"/>
        <w:overflowPunct w:val="0"/>
        <w:spacing w:line="560" w:lineRule="exact"/>
        <w:ind w:firstLine="720" w:firstLineChars="30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（中标供应商名称）</w:t>
      </w:r>
      <w:r>
        <w:rPr>
          <w:rFonts w:hint="eastAsia" w:ascii="宋体" w:hAnsi="宋体" w:cs="宋体"/>
          <w:color w:val="000000"/>
          <w:sz w:val="24"/>
          <w:highlight w:val="none"/>
        </w:rPr>
        <w:t>为该项目中标供应商。现于中标通知书发出之日起三十日内，按照采购文件确定的事项签订本合同。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（中标供应商名称）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26" w:name="_Toc24059"/>
      <w:bookmarkStart w:id="427" w:name="_Toc2232"/>
      <w:bookmarkStart w:id="428" w:name="_Toc3029"/>
      <w:r>
        <w:rPr>
          <w:rFonts w:hint="eastAsia" w:ascii="宋体" w:hAnsi="宋体" w:cs="宋体"/>
          <w:b/>
          <w:color w:val="000000"/>
          <w:sz w:val="24"/>
          <w:highlight w:val="none"/>
        </w:rPr>
        <w:t>1.1 合同组成部分</w:t>
      </w:r>
      <w:bookmarkEnd w:id="426"/>
      <w:bookmarkEnd w:id="427"/>
      <w:bookmarkEnd w:id="428"/>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1.1.2 中标通知书；</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1.1.3 投标文件（含澄清或者说明文件）；</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1.1.4 招标文件（含澄清或者修改文件）；</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29" w:name="_Toc27126"/>
      <w:bookmarkStart w:id="430" w:name="_Toc24300"/>
      <w:bookmarkStart w:id="431" w:name="_Toc21295"/>
      <w:r>
        <w:rPr>
          <w:rFonts w:hint="eastAsia" w:ascii="宋体" w:hAnsi="宋体" w:cs="宋体"/>
          <w:b/>
          <w:color w:val="000000"/>
          <w:sz w:val="24"/>
          <w:highlight w:val="none"/>
        </w:rPr>
        <w:t>1.2 货物</w:t>
      </w:r>
      <w:bookmarkEnd w:id="429"/>
      <w:bookmarkEnd w:id="430"/>
      <w:bookmarkEnd w:id="431"/>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32" w:name="_Toc23292"/>
      <w:bookmarkStart w:id="433" w:name="_Toc21551"/>
      <w:bookmarkStart w:id="434" w:name="_Toc21631"/>
      <w:r>
        <w:rPr>
          <w:rFonts w:hint="eastAsia" w:ascii="宋体" w:hAnsi="宋体" w:cs="宋体"/>
          <w:b/>
          <w:color w:val="000000"/>
          <w:sz w:val="24"/>
          <w:highlight w:val="none"/>
        </w:rPr>
        <w:t>1.3 价款</w:t>
      </w:r>
      <w:bookmarkEnd w:id="432"/>
      <w:bookmarkEnd w:id="433"/>
      <w:bookmarkEnd w:id="434"/>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kinsoku w:val="0"/>
              <w:overflowPunct w:val="0"/>
              <w:spacing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序号</w:t>
            </w:r>
          </w:p>
        </w:tc>
        <w:tc>
          <w:tcPr>
            <w:tcW w:w="340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分项名称</w:t>
            </w:r>
          </w:p>
        </w:tc>
        <w:tc>
          <w:tcPr>
            <w:tcW w:w="2552" w:type="dxa"/>
            <w:noWrap w:val="0"/>
            <w:vAlign w:val="center"/>
          </w:tcPr>
          <w:p>
            <w:pPr>
              <w:pStyle w:val="19"/>
              <w:kinsoku w:val="0"/>
              <w:overflowPunct w:val="0"/>
              <w:spacing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总价</w:t>
            </w:r>
          </w:p>
        </w:tc>
        <w:tc>
          <w:tcPr>
            <w:tcW w:w="2552" w:type="dxa"/>
            <w:noWrap w:val="0"/>
            <w:vAlign w:val="center"/>
          </w:tcPr>
          <w:p>
            <w:pPr>
              <w:pStyle w:val="19"/>
              <w:kinsoku w:val="0"/>
              <w:overflowPunct w:val="0"/>
              <w:spacing w:line="560" w:lineRule="exact"/>
              <w:ind w:firstLine="200"/>
              <w:jc w:val="center"/>
              <w:rPr>
                <w:rFonts w:hint="eastAsia" w:hAnsi="宋体" w:cs="宋体"/>
                <w:color w:val="000000"/>
                <w:kern w:val="2"/>
                <w:sz w:val="24"/>
                <w:szCs w:val="24"/>
                <w:highlight w:val="none"/>
              </w:rPr>
            </w:pPr>
          </w:p>
        </w:tc>
      </w:tr>
    </w:tbl>
    <w:p>
      <w:pPr>
        <w:kinsoku w:val="0"/>
        <w:overflowPunct w:val="0"/>
        <w:spacing w:line="560" w:lineRule="exact"/>
        <w:ind w:firstLine="482" w:firstLineChars="200"/>
        <w:outlineLvl w:val="0"/>
        <w:rPr>
          <w:rFonts w:hint="eastAsia" w:ascii="宋体" w:hAnsi="宋体" w:cs="宋体"/>
          <w:b/>
          <w:color w:val="000000"/>
          <w:sz w:val="24"/>
          <w:highlight w:val="none"/>
        </w:rPr>
      </w:pPr>
      <w:bookmarkStart w:id="435" w:name="_Toc10340"/>
      <w:bookmarkStart w:id="436" w:name="_Toc22618"/>
      <w:bookmarkStart w:id="437" w:name="_Toc1814"/>
      <w:r>
        <w:rPr>
          <w:rFonts w:hint="eastAsia" w:ascii="宋体" w:hAnsi="宋体" w:cs="宋体"/>
          <w:b/>
          <w:color w:val="000000"/>
          <w:sz w:val="24"/>
          <w:highlight w:val="none"/>
        </w:rPr>
        <w:t>1.4 付款方式和发票开具方式</w:t>
      </w:r>
      <w:bookmarkEnd w:id="435"/>
      <w:bookmarkEnd w:id="436"/>
      <w:bookmarkEnd w:id="437"/>
    </w:p>
    <w:p>
      <w:pPr>
        <w:pStyle w:val="5"/>
        <w:ind w:left="2399" w:leftChars="228" w:hanging="1920" w:hangingChars="800"/>
        <w:rPr>
          <w:rFonts w:hint="eastAsia" w:hAnsi="宋体" w:cs="宋体"/>
          <w:color w:val="000000"/>
          <w:highlight w:val="none"/>
        </w:rPr>
      </w:pPr>
    </w:p>
    <w:p>
      <w:pPr>
        <w:pStyle w:val="5"/>
        <w:ind w:left="2399" w:leftChars="228" w:hanging="1920" w:hangingChars="800"/>
        <w:rPr>
          <w:rFonts w:hint="default" w:ascii="宋体" w:hAnsi="宋体" w:eastAsia="宋体" w:cs="宋体"/>
          <w:color w:val="000000"/>
          <w:sz w:val="24"/>
          <w:highlight w:val="none"/>
          <w:u w:val="single"/>
          <w:lang w:val="en-US" w:eastAsia="zh-CN"/>
        </w:rPr>
      </w:pPr>
      <w:r>
        <w:rPr>
          <w:rFonts w:hint="eastAsia" w:hAnsi="宋体" w:cs="宋体"/>
          <w:color w:val="000000"/>
          <w:highlight w:val="none"/>
        </w:rPr>
        <w:t>1.4.1 付款方式：</w:t>
      </w:r>
      <w:r>
        <w:rPr>
          <w:rFonts w:hint="eastAsia" w:hAnsi="宋体" w:cs="宋体"/>
          <w:color w:val="000000"/>
          <w:highlight w:val="none"/>
          <w:u w:val="single"/>
          <w:lang w:val="en-US" w:eastAsia="zh-CN"/>
        </w:rPr>
        <w:t xml:space="preserve">                                              </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发票开具方式：</w:t>
      </w:r>
      <w:r>
        <w:rPr>
          <w:rFonts w:hint="eastAsia" w:ascii="宋体" w:hAnsi="宋体" w:cs="宋体"/>
          <w:color w:val="000000"/>
          <w:sz w:val="24"/>
          <w:highlight w:val="none"/>
          <w:u w:val="single"/>
        </w:rPr>
        <w:t xml:space="preserve"> 增值税普通发票     </w:t>
      </w:r>
      <w:r>
        <w:rPr>
          <w:rFonts w:hint="eastAsia" w:ascii="宋体" w:hAnsi="宋体" w:cs="宋体"/>
          <w:color w:val="000000"/>
          <w:sz w:val="24"/>
          <w:highlight w:val="none"/>
        </w:rPr>
        <w:t>。</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38" w:name="_Toc19304"/>
      <w:bookmarkStart w:id="439" w:name="_Toc2846"/>
      <w:bookmarkStart w:id="440" w:name="_Toc32071"/>
      <w:r>
        <w:rPr>
          <w:rFonts w:hint="eastAsia" w:ascii="宋体" w:hAnsi="宋体" w:cs="宋体"/>
          <w:b/>
          <w:color w:val="000000"/>
          <w:sz w:val="24"/>
          <w:highlight w:val="none"/>
        </w:rPr>
        <w:t>1.5 货物交付期限、地点和方式</w:t>
      </w:r>
      <w:bookmarkEnd w:id="438"/>
      <w:bookmarkEnd w:id="439"/>
      <w:bookmarkEnd w:id="440"/>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1.5.1 交付期限：</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41" w:name="_Toc19554"/>
      <w:bookmarkStart w:id="442" w:name="_Toc21423"/>
      <w:bookmarkStart w:id="443" w:name="_Toc27250"/>
      <w:r>
        <w:rPr>
          <w:rFonts w:hint="eastAsia" w:ascii="宋体" w:hAnsi="宋体" w:cs="宋体"/>
          <w:b/>
          <w:color w:val="000000"/>
          <w:sz w:val="24"/>
          <w:highlight w:val="none"/>
        </w:rPr>
        <w:t>1.6 违约责任</w:t>
      </w:r>
      <w:bookmarkEnd w:id="441"/>
      <w:bookmarkEnd w:id="442"/>
      <w:bookmarkEnd w:id="443"/>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4"/>
        <w:rPr>
          <w:highlight w:val="none"/>
        </w:rPr>
      </w:pP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44" w:name="_Toc28375"/>
      <w:bookmarkStart w:id="445" w:name="_Toc16021"/>
      <w:bookmarkStart w:id="446" w:name="_Toc15583"/>
      <w:r>
        <w:rPr>
          <w:rFonts w:hint="eastAsia" w:ascii="宋体" w:hAnsi="宋体" w:cs="宋体"/>
          <w:b/>
          <w:color w:val="000000"/>
          <w:sz w:val="24"/>
          <w:highlight w:val="none"/>
        </w:rPr>
        <w:t>1.7 合同争议的解决</w:t>
      </w:r>
      <w:bookmarkEnd w:id="444"/>
      <w:bookmarkEnd w:id="445"/>
      <w:bookmarkEnd w:id="446"/>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种方式解决：</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仲裁委员会依申请仲裁时其现行有效的仲裁规则裁决；</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000000"/>
          <w:sz w:val="24"/>
          <w:highlight w:val="none"/>
        </w:rPr>
        <w:t>人民法院起诉。</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47" w:name="_Toc11173"/>
      <w:bookmarkStart w:id="448" w:name="_Toc7245"/>
      <w:bookmarkStart w:id="449" w:name="_Toc15322"/>
      <w:r>
        <w:rPr>
          <w:rFonts w:hint="eastAsia" w:ascii="宋体" w:hAnsi="宋体" w:cs="宋体"/>
          <w:b/>
          <w:color w:val="000000"/>
          <w:sz w:val="24"/>
          <w:highlight w:val="none"/>
        </w:rPr>
        <w:t>1.8 合同生效</w:t>
      </w:r>
      <w:bookmarkEnd w:id="447"/>
      <w:bookmarkEnd w:id="448"/>
      <w:bookmarkEnd w:id="449"/>
    </w:p>
    <w:p>
      <w:pPr>
        <w:kinsoku w:val="0"/>
        <w:overflowPunct w:val="0"/>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kinsoku w:val="0"/>
        <w:overflowPunct w:val="0"/>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kinsoku w:val="0"/>
        <w:overflowPunct w:val="0"/>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kinsoku w:val="0"/>
        <w:overflowPunct w:val="0"/>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kinsoku w:val="0"/>
        <w:overflowPunct w:val="0"/>
        <w:autoSpaceDE w:val="0"/>
        <w:autoSpaceDN w:val="0"/>
        <w:adjustRightInd w:val="0"/>
        <w:spacing w:line="560" w:lineRule="exact"/>
        <w:rPr>
          <w:rFonts w:hint="eastAsia" w:ascii="宋体" w:hAnsi="宋体" w:cs="宋体"/>
          <w:b/>
          <w:color w:val="000000"/>
          <w:kern w:val="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bookmarkStart w:id="450" w:name="_Toc331685783"/>
    </w:p>
    <w:p>
      <w:pPr>
        <w:pStyle w:val="18"/>
        <w:kinsoku w:val="0"/>
        <w:overflowPunct w:val="0"/>
        <w:spacing w:line="560" w:lineRule="exact"/>
        <w:ind w:firstLine="200"/>
        <w:jc w:val="center"/>
        <w:rPr>
          <w:rFonts w:hint="eastAsia" w:hAnsi="宋体" w:cs="宋体"/>
          <w:b/>
          <w:color w:val="000000"/>
          <w:szCs w:val="24"/>
          <w:highlight w:val="none"/>
        </w:rPr>
      </w:pPr>
    </w:p>
    <w:p>
      <w:pPr>
        <w:pStyle w:val="18"/>
        <w:kinsoku w:val="0"/>
        <w:overflowPunct w:val="0"/>
        <w:spacing w:line="560" w:lineRule="exact"/>
        <w:ind w:firstLine="200"/>
        <w:jc w:val="center"/>
        <w:rPr>
          <w:rFonts w:hint="eastAsia" w:hAnsi="宋体" w:cs="宋体"/>
          <w:b/>
          <w:color w:val="000000"/>
          <w:szCs w:val="24"/>
          <w:highlight w:val="none"/>
        </w:rPr>
      </w:pPr>
    </w:p>
    <w:p>
      <w:pPr>
        <w:pStyle w:val="18"/>
        <w:kinsoku w:val="0"/>
        <w:overflowPunct w:val="0"/>
        <w:spacing w:line="560" w:lineRule="exact"/>
        <w:ind w:firstLine="200"/>
        <w:jc w:val="center"/>
        <w:rPr>
          <w:rFonts w:hint="eastAsia" w:hAnsi="宋体" w:cs="宋体"/>
          <w:b/>
          <w:color w:val="000000"/>
          <w:szCs w:val="24"/>
          <w:highlight w:val="none"/>
        </w:rPr>
      </w:pPr>
    </w:p>
    <w:p>
      <w:pPr>
        <w:pStyle w:val="18"/>
        <w:kinsoku w:val="0"/>
        <w:overflowPunct w:val="0"/>
        <w:spacing w:line="560" w:lineRule="exact"/>
        <w:ind w:firstLine="200"/>
        <w:jc w:val="center"/>
        <w:rPr>
          <w:rFonts w:hint="eastAsia" w:hAnsi="宋体" w:cs="宋体"/>
          <w:b/>
          <w:color w:val="000000"/>
          <w:szCs w:val="24"/>
          <w:highlight w:val="none"/>
        </w:rPr>
      </w:pPr>
    </w:p>
    <w:p>
      <w:pPr>
        <w:pStyle w:val="18"/>
        <w:kinsoku w:val="0"/>
        <w:overflowPunct w:val="0"/>
        <w:spacing w:line="560" w:lineRule="exact"/>
        <w:ind w:firstLine="200"/>
        <w:jc w:val="center"/>
        <w:rPr>
          <w:rFonts w:hint="eastAsia" w:hAnsi="宋体" w:cs="宋体"/>
          <w:b/>
          <w:color w:val="000000"/>
          <w:szCs w:val="24"/>
          <w:highlight w:val="none"/>
        </w:rPr>
      </w:pPr>
    </w:p>
    <w:p>
      <w:pPr>
        <w:pStyle w:val="18"/>
        <w:kinsoku w:val="0"/>
        <w:overflowPunct w:val="0"/>
        <w:spacing w:line="560" w:lineRule="exact"/>
        <w:ind w:firstLine="200"/>
        <w:jc w:val="center"/>
        <w:rPr>
          <w:rFonts w:hint="eastAsia" w:hAnsi="宋体" w:cs="宋体"/>
          <w:b/>
          <w:color w:val="000000"/>
          <w:szCs w:val="24"/>
          <w:highlight w:val="none"/>
        </w:rPr>
      </w:pPr>
    </w:p>
    <w:p>
      <w:pPr>
        <w:pStyle w:val="18"/>
        <w:kinsoku w:val="0"/>
        <w:overflowPunct w:val="0"/>
        <w:spacing w:line="560" w:lineRule="exact"/>
        <w:ind w:firstLine="200"/>
        <w:jc w:val="center"/>
        <w:rPr>
          <w:rFonts w:hint="eastAsia" w:hAnsi="宋体" w:cs="宋体"/>
          <w:b/>
          <w:color w:val="000000"/>
          <w:szCs w:val="24"/>
          <w:highlight w:val="none"/>
        </w:rPr>
      </w:pPr>
      <w:r>
        <w:rPr>
          <w:rFonts w:hint="eastAsia" w:hAnsi="宋体" w:cs="宋体"/>
          <w:b/>
          <w:color w:val="000000"/>
          <w:szCs w:val="24"/>
          <w:highlight w:val="none"/>
        </w:rPr>
        <w:t>第二部分 合同一般条款</w:t>
      </w:r>
      <w:bookmarkEnd w:id="450"/>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51" w:name="_Ref467378463"/>
      <w:bookmarkStart w:id="452" w:name="_Ref467379225"/>
      <w:bookmarkStart w:id="453" w:name="_Ref467379195"/>
      <w:bookmarkStart w:id="454" w:name="_Ref467378499"/>
      <w:bookmarkStart w:id="455" w:name="_Ref467379109"/>
      <w:bookmarkStart w:id="456" w:name="_Ref467379205"/>
      <w:bookmarkStart w:id="457" w:name="_Toc28763"/>
      <w:bookmarkStart w:id="458" w:name="_Toc279701240"/>
      <w:bookmarkStart w:id="459" w:name="_Ref467379101"/>
      <w:bookmarkStart w:id="460" w:name="_Ref467379214"/>
      <w:bookmarkStart w:id="461" w:name="_Toc259093669"/>
      <w:bookmarkStart w:id="462" w:name="_Ref467378404"/>
      <w:bookmarkStart w:id="463" w:name="_Ref467379094"/>
      <w:bookmarkStart w:id="464" w:name="_Toc487900349"/>
      <w:bookmarkStart w:id="465" w:name="_Toc16917"/>
      <w:bookmarkStart w:id="466" w:name="_Toc19614"/>
      <w:r>
        <w:rPr>
          <w:rFonts w:hint="eastAsia" w:ascii="宋体" w:hAnsi="宋体" w:cs="宋体"/>
          <w:b/>
          <w:color w:val="000000"/>
          <w:szCs w:val="21"/>
          <w:highlight w:val="none"/>
        </w:rPr>
        <w:t>2.1 定义</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本合同中的下列词语应按以下内容进行解释：</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 “合同”系指采购人和中标供应商签订的载明双方当事人所达成的协议，并包括所有的附件、附录和构成合同的其他文件。</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2.1.2 “合同价”系指根据合同约定，中标供应商在完全履行合同义务后，采购人应支付给中标供应商的价格。</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 “货物”系指中标供应商根据合同约定应向采购人交付的一切各种形态和种类的物品，包括原材料、燃料、设备、机械、仪表、备件、计算机软件、产品等，并包括工具、手册等其他相关资料。</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67" w:name="_Ref467378840"/>
      <w:r>
        <w:rPr>
          <w:rFonts w:hint="eastAsia" w:ascii="宋体" w:hAnsi="宋体" w:cs="宋体"/>
          <w:color w:val="000000"/>
          <w:szCs w:val="21"/>
          <w:highlight w:val="none"/>
        </w:rPr>
        <w:t>2.1.4 “甲方”系指与中标供应商签署合同的采购人</w:t>
      </w:r>
      <w:bookmarkEnd w:id="467"/>
      <w:r>
        <w:rPr>
          <w:rFonts w:hint="eastAsia" w:ascii="宋体" w:hAnsi="宋体" w:cs="宋体"/>
          <w:color w:val="000000"/>
          <w:szCs w:val="21"/>
          <w:highlight w:val="none"/>
        </w:rPr>
        <w:t>；采购人委托采购代理机构代表其与乙方签订合同的，采购人的授权委托书作为合同附件。</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68" w:name="_Ref467379400"/>
      <w:r>
        <w:rPr>
          <w:rFonts w:hint="eastAsia" w:ascii="宋体" w:hAnsi="宋体" w:cs="宋体"/>
          <w:color w:val="000000"/>
          <w:szCs w:val="21"/>
          <w:highlight w:val="none"/>
        </w:rPr>
        <w:t>2.1.5 “乙方”系指根据合同约定交付货物的中标供应商</w:t>
      </w:r>
      <w:bookmarkEnd w:id="468"/>
      <w:r>
        <w:rPr>
          <w:rFonts w:hint="eastAsia" w:ascii="宋体" w:hAnsi="宋体" w:cs="宋体"/>
          <w:color w:val="000000"/>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69" w:name="_Ref467379436"/>
      <w:r>
        <w:rPr>
          <w:rFonts w:hint="eastAsia" w:ascii="宋体" w:hAnsi="宋体" w:cs="宋体"/>
          <w:color w:val="000000"/>
          <w:szCs w:val="21"/>
          <w:highlight w:val="none"/>
        </w:rPr>
        <w:t>2.1.6 “现场”系指合同约定货物将要运至或者安装的地点。</w:t>
      </w:r>
      <w:bookmarkEnd w:id="469"/>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70" w:name="_Toc279701241"/>
      <w:bookmarkStart w:id="471" w:name="_Toc487900350"/>
      <w:bookmarkStart w:id="472" w:name="_Toc27635"/>
      <w:bookmarkStart w:id="473" w:name="_Toc13336"/>
      <w:bookmarkStart w:id="474" w:name="_Toc259093670"/>
      <w:bookmarkStart w:id="475" w:name="_Toc32504"/>
      <w:r>
        <w:rPr>
          <w:rFonts w:hint="eastAsia" w:ascii="宋体" w:hAnsi="宋体" w:cs="宋体"/>
          <w:b/>
          <w:color w:val="000000"/>
          <w:szCs w:val="21"/>
          <w:highlight w:val="none"/>
        </w:rPr>
        <w:t>2.2 技术规范</w:t>
      </w:r>
      <w:bookmarkEnd w:id="470"/>
      <w:bookmarkEnd w:id="471"/>
      <w:bookmarkEnd w:id="472"/>
      <w:bookmarkEnd w:id="473"/>
      <w:bookmarkEnd w:id="474"/>
      <w:bookmarkEnd w:id="47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76" w:name="_Toc279701242"/>
      <w:bookmarkStart w:id="477" w:name="_Toc27853"/>
      <w:bookmarkStart w:id="478" w:name="_Toc259093671"/>
      <w:bookmarkStart w:id="479" w:name="_Toc487900351"/>
      <w:bookmarkStart w:id="480" w:name="_Toc9829"/>
      <w:bookmarkStart w:id="481" w:name="_Toc31634"/>
      <w:r>
        <w:rPr>
          <w:rFonts w:hint="eastAsia" w:ascii="宋体" w:hAnsi="宋体" w:cs="宋体"/>
          <w:b/>
          <w:color w:val="000000"/>
          <w:szCs w:val="21"/>
          <w:highlight w:val="none"/>
        </w:rPr>
        <w:t>2.3 知识产权</w:t>
      </w:r>
      <w:bookmarkEnd w:id="476"/>
      <w:bookmarkEnd w:id="477"/>
      <w:bookmarkEnd w:id="478"/>
      <w:bookmarkEnd w:id="479"/>
      <w:bookmarkEnd w:id="480"/>
      <w:bookmarkEnd w:id="481"/>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2.3.2具有知识产权的计算机软件等货物的知识产权归属，详见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82" w:name="_Toc11932"/>
      <w:bookmarkStart w:id="483" w:name="_Toc29149"/>
      <w:bookmarkStart w:id="484" w:name="_Toc4194"/>
      <w:r>
        <w:rPr>
          <w:rFonts w:hint="eastAsia" w:ascii="宋体" w:hAnsi="宋体" w:cs="宋体"/>
          <w:b/>
          <w:color w:val="000000"/>
          <w:szCs w:val="21"/>
          <w:highlight w:val="none"/>
        </w:rPr>
        <w:t>2.4 包装和装运</w:t>
      </w:r>
      <w:bookmarkEnd w:id="482"/>
      <w:bookmarkEnd w:id="483"/>
      <w:bookmarkEnd w:id="484"/>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2.4.1除</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2.4.2 装运货物的要求和通知，详见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85" w:name="_Toc487900354"/>
      <w:bookmarkStart w:id="486" w:name="_Ref467379527"/>
      <w:bookmarkStart w:id="487" w:name="_Ref467379536"/>
      <w:bookmarkStart w:id="488" w:name="_Ref467378541"/>
      <w:bookmarkStart w:id="489" w:name="_Ref467379542"/>
      <w:bookmarkStart w:id="490" w:name="_Toc259093674"/>
      <w:bookmarkStart w:id="491" w:name="_Ref467378591"/>
      <w:bookmarkStart w:id="492" w:name="_Toc279701245"/>
      <w:bookmarkStart w:id="493" w:name="_Toc26182"/>
      <w:bookmarkStart w:id="494" w:name="_Toc30272"/>
      <w:bookmarkStart w:id="495" w:name="_Toc19074"/>
      <w:r>
        <w:rPr>
          <w:rFonts w:hint="eastAsia" w:ascii="宋体" w:hAnsi="宋体" w:cs="宋体"/>
          <w:b/>
          <w:color w:val="000000"/>
          <w:szCs w:val="21"/>
          <w:highlight w:val="none"/>
        </w:rPr>
        <w:t>2.</w:t>
      </w:r>
      <w:bookmarkEnd w:id="485"/>
      <w:bookmarkEnd w:id="486"/>
      <w:bookmarkEnd w:id="487"/>
      <w:bookmarkEnd w:id="488"/>
      <w:bookmarkEnd w:id="489"/>
      <w:bookmarkEnd w:id="490"/>
      <w:bookmarkEnd w:id="491"/>
      <w:bookmarkEnd w:id="492"/>
      <w:r>
        <w:rPr>
          <w:rFonts w:hint="eastAsia" w:ascii="宋体" w:hAnsi="宋体" w:cs="宋体"/>
          <w:b/>
          <w:color w:val="000000"/>
          <w:szCs w:val="21"/>
          <w:highlight w:val="none"/>
        </w:rPr>
        <w:t>5 履约检查和问题反馈</w:t>
      </w:r>
      <w:bookmarkEnd w:id="493"/>
      <w:bookmarkEnd w:id="494"/>
      <w:bookmarkEnd w:id="49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96" w:name="_Ref467379657"/>
      <w:r>
        <w:rPr>
          <w:rFonts w:hint="eastAsia" w:ascii="宋体" w:hAnsi="宋体" w:cs="宋体"/>
          <w:color w:val="000000"/>
          <w:szCs w:val="21"/>
          <w:highlight w:val="none"/>
        </w:rPr>
        <w:t>2.5.1</w:t>
      </w:r>
      <w:bookmarkEnd w:id="496"/>
      <w:bookmarkStart w:id="497" w:name="_Toc186431854"/>
      <w:bookmarkStart w:id="498" w:name="_Toc259093676"/>
      <w:bookmarkStart w:id="499" w:name="_Toc487900357"/>
      <w:bookmarkStart w:id="500" w:name="_Ref467379807"/>
      <w:bookmarkStart w:id="501" w:name="_Ref467379793"/>
      <w:bookmarkStart w:id="502" w:name="_Toc279701247"/>
      <w:r>
        <w:rPr>
          <w:rFonts w:hint="eastAsia" w:ascii="宋体" w:hAnsi="宋体" w:cs="宋体"/>
          <w:color w:val="000000"/>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2.5.2 合同履行期间，甲方有权将履行过程中出现的问题反馈给乙方，双方当事人应以书面形式约定需要完善和改进的内容</w:t>
      </w:r>
      <w:bookmarkEnd w:id="497"/>
      <w:bookmarkStart w:id="503" w:name="_Toc186431855"/>
      <w:r>
        <w:rPr>
          <w:rFonts w:hint="eastAsia" w:ascii="宋体" w:hAnsi="宋体" w:cs="宋体"/>
          <w:color w:val="000000"/>
          <w:szCs w:val="21"/>
          <w:highlight w:val="none"/>
        </w:rPr>
        <w:t>。</w:t>
      </w:r>
    </w:p>
    <w:bookmarkEnd w:id="503"/>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04" w:name="_Toc19219"/>
      <w:bookmarkStart w:id="505" w:name="_Toc7836"/>
      <w:bookmarkStart w:id="506" w:name="_Toc28451"/>
      <w:r>
        <w:rPr>
          <w:rFonts w:hint="eastAsia" w:ascii="宋体" w:hAnsi="宋体" w:cs="宋体"/>
          <w:b/>
          <w:color w:val="000000"/>
          <w:szCs w:val="21"/>
          <w:highlight w:val="none"/>
        </w:rPr>
        <w:t>2.6 结算方式和付款条件</w:t>
      </w:r>
      <w:bookmarkEnd w:id="498"/>
      <w:bookmarkEnd w:id="499"/>
      <w:bookmarkEnd w:id="500"/>
      <w:bookmarkEnd w:id="501"/>
      <w:bookmarkEnd w:id="502"/>
      <w:bookmarkEnd w:id="504"/>
      <w:bookmarkEnd w:id="505"/>
      <w:bookmarkEnd w:id="506"/>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07" w:name="_Toc279701248"/>
      <w:bookmarkStart w:id="508" w:name="_Ref467379863"/>
      <w:bookmarkStart w:id="509" w:name="_Ref467379852"/>
      <w:bookmarkStart w:id="510" w:name="_Toc259093677"/>
      <w:bookmarkStart w:id="511" w:name="_Toc487900358"/>
      <w:bookmarkStart w:id="512" w:name="_Ref467379923"/>
      <w:bookmarkStart w:id="513" w:name="_Toc3225"/>
      <w:bookmarkStart w:id="514" w:name="_Toc774"/>
      <w:bookmarkStart w:id="515" w:name="_Toc16110"/>
      <w:r>
        <w:rPr>
          <w:rFonts w:hint="eastAsia" w:ascii="宋体" w:hAnsi="宋体" w:cs="宋体"/>
          <w:b/>
          <w:color w:val="000000"/>
          <w:szCs w:val="21"/>
          <w:highlight w:val="none"/>
        </w:rPr>
        <w:t>2.7 技术资料</w:t>
      </w:r>
      <w:bookmarkEnd w:id="507"/>
      <w:bookmarkEnd w:id="508"/>
      <w:bookmarkEnd w:id="509"/>
      <w:bookmarkEnd w:id="510"/>
      <w:bookmarkEnd w:id="511"/>
      <w:bookmarkEnd w:id="512"/>
      <w:r>
        <w:rPr>
          <w:rFonts w:hint="eastAsia" w:ascii="宋体" w:hAnsi="宋体" w:cs="宋体"/>
          <w:b/>
          <w:color w:val="000000"/>
          <w:szCs w:val="21"/>
          <w:highlight w:val="none"/>
        </w:rPr>
        <w:t>和保密义务</w:t>
      </w:r>
      <w:bookmarkEnd w:id="513"/>
      <w:bookmarkEnd w:id="514"/>
      <w:bookmarkEnd w:id="51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2.7.1 乙方有权依据合同约定和项目需要，向甲方了解有关情况，调阅有关资料等，甲方应予积极配合；</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2.7.2 乙方有义务妥善保管和保护由甲方提供的前款信息和资料等；</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16" w:name="_Toc7860"/>
      <w:r>
        <w:rPr>
          <w:rFonts w:hint="eastAsia" w:ascii="宋体" w:hAnsi="宋体" w:cs="宋体"/>
          <w:b/>
          <w:color w:val="000000"/>
          <w:szCs w:val="21"/>
          <w:highlight w:val="none"/>
        </w:rPr>
        <w:t>2.8 质量保证</w:t>
      </w:r>
      <w:bookmarkEnd w:id="516"/>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2.8.1 乙方应建立和完善履行合同的内部质量保证体系，并提供相关内部规章制度给甲方，以便甲方进行监督检查；</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2.8.2 乙方应保证履行合同的人员数量和素质、软件和硬件设备的配置、场地、环境和设施等满足全面履行合同的要求，并应接受甲方的监督检查。</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17" w:name="_Toc17244"/>
      <w:bookmarkStart w:id="518" w:name="_Toc487900362"/>
      <w:bookmarkStart w:id="519" w:name="_Toc279701252"/>
      <w:bookmarkStart w:id="520" w:name="_Toc259093681"/>
      <w:r>
        <w:rPr>
          <w:rFonts w:hint="eastAsia" w:ascii="宋体" w:hAnsi="宋体" w:cs="宋体"/>
          <w:b/>
          <w:color w:val="000000"/>
          <w:szCs w:val="21"/>
          <w:highlight w:val="none"/>
        </w:rPr>
        <w:t>2.9 货物的风险负担</w:t>
      </w:r>
      <w:bookmarkEnd w:id="517"/>
    </w:p>
    <w:p>
      <w:pPr>
        <w:kinsoku w:val="0"/>
        <w:overflowPunct w:val="0"/>
        <w:adjustRightInd w:val="0"/>
        <w:snapToGrid w:val="0"/>
        <w:spacing w:line="360" w:lineRule="exact"/>
        <w:ind w:firstLine="420" w:firstLineChars="200"/>
        <w:rPr>
          <w:rFonts w:hint="eastAsia" w:ascii="宋体" w:hAnsi="宋体" w:cs="宋体"/>
          <w:b/>
          <w:color w:val="000000"/>
          <w:szCs w:val="21"/>
          <w:highlight w:val="none"/>
        </w:rPr>
      </w:pPr>
      <w:r>
        <w:rPr>
          <w:rFonts w:hint="eastAsia" w:ascii="宋体" w:hAnsi="宋体" w:cs="宋体"/>
          <w:color w:val="000000"/>
          <w:szCs w:val="21"/>
          <w:highlight w:val="none"/>
        </w:rPr>
        <w:t>货物或者在途货物或者交付给第一承运人后的货物毁损、灭失的风险负担详见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21" w:name="_Toc14055"/>
      <w:r>
        <w:rPr>
          <w:rFonts w:hint="eastAsia" w:ascii="宋体" w:hAnsi="宋体" w:cs="宋体"/>
          <w:b/>
          <w:color w:val="000000"/>
          <w:szCs w:val="21"/>
          <w:highlight w:val="none"/>
        </w:rPr>
        <w:t>2.10 延迟交货</w:t>
      </w:r>
      <w:bookmarkEnd w:id="518"/>
      <w:bookmarkEnd w:id="519"/>
      <w:bookmarkEnd w:id="520"/>
      <w:bookmarkEnd w:id="521"/>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22" w:name="_Toc7502"/>
      <w:bookmarkStart w:id="523" w:name="_Toc259093683"/>
      <w:bookmarkStart w:id="524" w:name="_Toc279701254"/>
      <w:bookmarkStart w:id="525" w:name="_Ref467378121"/>
      <w:bookmarkStart w:id="526" w:name="_Toc487900364"/>
      <w:r>
        <w:rPr>
          <w:rFonts w:hint="eastAsia" w:ascii="宋体" w:hAnsi="宋体" w:cs="宋体"/>
          <w:b/>
          <w:color w:val="000000"/>
          <w:szCs w:val="21"/>
          <w:highlight w:val="none"/>
        </w:rPr>
        <w:t>2.11 合同变更</w:t>
      </w:r>
      <w:bookmarkEnd w:id="522"/>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527" w:name="_Toc279701259"/>
      <w:bookmarkStart w:id="528" w:name="_Toc487900369"/>
      <w:bookmarkStart w:id="529" w:name="_Toc259093688"/>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30" w:name="_Toc22955"/>
      <w:bookmarkStart w:id="531" w:name="_Toc15237"/>
      <w:bookmarkStart w:id="532" w:name="_Toc10366"/>
      <w:r>
        <w:rPr>
          <w:rFonts w:hint="eastAsia" w:ascii="宋体" w:hAnsi="宋体" w:cs="宋体"/>
          <w:b/>
          <w:color w:val="000000"/>
          <w:szCs w:val="21"/>
          <w:highlight w:val="none"/>
        </w:rPr>
        <w:t>2.12 合同转让</w:t>
      </w:r>
      <w:bookmarkEnd w:id="527"/>
      <w:bookmarkEnd w:id="528"/>
      <w:bookmarkEnd w:id="529"/>
      <w:r>
        <w:rPr>
          <w:rFonts w:hint="eastAsia" w:ascii="宋体" w:hAnsi="宋体" w:cs="宋体"/>
          <w:b/>
          <w:color w:val="000000"/>
          <w:szCs w:val="21"/>
          <w:highlight w:val="none"/>
        </w:rPr>
        <w:t>和分包</w:t>
      </w:r>
      <w:bookmarkEnd w:id="530"/>
      <w:bookmarkEnd w:id="531"/>
      <w:bookmarkEnd w:id="532"/>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33" w:name="_Toc16508"/>
      <w:bookmarkStart w:id="534" w:name="_Toc13566"/>
      <w:bookmarkStart w:id="535" w:name="_Toc14066"/>
      <w:r>
        <w:rPr>
          <w:rFonts w:hint="eastAsia" w:ascii="宋体" w:hAnsi="宋体" w:cs="宋体"/>
          <w:b/>
          <w:color w:val="000000"/>
          <w:szCs w:val="21"/>
          <w:highlight w:val="none"/>
        </w:rPr>
        <w:t>2.13 不可抗力</w:t>
      </w:r>
      <w:bookmarkEnd w:id="533"/>
      <w:bookmarkEnd w:id="534"/>
      <w:bookmarkEnd w:id="53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2.13.1如果任何一方遭遇法律规定的不可抗力，致使合同履行受阻时，履行合同的期限应予延长，延长的期限应相当于不可抗力所影响的时间；</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2.13.2 因不可抗力致使不能实现合同目的的，当事人可以解除合同；</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2.13.3 因不可抗力致使合同有变更必要的，双方当事人应在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约定时间内以书面形式变更合同；</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2.13.4受不可抗力影响的一方在不可抗力发生后，应在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约定时间内以书面形式通知对方当事人，并在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约定时间内，将有关部门出具的证明文件送达对方当事人。</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36" w:name="_Toc279701255"/>
      <w:bookmarkStart w:id="537" w:name="_Toc689"/>
      <w:bookmarkStart w:id="538" w:name="_Toc30676"/>
      <w:bookmarkStart w:id="539" w:name="_Toc259093684"/>
      <w:bookmarkStart w:id="540" w:name="_Toc487900365"/>
      <w:bookmarkStart w:id="541" w:name="_Toc6969"/>
      <w:r>
        <w:rPr>
          <w:rFonts w:hint="eastAsia" w:ascii="宋体" w:hAnsi="宋体" w:cs="宋体"/>
          <w:b/>
          <w:color w:val="000000"/>
          <w:szCs w:val="21"/>
          <w:highlight w:val="none"/>
        </w:rPr>
        <w:t>2.14 税费</w:t>
      </w:r>
      <w:bookmarkEnd w:id="536"/>
      <w:bookmarkEnd w:id="537"/>
      <w:bookmarkEnd w:id="538"/>
      <w:bookmarkEnd w:id="539"/>
      <w:bookmarkEnd w:id="540"/>
      <w:bookmarkEnd w:id="541"/>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与合同有关的一切税费，均按照中华人民共和国法律的相关规定。</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42" w:name="_Toc487900368"/>
      <w:bookmarkStart w:id="543" w:name="_Toc259093687"/>
      <w:bookmarkStart w:id="544" w:name="_Toc279701258"/>
      <w:bookmarkStart w:id="545" w:name="_Toc7102"/>
      <w:bookmarkStart w:id="546" w:name="_Toc8298"/>
      <w:bookmarkStart w:id="547" w:name="_Toc16959"/>
      <w:r>
        <w:rPr>
          <w:rFonts w:hint="eastAsia" w:ascii="宋体" w:hAnsi="宋体" w:cs="宋体"/>
          <w:b/>
          <w:color w:val="000000"/>
          <w:szCs w:val="21"/>
          <w:highlight w:val="none"/>
        </w:rPr>
        <w:t>2.15 乙方破产</w:t>
      </w:r>
      <w:bookmarkEnd w:id="542"/>
      <w:bookmarkEnd w:id="543"/>
      <w:bookmarkEnd w:id="544"/>
      <w:bookmarkEnd w:id="545"/>
      <w:bookmarkEnd w:id="546"/>
      <w:bookmarkEnd w:id="547"/>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48" w:name="_Toc29333"/>
      <w:bookmarkStart w:id="549" w:name="_Toc6134"/>
      <w:bookmarkStart w:id="550" w:name="_Toc15387"/>
      <w:r>
        <w:rPr>
          <w:rFonts w:hint="eastAsia" w:ascii="宋体" w:hAnsi="宋体" w:cs="宋体"/>
          <w:b/>
          <w:color w:val="000000"/>
          <w:szCs w:val="21"/>
          <w:highlight w:val="none"/>
        </w:rPr>
        <w:t>2.16 合同中止、终止</w:t>
      </w:r>
      <w:bookmarkEnd w:id="548"/>
      <w:bookmarkEnd w:id="549"/>
      <w:bookmarkEnd w:id="550"/>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2.16.1 双方当事人不得擅自中止或者终止合同；</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2.16.2合同继续履行将损害国家利益和社会公共利益的，双方当事人应当中止或者终止合同。有过错的一方应当承担赔偿责任，双方当事人都有过错的，各自承担相应的责任。</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51" w:name="_Toc14563"/>
      <w:bookmarkStart w:id="552" w:name="_Toc1125"/>
      <w:bookmarkStart w:id="553" w:name="_Toc6596"/>
      <w:r>
        <w:rPr>
          <w:rFonts w:hint="eastAsia" w:ascii="宋体" w:hAnsi="宋体" w:cs="宋体"/>
          <w:b/>
          <w:color w:val="000000"/>
          <w:szCs w:val="21"/>
          <w:highlight w:val="none"/>
        </w:rPr>
        <w:t>2.17 检验和验收</w:t>
      </w:r>
      <w:bookmarkEnd w:id="551"/>
      <w:bookmarkEnd w:id="552"/>
      <w:bookmarkEnd w:id="553"/>
    </w:p>
    <w:p>
      <w:pPr>
        <w:tabs>
          <w:tab w:val="left" w:pos="360"/>
          <w:tab w:val="left" w:pos="540"/>
          <w:tab w:val="left" w:pos="1080"/>
        </w:tabs>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2.17.1货物交付前，乙方应对货物的质量、数量等方面进行详细、全面的检验，并向甲方出具证明货物符合合同约定的文件；货物交付时，乙方在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约定时间内组织验收，并可依法邀请</w:t>
      </w:r>
      <w:r>
        <w:rPr>
          <w:rFonts w:hint="eastAsia" w:ascii="宋体" w:hAnsi="宋体" w:cs="宋体"/>
          <w:color w:val="000000"/>
          <w:szCs w:val="21"/>
          <w:highlight w:val="none"/>
          <w:u w:val="single"/>
        </w:rPr>
        <w:t>英吉沙县委组织部、英吉沙县质量技术监督局、英吉沙县各乡镇代表参加</w:t>
      </w:r>
      <w:r>
        <w:rPr>
          <w:rFonts w:hint="eastAsia" w:ascii="宋体" w:hAnsi="宋体" w:cs="宋体"/>
          <w:color w:val="000000"/>
          <w:szCs w:val="21"/>
          <w:highlight w:val="none"/>
        </w:rPr>
        <w:t>，验收应出具验收书。</w:t>
      </w:r>
    </w:p>
    <w:p>
      <w:pPr>
        <w:tabs>
          <w:tab w:val="left" w:pos="360"/>
          <w:tab w:val="left" w:pos="540"/>
          <w:tab w:val="left" w:pos="1080"/>
        </w:tabs>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2.17.3 检验和验收标准、程序等具体内容以及前述验收书的效力，</w:t>
      </w:r>
      <w:r>
        <w:rPr>
          <w:rFonts w:hint="eastAsia" w:ascii="宋体" w:hAnsi="宋体" w:cs="宋体"/>
          <w:b/>
          <w:bCs/>
          <w:color w:val="000000"/>
          <w:szCs w:val="21"/>
          <w:highlight w:val="none"/>
          <w:u w:val="single"/>
        </w:rPr>
        <w:t>投标单位交货时应向采购单位提供所供货物的出场合格证明、权威机构出具的产品检测报告，如未提供，采购单位有权拒绝接收投标单位所供货物，验收标准按本项目招标文件内规定的技术规格及要求进行验收</w:t>
      </w:r>
      <w:r>
        <w:rPr>
          <w:rFonts w:hint="eastAsia" w:ascii="宋体" w:hAnsi="宋体" w:cs="宋体"/>
          <w:color w:val="000000"/>
          <w:szCs w:val="21"/>
          <w:highlight w:val="none"/>
        </w:rPr>
        <w:t>。</w:t>
      </w:r>
    </w:p>
    <w:bookmarkEnd w:id="523"/>
    <w:bookmarkEnd w:id="524"/>
    <w:bookmarkEnd w:id="525"/>
    <w:bookmarkEnd w:id="526"/>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54" w:name="_Toc487900371"/>
      <w:bookmarkStart w:id="555" w:name="_Toc279701261"/>
      <w:bookmarkStart w:id="556" w:name="_Toc259093690"/>
      <w:bookmarkStart w:id="557" w:name="_Toc11284"/>
      <w:bookmarkStart w:id="558" w:name="_Toc25182"/>
      <w:bookmarkStart w:id="559" w:name="_Toc19604"/>
      <w:r>
        <w:rPr>
          <w:rFonts w:hint="eastAsia" w:ascii="宋体" w:hAnsi="宋体" w:cs="宋体"/>
          <w:b/>
          <w:color w:val="000000"/>
          <w:szCs w:val="21"/>
          <w:highlight w:val="none"/>
        </w:rPr>
        <w:t>2.18 通知</w:t>
      </w:r>
      <w:bookmarkEnd w:id="554"/>
      <w:bookmarkEnd w:id="555"/>
      <w:bookmarkEnd w:id="556"/>
      <w:r>
        <w:rPr>
          <w:rFonts w:hint="eastAsia" w:ascii="宋体" w:hAnsi="宋体" w:cs="宋体"/>
          <w:b/>
          <w:color w:val="000000"/>
          <w:szCs w:val="21"/>
          <w:highlight w:val="none"/>
        </w:rPr>
        <w:t>和送达</w:t>
      </w:r>
      <w:bookmarkEnd w:id="557"/>
      <w:bookmarkEnd w:id="558"/>
      <w:bookmarkEnd w:id="559"/>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560" w:name="_Toc3135"/>
      <w:bookmarkStart w:id="561" w:name="_Toc6698"/>
      <w:bookmarkStart w:id="562" w:name="_Toc487900372"/>
      <w:bookmarkStart w:id="563" w:name="_Toc259093691"/>
      <w:bookmarkStart w:id="564" w:name="_Toc279701262"/>
      <w:r>
        <w:rPr>
          <w:rFonts w:hint="eastAsia" w:ascii="宋体" w:hAnsi="宋体" w:cs="宋体"/>
          <w:color w:val="000000"/>
          <w:szCs w:val="21"/>
          <w:highlight w:val="none"/>
        </w:rPr>
        <w:t>2.18.1 任何一方因履行合同而以合同第一部分尾部所列明的</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发出的所有通知、文件、材料，均视为已向对方当事人送达；任何一方变更上述送达方式或者地址的，应于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个工作日内书面通知对方当事人，在对方当事人收到有关变更通知之前，变更前的约定送达方式或者地址仍视为有效。</w:t>
      </w:r>
      <w:bookmarkEnd w:id="560"/>
      <w:bookmarkEnd w:id="561"/>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565" w:name="_Toc23294"/>
      <w:bookmarkStart w:id="566" w:name="_Toc23128"/>
      <w:r>
        <w:rPr>
          <w:rFonts w:hint="eastAsia" w:ascii="宋体" w:hAnsi="宋体" w:cs="宋体"/>
          <w:color w:val="000000"/>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65"/>
      <w:bookmarkEnd w:id="566"/>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67" w:name="_Toc4355"/>
      <w:bookmarkStart w:id="568" w:name="_Toc30599"/>
      <w:bookmarkStart w:id="569" w:name="_Toc18540"/>
      <w:r>
        <w:rPr>
          <w:rFonts w:hint="eastAsia" w:ascii="宋体" w:hAnsi="宋体" w:cs="宋体"/>
          <w:b/>
          <w:color w:val="000000"/>
          <w:szCs w:val="21"/>
          <w:highlight w:val="none"/>
        </w:rPr>
        <w:t>2.19 计量单位</w:t>
      </w:r>
      <w:bookmarkEnd w:id="562"/>
      <w:bookmarkEnd w:id="563"/>
      <w:bookmarkEnd w:id="564"/>
      <w:bookmarkEnd w:id="567"/>
      <w:bookmarkEnd w:id="568"/>
      <w:bookmarkEnd w:id="569"/>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除技术规范中另有规定外,合同的计量单位均使用国家法定计量单位。</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70" w:name="_Toc259093692"/>
      <w:bookmarkStart w:id="571" w:name="_Toc12773"/>
      <w:bookmarkStart w:id="572" w:name="_Toc279701263"/>
      <w:bookmarkStart w:id="573" w:name="_Toc18567"/>
      <w:bookmarkStart w:id="574" w:name="_Toc487900373"/>
      <w:bookmarkStart w:id="575" w:name="_Toc10330"/>
      <w:r>
        <w:rPr>
          <w:rFonts w:hint="eastAsia" w:ascii="宋体" w:hAnsi="宋体" w:cs="宋体"/>
          <w:b/>
          <w:color w:val="000000"/>
          <w:szCs w:val="21"/>
          <w:highlight w:val="none"/>
        </w:rPr>
        <w:t>2.20 合同使用的文字和适用的法律</w:t>
      </w:r>
      <w:bookmarkEnd w:id="570"/>
      <w:bookmarkEnd w:id="571"/>
      <w:bookmarkEnd w:id="572"/>
      <w:bookmarkEnd w:id="573"/>
      <w:bookmarkEnd w:id="574"/>
      <w:bookmarkEnd w:id="57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2.20.1 合同使用汉语书就、变更和解释；</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2.20.2 合同适用中华人民共和国法律。</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76" w:name="_Toc16673"/>
      <w:bookmarkStart w:id="577" w:name="_Toc279701264"/>
      <w:bookmarkStart w:id="578" w:name="_Toc3148"/>
      <w:bookmarkStart w:id="579" w:name="_Toc12004"/>
      <w:bookmarkStart w:id="580" w:name="_Toc259093693"/>
      <w:bookmarkStart w:id="581" w:name="_Toc487900374"/>
      <w:r>
        <w:rPr>
          <w:rFonts w:hint="eastAsia" w:ascii="宋体" w:hAnsi="宋体" w:cs="宋体"/>
          <w:b/>
          <w:color w:val="000000"/>
          <w:szCs w:val="21"/>
          <w:highlight w:val="none"/>
        </w:rPr>
        <w:t>2.21 履约保证金</w:t>
      </w:r>
      <w:bookmarkEnd w:id="576"/>
      <w:bookmarkEnd w:id="577"/>
      <w:bookmarkEnd w:id="578"/>
      <w:bookmarkEnd w:id="579"/>
      <w:bookmarkEnd w:id="580"/>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2.21.1 采购文件要求乙方提交履约保证金的，乙方应按</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约定的方式，以支票、汇票、本票或者金融机构、担保机构出具的保函等非现金形式，提交不超过合同价5%的履约保证金；</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2.21.2  履约保证金在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约定期间内或者货物质量保证期内不予退还或者应完全有效，前述约定期间届满或者货物质量保证期届满之日起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个工作日内，甲方应将履约保证金退还乙方；</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1"/>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82" w:name="_Toc6885"/>
      <w:bookmarkStart w:id="583" w:name="_Toc14001"/>
      <w:bookmarkStart w:id="584" w:name="_Toc19890"/>
      <w:r>
        <w:rPr>
          <w:rFonts w:hint="eastAsia" w:ascii="宋体" w:hAnsi="宋体" w:cs="宋体"/>
          <w:b/>
          <w:color w:val="000000"/>
          <w:szCs w:val="21"/>
          <w:highlight w:val="none"/>
        </w:rPr>
        <w:t>2.22 合同份数</w:t>
      </w:r>
      <w:bookmarkEnd w:id="582"/>
      <w:bookmarkEnd w:id="583"/>
      <w:bookmarkEnd w:id="584"/>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合同份数按</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规定，每份均具有同等法律效力。</w:t>
      </w:r>
    </w:p>
    <w:p>
      <w:pPr>
        <w:pStyle w:val="18"/>
        <w:kinsoku w:val="0"/>
        <w:overflowPunct w:val="0"/>
        <w:snapToGrid w:val="0"/>
        <w:spacing w:line="360" w:lineRule="exact"/>
        <w:ind w:firstLine="0"/>
        <w:jc w:val="center"/>
        <w:rPr>
          <w:rFonts w:hint="eastAsia" w:hAnsi="宋体" w:cs="宋体"/>
          <w:b/>
          <w:color w:val="000000"/>
          <w:szCs w:val="24"/>
          <w:highlight w:val="none"/>
        </w:rPr>
      </w:pPr>
      <w:r>
        <w:rPr>
          <w:rFonts w:hint="eastAsia" w:hAnsi="宋体" w:cs="宋体"/>
          <w:color w:val="000000"/>
          <w:sz w:val="21"/>
          <w:szCs w:val="21"/>
          <w:highlight w:val="none"/>
        </w:rPr>
        <w:br w:type="page"/>
      </w:r>
      <w:bookmarkStart w:id="585" w:name="_Toc331685784"/>
      <w:r>
        <w:rPr>
          <w:rFonts w:hint="eastAsia" w:hAnsi="宋体" w:cs="宋体"/>
          <w:b/>
          <w:color w:val="000000"/>
          <w:szCs w:val="24"/>
          <w:highlight w:val="none"/>
        </w:rPr>
        <w:t>第三部分  合同专用条款</w:t>
      </w:r>
      <w:bookmarkEnd w:id="585"/>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kinsoku w:val="0"/>
              <w:overflowPunct w:val="0"/>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条款号</w:t>
            </w:r>
          </w:p>
        </w:tc>
        <w:tc>
          <w:tcPr>
            <w:tcW w:w="7633" w:type="dxa"/>
            <w:noWrap w:val="0"/>
            <w:vAlign w:val="center"/>
          </w:tcPr>
          <w:p>
            <w:pPr>
              <w:kinsoku w:val="0"/>
              <w:overflowPunct w:val="0"/>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bl>
    <w:p>
      <w:pPr>
        <w:kinsoku w:val="0"/>
        <w:overflowPunct w:val="0"/>
        <w:spacing w:after="156" w:line="560" w:lineRule="exact"/>
        <w:ind w:firstLine="480"/>
        <w:rPr>
          <w:rFonts w:hint="eastAsia" w:ascii="宋体" w:hAnsi="宋体" w:cs="宋体"/>
          <w:color w:val="000000"/>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kinsoku w:val="0"/>
        <w:overflowPunct w:val="0"/>
        <w:rPr>
          <w:rFonts w:hint="eastAsia" w:ascii="宋体" w:hAnsi="宋体" w:cs="宋体"/>
          <w:color w:val="000000"/>
          <w:highlight w:val="none"/>
        </w:rPr>
      </w:pPr>
    </w:p>
    <w:p>
      <w:pPr>
        <w:pStyle w:val="8"/>
        <w:kinsoku w:val="0"/>
        <w:overflowPunct w:val="0"/>
        <w:rPr>
          <w:rFonts w:hint="eastAsia" w:cs="宋体"/>
          <w:color w:val="000000"/>
          <w:highlight w:val="none"/>
        </w:rPr>
      </w:pPr>
    </w:p>
    <w:p>
      <w:pPr>
        <w:kinsoku w:val="0"/>
        <w:overflowPunct w:val="0"/>
        <w:spacing w:line="240" w:lineRule="atLeast"/>
        <w:rPr>
          <w:rFonts w:hint="eastAsia" w:ascii="宋体" w:hAnsi="宋体" w:cs="宋体"/>
          <w:color w:val="000000"/>
          <w:highlight w:val="none"/>
        </w:rPr>
      </w:pPr>
    </w:p>
    <w:p>
      <w:pPr>
        <w:pStyle w:val="5"/>
        <w:kinsoku w:val="0"/>
        <w:overflowPunct w:val="0"/>
        <w:spacing w:line="240" w:lineRule="atLeast"/>
        <w:ind w:left="1080" w:leftChars="257" w:hanging="540"/>
        <w:rPr>
          <w:rFonts w:hint="eastAsia" w:hAnsi="宋体" w:cs="宋体"/>
          <w:color w:val="000000"/>
          <w:sz w:val="28"/>
          <w:highlight w:val="none"/>
        </w:rPr>
      </w:pPr>
    </w:p>
    <w:p>
      <w:pPr>
        <w:pStyle w:val="5"/>
        <w:kinsoku w:val="0"/>
        <w:overflowPunct w:val="0"/>
        <w:spacing w:line="240" w:lineRule="atLeast"/>
        <w:ind w:left="1080" w:leftChars="257" w:hanging="540"/>
        <w:rPr>
          <w:rFonts w:hint="eastAsia" w:hAnsi="宋体" w:cs="宋体"/>
          <w:color w:val="000000"/>
          <w:sz w:val="28"/>
          <w:highlight w:val="none"/>
        </w:rPr>
      </w:pP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Ay/&#10;Ym60AQAASQMAAA4AAAAAAAAAAQAgAAAAIAEAAGRycy9lMm9Eb2MueG1sUEsFBgAAAAAGAAYAWQEA&#10;AEYFA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ACS&#10;K4C0AQAASQMAAA4AAAAAAAAAAQAgAAAAIAEAAGRycy9lMm9Eb2MueG1sUEsFBgAAAAAGAAYAWQEA&#10;AEYFA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p>
    <w:pPr>
      <w:pStyle w:val="10"/>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OGs&#10;/W+0AQAASQMAAA4AAAAAAAAAAQAgAAAAIAEAAGRycy9lMm9Eb2MueG1sUEsFBgAAAAAGAAYAWQEA&#10;AEYFA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7E9AE"/>
    <w:multiLevelType w:val="singleLevel"/>
    <w:tmpl w:val="9577E9AE"/>
    <w:lvl w:ilvl="0" w:tentative="0">
      <w:start w:val="1"/>
      <w:numFmt w:val="decimal"/>
      <w:suff w:val="nothing"/>
      <w:lvlText w:val="%1、"/>
      <w:lvlJc w:val="left"/>
    </w:lvl>
  </w:abstractNum>
  <w:abstractNum w:abstractNumId="1">
    <w:nsid w:val="B45DAB90"/>
    <w:multiLevelType w:val="multilevel"/>
    <w:tmpl w:val="B45DAB9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2D88328E"/>
    <w:multiLevelType w:val="singleLevel"/>
    <w:tmpl w:val="2D88328E"/>
    <w:lvl w:ilvl="0" w:tentative="0">
      <w:start w:val="1"/>
      <w:numFmt w:val="decimal"/>
      <w:suff w:val="nothing"/>
      <w:lvlText w:val="%1、"/>
      <w:lvlJc w:val="left"/>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47E77877"/>
    <w:multiLevelType w:val="singleLevel"/>
    <w:tmpl w:val="47E77877"/>
    <w:lvl w:ilvl="0" w:tentative="0">
      <w:start w:val="1"/>
      <w:numFmt w:val="chineseCounting"/>
      <w:suff w:val="nothing"/>
      <w:lvlText w:val="（%1）"/>
      <w:lvlJc w:val="left"/>
      <w:rPr>
        <w:rFonts w:hint="eastAsia"/>
      </w:rPr>
    </w:lvl>
  </w:abstractNum>
  <w:abstractNum w:abstractNumId="9">
    <w:nsid w:val="4D32895B"/>
    <w:multiLevelType w:val="singleLevel"/>
    <w:tmpl w:val="4D32895B"/>
    <w:lvl w:ilvl="0" w:tentative="0">
      <w:start w:val="6"/>
      <w:numFmt w:val="chineseCounting"/>
      <w:suff w:val="nothing"/>
      <w:lvlText w:val="%1、"/>
      <w:lvlJc w:val="left"/>
      <w:rPr>
        <w:rFonts w:hint="eastAsia"/>
      </w:rPr>
    </w:lvl>
  </w:abstractNum>
  <w:abstractNum w:abstractNumId="10">
    <w:nsid w:val="58E0B38A"/>
    <w:multiLevelType w:val="singleLevel"/>
    <w:tmpl w:val="58E0B38A"/>
    <w:lvl w:ilvl="0" w:tentative="0">
      <w:start w:val="2"/>
      <w:numFmt w:val="decimal"/>
      <w:suff w:val="nothing"/>
      <w:lvlText w:val="%1、"/>
      <w:lvlJc w:val="left"/>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6700CBC5"/>
    <w:multiLevelType w:val="singleLevel"/>
    <w:tmpl w:val="6700CBC5"/>
    <w:lvl w:ilvl="0" w:tentative="0">
      <w:start w:val="8"/>
      <w:numFmt w:val="decimal"/>
      <w:suff w:val="nothing"/>
      <w:lvlText w:val="%1、"/>
      <w:lvlJc w:val="left"/>
    </w:lvl>
  </w:abstractNum>
  <w:num w:numId="1">
    <w:abstractNumId w:val="9"/>
  </w:num>
  <w:num w:numId="2">
    <w:abstractNumId w:val="1"/>
  </w:num>
  <w:num w:numId="3">
    <w:abstractNumId w:val="5"/>
  </w:num>
  <w:num w:numId="4">
    <w:abstractNumId w:val="11"/>
  </w:num>
  <w:num w:numId="5">
    <w:abstractNumId w:val="2"/>
  </w:num>
  <w:num w:numId="6">
    <w:abstractNumId w:val="4"/>
  </w:num>
  <w:num w:numId="7">
    <w:abstractNumId w:val="10"/>
  </w:num>
  <w:num w:numId="8">
    <w:abstractNumId w:val="8"/>
  </w:num>
  <w:num w:numId="9">
    <w:abstractNumId w:val="12"/>
  </w:num>
  <w:num w:numId="10">
    <w:abstractNumId w:val="7"/>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NzgzZmRkMjBkMjk2MDZlNWViMTljMTUyYzcwNDUifQ=="/>
  </w:docVars>
  <w:rsids>
    <w:rsidRoot w:val="00000000"/>
    <w:rsid w:val="01F87C8A"/>
    <w:rsid w:val="02AE665E"/>
    <w:rsid w:val="02E42E6C"/>
    <w:rsid w:val="03621930"/>
    <w:rsid w:val="036F5D3A"/>
    <w:rsid w:val="04AF2053"/>
    <w:rsid w:val="04BE36D5"/>
    <w:rsid w:val="05154D93"/>
    <w:rsid w:val="05445F38"/>
    <w:rsid w:val="05AC1EBD"/>
    <w:rsid w:val="067378A0"/>
    <w:rsid w:val="077961C6"/>
    <w:rsid w:val="07A64AE1"/>
    <w:rsid w:val="087748D2"/>
    <w:rsid w:val="0878120F"/>
    <w:rsid w:val="08FB076B"/>
    <w:rsid w:val="091C4EEC"/>
    <w:rsid w:val="09AD65FB"/>
    <w:rsid w:val="0A795B48"/>
    <w:rsid w:val="0A7E39A8"/>
    <w:rsid w:val="0AE61EF7"/>
    <w:rsid w:val="0C3721AC"/>
    <w:rsid w:val="0D986259"/>
    <w:rsid w:val="0E4779B7"/>
    <w:rsid w:val="0F361D27"/>
    <w:rsid w:val="0FDE0F7D"/>
    <w:rsid w:val="10386A3A"/>
    <w:rsid w:val="12152F8F"/>
    <w:rsid w:val="13D06E23"/>
    <w:rsid w:val="151058CD"/>
    <w:rsid w:val="17D85FCA"/>
    <w:rsid w:val="17EA55A0"/>
    <w:rsid w:val="19807603"/>
    <w:rsid w:val="19D41982"/>
    <w:rsid w:val="19D82207"/>
    <w:rsid w:val="1A7822B9"/>
    <w:rsid w:val="1A7E227D"/>
    <w:rsid w:val="1A915E1B"/>
    <w:rsid w:val="1B1D1D58"/>
    <w:rsid w:val="1D8D4321"/>
    <w:rsid w:val="1E175F26"/>
    <w:rsid w:val="1F1929D2"/>
    <w:rsid w:val="1F635CDB"/>
    <w:rsid w:val="1FC81641"/>
    <w:rsid w:val="2266331E"/>
    <w:rsid w:val="226B2757"/>
    <w:rsid w:val="231B417D"/>
    <w:rsid w:val="23681F96"/>
    <w:rsid w:val="237F3802"/>
    <w:rsid w:val="256F38B6"/>
    <w:rsid w:val="265E01D6"/>
    <w:rsid w:val="26B912C7"/>
    <w:rsid w:val="2A2E17C1"/>
    <w:rsid w:val="2AEC3E4F"/>
    <w:rsid w:val="2C8660B5"/>
    <w:rsid w:val="2CC725BE"/>
    <w:rsid w:val="2F5A4E26"/>
    <w:rsid w:val="2F610782"/>
    <w:rsid w:val="2FFC4D8C"/>
    <w:rsid w:val="31565D0B"/>
    <w:rsid w:val="337C582C"/>
    <w:rsid w:val="33B87B9E"/>
    <w:rsid w:val="34361002"/>
    <w:rsid w:val="35393186"/>
    <w:rsid w:val="35494B7A"/>
    <w:rsid w:val="35635C3C"/>
    <w:rsid w:val="37F45271"/>
    <w:rsid w:val="38417D8A"/>
    <w:rsid w:val="39372306"/>
    <w:rsid w:val="3C091F84"/>
    <w:rsid w:val="3CDB07AE"/>
    <w:rsid w:val="3E200F8E"/>
    <w:rsid w:val="3E263CAA"/>
    <w:rsid w:val="3FE77B3E"/>
    <w:rsid w:val="3FE8371D"/>
    <w:rsid w:val="42360234"/>
    <w:rsid w:val="43243A04"/>
    <w:rsid w:val="43B61B3C"/>
    <w:rsid w:val="440A1978"/>
    <w:rsid w:val="45E76415"/>
    <w:rsid w:val="48566BAC"/>
    <w:rsid w:val="4AA06B93"/>
    <w:rsid w:val="4AF30FF0"/>
    <w:rsid w:val="4B4828F8"/>
    <w:rsid w:val="4BEE273A"/>
    <w:rsid w:val="4C673E0C"/>
    <w:rsid w:val="4C704B37"/>
    <w:rsid w:val="4D461C73"/>
    <w:rsid w:val="4D611401"/>
    <w:rsid w:val="4DB82126"/>
    <w:rsid w:val="4EA2737D"/>
    <w:rsid w:val="4EED7525"/>
    <w:rsid w:val="4F5A1A06"/>
    <w:rsid w:val="5019366F"/>
    <w:rsid w:val="51AB43A7"/>
    <w:rsid w:val="51C54DDF"/>
    <w:rsid w:val="521135AE"/>
    <w:rsid w:val="52A43992"/>
    <w:rsid w:val="5354676C"/>
    <w:rsid w:val="54865DF8"/>
    <w:rsid w:val="56C010D6"/>
    <w:rsid w:val="57D93F20"/>
    <w:rsid w:val="586B5009"/>
    <w:rsid w:val="5A1772FD"/>
    <w:rsid w:val="5A1F5D26"/>
    <w:rsid w:val="5A5F71AE"/>
    <w:rsid w:val="5AC73CC7"/>
    <w:rsid w:val="5AD030A7"/>
    <w:rsid w:val="5AEE6ED6"/>
    <w:rsid w:val="5C5464F8"/>
    <w:rsid w:val="5C5C38E6"/>
    <w:rsid w:val="5CCA7B17"/>
    <w:rsid w:val="5CD77874"/>
    <w:rsid w:val="5CFF3EA6"/>
    <w:rsid w:val="5D123297"/>
    <w:rsid w:val="5D24406B"/>
    <w:rsid w:val="5D6B43C2"/>
    <w:rsid w:val="5FDE3F8D"/>
    <w:rsid w:val="60C3622F"/>
    <w:rsid w:val="61391C7E"/>
    <w:rsid w:val="63594330"/>
    <w:rsid w:val="63F520AB"/>
    <w:rsid w:val="65E41BD1"/>
    <w:rsid w:val="662947C4"/>
    <w:rsid w:val="665900AC"/>
    <w:rsid w:val="66C06C5F"/>
    <w:rsid w:val="67B17E79"/>
    <w:rsid w:val="67B334C4"/>
    <w:rsid w:val="68136639"/>
    <w:rsid w:val="68E02B24"/>
    <w:rsid w:val="69780FAF"/>
    <w:rsid w:val="6B596BBE"/>
    <w:rsid w:val="6C4076DB"/>
    <w:rsid w:val="6D8F706F"/>
    <w:rsid w:val="6E043A61"/>
    <w:rsid w:val="6E991DED"/>
    <w:rsid w:val="6F6A4C46"/>
    <w:rsid w:val="700212E5"/>
    <w:rsid w:val="700F3CEF"/>
    <w:rsid w:val="711F4F1A"/>
    <w:rsid w:val="729E5BFF"/>
    <w:rsid w:val="760D71EE"/>
    <w:rsid w:val="79307A71"/>
    <w:rsid w:val="7A6510DB"/>
    <w:rsid w:val="7AFD487C"/>
    <w:rsid w:val="7B881ADD"/>
    <w:rsid w:val="7BE702D7"/>
    <w:rsid w:val="7C8342CE"/>
    <w:rsid w:val="7C9B6276"/>
    <w:rsid w:val="7D7B6E68"/>
    <w:rsid w:val="7E753D11"/>
    <w:rsid w:val="7EF96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5">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ind w:firstLine="3584"/>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unhideWhenUsed/>
    <w:qFormat/>
    <w:uiPriority w:val="0"/>
    <w:pPr>
      <w:ind w:left="200" w:hanging="200" w:hangingChars="200"/>
      <w:contextualSpacing/>
    </w:pPr>
  </w:style>
  <w:style w:type="paragraph" w:styleId="13">
    <w:name w:val="Normal (Web)"/>
    <w:basedOn w:val="1"/>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9">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53833</Words>
  <Characters>61074</Characters>
  <Lines>0</Lines>
  <Paragraphs>0</Paragraphs>
  <TotalTime>75</TotalTime>
  <ScaleCrop>false</ScaleCrop>
  <LinksUpToDate>false</LinksUpToDate>
  <CharactersWithSpaces>65870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2022-04-29T11:34:00Z</dcterms:created>
  <dc:creator>Administrator</dc:creator>
  <cp:lastModifiedBy>笑不语</cp:lastModifiedBy>
  <dcterms:modified xsi:type="dcterms:W3CDTF">2022-06-06T09:08:20Z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E7FAAD03E9324360A68B140CEBFD06D3</vt:lpwstr>
  </property>
</Properties>
</file>