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Theme="minorEastAsia" w:hAnsiTheme="minorEastAsia" w:eastAsiaTheme="minorEastAsia" w:cstheme="minorEastAsia"/>
          <w:b w:val="0"/>
          <w:bCs/>
          <w:color w:val="050505"/>
          <w:kern w:val="2"/>
          <w:sz w:val="24"/>
          <w:szCs w:val="24"/>
          <w:highlight w:val="none"/>
          <w:shd w:val="clear" w:color="auto" w:fill="FFFFFF"/>
          <w:lang w:val="en-US" w:eastAsia="zh-CN"/>
        </w:rPr>
      </w:pPr>
      <w:r>
        <w:rPr>
          <w:rFonts w:hint="eastAsia" w:asciiTheme="minorEastAsia" w:hAnsiTheme="minorEastAsia" w:eastAsiaTheme="minorEastAsia" w:cstheme="minorEastAsia"/>
          <w:b w:val="0"/>
          <w:bCs/>
          <w:color w:val="050505"/>
          <w:kern w:val="2"/>
          <w:sz w:val="24"/>
          <w:szCs w:val="24"/>
          <w:highlight w:val="none"/>
          <w:shd w:val="clear" w:color="auto" w:fill="FFFFFF"/>
          <w:lang w:val="en-US" w:eastAsia="zh-CN"/>
        </w:rPr>
        <w:t>民丰县政府采购办公室备案处</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lang w:val="en-US" w:eastAsia="zh-CN"/>
        </w:rPr>
      </w:pPr>
      <w:r>
        <w:rPr>
          <w:rFonts w:hint="eastAsia" w:ascii="宋体" w:hAnsi="宋体"/>
          <w:bCs w:val="0"/>
          <w:sz w:val="32"/>
          <w:szCs w:val="32"/>
          <w:lang w:val="en-US" w:eastAsia="zh-CN"/>
        </w:rPr>
        <w:t>民丰县安迪尔乡和谐村、萨勒吾则克乡红旗村电采暖设施采购项目</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bCs w:val="0"/>
          <w:sz w:val="32"/>
          <w:szCs w:val="32"/>
        </w:rPr>
        <w:t>竞争性</w:t>
      </w:r>
      <w:r>
        <w:rPr>
          <w:rFonts w:hint="eastAsia" w:ascii="宋体" w:hAnsi="宋体" w:eastAsia="宋体"/>
          <w:bCs w:val="0"/>
          <w:sz w:val="32"/>
          <w:szCs w:val="32"/>
          <w:lang w:val="en-US" w:eastAsia="zh-CN"/>
        </w:rPr>
        <w:t>谈判</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民丰县安迪尔乡和谐村、萨勒吾则克乡红旗村电采暖设施采购项目的潜在投标人应在新疆政府采购网（http://www.ccgp-xinjiang.gov.cn）获取招标文件，并于2022年6月24日17点30分（北京时间）前递交响应文件。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0" w:name="_Toc35393790"/>
      <w:bookmarkStart w:id="1" w:name="_Toc28359079"/>
      <w:bookmarkStart w:id="2" w:name="_Toc28359002"/>
      <w:bookmarkStart w:id="3" w:name="_Toc35393621"/>
      <w:bookmarkStart w:id="4" w:name="_Hlk24379207"/>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r>
        <w:rPr>
          <w:rFonts w:hint="eastAsia" w:asciiTheme="minorEastAsia" w:hAnsiTheme="minorEastAsia" w:eastAsiaTheme="minorEastAsia" w:cstheme="minorEastAsia"/>
          <w:kern w:val="2"/>
          <w:sz w:val="24"/>
          <w:szCs w:val="24"/>
          <w:highlight w:val="none"/>
          <w:shd w:val="clear" w:color="auto" w:fill="FFFFFF"/>
        </w:rPr>
        <w:t>一、项目基本情况</w:t>
      </w:r>
      <w:bookmarkEnd w:id="0"/>
      <w:bookmarkEnd w:id="1"/>
      <w:bookmarkEnd w:id="2"/>
      <w:bookmarkEnd w:id="3"/>
    </w:p>
    <w:p>
      <w:pPr>
        <w:pStyle w:val="16"/>
        <w:spacing w:line="276"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编号：XJYTYF-CG-JZXTP-2022-016</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bookmarkEnd w:id="4"/>
      <w:r>
        <w:rPr>
          <w:rFonts w:hint="eastAsia" w:asciiTheme="minorEastAsia" w:hAnsiTheme="minorEastAsia" w:eastAsiaTheme="minorEastAsia" w:cstheme="minorEastAsia"/>
          <w:kern w:val="2"/>
          <w:sz w:val="24"/>
          <w:szCs w:val="24"/>
          <w:highlight w:val="none"/>
          <w:shd w:val="clear" w:color="auto" w:fill="FFFFFF"/>
          <w:lang w:val="en-US" w:eastAsia="zh-CN"/>
        </w:rPr>
        <w:t>民丰县安迪尔乡和谐村、萨勒吾则克乡红旗村电采暖设施采购项目</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□竞争性磋商 □询价</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75万元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750000.00</w:t>
      </w:r>
      <w:r>
        <w:rPr>
          <w:rFonts w:hint="eastAsia" w:asciiTheme="minorEastAsia" w:hAnsiTheme="minorEastAsia" w:eastAsiaTheme="minorEastAsia" w:cstheme="minorEastAsia"/>
          <w:kern w:val="2"/>
          <w:sz w:val="24"/>
          <w:szCs w:val="24"/>
          <w:highlight w:val="none"/>
          <w:shd w:val="clear" w:color="auto" w:fill="FFFFFF"/>
          <w:lang w:eastAsia="zh-CN"/>
        </w:rPr>
        <w:t>  </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民丰县安迪尔乡和谐村、萨勒吾则克乡红旗村电采暖设施采购项目</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数量：1批</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750000.00</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采购空气源电采暖一批，具体技术</w:t>
      </w:r>
      <w:r>
        <w:rPr>
          <w:rFonts w:hint="eastAsia" w:ascii="宋体" w:hAnsi="宋体" w:eastAsia="宋体" w:cs="宋体"/>
          <w:sz w:val="24"/>
          <w:szCs w:val="24"/>
          <w:highlight w:val="none"/>
          <w:lang w:val="en-US" w:eastAsia="zh-CN"/>
        </w:rPr>
        <w:t>参数详见竞谈文件。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合同履行期限：详见</w:t>
      </w:r>
      <w:r>
        <w:rPr>
          <w:rFonts w:hint="eastAsia" w:asciiTheme="minorEastAsia" w:hAnsiTheme="minorEastAsia" w:eastAsiaTheme="minorEastAsia" w:cstheme="minorEastAsia"/>
          <w:kern w:val="2"/>
          <w:sz w:val="24"/>
          <w:szCs w:val="24"/>
          <w:highlight w:val="none"/>
          <w:shd w:val="clear" w:color="auto" w:fill="FFFFFF"/>
          <w:lang w:val="en-US" w:eastAsia="zh-CN"/>
        </w:rPr>
        <w:t>谈判</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6"/>
        <w:numPr>
          <w:ilvl w:val="0"/>
          <w:numId w:val="1"/>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5" w:name="_Toc28359003"/>
      <w:bookmarkStart w:id="6" w:name="_Toc28359080"/>
      <w:bookmarkStart w:id="7" w:name="_Toc35393622"/>
      <w:bookmarkStart w:id="8" w:name="_Toc35393791"/>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5"/>
      <w:bookmarkEnd w:id="6"/>
      <w:bookmarkEnd w:id="7"/>
      <w:bookmarkEnd w:id="8"/>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1）根据财政部、工业和信息化部关于印发《政府采购促进中小企业发展暂行办法》的通知(财库[2011]181号)。（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4）财政部、民政部、中国残疾人联合会《关于促进残疾人就业政府采购政策的通知》（财库[2017]141号）。（5）财政部、司法部《关于政府采购支持监狱企业发展有关问题的通知》（财库[2014]68号文）。</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bookmarkStart w:id="9" w:name="_Toc28359081"/>
      <w:bookmarkStart w:id="10" w:name="_Toc35393792"/>
      <w:bookmarkStart w:id="11" w:name="_Toc35393623"/>
      <w:bookmarkStart w:id="12" w:name="_Toc28359004"/>
      <w:bookmarkStart w:id="13" w:name="_Toc28359005"/>
      <w:bookmarkStart w:id="14" w:name="_Toc28359082"/>
      <w:bookmarkStart w:id="15" w:name="_Toc35393624"/>
      <w:bookmarkStart w:id="16" w:name="_Toc35393793"/>
      <w:r>
        <w:rPr>
          <w:rFonts w:hint="eastAsia" w:ascii="宋体" w:hAnsi="宋体" w:eastAsia="宋体" w:cs="宋体"/>
          <w:kern w:val="2"/>
          <w:sz w:val="24"/>
          <w:szCs w:val="24"/>
          <w:highlight w:val="none"/>
          <w:shd w:val="clear" w:color="auto" w:fill="FFFFFF"/>
          <w:lang w:val="en-US" w:eastAsia="zh-CN"/>
        </w:rPr>
        <w:t>（1）满足《中华人民共和国政府采购法》第二十二条要求；须有符合本项目所需相应的经营范围；</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（2）投标人必须具有独立法人资格，具备有效的三证合一营业执照；</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（3）法定代表人投标需携带《法定代表人证明书》原件及法定代表人身份证原件，委托代理人投标需携带《法定代表人授权委托书》原件及委托代理人身份证原件；</w:t>
      </w:r>
    </w:p>
    <w:p>
      <w:pPr>
        <w:pStyle w:val="16"/>
        <w:spacing w:line="276" w:lineRule="auto"/>
        <w:ind w:firstLine="480" w:firstLineChars="200"/>
        <w:rPr>
          <w:rFonts w:hint="eastAsia" w:ascii="宋体" w:hAnsi="宋体" w:eastAsia="宋体" w:cs="宋体"/>
          <w:kern w:val="2"/>
          <w:sz w:val="24"/>
          <w:szCs w:val="24"/>
          <w:highlight w:val="yellow"/>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（4）</w:t>
      </w:r>
      <w:bookmarkStart w:id="27" w:name="_GoBack"/>
      <w:r>
        <w:rPr>
          <w:rFonts w:hint="eastAsia" w:ascii="宋体" w:hAnsi="宋体" w:eastAsia="宋体" w:cs="宋体"/>
          <w:kern w:val="2"/>
          <w:sz w:val="24"/>
          <w:szCs w:val="24"/>
          <w:highlight w:val="none"/>
          <w:shd w:val="clear" w:color="auto" w:fill="FFFFFF"/>
          <w:lang w:val="en-US" w:eastAsia="zh-CN"/>
        </w:rPr>
        <w:t>有依法缴纳税收（提供税务机关出具的近六个月完税证明）和社会保障资金（提供近六个月社保证明材料，包含社会保障基金划缴凭证及公司参保人员社会保险缴费明细单，个人明细表中须包含本次项目被委托人），新成立时间少于六个月的公司，按实际发生提供；</w:t>
      </w:r>
      <w:bookmarkEnd w:id="27"/>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（5）具有良好的商业信誉和健全的财务会计制度（需提供2021年财务审计报告原件，2022年1月以后新成立公司可不提供但须提供银行出具的近三个月的资信证明）；</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（6）</w:t>
      </w:r>
      <w:r>
        <w:rPr>
          <w:rFonts w:hint="eastAsia" w:asciiTheme="minorEastAsia" w:hAnsiTheme="minorEastAsia" w:eastAsiaTheme="minorEastAsia" w:cstheme="minorEastAsia"/>
          <w:kern w:val="2"/>
          <w:sz w:val="24"/>
          <w:szCs w:val="24"/>
          <w:highlight w:val="none"/>
          <w:shd w:val="clear" w:color="auto" w:fill="FFFFFF"/>
          <w:lang w:val="en-US" w:eastAsia="zh-CN"/>
        </w:rPr>
        <w:t>投标人在本地具备完善售后服务机构，提供相应技术支持的证明文件（本地企业不用提供）；</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7）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（8）企业负责人为同一人或者存在直接控股、管理关系的不同投标人，不得参加同一合同项下的政府采购活动。否则，皆取消投标资格；</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（9）本项目不接受联合体投标。</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eastAsia="zh-CN"/>
        </w:rPr>
      </w:pPr>
      <w:r>
        <w:rPr>
          <w:rFonts w:hint="eastAsia" w:ascii="宋体" w:hAnsi="宋体" w:eastAsia="宋体" w:cs="宋体"/>
          <w:kern w:val="2"/>
          <w:sz w:val="24"/>
          <w:szCs w:val="24"/>
          <w:highlight w:val="none"/>
          <w:shd w:val="clear" w:color="auto" w:fill="FFFFFF"/>
          <w:lang w:eastAsia="zh-CN"/>
        </w:rPr>
        <w:t>三、获取招标文件</w:t>
      </w:r>
      <w:bookmarkEnd w:id="9"/>
      <w:bookmarkEnd w:id="10"/>
      <w:bookmarkEnd w:id="11"/>
      <w:bookmarkEnd w:id="12"/>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shd w:val="clear" w:color="auto" w:fill="FFFFFF"/>
          <w:lang w:val="en-US" w:eastAsia="zh-CN"/>
        </w:rPr>
        <w:t>1、</w:t>
      </w:r>
      <w:r>
        <w:rPr>
          <w:rFonts w:hint="eastAsia" w:ascii="宋体" w:hAnsi="宋体" w:eastAsia="宋体" w:cs="宋体"/>
          <w:kern w:val="2"/>
          <w:sz w:val="24"/>
          <w:szCs w:val="24"/>
          <w:highlight w:val="none"/>
          <w:shd w:val="clear" w:color="auto" w:fill="FFFFFF"/>
          <w:lang w:eastAsia="zh-CN"/>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eastAsia="zh-CN"/>
        </w:rPr>
        <w:t>日至 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日，每天上午00:00至12:00，下午12:00至23:59（北京时间）。</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default"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2、</w:t>
      </w:r>
      <w:r>
        <w:rPr>
          <w:rFonts w:hint="eastAsia" w:ascii="宋体" w:hAnsi="宋体" w:eastAsia="宋体" w:cs="宋体"/>
          <w:kern w:val="2"/>
          <w:sz w:val="24"/>
          <w:szCs w:val="24"/>
          <w:highlight w:val="none"/>
          <w:shd w:val="clear" w:color="auto" w:fill="FFFFFF"/>
          <w:lang w:eastAsia="zh-CN"/>
        </w:rPr>
        <w:t>地点：</w:t>
      </w:r>
      <w:r>
        <w:rPr>
          <w:rFonts w:hint="eastAsia" w:ascii="宋体" w:hAnsi="宋体" w:eastAsia="宋体" w:cs="宋体"/>
          <w:kern w:val="2"/>
          <w:sz w:val="24"/>
          <w:szCs w:val="24"/>
          <w:highlight w:val="none"/>
          <w:shd w:val="clear" w:color="auto" w:fill="FFFFFF"/>
          <w:lang w:val="en-US" w:eastAsia="zh-CN"/>
        </w:rPr>
        <w:t>新疆政府采购网（http://www.ccgp-xinjiang.gov.cn）</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kern w:val="2"/>
          <w:sz w:val="24"/>
          <w:szCs w:val="24"/>
          <w:highlight w:val="none"/>
          <w:shd w:val="clear" w:color="auto" w:fill="FFFFFF"/>
          <w:lang w:eastAsia="zh-CN"/>
        </w:rPr>
      </w:pPr>
      <w:r>
        <w:rPr>
          <w:rFonts w:hint="eastAsia" w:ascii="宋体" w:hAnsi="宋体" w:eastAsia="宋体" w:cs="宋体"/>
          <w:kern w:val="2"/>
          <w:sz w:val="24"/>
          <w:szCs w:val="24"/>
          <w:highlight w:val="none"/>
          <w:shd w:val="clear" w:color="auto" w:fill="FFFFFF"/>
          <w:lang w:val="en-US" w:eastAsia="zh-CN"/>
        </w:rPr>
        <w:t>3、</w:t>
      </w:r>
      <w:r>
        <w:rPr>
          <w:rFonts w:hint="eastAsia" w:ascii="宋体" w:hAnsi="宋体" w:eastAsia="宋体" w:cs="宋体"/>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过期不予受理。开标时须带原件进行资格审查。</w:t>
      </w:r>
    </w:p>
    <w:p>
      <w:pPr>
        <w:pStyle w:val="16"/>
        <w:spacing w:line="276" w:lineRule="auto"/>
        <w:ind w:firstLine="480" w:firstLineChars="200"/>
        <w:rPr>
          <w:rFonts w:hint="eastAsia" w:ascii="宋体" w:hAnsi="宋体" w:eastAsia="宋体" w:cs="宋体"/>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4、</w:t>
      </w:r>
      <w:r>
        <w:rPr>
          <w:rFonts w:hint="eastAsia" w:ascii="宋体" w:hAnsi="宋体" w:eastAsia="宋体" w:cs="宋体"/>
          <w:kern w:val="2"/>
          <w:sz w:val="24"/>
          <w:szCs w:val="24"/>
          <w:highlight w:val="none"/>
          <w:shd w:val="clear" w:color="auto" w:fill="FFFFFF"/>
          <w:lang w:eastAsia="zh-CN"/>
        </w:rPr>
        <w:t>售价（元）：</w:t>
      </w:r>
      <w:r>
        <w:rPr>
          <w:rFonts w:hint="eastAsia" w:ascii="宋体" w:hAnsi="宋体" w:eastAsia="宋体" w:cs="宋体"/>
          <w:kern w:val="2"/>
          <w:sz w:val="24"/>
          <w:szCs w:val="24"/>
          <w:highlight w:val="none"/>
          <w:shd w:val="clear" w:color="auto" w:fill="FFFFFF"/>
          <w:lang w:val="en-US" w:eastAsia="zh-CN"/>
        </w:rPr>
        <w:t>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四、提交投标文件</w:t>
      </w:r>
      <w:bookmarkEnd w:id="13"/>
      <w:bookmarkEnd w:id="14"/>
      <w:r>
        <w:rPr>
          <w:rFonts w:hint="eastAsia" w:asciiTheme="minorEastAsia" w:hAnsiTheme="minorEastAsia" w:eastAsiaTheme="minorEastAsia" w:cstheme="minorEastAsia"/>
          <w:kern w:val="2"/>
          <w:sz w:val="24"/>
          <w:szCs w:val="24"/>
          <w:highlight w:val="none"/>
          <w:shd w:val="clear" w:color="auto" w:fill="FFFFFF"/>
          <w:lang w:eastAsia="zh-CN"/>
        </w:rPr>
        <w:t>截止时间、开标时间和地点</w:t>
      </w:r>
      <w:bookmarkEnd w:id="15"/>
      <w:bookmarkEnd w:id="16"/>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7" w:name="_Toc35393794"/>
      <w:bookmarkStart w:id="18" w:name="_Toc28359084"/>
      <w:bookmarkStart w:id="19" w:name="_Toc35393625"/>
      <w:bookmarkStart w:id="20" w:name="_Toc28359007"/>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提交投标文件截止时间：202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6</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24</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7</w:t>
      </w:r>
      <w:r>
        <w:rPr>
          <w:rFonts w:hint="eastAsia" w:asciiTheme="minorEastAsia" w:hAnsiTheme="minorEastAsia" w:eastAsiaTheme="minorEastAsia" w:cstheme="minorEastAsia"/>
          <w:kern w:val="2"/>
          <w:sz w:val="24"/>
          <w:szCs w:val="24"/>
          <w:highlight w:val="none"/>
          <w:shd w:val="clear" w:color="auto" w:fill="FFFFFF"/>
          <w:lang w:eastAsia="zh-CN"/>
        </w:rPr>
        <w:t>：</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0（北京时间）</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2、开标时间：202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6</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24</w:t>
      </w:r>
      <w:r>
        <w:rPr>
          <w:rFonts w:hint="eastAsia" w:asciiTheme="minorEastAsia" w:hAnsiTheme="minorEastAsia" w:eastAsiaTheme="minorEastAsia" w:cstheme="minorEastAsia"/>
          <w:kern w:val="2"/>
          <w:sz w:val="24"/>
          <w:szCs w:val="24"/>
          <w:highlight w:val="none"/>
          <w:shd w:val="clear" w:color="auto" w:fill="FFFFFF"/>
          <w:lang w:eastAsia="zh-CN"/>
        </w:rPr>
        <w:t>日</w:t>
      </w:r>
      <w:r>
        <w:rPr>
          <w:rFonts w:hint="eastAsia" w:asciiTheme="minorEastAsia" w:hAnsiTheme="minorEastAsia" w:eastAsiaTheme="minorEastAsia" w:cstheme="minorEastAsia"/>
          <w:kern w:val="2"/>
          <w:sz w:val="24"/>
          <w:szCs w:val="24"/>
          <w:highlight w:val="none"/>
          <w:shd w:val="clear" w:color="auto" w:fill="FFFFFF"/>
          <w:lang w:val="en-US" w:eastAsia="zh-CN"/>
        </w:rPr>
        <w:t>17</w:t>
      </w:r>
      <w:r>
        <w:rPr>
          <w:rFonts w:hint="eastAsia" w:asciiTheme="minorEastAsia" w:hAnsiTheme="minorEastAsia" w:eastAsiaTheme="minorEastAsia" w:cstheme="minorEastAsia"/>
          <w:kern w:val="2"/>
          <w:sz w:val="24"/>
          <w:szCs w:val="24"/>
          <w:highlight w:val="none"/>
          <w:shd w:val="clear" w:color="auto" w:fill="FFFFFF"/>
          <w:lang w:eastAsia="zh-CN"/>
        </w:rPr>
        <w:t>：</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0（北京时间）</w:t>
      </w:r>
    </w:p>
    <w:p>
      <w:pPr>
        <w:pStyle w:val="16"/>
        <w:spacing w:line="276"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、开标地点：民丰县行政服务和公共资源交易中心（民丰县友谊路75号）</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17"/>
      <w:bookmarkEnd w:id="18"/>
      <w:bookmarkEnd w:id="19"/>
      <w:bookmarkEnd w:id="20"/>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16"/>
        <w:numPr>
          <w:ilvl w:val="0"/>
          <w:numId w:val="2"/>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21" w:name="_Toc28359085"/>
      <w:bookmarkStart w:id="22" w:name="_Toc35393796"/>
      <w:bookmarkStart w:id="23" w:name="_Toc35393627"/>
      <w:bookmarkStart w:id="24" w:name="_Toc28359008"/>
      <w:r>
        <w:rPr>
          <w:rFonts w:hint="eastAsia" w:asciiTheme="minorEastAsia" w:hAnsiTheme="minorEastAsia" w:eastAsiaTheme="minorEastAsia" w:cstheme="minorEastAsia"/>
          <w:kern w:val="2"/>
          <w:sz w:val="24"/>
          <w:szCs w:val="24"/>
          <w:highlight w:val="none"/>
          <w:shd w:val="clear" w:color="auto" w:fill="FFFFFF"/>
          <w:lang w:val="en-US" w:eastAsia="zh-CN"/>
        </w:rPr>
        <w:t>其他补充事宜</w:t>
      </w:r>
    </w:p>
    <w:p>
      <w:pPr>
        <w:pStyle w:val="16"/>
        <w:numPr>
          <w:ilvl w:val="0"/>
          <w:numId w:val="0"/>
        </w:numPr>
        <w:spacing w:line="276" w:lineRule="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特别提示：</w:t>
      </w:r>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七、对本次招标提出询问，请按以下方式联系。</w:t>
      </w:r>
      <w:bookmarkEnd w:id="21"/>
      <w:bookmarkEnd w:id="22"/>
      <w:bookmarkEnd w:id="23"/>
      <w:bookmarkEnd w:id="24"/>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25" w:name="_Toc28359086"/>
      <w:bookmarkStart w:id="26" w:name="_Toc28359009"/>
      <w:r>
        <w:rPr>
          <w:rFonts w:hint="eastAsia" w:asciiTheme="minorEastAsia" w:hAnsiTheme="minorEastAsia" w:eastAsiaTheme="minorEastAsia" w:cstheme="minorEastAsia"/>
          <w:kern w:val="2"/>
          <w:sz w:val="24"/>
          <w:szCs w:val="24"/>
          <w:highlight w:val="none"/>
          <w:shd w:val="clear" w:color="auto" w:fill="FFFFFF"/>
          <w:lang w:val="en-US" w:eastAsia="zh-CN"/>
        </w:rPr>
        <w:t>名 称：中共民丰县委员会组织部</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联系人：童凯</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联系方式：0903-6750618</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25"/>
      <w:bookmarkEnd w:id="26"/>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称：亿拓银丰项目管理有限公司</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和田市屯垦西路138号</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联系人：戚麟</w:t>
      </w:r>
    </w:p>
    <w:p>
      <w:pPr>
        <w:pStyle w:val="16"/>
        <w:spacing w:line="276"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联系方式：0903-2066677</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left="958" w:leftChars="342" w:hanging="240" w:hangingChars="1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中共民丰县委员会组织部                    亿拓银丰项目管理有限公司              2022年6月15日                             2022年6月15日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7163B"/>
    <w:multiLevelType w:val="singleLevel"/>
    <w:tmpl w:val="1987163B"/>
    <w:lvl w:ilvl="0" w:tentative="0">
      <w:start w:val="6"/>
      <w:numFmt w:val="chineseCounting"/>
      <w:suff w:val="nothing"/>
      <w:lvlText w:val="%1、"/>
      <w:lvlJc w:val="left"/>
      <w:rPr>
        <w:rFonts w:hint="eastAsia"/>
      </w:rPr>
    </w:lvl>
  </w:abstractNum>
  <w:abstractNum w:abstractNumId="1">
    <w:nsid w:val="75F564DC"/>
    <w:multiLevelType w:val="singleLevel"/>
    <w:tmpl w:val="75F564D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TRlNTJhZjRmOTY4OTI0ZjEwZTllNmI1N2FkMWEifQ=="/>
  </w:docVars>
  <w:rsids>
    <w:rsidRoot w:val="3DD123E0"/>
    <w:rsid w:val="00052838"/>
    <w:rsid w:val="00130470"/>
    <w:rsid w:val="00440CCF"/>
    <w:rsid w:val="00490533"/>
    <w:rsid w:val="004B5F20"/>
    <w:rsid w:val="00600878"/>
    <w:rsid w:val="009B0252"/>
    <w:rsid w:val="00AA2F85"/>
    <w:rsid w:val="00B479C2"/>
    <w:rsid w:val="00B51825"/>
    <w:rsid w:val="00C44C7C"/>
    <w:rsid w:val="00DD1175"/>
    <w:rsid w:val="00EC551F"/>
    <w:rsid w:val="00FD2129"/>
    <w:rsid w:val="01281A00"/>
    <w:rsid w:val="017C4035"/>
    <w:rsid w:val="018C70F8"/>
    <w:rsid w:val="01EA07D1"/>
    <w:rsid w:val="022B1D6E"/>
    <w:rsid w:val="023E7520"/>
    <w:rsid w:val="02883595"/>
    <w:rsid w:val="030D4351"/>
    <w:rsid w:val="035872B4"/>
    <w:rsid w:val="0381100B"/>
    <w:rsid w:val="03D316C3"/>
    <w:rsid w:val="03E86811"/>
    <w:rsid w:val="05773BAC"/>
    <w:rsid w:val="06282EF7"/>
    <w:rsid w:val="07913690"/>
    <w:rsid w:val="07972982"/>
    <w:rsid w:val="07EE637F"/>
    <w:rsid w:val="08B442D2"/>
    <w:rsid w:val="08CE0793"/>
    <w:rsid w:val="09D40278"/>
    <w:rsid w:val="09E267C7"/>
    <w:rsid w:val="0A2C0B8F"/>
    <w:rsid w:val="0B370DA8"/>
    <w:rsid w:val="0BB84A39"/>
    <w:rsid w:val="0C1B382A"/>
    <w:rsid w:val="0C3042AA"/>
    <w:rsid w:val="0C416EB7"/>
    <w:rsid w:val="0C4A6675"/>
    <w:rsid w:val="0C9763D0"/>
    <w:rsid w:val="0CB112EF"/>
    <w:rsid w:val="0E1B768B"/>
    <w:rsid w:val="0E2120F7"/>
    <w:rsid w:val="0ECC73F2"/>
    <w:rsid w:val="0F07008E"/>
    <w:rsid w:val="0FAF0829"/>
    <w:rsid w:val="10006C7C"/>
    <w:rsid w:val="106D1D74"/>
    <w:rsid w:val="10BF61CB"/>
    <w:rsid w:val="10CD0370"/>
    <w:rsid w:val="10E42041"/>
    <w:rsid w:val="11290C5D"/>
    <w:rsid w:val="115E2FC4"/>
    <w:rsid w:val="1170011C"/>
    <w:rsid w:val="11A00EEC"/>
    <w:rsid w:val="11A46897"/>
    <w:rsid w:val="123A64B8"/>
    <w:rsid w:val="1321746F"/>
    <w:rsid w:val="132A49CB"/>
    <w:rsid w:val="137C4BE2"/>
    <w:rsid w:val="13BD568C"/>
    <w:rsid w:val="13D80DC8"/>
    <w:rsid w:val="142E6F26"/>
    <w:rsid w:val="14DF1632"/>
    <w:rsid w:val="14F038EB"/>
    <w:rsid w:val="15C471A6"/>
    <w:rsid w:val="16436D2B"/>
    <w:rsid w:val="167F4E7B"/>
    <w:rsid w:val="1720560D"/>
    <w:rsid w:val="17C95502"/>
    <w:rsid w:val="183C4B10"/>
    <w:rsid w:val="184B312A"/>
    <w:rsid w:val="19577584"/>
    <w:rsid w:val="196027BE"/>
    <w:rsid w:val="19826DD6"/>
    <w:rsid w:val="19D90D46"/>
    <w:rsid w:val="1A094430"/>
    <w:rsid w:val="1AA33732"/>
    <w:rsid w:val="1ABB63F7"/>
    <w:rsid w:val="1AEF3596"/>
    <w:rsid w:val="1B335C42"/>
    <w:rsid w:val="1B483E97"/>
    <w:rsid w:val="1B8319FF"/>
    <w:rsid w:val="1C693C22"/>
    <w:rsid w:val="1D212406"/>
    <w:rsid w:val="1D311D03"/>
    <w:rsid w:val="1D377688"/>
    <w:rsid w:val="1DFB4809"/>
    <w:rsid w:val="1F150052"/>
    <w:rsid w:val="1F792DAF"/>
    <w:rsid w:val="1FEC4810"/>
    <w:rsid w:val="225010B7"/>
    <w:rsid w:val="22D62293"/>
    <w:rsid w:val="22E34549"/>
    <w:rsid w:val="247A00DD"/>
    <w:rsid w:val="248307EC"/>
    <w:rsid w:val="25097EB2"/>
    <w:rsid w:val="25207829"/>
    <w:rsid w:val="25781D50"/>
    <w:rsid w:val="25BD0FE1"/>
    <w:rsid w:val="25D9160E"/>
    <w:rsid w:val="27ED26B5"/>
    <w:rsid w:val="28344EDA"/>
    <w:rsid w:val="28357E30"/>
    <w:rsid w:val="28C71248"/>
    <w:rsid w:val="29003B1D"/>
    <w:rsid w:val="290B34CF"/>
    <w:rsid w:val="2932491F"/>
    <w:rsid w:val="293E23F0"/>
    <w:rsid w:val="2A2073F4"/>
    <w:rsid w:val="2A37384B"/>
    <w:rsid w:val="2A550C2B"/>
    <w:rsid w:val="2AAE18EF"/>
    <w:rsid w:val="2AFB583F"/>
    <w:rsid w:val="2C5171C9"/>
    <w:rsid w:val="2C994A91"/>
    <w:rsid w:val="2CAC413F"/>
    <w:rsid w:val="2CDC2866"/>
    <w:rsid w:val="2D4131CA"/>
    <w:rsid w:val="2D840EF3"/>
    <w:rsid w:val="2DC51110"/>
    <w:rsid w:val="2E087327"/>
    <w:rsid w:val="2E2D3A1C"/>
    <w:rsid w:val="2E365C92"/>
    <w:rsid w:val="2E461F1A"/>
    <w:rsid w:val="2EE33A7F"/>
    <w:rsid w:val="2F370182"/>
    <w:rsid w:val="2F6F2FB7"/>
    <w:rsid w:val="2F8C4608"/>
    <w:rsid w:val="2FA81C87"/>
    <w:rsid w:val="2FAE0B40"/>
    <w:rsid w:val="2FB87B6A"/>
    <w:rsid w:val="2FD97B6B"/>
    <w:rsid w:val="2FF353BD"/>
    <w:rsid w:val="2FF35ADB"/>
    <w:rsid w:val="301661D0"/>
    <w:rsid w:val="306730E2"/>
    <w:rsid w:val="306C0995"/>
    <w:rsid w:val="320A3813"/>
    <w:rsid w:val="322427D2"/>
    <w:rsid w:val="32294C3C"/>
    <w:rsid w:val="32EA2E26"/>
    <w:rsid w:val="33767B28"/>
    <w:rsid w:val="33D67634"/>
    <w:rsid w:val="34670FD0"/>
    <w:rsid w:val="354A20B5"/>
    <w:rsid w:val="35D83E42"/>
    <w:rsid w:val="35FF62AB"/>
    <w:rsid w:val="363714E8"/>
    <w:rsid w:val="36E52680"/>
    <w:rsid w:val="37DE70B8"/>
    <w:rsid w:val="37DF7C52"/>
    <w:rsid w:val="38064FC9"/>
    <w:rsid w:val="38346478"/>
    <w:rsid w:val="384509D7"/>
    <w:rsid w:val="38691395"/>
    <w:rsid w:val="38720717"/>
    <w:rsid w:val="3884523A"/>
    <w:rsid w:val="3A2033DF"/>
    <w:rsid w:val="3A323E2F"/>
    <w:rsid w:val="3A361CE1"/>
    <w:rsid w:val="3B090536"/>
    <w:rsid w:val="3B1F11CD"/>
    <w:rsid w:val="3B8E1E6E"/>
    <w:rsid w:val="3CC77E18"/>
    <w:rsid w:val="3D1B6DFC"/>
    <w:rsid w:val="3DD123E0"/>
    <w:rsid w:val="3E5078BF"/>
    <w:rsid w:val="3EE93210"/>
    <w:rsid w:val="3F4011D2"/>
    <w:rsid w:val="3F6231A2"/>
    <w:rsid w:val="3F9421DA"/>
    <w:rsid w:val="3FA54BC4"/>
    <w:rsid w:val="40085A0A"/>
    <w:rsid w:val="40887026"/>
    <w:rsid w:val="410F7432"/>
    <w:rsid w:val="41334D0A"/>
    <w:rsid w:val="415B5A9D"/>
    <w:rsid w:val="42101D1F"/>
    <w:rsid w:val="423E616F"/>
    <w:rsid w:val="42AE2C59"/>
    <w:rsid w:val="42D361F6"/>
    <w:rsid w:val="432C75AC"/>
    <w:rsid w:val="44477F1B"/>
    <w:rsid w:val="44AD7C69"/>
    <w:rsid w:val="45717BF7"/>
    <w:rsid w:val="46015479"/>
    <w:rsid w:val="47E2791A"/>
    <w:rsid w:val="48825F81"/>
    <w:rsid w:val="48CB565A"/>
    <w:rsid w:val="48CE7D5F"/>
    <w:rsid w:val="48E63D5E"/>
    <w:rsid w:val="4997016D"/>
    <w:rsid w:val="4A8C1339"/>
    <w:rsid w:val="4A8F724E"/>
    <w:rsid w:val="4AEC548A"/>
    <w:rsid w:val="4B4238C4"/>
    <w:rsid w:val="4BE6604D"/>
    <w:rsid w:val="4BE7068A"/>
    <w:rsid w:val="4BF81FB1"/>
    <w:rsid w:val="4C26754C"/>
    <w:rsid w:val="4C364DEE"/>
    <w:rsid w:val="4CC651D3"/>
    <w:rsid w:val="4D407489"/>
    <w:rsid w:val="4D8273F8"/>
    <w:rsid w:val="4D831EF7"/>
    <w:rsid w:val="4D9742EC"/>
    <w:rsid w:val="4E4F2F01"/>
    <w:rsid w:val="4F3B62F5"/>
    <w:rsid w:val="4FEA0E9E"/>
    <w:rsid w:val="500B54DF"/>
    <w:rsid w:val="503E2589"/>
    <w:rsid w:val="504F1365"/>
    <w:rsid w:val="507E5A85"/>
    <w:rsid w:val="508B4E9F"/>
    <w:rsid w:val="515A5856"/>
    <w:rsid w:val="52CA6647"/>
    <w:rsid w:val="54D14D24"/>
    <w:rsid w:val="54EB1352"/>
    <w:rsid w:val="550C2066"/>
    <w:rsid w:val="55582772"/>
    <w:rsid w:val="555B165E"/>
    <w:rsid w:val="56082EB7"/>
    <w:rsid w:val="567E2521"/>
    <w:rsid w:val="56B83C6A"/>
    <w:rsid w:val="56E41271"/>
    <w:rsid w:val="578D64D8"/>
    <w:rsid w:val="57AE52E6"/>
    <w:rsid w:val="57F5174D"/>
    <w:rsid w:val="58E42340"/>
    <w:rsid w:val="58E85C0B"/>
    <w:rsid w:val="59885D19"/>
    <w:rsid w:val="5A0A1A96"/>
    <w:rsid w:val="5AE42C03"/>
    <w:rsid w:val="5B461FAD"/>
    <w:rsid w:val="5C321615"/>
    <w:rsid w:val="5D1A0FA7"/>
    <w:rsid w:val="5D6E7186"/>
    <w:rsid w:val="5DC7295C"/>
    <w:rsid w:val="5DDB68CC"/>
    <w:rsid w:val="5E145C18"/>
    <w:rsid w:val="5E210AB5"/>
    <w:rsid w:val="5E451AD3"/>
    <w:rsid w:val="5F853D7F"/>
    <w:rsid w:val="60892ED0"/>
    <w:rsid w:val="60F04C04"/>
    <w:rsid w:val="60FD32BC"/>
    <w:rsid w:val="612241D9"/>
    <w:rsid w:val="61470D5D"/>
    <w:rsid w:val="614B7400"/>
    <w:rsid w:val="617A4127"/>
    <w:rsid w:val="61894914"/>
    <w:rsid w:val="61BE0A9D"/>
    <w:rsid w:val="624974E3"/>
    <w:rsid w:val="63B041ED"/>
    <w:rsid w:val="64426EF0"/>
    <w:rsid w:val="64467C3B"/>
    <w:rsid w:val="647E06DB"/>
    <w:rsid w:val="64823CBC"/>
    <w:rsid w:val="64852C29"/>
    <w:rsid w:val="648B4653"/>
    <w:rsid w:val="64916411"/>
    <w:rsid w:val="64C977E1"/>
    <w:rsid w:val="64EC0EFA"/>
    <w:rsid w:val="651773EC"/>
    <w:rsid w:val="66420E1B"/>
    <w:rsid w:val="66924DD1"/>
    <w:rsid w:val="66C2426D"/>
    <w:rsid w:val="670A3DB0"/>
    <w:rsid w:val="672933D4"/>
    <w:rsid w:val="6752106A"/>
    <w:rsid w:val="68F5147A"/>
    <w:rsid w:val="691505B4"/>
    <w:rsid w:val="69930F9A"/>
    <w:rsid w:val="6AC63828"/>
    <w:rsid w:val="6AE42FD6"/>
    <w:rsid w:val="6CE21FEE"/>
    <w:rsid w:val="6D2E6AEB"/>
    <w:rsid w:val="6DC82C90"/>
    <w:rsid w:val="6E1F6854"/>
    <w:rsid w:val="6E963480"/>
    <w:rsid w:val="6F5C3B4E"/>
    <w:rsid w:val="6F802F0D"/>
    <w:rsid w:val="70DF1606"/>
    <w:rsid w:val="711C33B4"/>
    <w:rsid w:val="714A6178"/>
    <w:rsid w:val="71513F16"/>
    <w:rsid w:val="71574145"/>
    <w:rsid w:val="71646130"/>
    <w:rsid w:val="723219DE"/>
    <w:rsid w:val="72A37E37"/>
    <w:rsid w:val="7439030B"/>
    <w:rsid w:val="748D2D72"/>
    <w:rsid w:val="75401014"/>
    <w:rsid w:val="75521FC3"/>
    <w:rsid w:val="75614F2F"/>
    <w:rsid w:val="75790B98"/>
    <w:rsid w:val="75C17839"/>
    <w:rsid w:val="763C1202"/>
    <w:rsid w:val="766B4CDB"/>
    <w:rsid w:val="780237E8"/>
    <w:rsid w:val="78210A63"/>
    <w:rsid w:val="789F4349"/>
    <w:rsid w:val="78C606A6"/>
    <w:rsid w:val="79071CA1"/>
    <w:rsid w:val="79991E85"/>
    <w:rsid w:val="79E72AA6"/>
    <w:rsid w:val="7A527798"/>
    <w:rsid w:val="7B1C041D"/>
    <w:rsid w:val="7B2668A9"/>
    <w:rsid w:val="7C343240"/>
    <w:rsid w:val="7CCF4788"/>
    <w:rsid w:val="7D096598"/>
    <w:rsid w:val="7D7F5AB4"/>
    <w:rsid w:val="7D9C4F2C"/>
    <w:rsid w:val="7E4413C2"/>
    <w:rsid w:val="7E891F8D"/>
    <w:rsid w:val="7F3C522C"/>
    <w:rsid w:val="7FA9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Arial"/>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Body Text"/>
    <w:basedOn w:val="1"/>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Char"/>
    <w:basedOn w:val="12"/>
    <w:link w:val="8"/>
    <w:qFormat/>
    <w:uiPriority w:val="0"/>
    <w:rPr>
      <w:rFonts w:ascii="Calibri" w:hAnsi="Calibri" w:eastAsia="Calibri" w:cs="Arial"/>
      <w:kern w:val="2"/>
      <w:sz w:val="18"/>
      <w:szCs w:val="18"/>
    </w:rPr>
  </w:style>
  <w:style w:type="character" w:customStyle="1" w:styleId="15">
    <w:name w:val="页脚 Char"/>
    <w:basedOn w:val="12"/>
    <w:link w:val="7"/>
    <w:qFormat/>
    <w:uiPriority w:val="0"/>
    <w:rPr>
      <w:rFonts w:ascii="Calibri" w:hAnsi="Calibri" w:eastAsia="Calibri" w:cs="Arial"/>
      <w:kern w:val="2"/>
      <w:sz w:val="18"/>
      <w:szCs w:val="18"/>
    </w:rPr>
  </w:style>
  <w:style w:type="paragraph" w:styleId="16">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NormalCharacter"/>
    <w:link w:val="19"/>
    <w:qFormat/>
    <w:uiPriority w:val="0"/>
    <w:rPr>
      <w:rFonts w:ascii="Times New Roman" w:hAnsi="Times New Roman" w:eastAsia="宋体"/>
      <w:kern w:val="2"/>
      <w:sz w:val="21"/>
      <w:szCs w:val="24"/>
      <w:lang w:val="en-US" w:eastAsia="zh-CN" w:bidi="ar-SA"/>
    </w:rPr>
  </w:style>
  <w:style w:type="paragraph" w:customStyle="1" w:styleId="19">
    <w:name w:val="UserStyle_2"/>
    <w:basedOn w:val="1"/>
    <w:link w:val="18"/>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2281</Words>
  <Characters>2619</Characters>
  <Lines>12</Lines>
  <Paragraphs>3</Paragraphs>
  <TotalTime>50</TotalTime>
  <ScaleCrop>false</ScaleCrop>
  <LinksUpToDate>false</LinksUpToDate>
  <CharactersWithSpaces>2690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Cindy</cp:lastModifiedBy>
  <dcterms:modified xsi:type="dcterms:W3CDTF">2022-06-15T10:40:24Z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E1A980C05EA842759A4803E862A553FC</vt:lpwstr>
  </property>
</Properties>
</file>