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hint="eastAsia" w:ascii="宋体" w:hAnsi="宋体" w:eastAsia="宋体" w:cs="宋体"/>
          <w:b/>
          <w:sz w:val="52"/>
          <w:szCs w:val="52"/>
          <w:lang w:eastAsia="zh-CN"/>
        </w:rPr>
      </w:pPr>
      <w:r>
        <w:rPr>
          <w:rFonts w:hint="eastAsia" w:ascii="宋体" w:hAnsi="宋体" w:cs="宋体"/>
          <w:b/>
          <w:sz w:val="48"/>
          <w:szCs w:val="48"/>
          <w:lang w:eastAsia="zh-CN"/>
        </w:rPr>
        <w:t>巴楚县旅游产业发展-乡村旅游基础设施提升项目（设备采购）</w:t>
      </w:r>
    </w:p>
    <w:p>
      <w:pPr>
        <w:autoSpaceDE w:val="0"/>
        <w:autoSpaceDN w:val="0"/>
        <w:spacing w:line="360" w:lineRule="auto"/>
        <w:jc w:val="center"/>
        <w:rPr>
          <w:rFonts w:ascii="宋体" w:hAnsi="宋体" w:cs="宋体"/>
          <w:b/>
          <w:sz w:val="52"/>
          <w:szCs w:val="52"/>
        </w:rPr>
      </w:pPr>
      <w:r>
        <w:rPr>
          <w:rFonts w:hint="eastAsia" w:ascii="宋体" w:hAnsi="宋体" w:cs="宋体"/>
          <w:b/>
          <w:sz w:val="52"/>
          <w:szCs w:val="52"/>
        </w:rPr>
        <w:t>竞争性磋商文件</w:t>
      </w:r>
    </w:p>
    <w:p>
      <w:pPr>
        <w:pStyle w:val="11"/>
        <w:ind w:firstLine="1606" w:firstLineChars="500"/>
        <w:jc w:val="both"/>
        <w:rPr>
          <w:rFonts w:hint="eastAsia" w:eastAsia="宋体" w:cs="宋体"/>
          <w:b/>
          <w:sz w:val="48"/>
          <w:szCs w:val="48"/>
          <w:lang w:eastAsia="zh-CN"/>
        </w:rPr>
      </w:pPr>
      <w:r>
        <w:rPr>
          <w:rFonts w:hint="eastAsia" w:cs="宋体"/>
          <w:b/>
          <w:sz w:val="32"/>
          <w:szCs w:val="32"/>
        </w:rPr>
        <w:t>项目编号</w:t>
      </w:r>
      <w:r>
        <w:rPr>
          <w:rFonts w:hint="eastAsia" w:cs="宋体"/>
          <w:b/>
          <w:sz w:val="32"/>
          <w:szCs w:val="32"/>
          <w:lang w:val="en-US" w:eastAsia="zh-CN"/>
        </w:rPr>
        <w:t>SXZX</w:t>
      </w:r>
      <w:r>
        <w:rPr>
          <w:rFonts w:hint="eastAsia" w:cs="宋体"/>
          <w:b/>
          <w:sz w:val="32"/>
          <w:szCs w:val="32"/>
          <w:lang w:eastAsia="zh-CN"/>
        </w:rPr>
        <w:t>-BCX（CS）2022-</w:t>
      </w:r>
      <w:r>
        <w:rPr>
          <w:rFonts w:hint="eastAsia" w:cs="宋体"/>
          <w:b/>
          <w:sz w:val="32"/>
          <w:szCs w:val="32"/>
          <w:lang w:val="en-US" w:eastAsia="zh-CN"/>
        </w:rPr>
        <w:t>018</w:t>
      </w:r>
      <w:r>
        <w:rPr>
          <w:rFonts w:hint="eastAsia" w:cs="宋体"/>
          <w:b/>
          <w:sz w:val="32"/>
          <w:szCs w:val="32"/>
          <w:lang w:eastAsia="zh-CN"/>
        </w:rPr>
        <w:t>号</w:t>
      </w:r>
    </w:p>
    <w:p>
      <w:pPr>
        <w:spacing w:line="240" w:lineRule="atLeast"/>
        <w:ind w:left="1080"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3" w:firstLineChars="300"/>
        <w:rPr>
          <w:rFonts w:ascii="宋体" w:hAnsi="宋体" w:cs="宋体"/>
          <w:b/>
          <w:bCs/>
          <w:kern w:val="0"/>
          <w:sz w:val="28"/>
          <w:szCs w:val="28"/>
          <w:u w:val="none"/>
        </w:rPr>
      </w:pPr>
      <w:r>
        <w:rPr>
          <w:rFonts w:hint="eastAsia" w:ascii="宋体" w:hAnsi="宋体" w:cs="宋体"/>
          <w:b/>
          <w:bCs/>
          <w:color w:val="000000"/>
          <w:kern w:val="0"/>
          <w:sz w:val="28"/>
          <w:szCs w:val="28"/>
          <w:u w:val="none"/>
        </w:rPr>
        <w:t>采购单位：巴楚县</w:t>
      </w:r>
      <w:r>
        <w:rPr>
          <w:rFonts w:hint="eastAsia" w:ascii="宋体" w:hAnsi="宋体" w:cs="宋体"/>
          <w:b/>
          <w:bCs/>
          <w:color w:val="000000"/>
          <w:kern w:val="0"/>
          <w:sz w:val="28"/>
          <w:szCs w:val="28"/>
          <w:u w:val="none"/>
          <w:lang w:eastAsia="zh-CN"/>
        </w:rPr>
        <w:t>文化体育广播电视和旅游局</w:t>
      </w:r>
    </w:p>
    <w:p>
      <w:pPr>
        <w:autoSpaceDE w:val="0"/>
        <w:autoSpaceDN w:val="0"/>
        <w:spacing w:line="600" w:lineRule="exact"/>
        <w:ind w:firstLine="843" w:firstLineChars="300"/>
        <w:rPr>
          <w:rFonts w:hint="eastAsia" w:ascii="宋体" w:hAnsi="宋体" w:eastAsia="宋体" w:cs="宋体"/>
          <w:b/>
          <w:bCs/>
          <w:kern w:val="0"/>
          <w:sz w:val="28"/>
          <w:szCs w:val="28"/>
          <w:u w:val="none"/>
          <w:lang w:eastAsia="zh-CN"/>
        </w:rPr>
      </w:pPr>
      <w:r>
        <w:rPr>
          <w:rFonts w:hint="eastAsia" w:ascii="宋体" w:hAnsi="宋体" w:cs="宋体"/>
          <w:b/>
          <w:bCs/>
          <w:color w:val="000000"/>
          <w:kern w:val="0"/>
          <w:sz w:val="28"/>
          <w:szCs w:val="28"/>
          <w:u w:val="none"/>
        </w:rPr>
        <w:t>联系人：</w:t>
      </w:r>
      <w:r>
        <w:rPr>
          <w:rFonts w:hint="eastAsia" w:ascii="宋体" w:hAnsi="宋体" w:cs="宋体"/>
          <w:b/>
          <w:bCs/>
          <w:color w:val="000000"/>
          <w:kern w:val="0"/>
          <w:sz w:val="28"/>
          <w:szCs w:val="28"/>
          <w:u w:val="none"/>
          <w:lang w:eastAsia="zh-CN"/>
        </w:rPr>
        <w:t>杨绪凤</w:t>
      </w:r>
      <w:r>
        <w:rPr>
          <w:rFonts w:hint="eastAsia" w:ascii="宋体" w:hAnsi="宋体" w:cs="宋体"/>
          <w:b/>
          <w:bCs/>
          <w:color w:val="000000"/>
          <w:kern w:val="0"/>
          <w:sz w:val="28"/>
          <w:szCs w:val="28"/>
          <w:u w:val="none"/>
          <w:lang w:val="en-US" w:eastAsia="zh-CN"/>
        </w:rPr>
        <w:t xml:space="preserve"> </w:t>
      </w:r>
    </w:p>
    <w:p>
      <w:pPr>
        <w:autoSpaceDE w:val="0"/>
        <w:autoSpaceDN w:val="0"/>
        <w:spacing w:line="600" w:lineRule="exact"/>
        <w:ind w:firstLine="843" w:firstLineChars="300"/>
        <w:rPr>
          <w:rFonts w:hint="eastAsia" w:ascii="宋体" w:hAnsi="宋体" w:cs="宋体"/>
          <w:b/>
          <w:bCs/>
          <w:kern w:val="0"/>
          <w:sz w:val="28"/>
          <w:szCs w:val="28"/>
          <w:u w:val="none"/>
          <w:lang w:val="en-US" w:eastAsia="zh-CN"/>
        </w:rPr>
      </w:pPr>
      <w:r>
        <w:rPr>
          <w:rFonts w:hint="eastAsia" w:ascii="宋体" w:hAnsi="宋体" w:cs="宋体"/>
          <w:b/>
          <w:bCs/>
          <w:kern w:val="0"/>
          <w:sz w:val="28"/>
          <w:szCs w:val="28"/>
          <w:u w:val="none"/>
        </w:rPr>
        <w:t>联系电话：</w:t>
      </w:r>
      <w:r>
        <w:rPr>
          <w:rFonts w:hint="eastAsia" w:ascii="宋体" w:hAnsi="宋体" w:cs="宋体"/>
          <w:b/>
          <w:bCs/>
          <w:kern w:val="0"/>
          <w:sz w:val="28"/>
          <w:szCs w:val="28"/>
          <w:u w:val="none"/>
          <w:lang w:val="en-US" w:eastAsia="zh-CN"/>
        </w:rPr>
        <w:t>18799509980</w:t>
      </w:r>
    </w:p>
    <w:p>
      <w:pPr>
        <w:pStyle w:val="6"/>
        <w:rPr>
          <w:u w:val="none"/>
        </w:rPr>
      </w:pPr>
    </w:p>
    <w:p>
      <w:pPr>
        <w:autoSpaceDE w:val="0"/>
        <w:autoSpaceDN w:val="0"/>
        <w:spacing w:line="600" w:lineRule="exact"/>
        <w:ind w:firstLine="843" w:firstLineChars="300"/>
        <w:rPr>
          <w:rFonts w:hint="eastAsia" w:ascii="宋体" w:hAnsi="宋体" w:cs="宋体"/>
          <w:b/>
          <w:bCs/>
          <w:color w:val="000000"/>
          <w:kern w:val="0"/>
          <w:sz w:val="28"/>
          <w:szCs w:val="28"/>
          <w:u w:val="none"/>
          <w:lang w:eastAsia="zh-CN"/>
        </w:rPr>
      </w:pPr>
      <w:r>
        <w:rPr>
          <w:rFonts w:hint="eastAsia" w:ascii="宋体" w:hAnsi="宋体" w:cs="宋体"/>
          <w:b/>
          <w:bCs/>
          <w:color w:val="000000"/>
          <w:kern w:val="0"/>
          <w:sz w:val="28"/>
          <w:szCs w:val="28"/>
          <w:u w:val="none"/>
          <w:lang w:eastAsia="zh-CN"/>
        </w:rPr>
        <w:t>代理机构：陕西智鑫工程造价咨询有限公司</w:t>
      </w:r>
    </w:p>
    <w:p>
      <w:pPr>
        <w:autoSpaceDE w:val="0"/>
        <w:autoSpaceDN w:val="0"/>
        <w:spacing w:line="600" w:lineRule="exact"/>
        <w:ind w:firstLine="843" w:firstLineChars="300"/>
        <w:rPr>
          <w:rFonts w:hint="default" w:ascii="宋体" w:hAnsi="宋体" w:cs="宋体"/>
          <w:b/>
          <w:bCs/>
          <w:color w:val="000000"/>
          <w:kern w:val="0"/>
          <w:sz w:val="28"/>
          <w:szCs w:val="28"/>
          <w:u w:val="none"/>
          <w:lang w:val="en-US" w:eastAsia="zh-CN"/>
        </w:rPr>
      </w:pPr>
      <w:r>
        <w:rPr>
          <w:rFonts w:hint="eastAsia" w:ascii="宋体" w:hAnsi="宋体" w:cs="宋体"/>
          <w:b/>
          <w:bCs/>
          <w:color w:val="000000"/>
          <w:kern w:val="0"/>
          <w:sz w:val="28"/>
          <w:szCs w:val="28"/>
          <w:u w:val="none"/>
          <w:lang w:val="en-US" w:eastAsia="zh-CN"/>
        </w:rPr>
        <w:t>联系人：刘玉娥</w:t>
      </w:r>
    </w:p>
    <w:p>
      <w:pPr>
        <w:autoSpaceDE w:val="0"/>
        <w:autoSpaceDN w:val="0"/>
        <w:spacing w:line="600" w:lineRule="exact"/>
        <w:ind w:firstLine="843" w:firstLineChars="300"/>
        <w:rPr>
          <w:rFonts w:hint="default" w:ascii="宋体" w:hAnsi="宋体" w:cs="宋体"/>
          <w:b/>
          <w:bCs/>
          <w:color w:val="000000"/>
          <w:kern w:val="0"/>
          <w:sz w:val="28"/>
          <w:szCs w:val="28"/>
          <w:u w:val="none"/>
          <w:lang w:val="en-US" w:eastAsia="zh-CN"/>
        </w:rPr>
      </w:pPr>
      <w:r>
        <w:rPr>
          <w:rFonts w:hint="eastAsia" w:ascii="宋体" w:hAnsi="宋体" w:cs="宋体"/>
          <w:b/>
          <w:bCs/>
          <w:color w:val="000000"/>
          <w:kern w:val="0"/>
          <w:sz w:val="28"/>
          <w:szCs w:val="28"/>
          <w:u w:val="none"/>
          <w:lang w:val="en-US" w:eastAsia="zh-CN"/>
        </w:rPr>
        <w:t>联系电话：18997635667</w:t>
      </w:r>
    </w:p>
    <w:p>
      <w:pPr>
        <w:autoSpaceDE w:val="0"/>
        <w:autoSpaceDN w:val="0"/>
        <w:spacing w:line="600" w:lineRule="exact"/>
        <w:ind w:firstLine="843" w:firstLineChars="300"/>
        <w:rPr>
          <w:rFonts w:hint="eastAsia" w:ascii="宋体" w:hAnsi="宋体" w:cs="宋体"/>
          <w:b/>
          <w:bCs/>
          <w:color w:val="000000"/>
          <w:kern w:val="0"/>
          <w:sz w:val="28"/>
          <w:szCs w:val="28"/>
          <w:u w:val="none"/>
          <w:lang w:eastAsia="zh-CN"/>
        </w:rPr>
      </w:pPr>
    </w:p>
    <w:p>
      <w:pPr>
        <w:autoSpaceDE w:val="0"/>
        <w:autoSpaceDN w:val="0"/>
        <w:spacing w:line="600" w:lineRule="exact"/>
        <w:ind w:firstLine="843" w:firstLineChars="300"/>
        <w:rPr>
          <w:rFonts w:hint="eastAsia" w:ascii="宋体" w:hAnsi="宋体" w:cs="宋体"/>
          <w:b/>
          <w:bCs/>
          <w:color w:val="000000"/>
          <w:kern w:val="0"/>
          <w:sz w:val="28"/>
          <w:szCs w:val="28"/>
          <w:u w:val="none"/>
          <w:lang w:eastAsia="zh-CN"/>
        </w:rPr>
        <w:sectPr>
          <w:footerReference r:id="rId3" w:type="default"/>
          <w:pgSz w:w="11906" w:h="16838"/>
          <w:pgMar w:top="1440" w:right="1026" w:bottom="1440" w:left="1640" w:header="851" w:footer="992" w:gutter="0"/>
          <w:cols w:space="720" w:num="1"/>
          <w:docGrid w:type="lines" w:linePitch="312" w:charSpace="0"/>
        </w:sectPr>
      </w:pPr>
      <w:r>
        <w:rPr>
          <w:rFonts w:hint="eastAsia" w:ascii="宋体" w:hAnsi="宋体" w:cs="宋体"/>
          <w:b/>
          <w:bCs/>
          <w:color w:val="000000"/>
          <w:kern w:val="0"/>
          <w:sz w:val="28"/>
          <w:szCs w:val="28"/>
          <w:u w:val="none"/>
          <w:lang w:eastAsia="zh-CN"/>
        </w:rPr>
        <w:t>日期：202</w:t>
      </w:r>
      <w:r>
        <w:rPr>
          <w:rFonts w:hint="eastAsia" w:ascii="宋体" w:hAnsi="宋体" w:cs="宋体"/>
          <w:b/>
          <w:bCs/>
          <w:color w:val="000000"/>
          <w:kern w:val="0"/>
          <w:sz w:val="28"/>
          <w:szCs w:val="28"/>
          <w:u w:val="none"/>
          <w:lang w:val="en-US" w:eastAsia="zh-CN"/>
        </w:rPr>
        <w:t xml:space="preserve">2 </w:t>
      </w:r>
      <w:r>
        <w:rPr>
          <w:rFonts w:hint="eastAsia" w:ascii="宋体" w:hAnsi="宋体" w:cs="宋体"/>
          <w:b/>
          <w:bCs/>
          <w:color w:val="000000"/>
          <w:kern w:val="0"/>
          <w:sz w:val="28"/>
          <w:szCs w:val="28"/>
          <w:u w:val="none"/>
          <w:lang w:eastAsia="zh-CN"/>
        </w:rPr>
        <w:t>年</w:t>
      </w:r>
      <w:r>
        <w:rPr>
          <w:rFonts w:hint="eastAsia" w:ascii="宋体" w:hAnsi="宋体" w:cs="宋体"/>
          <w:b/>
          <w:bCs/>
          <w:color w:val="000000"/>
          <w:kern w:val="0"/>
          <w:sz w:val="28"/>
          <w:szCs w:val="28"/>
          <w:u w:val="none"/>
          <w:lang w:val="en-US" w:eastAsia="zh-CN"/>
        </w:rPr>
        <w:t xml:space="preserve"> 6 </w:t>
      </w:r>
      <w:r>
        <w:rPr>
          <w:rFonts w:hint="eastAsia" w:ascii="宋体" w:hAnsi="宋体" w:cs="宋体"/>
          <w:b/>
          <w:bCs/>
          <w:color w:val="000000"/>
          <w:kern w:val="0"/>
          <w:sz w:val="28"/>
          <w:szCs w:val="28"/>
          <w:u w:val="none"/>
          <w:lang w:eastAsia="zh-CN"/>
        </w:rPr>
        <w:t>月</w:t>
      </w:r>
      <w:r>
        <w:rPr>
          <w:rFonts w:hint="eastAsia" w:ascii="宋体" w:hAnsi="宋体" w:cs="宋体"/>
          <w:b/>
          <w:bCs/>
          <w:color w:val="000000"/>
          <w:kern w:val="0"/>
          <w:sz w:val="28"/>
          <w:szCs w:val="28"/>
          <w:u w:val="none"/>
          <w:lang w:val="en-US" w:eastAsia="zh-CN"/>
        </w:rPr>
        <w:t xml:space="preserve"> 15 </w:t>
      </w:r>
      <w:r>
        <w:rPr>
          <w:rFonts w:hint="eastAsia" w:ascii="宋体" w:hAnsi="宋体" w:cs="宋体"/>
          <w:b/>
          <w:bCs/>
          <w:color w:val="000000"/>
          <w:kern w:val="0"/>
          <w:sz w:val="28"/>
          <w:szCs w:val="28"/>
          <w:u w:val="none"/>
          <w:lang w:eastAsia="zh-CN"/>
        </w:rPr>
        <w:t>日</w:t>
      </w:r>
    </w:p>
    <w:p>
      <w:pPr>
        <w:pStyle w:val="23"/>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23"/>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_Toc19412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_Toc10181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518923059"/>
      <w:bookmarkStart w:id="3" w:name="_Toc16197"/>
      <w:r>
        <w:rPr>
          <w:rFonts w:hint="eastAsia" w:cs="宋体" w:asciiTheme="minorEastAsia" w:hAnsiTheme="minorEastAsia" w:eastAsiaTheme="minorEastAsia"/>
          <w:b/>
          <w:sz w:val="30"/>
          <w:szCs w:val="30"/>
        </w:rPr>
        <w:t>供应商须知</w:t>
      </w:r>
      <w:bookmarkEnd w:id="0"/>
      <w:bookmarkEnd w:id="1"/>
      <w:bookmarkEnd w:id="2"/>
      <w:bookmarkEnd w:id="3"/>
    </w:p>
    <w:p>
      <w:pPr>
        <w:pStyle w:val="5"/>
        <w:spacing w:before="0" w:line="240" w:lineRule="auto"/>
        <w:ind w:left="1079" w:leftChars="257" w:hanging="540"/>
        <w:rPr>
          <w:rFonts w:cs="宋体" w:asciiTheme="minorEastAsia" w:hAnsiTheme="minorEastAsia" w:eastAsiaTheme="minorEastAsia"/>
        </w:rPr>
      </w:pPr>
      <w:bookmarkStart w:id="4" w:name="_Toc520356143"/>
      <w:bookmarkStart w:id="5" w:name="_Toc216582805"/>
      <w:bookmarkStart w:id="6" w:name="_Toc518923060"/>
      <w:bookmarkStart w:id="7" w:name="_Toc29867"/>
      <w:bookmarkStart w:id="8" w:name="_Toc9485"/>
      <w:bookmarkStart w:id="9" w:name="_Toc25430_WPSOffice_Level1"/>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6"/>
        <w:spacing w:before="0" w:after="0" w:line="400" w:lineRule="exact"/>
        <w:rPr>
          <w:rFonts w:cs="宋体" w:asciiTheme="minorEastAsia" w:hAnsiTheme="minorEastAsia" w:eastAsiaTheme="minorEastAsia"/>
          <w:u w:val="none"/>
        </w:rPr>
      </w:pPr>
      <w:bookmarkStart w:id="10" w:name="_Toc4676_WPSOffice_Level2"/>
      <w:bookmarkStart w:id="11" w:name="_Toc520356144"/>
      <w:bookmarkStart w:id="12" w:name="_Toc16905_WPSOffice_Level2"/>
      <w:bookmarkStart w:id="13" w:name="_Toc12013"/>
      <w:bookmarkStart w:id="14" w:name="_Toc518923061"/>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15" w:name="_Toc11813_WPSOffice_Level2"/>
      <w:bookmarkStart w:id="16" w:name="_Toc518923062"/>
      <w:bookmarkStart w:id="17" w:name="_Toc11482_WPSOffice_Level2"/>
      <w:bookmarkStart w:id="18" w:name="_Toc2643"/>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u w:val="none"/>
        </w:rPr>
      </w:pPr>
      <w:bookmarkStart w:id="19" w:name="_Toc8601_WPSOffice_Level2"/>
      <w:bookmarkStart w:id="20" w:name="_Toc28166"/>
      <w:bookmarkStart w:id="21" w:name="_Toc8946_WPSOffice_Level2"/>
      <w:bookmarkStart w:id="22" w:name="_Toc518923063"/>
      <w:bookmarkStart w:id="23" w:name="_Toc520356145"/>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u w:val="none"/>
        </w:rPr>
      </w:pPr>
      <w:bookmarkStart w:id="24" w:name="_Toc1523_WPSOffice_Level2"/>
      <w:bookmarkStart w:id="25" w:name="_Toc518923064"/>
      <w:bookmarkStart w:id="26" w:name="_Toc8368_WPSOffice_Level2"/>
      <w:bookmarkStart w:id="27" w:name="_Toc32365"/>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5"/>
        <w:spacing w:before="0" w:line="400" w:lineRule="exact"/>
        <w:ind w:left="1079" w:leftChars="257" w:hanging="540"/>
        <w:rPr>
          <w:rFonts w:cs="宋体" w:asciiTheme="minorEastAsia" w:hAnsiTheme="minorEastAsia" w:eastAsiaTheme="minorEastAsia"/>
        </w:rPr>
      </w:pPr>
      <w:bookmarkStart w:id="28" w:name="_Toc520356146"/>
      <w:bookmarkStart w:id="29" w:name="_Toc809"/>
      <w:bookmarkStart w:id="30" w:name="_Toc216582806"/>
      <w:bookmarkStart w:id="31" w:name="_Toc518923065"/>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6"/>
        <w:spacing w:before="0" w:after="0" w:line="400" w:lineRule="exact"/>
        <w:rPr>
          <w:rFonts w:cs="宋体" w:asciiTheme="minorEastAsia" w:hAnsiTheme="minorEastAsia" w:eastAsiaTheme="minorEastAsia"/>
          <w:u w:val="none"/>
        </w:rPr>
      </w:pPr>
      <w:bookmarkStart w:id="34" w:name="_Toc22990"/>
      <w:bookmarkStart w:id="35" w:name="_Toc15303_WPSOffice_Level2"/>
      <w:bookmarkStart w:id="36" w:name="_Toc518923066"/>
      <w:bookmarkStart w:id="37" w:name="_Toc15218_WPSOffice_Level2"/>
      <w:bookmarkStart w:id="38" w:name="_Toc520356147"/>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u w:val="none"/>
        </w:rPr>
      </w:pPr>
      <w:bookmarkStart w:id="39" w:name="_Toc520356148"/>
      <w:bookmarkStart w:id="40" w:name="_Toc90_WPSOffice_Level2"/>
      <w:bookmarkStart w:id="41" w:name="_Toc21314"/>
      <w:bookmarkStart w:id="42" w:name="_Toc29081_WPSOffice_Level2"/>
      <w:bookmarkStart w:id="43" w:name="_Toc518923067"/>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2"/>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Ref467378678"/>
      <w:bookmarkStart w:id="45" w:name="_Toc520356149"/>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2"/>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46" w:name="_Toc10994"/>
      <w:bookmarkStart w:id="47" w:name="_Toc9694_WPSOffice_Level2"/>
      <w:bookmarkStart w:id="48" w:name="_Toc518923068"/>
      <w:bookmarkStart w:id="49" w:name="_Toc31699_WPSOffice_Level2"/>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5"/>
        <w:tabs>
          <w:tab w:val="left" w:pos="900"/>
        </w:tabs>
        <w:spacing w:before="0" w:line="400" w:lineRule="exact"/>
        <w:ind w:left="1079" w:leftChars="257" w:hanging="540"/>
        <w:rPr>
          <w:rFonts w:cs="宋体" w:asciiTheme="minorEastAsia" w:hAnsiTheme="minorEastAsia" w:eastAsiaTheme="minorEastAsia"/>
        </w:rPr>
      </w:pPr>
      <w:bookmarkStart w:id="50" w:name="_Toc516367020"/>
      <w:bookmarkStart w:id="51" w:name="_Toc26563"/>
      <w:bookmarkStart w:id="52" w:name="_Toc520356150"/>
      <w:bookmarkStart w:id="53" w:name="_Toc216582807"/>
      <w:bookmarkStart w:id="54" w:name="_Toc518923069"/>
      <w:bookmarkStart w:id="55" w:name="_Toc25389"/>
      <w:bookmarkStart w:id="56" w:name="_Toc4436_WPSOffice_Level1"/>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u w:val="none"/>
        </w:rPr>
      </w:pPr>
      <w:bookmarkStart w:id="57" w:name="_Toc6728"/>
      <w:bookmarkStart w:id="58" w:name="_Toc20686_WPSOffice_Level2"/>
      <w:bookmarkStart w:id="59" w:name="_Toc520356151"/>
      <w:bookmarkStart w:id="60" w:name="_Toc13590_WPSOffice_Level2"/>
      <w:bookmarkStart w:id="61" w:name="_Toc516367021"/>
      <w:bookmarkStart w:id="62" w:name="_Toc518923070"/>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63" w:name="_Ref467306195"/>
      <w:bookmarkStart w:id="64" w:name="_Toc516367022"/>
      <w:bookmarkStart w:id="65" w:name="_Ref467306676"/>
      <w:bookmarkStart w:id="66" w:name="_Toc520356152"/>
      <w:bookmarkStart w:id="67" w:name="_Toc31935_WPSOffice_Level2"/>
      <w:bookmarkStart w:id="68" w:name="_Toc15487"/>
      <w:bookmarkStart w:id="69" w:name="_Toc28579_WPSOffice_Level2"/>
      <w:bookmarkStart w:id="70" w:name="_Toc518923071"/>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72" w:name="_Toc2671"/>
      <w:bookmarkStart w:id="73" w:name="_Toc520356153"/>
      <w:bookmarkStart w:id="74" w:name="_Toc508185920"/>
      <w:bookmarkStart w:id="75" w:name="_Toc5768_WPSOffice_Level2"/>
      <w:bookmarkStart w:id="76" w:name="_Toc518923072"/>
      <w:bookmarkStart w:id="77" w:name="_Toc516367023"/>
      <w:bookmarkStart w:id="78" w:name="_Toc10751_WPSOffice_Level2"/>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6"/>
        <w:spacing w:before="0" w:after="0" w:line="400" w:lineRule="exact"/>
        <w:rPr>
          <w:rFonts w:cs="宋体" w:asciiTheme="minorEastAsia" w:hAnsiTheme="minorEastAsia" w:eastAsiaTheme="minorEastAsia"/>
          <w:u w:val="none"/>
        </w:rPr>
      </w:pPr>
      <w:bookmarkStart w:id="81" w:name="_Toc518923073"/>
      <w:bookmarkStart w:id="82" w:name="_Toc8529"/>
      <w:bookmarkStart w:id="83" w:name="_Toc32368_WPSOffice_Level2"/>
      <w:bookmarkStart w:id="84" w:name="_Toc15335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5"/>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85" w:name="_Toc518923074"/>
      <w:bookmarkStart w:id="86" w:name="_Ref467306513"/>
      <w:bookmarkStart w:id="87" w:name="_Toc16199"/>
      <w:bookmarkStart w:id="88" w:name="_Toc520356156"/>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94" w:name="_Toc20355"/>
      <w:bookmarkStart w:id="95" w:name="_Toc518923076"/>
      <w:bookmarkStart w:id="96" w:name="_Toc520356157"/>
      <w:bookmarkStart w:id="97" w:name="_Toc11106_WPSOffice_Level2"/>
      <w:bookmarkStart w:id="98" w:name="_Toc471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u w:val="none"/>
        </w:rPr>
      </w:pPr>
      <w:bookmarkStart w:id="99" w:name="_Toc520356158"/>
      <w:bookmarkStart w:id="100" w:name="_Toc13034_WPSOffice_Level2"/>
      <w:bookmarkStart w:id="101" w:name="_Toc518923077"/>
      <w:bookmarkStart w:id="102" w:name="_Toc31308_WPSOffice_Level2"/>
      <w:bookmarkStart w:id="103" w:name="_Toc27303"/>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5"/>
        <w:spacing w:before="0" w:line="400" w:lineRule="exact"/>
        <w:ind w:left="1079" w:leftChars="257" w:hanging="540"/>
        <w:rPr>
          <w:rFonts w:cs="宋体" w:asciiTheme="minorEastAsia" w:hAnsiTheme="minorEastAsia" w:eastAsiaTheme="minorEastAsia"/>
          <w:color w:val="000000"/>
        </w:rPr>
      </w:pPr>
      <w:bookmarkStart w:id="104" w:name="_Toc9633"/>
      <w:bookmarkStart w:id="105" w:name="_Toc30674_WPSOffice_Level1"/>
      <w:bookmarkStart w:id="106" w:name="_Toc518923078"/>
      <w:bookmarkStart w:id="107" w:name="_Toc22303"/>
      <w:bookmarkStart w:id="108" w:name="_Toc520356159"/>
      <w:bookmarkStart w:id="109" w:name="_Toc216582808"/>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color w:val="000000"/>
          <w:u w:val="none"/>
        </w:rPr>
      </w:pPr>
      <w:bookmarkStart w:id="110" w:name="_Toc520356160"/>
      <w:bookmarkStart w:id="111" w:name="_Toc518923079"/>
      <w:bookmarkStart w:id="112" w:name="_Toc22654_WPSOffice_Level2"/>
      <w:bookmarkStart w:id="113" w:name="_Toc24004_WPSOffice_Level2"/>
      <w:bookmarkStart w:id="114" w:name="_Toc13247"/>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6"/>
        <w:spacing w:before="0" w:after="0" w:line="400" w:lineRule="exact"/>
        <w:rPr>
          <w:rFonts w:cs="宋体" w:asciiTheme="minorEastAsia" w:hAnsiTheme="minorEastAsia" w:eastAsiaTheme="minorEastAsia"/>
          <w:u w:val="none"/>
        </w:rPr>
      </w:pPr>
      <w:bookmarkStart w:id="115" w:name="_Toc520356161"/>
      <w:bookmarkStart w:id="116" w:name="_Toc14358_WPSOffice_Level2"/>
      <w:bookmarkStart w:id="117" w:name="_Toc518923080"/>
      <w:bookmarkStart w:id="118" w:name="_Toc25787"/>
      <w:bookmarkStart w:id="119" w:name="_Toc178_WPSOffice_Level2"/>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0" w:name="_Toc518923081"/>
      <w:bookmarkStart w:id="121" w:name="_Toc26522_WPSOffice_Level2"/>
      <w:bookmarkStart w:id="122" w:name="_Toc13921"/>
      <w:bookmarkStart w:id="123" w:name="_Toc520356162"/>
      <w:bookmarkStart w:id="124" w:name="_Toc17985_WPSOffice_Level2"/>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216582809"/>
      <w:bookmarkStart w:id="126" w:name="_Toc10257"/>
      <w:bookmarkStart w:id="127" w:name="_Toc518923082"/>
      <w:bookmarkStart w:id="128" w:name="_Toc520356163"/>
    </w:p>
    <w:p>
      <w:pPr>
        <w:pStyle w:val="5"/>
        <w:spacing w:before="0" w:line="400" w:lineRule="exact"/>
        <w:ind w:left="1079" w:leftChars="257" w:hanging="540"/>
        <w:rPr>
          <w:rFonts w:cs="宋体" w:asciiTheme="minorEastAsia" w:hAnsiTheme="minorEastAsia" w:eastAsiaTheme="minorEastAsia"/>
        </w:rPr>
      </w:pPr>
      <w:bookmarkStart w:id="129" w:name="_Toc5445"/>
      <w:bookmarkStart w:id="130" w:name="_Toc6601_WPSOffice_Level1"/>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6"/>
        <w:spacing w:before="0" w:after="0" w:line="400" w:lineRule="exact"/>
        <w:rPr>
          <w:rFonts w:cs="宋体" w:asciiTheme="minorEastAsia" w:hAnsiTheme="minorEastAsia" w:eastAsiaTheme="minorEastAsia"/>
          <w:u w:val="none"/>
        </w:rPr>
      </w:pPr>
      <w:bookmarkStart w:id="131" w:name="_Toc520356164"/>
      <w:bookmarkStart w:id="132" w:name="_Toc8653"/>
      <w:bookmarkStart w:id="133" w:name="_Toc518923083"/>
      <w:bookmarkStart w:id="134" w:name="_Toc32308_WPSOffice_Level2"/>
      <w:bookmarkStart w:id="135" w:name="_Toc13011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37" w:name="_Toc518923084"/>
      <w:bookmarkStart w:id="138" w:name="_Toc34"/>
      <w:bookmarkStart w:id="139" w:name="_Toc4350_WPSOffice_Level2"/>
      <w:bookmarkStart w:id="140" w:name="_Toc21320_WPSOffice_Level2"/>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2"/>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2"/>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bdr w:val="single" w:color="auto" w:sz="4" w:space="0"/>
        </w:rPr>
      </w:pPr>
      <w:bookmarkStart w:id="142" w:name="_Toc17843_WPSOffice_Level2"/>
      <w:bookmarkStart w:id="143" w:name="_Toc6842"/>
      <w:bookmarkStart w:id="144" w:name="_Toc31689_WPSOffice_Level2"/>
      <w:bookmarkStart w:id="145" w:name="_Toc518923085"/>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6"/>
        <w:spacing w:before="0" w:after="0" w:line="400" w:lineRule="exact"/>
        <w:rPr>
          <w:rFonts w:cs="宋体" w:asciiTheme="minorEastAsia" w:hAnsiTheme="minorEastAsia" w:eastAsiaTheme="minorEastAsia"/>
          <w:u w:val="none"/>
        </w:rPr>
      </w:pPr>
      <w:bookmarkStart w:id="148" w:name="_Toc8603"/>
      <w:bookmarkStart w:id="149" w:name="_Toc6346_WPSOffice_Level2"/>
      <w:bookmarkStart w:id="150" w:name="_Toc26452_WPSOffice_Level2"/>
      <w:bookmarkStart w:id="151" w:name="_Toc518923086"/>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847" w:leftChars="99" w:hanging="640" w:hangingChars="267"/>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u w:val="none"/>
        </w:rPr>
      </w:pPr>
      <w:bookmarkStart w:id="152" w:name="_Toc25255"/>
      <w:bookmarkStart w:id="153" w:name="_Toc11645_WPSOffice_Level2"/>
      <w:bookmarkStart w:id="154" w:name="_Toc25236_WPSOffice_Level2"/>
      <w:bookmarkStart w:id="155" w:name="_Toc518923087"/>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20835"/>
      <w:bookmarkStart w:id="157" w:name="_Toc22743_WPSOffice_Level2"/>
      <w:bookmarkStart w:id="158" w:name="_Toc14330_WPSOffice_Level2"/>
      <w:bookmarkStart w:id="159" w:name="_Toc518923088"/>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5"/>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6"/>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6"/>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6"/>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color w:val="0000FF"/>
          <w:sz w:val="24"/>
          <w:highlight w:val="none"/>
        </w:rPr>
      </w:pPr>
      <w:r>
        <w:rPr>
          <w:rFonts w:hint="eastAsia" w:cs="宋体" w:asciiTheme="minorEastAsia" w:hAnsiTheme="minorEastAsia" w:eastAsiaTheme="minorEastAsia"/>
          <w:color w:val="0000FF"/>
          <w:sz w:val="24"/>
          <w:highlight w:val="none"/>
        </w:rPr>
        <w:t>1、价格因素：</w:t>
      </w:r>
      <w:r>
        <w:rPr>
          <w:rFonts w:hint="eastAsia" w:cs="宋体" w:asciiTheme="minorEastAsia" w:hAnsiTheme="minorEastAsia" w:eastAsiaTheme="minorEastAsia"/>
          <w:color w:val="0000FF"/>
          <w:sz w:val="24"/>
          <w:highlight w:val="none"/>
          <w:lang w:val="en-US" w:eastAsia="zh-CN"/>
        </w:rPr>
        <w:t>30</w:t>
      </w:r>
      <w:r>
        <w:rPr>
          <w:rFonts w:hint="eastAsia" w:cs="宋体" w:asciiTheme="minorEastAsia" w:hAnsiTheme="minorEastAsia" w:eastAsiaTheme="minorEastAsia"/>
          <w:color w:val="0000FF"/>
          <w:sz w:val="24"/>
          <w:highlight w:val="none"/>
        </w:rPr>
        <w:t>分（</w:t>
      </w:r>
      <w:r>
        <w:rPr>
          <w:rFonts w:hint="eastAsia" w:ascii="宋体" w:hAnsi="宋体" w:cs="宋体"/>
          <w:color w:val="0000FF"/>
          <w:kern w:val="0"/>
          <w:sz w:val="24"/>
          <w:szCs w:val="20"/>
          <w:highlight w:val="none"/>
        </w:rPr>
        <w:t>综合评分法中的价格分统一采用低价优先法计算，即满足招标文件要求且投标价格最低的投标报价为评标基准价，</w:t>
      </w:r>
      <w:r>
        <w:rPr>
          <w:rFonts w:hint="eastAsia"/>
          <w:color w:val="0000FF"/>
          <w:sz w:val="22"/>
          <w:szCs w:val="22"/>
          <w:highlight w:val="none"/>
        </w:rPr>
        <w:t>其价格分为满分</w:t>
      </w:r>
      <w:r>
        <w:rPr>
          <w:rFonts w:hint="eastAsia"/>
          <w:color w:val="0000FF"/>
          <w:sz w:val="22"/>
          <w:szCs w:val="22"/>
          <w:highlight w:val="none"/>
          <w:lang w:val="en-US" w:eastAsia="zh-CN"/>
        </w:rPr>
        <w:t>30</w:t>
      </w:r>
      <w:r>
        <w:rPr>
          <w:rFonts w:hint="eastAsia"/>
          <w:color w:val="0000FF"/>
          <w:sz w:val="22"/>
          <w:szCs w:val="22"/>
          <w:highlight w:val="none"/>
        </w:rPr>
        <w:t>分，其投标报价得分=(评标基准价／投标报价)×价格权值×100</w:t>
      </w:r>
      <w:r>
        <w:rPr>
          <w:rFonts w:hint="eastAsia" w:cs="宋体" w:asciiTheme="minorEastAsia" w:hAnsiTheme="minorEastAsia" w:eastAsiaTheme="minorEastAsia"/>
          <w:color w:val="0000FF"/>
          <w:sz w:val="24"/>
          <w:highlight w:val="none"/>
        </w:rPr>
        <w:t>）</w:t>
      </w:r>
    </w:p>
    <w:p>
      <w:pPr>
        <w:pStyle w:val="16"/>
        <w:spacing w:line="400" w:lineRule="exact"/>
        <w:ind w:left="718" w:leftChars="342" w:firstLine="240" w:firstLineChars="100"/>
        <w:rPr>
          <w:rFonts w:cs="宋体" w:asciiTheme="minorEastAsia" w:hAnsiTheme="minorEastAsia" w:eastAsiaTheme="minorEastAsia"/>
          <w:color w:val="0000FF"/>
          <w:sz w:val="24"/>
          <w:szCs w:val="24"/>
        </w:rPr>
      </w:pPr>
      <w:r>
        <w:rPr>
          <w:rFonts w:hint="eastAsia" w:cs="宋体" w:asciiTheme="minorEastAsia" w:hAnsiTheme="minorEastAsia" w:eastAsiaTheme="minorEastAsia"/>
          <w:color w:val="0000FF"/>
          <w:sz w:val="24"/>
          <w:szCs w:val="24"/>
        </w:rPr>
        <w:t>2、商务因素及技术因素：</w:t>
      </w:r>
      <w:r>
        <w:rPr>
          <w:rFonts w:hint="eastAsia" w:cs="宋体" w:asciiTheme="minorEastAsia" w:hAnsiTheme="minorEastAsia" w:eastAsiaTheme="minorEastAsia"/>
          <w:color w:val="0000FF"/>
          <w:sz w:val="24"/>
          <w:szCs w:val="24"/>
          <w:lang w:val="en-US" w:eastAsia="zh-CN"/>
        </w:rPr>
        <w:t>7</w:t>
      </w:r>
      <w:r>
        <w:rPr>
          <w:rFonts w:hint="eastAsia" w:cs="宋体" w:asciiTheme="minorEastAsia" w:hAnsiTheme="minorEastAsia" w:eastAsiaTheme="minorEastAsia"/>
          <w:color w:val="0000FF"/>
          <w:sz w:val="24"/>
          <w:szCs w:val="24"/>
          <w:highlight w:val="none"/>
          <w:lang w:val="en-US" w:eastAsia="zh-CN"/>
        </w:rPr>
        <w:t>0</w:t>
      </w:r>
      <w:r>
        <w:rPr>
          <w:rFonts w:hint="eastAsia" w:cs="宋体" w:asciiTheme="minorEastAsia" w:hAnsiTheme="minorEastAsia" w:eastAsiaTheme="minorEastAsia"/>
          <w:color w:val="0000FF"/>
          <w:sz w:val="24"/>
          <w:szCs w:val="24"/>
          <w:highlight w:val="none"/>
        </w:rPr>
        <w:t>分</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pPr>
        <w:pStyle w:val="6"/>
        <w:spacing w:before="0" w:after="0" w:line="300" w:lineRule="exact"/>
        <w:rPr>
          <w:rFonts w:cs="宋体" w:asciiTheme="minorEastAsia" w:hAnsiTheme="minorEastAsia" w:eastAsiaTheme="minorEastAsia"/>
          <w:kern w:val="2"/>
          <w:szCs w:val="24"/>
          <w:u w:val="none"/>
        </w:rPr>
      </w:pPr>
      <w:bookmarkStart w:id="161" w:name="_Toc520356168"/>
      <w:bookmarkStart w:id="162" w:name="_Toc27560_WPSOffice_Level2"/>
      <w:bookmarkStart w:id="163" w:name="_Toc5823"/>
      <w:bookmarkStart w:id="164" w:name="_Toc21686_WPSOffice_Level2"/>
      <w:bookmarkStart w:id="165" w:name="_Toc518923089"/>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6"/>
        <w:spacing w:before="0" w:after="0" w:line="300" w:lineRule="exact"/>
        <w:rPr>
          <w:rFonts w:cs="宋体" w:asciiTheme="minorEastAsia" w:hAnsiTheme="minorEastAsia" w:eastAsiaTheme="minorEastAsia"/>
          <w:u w:val="none"/>
        </w:rPr>
      </w:pPr>
      <w:bookmarkStart w:id="166" w:name="_Toc23660"/>
      <w:bookmarkStart w:id="167" w:name="_Toc4205_WPSOffice_Level2"/>
      <w:bookmarkStart w:id="168" w:name="_Toc16649_WPSOffice_Level2"/>
      <w:bookmarkStart w:id="169" w:name="_Toc518923090"/>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216582810"/>
      <w:bookmarkStart w:id="172" w:name="_Toc10964"/>
      <w:bookmarkStart w:id="173" w:name="_Toc518923091"/>
      <w:bookmarkStart w:id="174" w:name="_Toc15697"/>
      <w:bookmarkStart w:id="175" w:name="_Toc4193_WPSOffice_Level1"/>
    </w:p>
    <w:p>
      <w:pPr>
        <w:pStyle w:val="25"/>
        <w:rPr>
          <w:rFonts w:asciiTheme="minorEastAsia" w:hAnsiTheme="minorEastAsia" w:eastAsiaTheme="minorEastAsia"/>
        </w:rPr>
      </w:pPr>
    </w:p>
    <w:p>
      <w:pPr>
        <w:pStyle w:val="5"/>
        <w:spacing w:before="0" w:line="30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2"/>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color w:val="000000"/>
          <w:u w:val="none"/>
        </w:rPr>
      </w:pPr>
      <w:bookmarkStart w:id="176" w:name="_Toc520356170"/>
      <w:bookmarkStart w:id="177" w:name="_Toc31921_WPSOffice_Level2"/>
      <w:bookmarkStart w:id="178" w:name="_Toc32578"/>
      <w:bookmarkStart w:id="179" w:name="_Ref467307010"/>
      <w:bookmarkStart w:id="180" w:name="_Toc518923092"/>
      <w:bookmarkStart w:id="181" w:name="_Toc4749_WPSOffice_Level2"/>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u w:val="none"/>
        </w:rPr>
      </w:pPr>
      <w:bookmarkStart w:id="182" w:name="_Toc520356171"/>
      <w:bookmarkStart w:id="183" w:name="_Toc518923093"/>
      <w:bookmarkStart w:id="184" w:name="_Toc2420_WPSOffice_Level2"/>
      <w:bookmarkStart w:id="185" w:name="_Toc10555"/>
      <w:bookmarkStart w:id="186" w:name="_Toc3689_WPSOffice_Level2"/>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u w:val="none"/>
        </w:rPr>
      </w:pPr>
      <w:bookmarkStart w:id="187" w:name="_Ref467306874"/>
      <w:bookmarkStart w:id="188" w:name="_Toc520356173"/>
      <w:bookmarkStart w:id="189" w:name="_Toc17336_WPSOffice_Level2"/>
      <w:bookmarkStart w:id="190" w:name="_Toc620_WPSOffice_Level2"/>
      <w:bookmarkStart w:id="191" w:name="_Toc518923094"/>
      <w:bookmarkStart w:id="192" w:name="_Toc17138"/>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u w:val="none"/>
        </w:rPr>
      </w:pPr>
      <w:bookmarkStart w:id="194" w:name="_Toc22810_WPSOffice_Level2"/>
      <w:bookmarkStart w:id="195" w:name="_Toc518923095"/>
      <w:bookmarkStart w:id="196" w:name="_Toc18072"/>
      <w:bookmarkStart w:id="197" w:name="_Toc7273_WPSOffice_Level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198" w:name="_Toc16952"/>
      <w:bookmarkStart w:id="199" w:name="_Ref467306377"/>
      <w:bookmarkStart w:id="200" w:name="_Ref467306978"/>
      <w:bookmarkStart w:id="201" w:name="_Toc520356175"/>
      <w:bookmarkStart w:id="202" w:name="_Ref467307062"/>
      <w:bookmarkStart w:id="203" w:name="_Toc23285_WPSOffice_Level2"/>
      <w:bookmarkStart w:id="204" w:name="_Toc9717_WPSOffice_Level2"/>
      <w:bookmarkStart w:id="205" w:name="_Toc518923096"/>
      <w:bookmarkStart w:id="206" w:name="_Ref467307204"/>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Ref467307090"/>
      <w:bookmarkStart w:id="208" w:name="_Ref467306425"/>
      <w:bookmarkStart w:id="209" w:name="_Toc520356176"/>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0" w:name="_Toc10642_WPSOffice_Level2"/>
      <w:bookmarkStart w:id="211" w:name="_Toc518923097"/>
      <w:bookmarkStart w:id="212" w:name="_Toc4302"/>
      <w:bookmarkStart w:id="213" w:name="_Toc4147_WPSOffice_Level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14" w:name="_Toc518923098"/>
      <w:bookmarkStart w:id="215" w:name="_Toc21635_WPSOffice_Level2"/>
      <w:bookmarkStart w:id="216" w:name="_Toc12960_WPSOffice_Level2"/>
      <w:bookmarkStart w:id="217" w:name="_Toc8476"/>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6"/>
        <w:spacing w:before="0" w:after="0" w:line="300" w:lineRule="exact"/>
        <w:rPr>
          <w:rFonts w:cs="宋体" w:asciiTheme="minorEastAsia" w:hAnsiTheme="minorEastAsia" w:eastAsiaTheme="minorEastAsia"/>
          <w:u w:val="none"/>
        </w:rPr>
      </w:pPr>
      <w:bookmarkStart w:id="218" w:name="_Toc31411"/>
      <w:bookmarkStart w:id="219" w:name="_Toc9330_WPSOffice_Level2"/>
      <w:bookmarkStart w:id="220" w:name="_Toc518923099"/>
      <w:bookmarkStart w:id="221" w:name="_Toc30567_WPSOffice_Level2"/>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6"/>
        <w:spacing w:before="0" w:after="0" w:line="300" w:lineRule="exact"/>
        <w:rPr>
          <w:rFonts w:cs="宋体" w:asciiTheme="minorEastAsia" w:hAnsiTheme="minorEastAsia" w:eastAsiaTheme="minorEastAsia"/>
          <w:u w:val="none"/>
        </w:rPr>
      </w:pPr>
      <w:bookmarkStart w:id="222" w:name="_Toc9469_WPSOffice_Level2"/>
      <w:bookmarkStart w:id="223" w:name="_Toc5233_WPSOffice_Level2"/>
      <w:bookmarkStart w:id="224" w:name="_Toc4701"/>
      <w:bookmarkStart w:id="225" w:name="_Toc518923100"/>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26" w:name="_Toc21055"/>
      <w:bookmarkStart w:id="227" w:name="_Toc518923101"/>
      <w:bookmarkStart w:id="228" w:name="_Toc27811_WPSOffice_Level2"/>
      <w:bookmarkStart w:id="229" w:name="_Toc27272_WPSOffice_Level2"/>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57"/>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57"/>
        <w:rPr>
          <w:rFonts w:asciiTheme="minorEastAsia" w:hAnsiTheme="minorEastAsia" w:eastAsiaTheme="minorEastAsia"/>
        </w:rPr>
      </w:pPr>
      <w:r>
        <w:rPr>
          <w:rFonts w:hint="eastAsia" w:asciiTheme="minorEastAsia" w:hAnsiTheme="minorEastAsia" w:eastAsiaTheme="minorEastAsia"/>
        </w:rPr>
        <w:t>（一）质疑人的姓名或者名称；</w:t>
      </w:r>
    </w:p>
    <w:p>
      <w:pPr>
        <w:pStyle w:val="57"/>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57"/>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57"/>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57"/>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5"/>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18483"/>
      <w:bookmarkStart w:id="231" w:name="_Toc22084_WPSOffice_Level1"/>
      <w:bookmarkStart w:id="232" w:name="_Toc518923103"/>
      <w:bookmarkStart w:id="233" w:name="_Toc23883"/>
      <w:bookmarkStart w:id="234" w:name="_Toc3584_WPSOffice_Level1"/>
      <w:bookmarkStart w:id="235" w:name="_Toc21504_WPSOffice_Level1"/>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6"/>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6"/>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6"/>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6"/>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6"/>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6"/>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6"/>
        <w:spacing w:line="240" w:lineRule="atLeast"/>
        <w:ind w:left="1079" w:leftChars="257" w:hanging="540"/>
        <w:rPr>
          <w:rFonts w:cs="宋体" w:asciiTheme="minorEastAsia" w:hAnsiTheme="minorEastAsia" w:eastAsiaTheme="minorEastAsia"/>
          <w:sz w:val="24"/>
        </w:rPr>
      </w:pP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5"/>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10323_WPSOffice_Level1"/>
      <w:bookmarkStart w:id="237" w:name="_Toc391_WPSOffice_Level1"/>
      <w:bookmarkStart w:id="238" w:name="_Toc9904"/>
      <w:bookmarkStart w:id="239" w:name="_Toc25500_WPSOffice_Level1"/>
      <w:bookmarkStart w:id="240" w:name="_Toc27788"/>
      <w:bookmarkStart w:id="241" w:name="_Toc518923104"/>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5"/>
        <w:spacing w:before="0" w:line="240" w:lineRule="atLeast"/>
        <w:ind w:left="1079" w:leftChars="257" w:hanging="540"/>
        <w:rPr>
          <w:rFonts w:cs="宋体" w:asciiTheme="minorEastAsia" w:hAnsiTheme="minorEastAsia" w:eastAsiaTheme="minorEastAsia"/>
          <w:b w:val="0"/>
        </w:rPr>
      </w:pPr>
      <w:bookmarkStart w:id="242" w:name="_Toc518923105"/>
      <w:bookmarkStart w:id="243" w:name="_Toc30995"/>
      <w:bookmarkStart w:id="244" w:name="_Toc13630"/>
      <w:bookmarkStart w:id="245" w:name="_Toc11516_WPSOffice_Level1"/>
      <w:bookmarkStart w:id="246" w:name="_Toc27405_WPSOffice_Level1"/>
      <w:bookmarkStart w:id="247" w:name="_Toc515904842"/>
      <w:bookmarkStart w:id="248" w:name="_Toc20933_WPSOffice_Level1"/>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1823_WPSOffice_Level1"/>
      <w:bookmarkStart w:id="250" w:name="_Toc10654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3896_WPSOffice_Level1"/>
      <w:bookmarkStart w:id="252" w:name="_Toc788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13180_WPSOffice_Level1"/>
      <w:bookmarkStart w:id="254" w:name="_Toc6638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14402_WPSOffice_Level1"/>
      <w:bookmarkStart w:id="256" w:name="_Toc32368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15921_WPSOffice_Level1"/>
      <w:bookmarkStart w:id="258" w:name="_Toc23917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6543_WPSOffice_Level1"/>
      <w:bookmarkStart w:id="260" w:name="_Toc2970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548_WPSOffice_Level1"/>
      <w:bookmarkStart w:id="262" w:name="_Toc3482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2"/>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4"/>
        <w:spacing w:before="0" w:after="0" w:line="240" w:lineRule="atLeast"/>
        <w:rPr>
          <w:rFonts w:cs="宋体" w:asciiTheme="minorEastAsia" w:hAnsiTheme="minorEastAsia" w:eastAsiaTheme="minorEastAsia"/>
        </w:rPr>
      </w:pPr>
      <w:bookmarkStart w:id="263" w:name="_Toc21808"/>
      <w:bookmarkStart w:id="264" w:name="_Toc6923"/>
      <w:bookmarkStart w:id="265" w:name="_Toc518923106"/>
      <w:bookmarkStart w:id="266" w:name="_Toc22577_WPSOffice_Level1"/>
      <w:bookmarkStart w:id="267" w:name="_Toc216582812"/>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rPr>
      </w:pPr>
    </w:p>
    <w:p>
      <w:pPr>
        <w:pStyle w:val="5"/>
        <w:spacing w:before="0" w:line="360" w:lineRule="exact"/>
        <w:ind w:left="1079" w:leftChars="257" w:hanging="540"/>
        <w:rPr>
          <w:rFonts w:cs="宋体" w:asciiTheme="minorEastAsia" w:hAnsiTheme="minorEastAsia" w:eastAsiaTheme="minorEastAsia"/>
          <w:sz w:val="24"/>
        </w:rPr>
      </w:pPr>
      <w:bookmarkStart w:id="268" w:name="_Toc18694"/>
      <w:bookmarkStart w:id="269" w:name="_Toc515647803"/>
      <w:bookmarkStart w:id="270" w:name="_Toc30069"/>
      <w:bookmarkStart w:id="271" w:name="_Toc975"/>
      <w:bookmarkStart w:id="272" w:name="_Toc18974"/>
      <w:bookmarkStart w:id="273" w:name="_Toc25620_WPSOffice_Level2"/>
      <w:bookmarkStart w:id="274" w:name="_Toc27612"/>
      <w:bookmarkStart w:id="275" w:name="_Toc6762_WPSOffice_Level2"/>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11180"/>
      <w:bookmarkStart w:id="277" w:name="_Toc515647816"/>
      <w:bookmarkStart w:id="278" w:name="_Ref467988698"/>
      <w:bookmarkStart w:id="279" w:name="_Toc480942349"/>
      <w:bookmarkStart w:id="280" w:name="_Toc520356217"/>
      <w:bookmarkStart w:id="28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w:t>
      </w:r>
      <w:r>
        <w:rPr>
          <w:rFonts w:hint="eastAsia" w:cs="宋体" w:asciiTheme="minorEastAsia" w:hAnsiTheme="minorEastAsia" w:eastAsiaTheme="minorEastAsia"/>
          <w:sz w:val="24"/>
          <w:lang w:eastAsia="zh-CN"/>
        </w:rPr>
        <w:t>缴纳凭证</w:t>
      </w:r>
      <w:r>
        <w:rPr>
          <w:rFonts w:hint="eastAsia" w:cs="宋体" w:asciiTheme="minorEastAsia" w:hAnsiTheme="minorEastAsia" w:eastAsiaTheme="minorEastAsia"/>
          <w:sz w:val="24"/>
        </w:rPr>
        <w:t>；</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2"/>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2"/>
        <w:ind w:firstLine="0"/>
        <w:rPr>
          <w:rFonts w:cs="宋体" w:asciiTheme="minorEastAsia" w:hAnsiTheme="minorEastAsia" w:eastAsiaTheme="minorEastAsia"/>
        </w:rPr>
      </w:pPr>
    </w:p>
    <w:p>
      <w:pPr>
        <w:pStyle w:val="2"/>
        <w:rPr>
          <w:rFonts w:cs="宋体" w:asciiTheme="minorEastAsia" w:hAnsiTheme="minorEastAsia" w:eastAsiaTheme="minorEastAsia"/>
        </w:rPr>
      </w:pPr>
    </w:p>
    <w:p>
      <w:pPr>
        <w:pStyle w:val="2"/>
        <w:ind w:firstLine="0"/>
        <w:rPr>
          <w:rFonts w:cs="宋体" w:asciiTheme="minorEastAsia" w:hAnsiTheme="minorEastAsia" w:eastAsiaTheme="minorEastAsia"/>
        </w:rPr>
      </w:pPr>
    </w:p>
    <w:p>
      <w:pPr>
        <w:pStyle w:val="5"/>
        <w:spacing w:before="0" w:line="240" w:lineRule="atLeast"/>
        <w:ind w:left="1079" w:leftChars="257" w:hanging="540"/>
        <w:rPr>
          <w:rFonts w:cs="宋体" w:asciiTheme="minorEastAsia" w:hAnsiTheme="minorEastAsia" w:eastAsiaTheme="minorEastAsia"/>
          <w:sz w:val="24"/>
        </w:rPr>
      </w:pPr>
      <w:bookmarkStart w:id="282" w:name="_Toc16568"/>
      <w:bookmarkStart w:id="283" w:name="_Toc515647804"/>
      <w:bookmarkStart w:id="284" w:name="_Toc30630"/>
      <w:bookmarkStart w:id="285" w:name="_Toc21614"/>
      <w:bookmarkStart w:id="286" w:name="_Toc16750"/>
      <w:bookmarkStart w:id="287" w:name="_Toc11138"/>
      <w:bookmarkStart w:id="288" w:name="_Toc30524"/>
      <w:bookmarkStart w:id="289" w:name="_Toc14118"/>
      <w:bookmarkStart w:id="290" w:name="_Toc3620"/>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6"/>
        <w:tabs>
          <w:tab w:val="left" w:pos="5580"/>
        </w:tabs>
        <w:spacing w:line="240" w:lineRule="atLeast"/>
        <w:rPr>
          <w:rFonts w:cs="宋体" w:asciiTheme="minorEastAsia" w:hAnsiTheme="minorEastAsia" w:eastAsiaTheme="minorEastAsia"/>
          <w:sz w:val="24"/>
          <w:szCs w:val="24"/>
        </w:rPr>
      </w:pPr>
    </w:p>
    <w:p>
      <w:pPr>
        <w:pStyle w:val="2"/>
        <w:tabs>
          <w:tab w:val="left" w:pos="5580"/>
        </w:tabs>
        <w:spacing w:line="240" w:lineRule="atLeast"/>
        <w:ind w:left="1079"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autoSpaceDE w:val="0"/>
        <w:autoSpaceDN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巴楚县旅游产业发展-乡村旅游基础设施提升项目（设备采购）</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磋商文件编号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SXZX</w:t>
      </w:r>
      <w:r>
        <w:rPr>
          <w:rFonts w:hint="eastAsia" w:ascii="仿宋" w:hAnsi="仿宋" w:eastAsia="仿宋" w:cs="仿宋"/>
          <w:sz w:val="28"/>
          <w:szCs w:val="28"/>
          <w:lang w:eastAsia="zh-CN"/>
        </w:rPr>
        <w:t>-BCX（CS）2022-</w:t>
      </w:r>
      <w:r>
        <w:rPr>
          <w:rFonts w:hint="eastAsia" w:ascii="仿宋" w:hAnsi="仿宋" w:eastAsia="仿宋" w:cs="仿宋"/>
          <w:sz w:val="28"/>
          <w:szCs w:val="28"/>
          <w:lang w:val="en-US" w:eastAsia="zh-CN"/>
        </w:rPr>
        <w:t>018</w:t>
      </w:r>
      <w:r>
        <w:rPr>
          <w:rFonts w:hint="eastAsia" w:ascii="仿宋" w:hAnsi="仿宋" w:eastAsia="仿宋" w:cs="仿宋"/>
          <w:sz w:val="28"/>
          <w:szCs w:val="28"/>
          <w:lang w:eastAsia="zh-CN"/>
        </w:rPr>
        <w:t>号</w:t>
      </w:r>
    </w:p>
    <w:tbl>
      <w:tblPr>
        <w:tblStyle w:val="35"/>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lang w:eastAsia="zh-CN"/>
              </w:rPr>
              <w:t>供货</w:t>
            </w:r>
            <w:r>
              <w:rPr>
                <w:rFonts w:hint="eastAsia" w:cs="宋体" w:asciiTheme="minorEastAsia" w:hAnsiTheme="minorEastAsia" w:eastAsiaTheme="minorEastAsia"/>
                <w:sz w:val="24"/>
              </w:rPr>
              <w:t>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lang w:eastAsia="zh-CN"/>
              </w:rPr>
              <w:t>供货</w:t>
            </w:r>
            <w:r>
              <w:rPr>
                <w:rFonts w:hint="eastAsia" w:cs="宋体" w:asciiTheme="minorEastAsia" w:hAnsiTheme="minorEastAsia" w:eastAsiaTheme="minorEastAsia"/>
                <w:sz w:val="24"/>
              </w:rPr>
              <w:t>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eastAsia" w:ascii="仿宋" w:hAnsi="仿宋" w:eastAsia="仿宋" w:cs="仿宋"/>
                <w:sz w:val="28"/>
                <w:szCs w:val="28"/>
                <w:lang w:val="en-US" w:eastAsia="zh-CN"/>
              </w:rPr>
            </w:pPr>
            <w:r>
              <w:rPr>
                <w:rFonts w:hint="eastAsia" w:cs="宋体" w:asciiTheme="minorEastAsia" w:hAnsiTheme="minorEastAsia" w:eastAsiaTheme="minorEastAsia"/>
                <w:sz w:val="24"/>
                <w:lang w:val="en-US" w:eastAsia="zh-CN"/>
              </w:rPr>
              <w:t>巴楚县旅游产业发展-乡村旅游基础设施提升项目（设备采购）</w:t>
            </w:r>
          </w:p>
          <w:p>
            <w:pPr>
              <w:tabs>
                <w:tab w:val="left" w:pos="5580"/>
              </w:tabs>
              <w:spacing w:line="240" w:lineRule="atLeast"/>
              <w:rPr>
                <w:rFonts w:cs="宋体" w:asciiTheme="minorEastAsia" w:hAnsiTheme="minorEastAsia" w:eastAsiaTheme="minorEastAsia"/>
                <w:sz w:val="24"/>
              </w:rPr>
            </w:pPr>
            <w:r>
              <w:rPr>
                <w:rFonts w:hint="eastAsia" w:ascii="仿宋" w:hAnsi="仿宋" w:eastAsia="仿宋" w:cs="仿宋"/>
                <w:sz w:val="28"/>
                <w:szCs w:val="28"/>
              </w:rPr>
              <w:t>　</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5"/>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16"/>
        <w:tabs>
          <w:tab w:val="left" w:pos="5580"/>
        </w:tabs>
        <w:spacing w:line="240" w:lineRule="atLeast"/>
        <w:outlineLvl w:val="1"/>
        <w:rPr>
          <w:rFonts w:cs="宋体" w:asciiTheme="minorEastAsia" w:hAnsiTheme="minorEastAsia" w:eastAsiaTheme="minorEastAsia"/>
          <w:b/>
          <w:bCs/>
          <w:sz w:val="24"/>
        </w:rPr>
      </w:pPr>
    </w:p>
    <w:p>
      <w:pPr>
        <w:pStyle w:val="2"/>
        <w:tabs>
          <w:tab w:val="left" w:pos="5580"/>
        </w:tabs>
        <w:spacing w:line="240" w:lineRule="atLeast"/>
        <w:ind w:firstLine="0"/>
        <w:jc w:val="center"/>
        <w:outlineLvl w:val="1"/>
        <w:rPr>
          <w:rFonts w:hAnsi="宋体"/>
          <w:b/>
          <w:bCs/>
          <w:color w:val="000000"/>
          <w:sz w:val="28"/>
          <w:szCs w:val="24"/>
        </w:rPr>
      </w:pPr>
    </w:p>
    <w:p>
      <w:pPr>
        <w:pStyle w:val="2"/>
        <w:tabs>
          <w:tab w:val="left" w:pos="5580"/>
        </w:tabs>
        <w:spacing w:line="240" w:lineRule="atLeast"/>
        <w:ind w:firstLine="0"/>
        <w:jc w:val="center"/>
        <w:outlineLvl w:val="1"/>
        <w:rPr>
          <w:rFonts w:hAnsi="宋体"/>
          <w:b/>
          <w:bCs/>
          <w:color w:val="000000"/>
          <w:sz w:val="28"/>
          <w:szCs w:val="24"/>
        </w:rPr>
      </w:pPr>
    </w:p>
    <w:p>
      <w:pPr>
        <w:pStyle w:val="2"/>
        <w:tabs>
          <w:tab w:val="left" w:pos="5580"/>
        </w:tabs>
        <w:spacing w:line="240" w:lineRule="atLeast"/>
        <w:ind w:firstLine="0"/>
        <w:jc w:val="center"/>
        <w:outlineLvl w:val="1"/>
        <w:rPr>
          <w:rFonts w:hAnsi="宋体"/>
          <w:b/>
          <w:bCs/>
          <w:color w:val="000000"/>
          <w:sz w:val="28"/>
          <w:szCs w:val="24"/>
        </w:rPr>
      </w:pPr>
    </w:p>
    <w:p>
      <w:pPr>
        <w:pStyle w:val="2"/>
        <w:tabs>
          <w:tab w:val="left" w:pos="5580"/>
        </w:tabs>
        <w:spacing w:line="240" w:lineRule="atLeast"/>
        <w:ind w:firstLine="0"/>
        <w:jc w:val="center"/>
        <w:outlineLvl w:val="1"/>
        <w:rPr>
          <w:rFonts w:hAnsi="宋体"/>
          <w:b/>
          <w:bCs/>
          <w:color w:val="000000"/>
          <w:sz w:val="28"/>
          <w:szCs w:val="24"/>
        </w:rPr>
      </w:pPr>
    </w:p>
    <w:p>
      <w:pPr>
        <w:pStyle w:val="2"/>
        <w:tabs>
          <w:tab w:val="left" w:pos="5580"/>
        </w:tabs>
        <w:spacing w:line="240" w:lineRule="atLeast"/>
        <w:ind w:firstLine="0"/>
        <w:jc w:val="center"/>
        <w:outlineLvl w:val="1"/>
        <w:rPr>
          <w:rFonts w:hAnsi="宋体"/>
          <w:b/>
          <w:bCs/>
          <w:color w:val="000000"/>
          <w:sz w:val="28"/>
          <w:szCs w:val="24"/>
        </w:rPr>
      </w:pPr>
    </w:p>
    <w:p>
      <w:pPr>
        <w:pStyle w:val="2"/>
        <w:tabs>
          <w:tab w:val="left" w:pos="5580"/>
        </w:tabs>
        <w:spacing w:line="240" w:lineRule="atLeast"/>
        <w:ind w:firstLine="0"/>
        <w:jc w:val="center"/>
        <w:outlineLvl w:val="1"/>
        <w:rPr>
          <w:rFonts w:hAnsi="宋体"/>
          <w:b/>
          <w:bCs/>
          <w:color w:val="000000"/>
          <w:sz w:val="28"/>
          <w:szCs w:val="24"/>
        </w:rPr>
      </w:pPr>
    </w:p>
    <w:p>
      <w:pPr>
        <w:pStyle w:val="2"/>
        <w:tabs>
          <w:tab w:val="left" w:pos="5580"/>
        </w:tabs>
        <w:spacing w:line="240" w:lineRule="atLeast"/>
        <w:ind w:firstLine="0"/>
        <w:jc w:val="center"/>
        <w:outlineLvl w:val="1"/>
        <w:rPr>
          <w:rFonts w:hAnsi="宋体"/>
          <w:b/>
          <w:bCs/>
          <w:color w:val="000000"/>
          <w:sz w:val="28"/>
          <w:szCs w:val="24"/>
        </w:rPr>
      </w:pPr>
    </w:p>
    <w:p>
      <w:pPr>
        <w:rPr>
          <w:rFonts w:hAnsi="宋体"/>
          <w:b/>
          <w:bCs/>
          <w:color w:val="000000"/>
          <w:sz w:val="28"/>
          <w:szCs w:val="24"/>
        </w:rPr>
      </w:pPr>
    </w:p>
    <w:p>
      <w:pPr>
        <w:pStyle w:val="12"/>
        <w:rPr>
          <w:rFonts w:hAnsi="宋体"/>
          <w:b/>
          <w:bCs/>
          <w:color w:val="000000"/>
          <w:sz w:val="28"/>
          <w:szCs w:val="24"/>
        </w:rPr>
      </w:pPr>
    </w:p>
    <w:p>
      <w:pPr>
        <w:pStyle w:val="12"/>
        <w:rPr>
          <w:rFonts w:hAnsi="宋体"/>
          <w:b/>
          <w:bCs/>
          <w:color w:val="000000"/>
          <w:sz w:val="28"/>
          <w:szCs w:val="24"/>
        </w:rPr>
      </w:pPr>
    </w:p>
    <w:p>
      <w:pPr>
        <w:pStyle w:val="2"/>
        <w:tabs>
          <w:tab w:val="left" w:pos="5580"/>
        </w:tabs>
        <w:spacing w:line="240" w:lineRule="atLeast"/>
        <w:ind w:firstLine="0"/>
        <w:jc w:val="center"/>
        <w:outlineLvl w:val="1"/>
        <w:rPr>
          <w:rFonts w:hAnsi="宋体"/>
          <w:b/>
          <w:bCs/>
          <w:color w:val="000000"/>
          <w:sz w:val="28"/>
          <w:szCs w:val="24"/>
        </w:rPr>
      </w:pPr>
    </w:p>
    <w:p>
      <w:pPr>
        <w:pStyle w:val="2"/>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巴楚县旅游产业发展-乡村旅游基础设施提升项目（设备采购）</w:t>
      </w:r>
      <w:r>
        <w:rPr>
          <w:rFonts w:hint="eastAsia" w:ascii="仿宋" w:hAnsi="仿宋" w:eastAsia="仿宋" w:cs="仿宋"/>
          <w:sz w:val="28"/>
          <w:szCs w:val="28"/>
        </w:rPr>
        <w:t>　　</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磋商文件编号</w:t>
      </w:r>
      <w:r>
        <w:rPr>
          <w:rFonts w:hint="eastAsia" w:ascii="仿宋" w:hAnsi="仿宋" w:eastAsia="仿宋" w:cs="仿宋"/>
          <w:sz w:val="28"/>
          <w:szCs w:val="28"/>
          <w:lang w:val="en-US" w:eastAsia="zh-CN"/>
        </w:rPr>
        <w:t>SXZX</w:t>
      </w:r>
      <w:r>
        <w:rPr>
          <w:rFonts w:hint="eastAsia" w:ascii="仿宋" w:hAnsi="仿宋" w:eastAsia="仿宋" w:cs="仿宋"/>
          <w:sz w:val="28"/>
          <w:szCs w:val="28"/>
          <w:lang w:eastAsia="zh-CN"/>
        </w:rPr>
        <w:t>-BCX（CS）2022-</w:t>
      </w:r>
      <w:r>
        <w:rPr>
          <w:rFonts w:hint="eastAsia" w:ascii="仿宋" w:hAnsi="仿宋" w:eastAsia="仿宋" w:cs="仿宋"/>
          <w:sz w:val="28"/>
          <w:szCs w:val="28"/>
          <w:lang w:val="en-US" w:eastAsia="zh-CN"/>
        </w:rPr>
        <w:t>018</w:t>
      </w:r>
      <w:r>
        <w:rPr>
          <w:rFonts w:hint="eastAsia" w:ascii="仿宋" w:hAnsi="仿宋" w:eastAsia="仿宋" w:cs="仿宋"/>
          <w:sz w:val="28"/>
          <w:szCs w:val="28"/>
          <w:lang w:eastAsia="zh-CN"/>
        </w:rPr>
        <w:t>号</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25"/>
        <w:rPr>
          <w:rFonts w:ascii="仿宋" w:hAnsi="仿宋" w:eastAsia="仿宋" w:cs="仿宋"/>
          <w:sz w:val="28"/>
          <w:szCs w:val="28"/>
        </w:rPr>
      </w:pPr>
    </w:p>
    <w:tbl>
      <w:tblPr>
        <w:tblStyle w:val="35"/>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lang w:eastAsia="zh-CN"/>
              </w:rPr>
              <w:t>供货</w:t>
            </w:r>
            <w:r>
              <w:rPr>
                <w:rFonts w:hint="eastAsia" w:cs="宋体" w:asciiTheme="minorEastAsia" w:hAnsiTheme="minorEastAsia" w:eastAsiaTheme="minorEastAsia"/>
                <w:sz w:val="24"/>
              </w:rPr>
              <w:t>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lang w:eastAsia="zh-CN"/>
              </w:rPr>
              <w:t>供货</w:t>
            </w:r>
            <w:r>
              <w:rPr>
                <w:rFonts w:hint="eastAsia" w:cs="宋体" w:asciiTheme="minorEastAsia" w:hAnsiTheme="minorEastAsia" w:eastAsiaTheme="minorEastAsia"/>
                <w:sz w:val="24"/>
              </w:rPr>
              <w:t>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ascii="仿宋" w:hAnsi="仿宋" w:eastAsia="仿宋" w:cs="仿宋"/>
                <w:sz w:val="24"/>
                <w:lang w:val="en-US" w:eastAsia="zh-CN"/>
              </w:rPr>
              <w:t>巴楚县旅游产业发展-乡村旅游基础设施提升项目（设备采购）</w:t>
            </w:r>
            <w:r>
              <w:rPr>
                <w:rFonts w:hint="eastAsia" w:ascii="仿宋" w:hAnsi="仿宋" w:eastAsia="仿宋" w:cs="仿宋"/>
                <w:sz w:val="24"/>
              </w:rPr>
              <w:t>　</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5"/>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6"/>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5"/>
        <w:spacing w:before="0" w:line="240" w:lineRule="atLeast"/>
        <w:jc w:val="both"/>
        <w:rPr>
          <w:rFonts w:cs="宋体" w:asciiTheme="minorEastAsia" w:hAnsiTheme="minorEastAsia" w:eastAsiaTheme="minorEastAsia"/>
          <w:sz w:val="24"/>
        </w:rPr>
      </w:pPr>
    </w:p>
    <w:p>
      <w:pPr>
        <w:pStyle w:val="6"/>
      </w:pPr>
    </w:p>
    <w:p/>
    <w:p>
      <w:pPr>
        <w:pStyle w:val="12"/>
      </w:pPr>
    </w:p>
    <w:p>
      <w:pPr>
        <w:pStyle w:val="12"/>
      </w:pPr>
    </w:p>
    <w:p>
      <w:pPr>
        <w:pStyle w:val="5"/>
        <w:spacing w:before="0" w:line="240" w:lineRule="atLeast"/>
        <w:jc w:val="both"/>
        <w:rPr>
          <w:rFonts w:hint="eastAsia" w:cs="宋体" w:asciiTheme="minorEastAsia" w:hAnsiTheme="minorEastAsia" w:eastAsiaTheme="minorEastAsia"/>
          <w:sz w:val="24"/>
        </w:rPr>
      </w:pPr>
    </w:p>
    <w:p>
      <w:pPr>
        <w:pStyle w:val="5"/>
        <w:spacing w:before="0" w:line="240" w:lineRule="atLeast"/>
        <w:jc w:val="both"/>
        <w:rPr>
          <w:rFonts w:hint="eastAsia" w:cs="宋体" w:asciiTheme="minorEastAsia" w:hAnsiTheme="minorEastAsia" w:eastAsiaTheme="minorEastAsia"/>
          <w:sz w:val="24"/>
        </w:rPr>
      </w:pPr>
    </w:p>
    <w:p>
      <w:pPr>
        <w:pStyle w:val="5"/>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5"/>
        <w:spacing w:before="0" w:line="240" w:lineRule="atLeast"/>
        <w:rPr>
          <w:rFonts w:cs="宋体" w:asciiTheme="minorEastAsia" w:hAnsiTheme="minorEastAsia" w:eastAsiaTheme="minorEastAsia"/>
          <w:sz w:val="24"/>
        </w:rPr>
      </w:pPr>
      <w:bookmarkStart w:id="293" w:name="_Toc17577"/>
      <w:bookmarkStart w:id="294" w:name="_Toc29899"/>
      <w:bookmarkStart w:id="295" w:name="_Toc1957"/>
      <w:bookmarkStart w:id="296" w:name="_Toc32302"/>
      <w:bookmarkStart w:id="297" w:name="_Toc515647805"/>
      <w:bookmarkStart w:id="298" w:name="_Toc3087"/>
      <w:bookmarkStart w:id="299" w:name="_Toc6475"/>
      <w:bookmarkStart w:id="300" w:name="_Toc28979"/>
      <w:bookmarkStart w:id="301" w:name="_Toc16184"/>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5"/>
        <w:spacing w:before="0" w:line="240" w:lineRule="atLeast"/>
        <w:rPr>
          <w:rFonts w:cs="宋体" w:asciiTheme="minorEastAsia" w:hAnsiTheme="minorEastAsia" w:eastAsiaTheme="minorEastAsia"/>
          <w:sz w:val="24"/>
        </w:rPr>
      </w:pPr>
    </w:p>
    <w:p>
      <w:pPr>
        <w:pStyle w:val="2"/>
      </w:pPr>
    </w:p>
    <w:p>
      <w:pPr>
        <w:pStyle w:val="5"/>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sz w:val="24"/>
        </w:rPr>
      </w:pPr>
      <w:bookmarkStart w:id="302" w:name="_Toc32520"/>
      <w:bookmarkStart w:id="303" w:name="_Toc7039"/>
      <w:bookmarkStart w:id="304" w:name="_Toc515647808"/>
    </w:p>
    <w:p>
      <w:pPr>
        <w:pStyle w:val="16"/>
        <w:tabs>
          <w:tab w:val="left" w:pos="5580"/>
        </w:tabs>
        <w:spacing w:line="240" w:lineRule="atLeast"/>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bookmarkStart w:id="305" w:name="_Toc1083"/>
      <w:bookmarkStart w:id="306" w:name="_Toc6829"/>
      <w:bookmarkStart w:id="307" w:name="_Toc16640"/>
      <w:bookmarkStart w:id="308" w:name="_Toc5436"/>
      <w:bookmarkStart w:id="309" w:name="_Toc21867"/>
      <w:bookmarkStart w:id="310" w:name="_Toc515647807"/>
      <w:bookmarkStart w:id="311" w:name="_Toc22472"/>
      <w:bookmarkStart w:id="312" w:name="_Toc13107"/>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2"/>
        <w:ind w:firstLine="0"/>
      </w:pPr>
    </w:p>
    <w:p>
      <w:pPr>
        <w:pStyle w:val="5"/>
        <w:spacing w:before="0" w:line="240" w:lineRule="atLeast"/>
        <w:jc w:val="both"/>
        <w:rPr>
          <w:rFonts w:cs="宋体" w:asciiTheme="minorEastAsia" w:hAnsiTheme="minorEastAsia" w:eastAsiaTheme="minorEastAsia"/>
          <w:sz w:val="24"/>
        </w:rPr>
      </w:pPr>
    </w:p>
    <w:p>
      <w:pPr>
        <w:pStyle w:val="5"/>
        <w:spacing w:before="0" w:line="240" w:lineRule="atLeast"/>
        <w:jc w:val="both"/>
        <w:rPr>
          <w:rFonts w:cs="宋体" w:asciiTheme="minorEastAsia" w:hAnsiTheme="minorEastAsia" w:eastAsiaTheme="minorEastAsia"/>
          <w:sz w:val="24"/>
        </w:rPr>
      </w:pPr>
    </w:p>
    <w:p>
      <w:pPr>
        <w:pStyle w:val="5"/>
        <w:spacing w:before="0" w:line="240" w:lineRule="atLeast"/>
        <w:jc w:val="both"/>
        <w:rPr>
          <w:rFonts w:cs="宋体" w:asciiTheme="minorEastAsia" w:hAnsiTheme="minorEastAsia" w:eastAsiaTheme="minorEastAsia"/>
          <w:sz w:val="24"/>
        </w:rPr>
      </w:pPr>
    </w:p>
    <w:p>
      <w:pPr>
        <w:pStyle w:val="5"/>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22138"/>
      <w:bookmarkStart w:id="314" w:name="_Toc4923"/>
      <w:bookmarkStart w:id="315" w:name="_Toc8410"/>
      <w:bookmarkStart w:id="316" w:name="_Toc515647809"/>
      <w:bookmarkStart w:id="317" w:name="_Toc11047"/>
      <w:bookmarkStart w:id="318" w:name="_Toc10290"/>
      <w:bookmarkStart w:id="319" w:name="_Toc28445"/>
      <w:bookmarkStart w:id="320" w:name="_Toc15480"/>
    </w:p>
    <w:p>
      <w:pPr>
        <w:spacing w:line="460" w:lineRule="exact"/>
        <w:ind w:firstLine="480" w:firstLineChars="200"/>
        <w:rPr>
          <w:rFonts w:cs="宋体" w:asciiTheme="minorEastAsia" w:hAnsiTheme="minorEastAsia" w:eastAsiaTheme="minorEastAsia"/>
          <w:b/>
          <w:kern w:val="0"/>
          <w:sz w:val="24"/>
          <w:szCs w:val="20"/>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rPr>
      </w:pPr>
    </w:p>
    <w:p>
      <w:pPr>
        <w:pStyle w:val="2"/>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2"/>
        <w:rPr>
          <w:rFonts w:cs="宋体" w:asciiTheme="minorEastAsia" w:hAnsiTheme="minorEastAsia" w:eastAsiaTheme="minorEastAsia"/>
          <w:sz w:val="28"/>
          <w:szCs w:val="28"/>
        </w:rPr>
      </w:pPr>
    </w:p>
    <w:p/>
    <w:p>
      <w:pPr>
        <w:pStyle w:val="5"/>
        <w:numPr>
          <w:ilvl w:val="0"/>
          <w:numId w:val="5"/>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5"/>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政府采购磋商担保函（本项目不适用）（响应文件格式三）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pStyle w:val="57"/>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5"/>
        <w:spacing w:before="0" w:line="240" w:lineRule="atLeast"/>
        <w:ind w:left="1079" w:leftChars="257" w:hanging="540"/>
        <w:rPr>
          <w:rFonts w:ascii="宋体" w:hAnsi="宋体" w:eastAsia="宋体" w:cs="宋体"/>
          <w:sz w:val="24"/>
        </w:rPr>
      </w:pPr>
      <w:bookmarkStart w:id="321" w:name="_Toc27589"/>
      <w:bookmarkStart w:id="322" w:name="_Toc518923111"/>
      <w:bookmarkStart w:id="323" w:name="_Toc5167"/>
      <w:bookmarkStart w:id="324" w:name="_Toc8873"/>
      <w:bookmarkStart w:id="325" w:name="_Toc6113"/>
      <w:bookmarkStart w:id="326" w:name="_Toc22500"/>
      <w:bookmarkStart w:id="327" w:name="_Toc31179"/>
      <w:bookmarkStart w:id="328" w:name="_Toc15031"/>
      <w:bookmarkStart w:id="329" w:name="_Toc2502"/>
      <w:bookmarkStart w:id="330" w:name="_Toc23044"/>
      <w:bookmarkStart w:id="331" w:name="_Toc515647814"/>
    </w:p>
    <w:p>
      <w:pPr>
        <w:pStyle w:val="5"/>
        <w:spacing w:before="0" w:line="240" w:lineRule="atLeast"/>
        <w:ind w:left="1079" w:leftChars="257" w:hanging="540"/>
        <w:rPr>
          <w:rFonts w:ascii="宋体" w:hAnsi="宋体" w:eastAsia="宋体" w:cs="宋体"/>
          <w:sz w:val="24"/>
        </w:rPr>
      </w:pPr>
      <w:r>
        <w:rPr>
          <w:rFonts w:hint="eastAsia" w:ascii="宋体" w:hAnsi="宋体" w:eastAsia="宋体" w:cs="宋体"/>
          <w:sz w:val="24"/>
        </w:rPr>
        <w:t>5  社会保障资金的缴纳记录</w:t>
      </w:r>
      <w:bookmarkEnd w:id="321"/>
      <w:bookmarkEnd w:id="322"/>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540"/>
        <w:rPr>
          <w:rFonts w:hAnsi="宋体" w:cs="宋体"/>
          <w:b/>
          <w:sz w:val="24"/>
        </w:rPr>
      </w:pPr>
    </w:p>
    <w:p>
      <w:pPr>
        <w:pStyle w:val="16"/>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6"/>
        <w:tabs>
          <w:tab w:val="left" w:pos="5580"/>
        </w:tabs>
        <w:spacing w:line="240" w:lineRule="atLeast"/>
        <w:ind w:left="1079" w:leftChars="257" w:hanging="540"/>
        <w:rPr>
          <w:rFonts w:hAnsi="宋体" w:cs="宋体"/>
          <w:sz w:val="24"/>
        </w:rPr>
      </w:pPr>
    </w:p>
    <w:p>
      <w:pPr>
        <w:pStyle w:val="5"/>
        <w:spacing w:before="0" w:line="360" w:lineRule="exact"/>
        <w:rPr>
          <w:rFonts w:cs="宋体" w:asciiTheme="minorEastAsia" w:hAnsiTheme="minorEastAsia" w:eastAsiaTheme="minorEastAsia"/>
          <w:b w:val="0"/>
          <w:bCs/>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ind w:left="741"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1137"/>
      <w:bookmarkStart w:id="333" w:name="_Toc515647812"/>
      <w:bookmarkStart w:id="334" w:name="_Toc6008"/>
      <w:r>
        <w:rPr>
          <w:rFonts w:hint="eastAsia" w:cs="宋体" w:asciiTheme="minorEastAsia" w:hAnsiTheme="minorEastAsia" w:eastAsiaTheme="minorEastAsia"/>
          <w:sz w:val="24"/>
        </w:rPr>
        <w:t>在经营活动中没有重大违法记录的书面声明</w:t>
      </w:r>
      <w:bookmarkEnd w:id="323"/>
      <w:bookmarkEnd w:id="324"/>
      <w:bookmarkEnd w:id="325"/>
      <w:bookmarkEnd w:id="326"/>
      <w:bookmarkEnd w:id="327"/>
      <w:bookmarkEnd w:id="328"/>
      <w:bookmarkEnd w:id="332"/>
      <w:bookmarkEnd w:id="333"/>
      <w:bookmarkEnd w:id="334"/>
      <w:r>
        <w:rPr>
          <w:rFonts w:hint="eastAsia" w:cs="宋体" w:asciiTheme="minorEastAsia" w:hAnsiTheme="minorEastAsia" w:eastAsiaTheme="minorEastAsia"/>
          <w:sz w:val="24"/>
        </w:rPr>
        <w:t>及反商业贿赂承诺书</w:t>
      </w:r>
    </w:p>
    <w:p>
      <w:pPr>
        <w:pStyle w:val="16"/>
        <w:tabs>
          <w:tab w:val="left" w:pos="5580"/>
        </w:tabs>
        <w:spacing w:line="360" w:lineRule="exact"/>
        <w:ind w:left="1079" w:leftChars="257" w:hanging="540"/>
        <w:jc w:val="center"/>
        <w:rPr>
          <w:rFonts w:cs="宋体" w:asciiTheme="minorEastAsia" w:hAnsiTheme="minorEastAsia" w:eastAsiaTheme="minorEastAsia"/>
          <w:b/>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6"/>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5"/>
        <w:keepNext w:val="0"/>
        <w:keepLines w:val="0"/>
        <w:spacing w:before="0" w:line="240" w:lineRule="atLeast"/>
        <w:ind w:left="1079" w:leftChars="257" w:hanging="540"/>
        <w:rPr>
          <w:rFonts w:ascii="仿宋" w:hAnsi="仿宋" w:eastAsia="仿宋" w:cs="仿宋"/>
          <w:color w:val="000000"/>
          <w:sz w:val="24"/>
        </w:rPr>
      </w:pPr>
      <w:bookmarkStart w:id="335" w:name="_Toc32295"/>
      <w:bookmarkStart w:id="336" w:name="_Toc17207"/>
      <w:bookmarkStart w:id="337" w:name="_Toc11862"/>
      <w:bookmarkStart w:id="338" w:name="_Toc515647813"/>
      <w:bookmarkStart w:id="339" w:name="_Toc15456"/>
      <w:bookmarkStart w:id="340" w:name="_Toc29703"/>
      <w:bookmarkStart w:id="341" w:name="_Toc24488"/>
      <w:bookmarkStart w:id="342" w:name="_Toc11163"/>
      <w:bookmarkStart w:id="343" w:name="_Toc12185"/>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5"/>
        <w:spacing w:before="0" w:line="360" w:lineRule="exact"/>
        <w:ind w:firstLine="240" w:firstLineChars="1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具有良好的商业信誉和健全的财务会计制度（提供2021年度财务审计报告，新成立的公司需出具银行资信证明</w:t>
      </w:r>
    </w:p>
    <w:p>
      <w:pPr>
        <w:pStyle w:val="5"/>
        <w:spacing w:before="0" w:line="360" w:lineRule="exact"/>
        <w:ind w:firstLine="240" w:firstLineChars="100"/>
        <w:rPr>
          <w:rFonts w:hint="eastAsia" w:cs="宋体" w:asciiTheme="minorEastAsia" w:hAnsiTheme="minorEastAsia" w:eastAsiaTheme="minorEastAsia"/>
          <w:b w:val="0"/>
          <w:kern w:val="2"/>
          <w:sz w:val="24"/>
          <w:szCs w:val="22"/>
          <w:lang w:val="en-US" w:eastAsia="zh-CN" w:bidi="ar-SA"/>
        </w:rPr>
      </w:pPr>
    </w:p>
    <w:p>
      <w:pPr>
        <w:pStyle w:val="5"/>
        <w:spacing w:before="0" w:line="360" w:lineRule="exact"/>
        <w:ind w:firstLine="240" w:firstLineChars="100"/>
        <w:rPr>
          <w:rFonts w:cs="宋体" w:asciiTheme="minorEastAsia" w:hAnsiTheme="minorEastAsia" w:eastAsiaTheme="minorEastAsia"/>
          <w:sz w:val="24"/>
        </w:rPr>
      </w:pPr>
    </w:p>
    <w:p>
      <w:pPr>
        <w:pStyle w:val="5"/>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bookmarkStart w:id="743" w:name="_GoBack"/>
      <w:bookmarkEnd w:id="743"/>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5"/>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44" w:name="_Toc24428"/>
      <w:bookmarkStart w:id="345" w:name="_Toc515647811"/>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6"/>
        <w:tabs>
          <w:tab w:val="left" w:pos="5580"/>
        </w:tabs>
        <w:spacing w:line="240" w:lineRule="atLeast"/>
        <w:ind w:left="1079" w:leftChars="257" w:hanging="540"/>
        <w:jc w:val="center"/>
        <w:rPr>
          <w:rFonts w:ascii="仿宋" w:hAnsi="仿宋" w:eastAsia="仿宋" w:cs="仿宋"/>
          <w:b/>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6"/>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6"/>
        <w:tabs>
          <w:tab w:val="left" w:pos="5580"/>
        </w:tabs>
        <w:spacing w:line="240" w:lineRule="atLeast"/>
        <w:ind w:left="1079" w:leftChars="257" w:hanging="540"/>
        <w:rPr>
          <w:rFonts w:ascii="仿宋" w:hAnsi="仿宋" w:eastAsia="仿宋" w:cs="仿宋"/>
          <w:color w:val="000000"/>
          <w:sz w:val="24"/>
        </w:rPr>
      </w:pPr>
    </w:p>
    <w:p>
      <w:pPr>
        <w:pStyle w:val="2"/>
        <w:rPr>
          <w:rFonts w:ascii="仿宋" w:hAnsi="仿宋" w:eastAsia="仿宋" w:cs="仿宋"/>
        </w:rPr>
        <w:sectPr>
          <w:headerReference r:id="rId4" w:type="default"/>
          <w:footerReference r:id="rId5" w:type="default"/>
          <w:pgSz w:w="11906" w:h="16838"/>
          <w:pgMar w:top="1440" w:right="1797" w:bottom="1440" w:left="1797" w:header="851" w:footer="992" w:gutter="0"/>
          <w:cols w:space="720" w:num="1"/>
          <w:docGrid w:type="linesAndChars" w:linePitch="312" w:charSpace="0"/>
        </w:sectPr>
      </w:pPr>
    </w:p>
    <w:p>
      <w:pPr>
        <w:pStyle w:val="5"/>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6"/>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9"/>
    <w:bookmarkEnd w:id="330"/>
    <w:bookmarkEnd w:id="331"/>
    <w:p>
      <w:pPr>
        <w:pStyle w:val="16"/>
        <w:tabs>
          <w:tab w:val="left" w:pos="5580"/>
        </w:tabs>
        <w:spacing w:line="360" w:lineRule="exact"/>
        <w:rPr>
          <w:rFonts w:cs="宋体" w:asciiTheme="minorEastAsia" w:hAnsiTheme="minorEastAsia" w:eastAsiaTheme="minorEastAsia"/>
          <w:b/>
          <w:kern w:val="0"/>
          <w:sz w:val="24"/>
        </w:rPr>
      </w:pPr>
      <w:bookmarkStart w:id="349" w:name="_Toc24267_WPSOffice_Level2"/>
      <w:bookmarkStart w:id="350" w:name="_Toc6295"/>
      <w:bookmarkStart w:id="351" w:name="_Toc9513_WPSOffice_Level2"/>
      <w:bookmarkStart w:id="352" w:name="_Toc23485"/>
      <w:bookmarkStart w:id="353" w:name="_Toc5279"/>
      <w:bookmarkStart w:id="354" w:name="_Toc23960"/>
      <w:bookmarkStart w:id="355" w:name="_Toc26170"/>
      <w:bookmarkStart w:id="356" w:name="_Toc5068"/>
      <w:bookmarkStart w:id="357" w:name="_Toc2041"/>
      <w:bookmarkStart w:id="358" w:name="_Toc515647817"/>
      <w:bookmarkStart w:id="359" w:name="_Toc14915"/>
    </w:p>
    <w:p>
      <w:pPr>
        <w:pStyle w:val="16"/>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16"/>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6"/>
        <w:numPr>
          <w:ilvl w:val="0"/>
          <w:numId w:val="6"/>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5"/>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2、投标保证金缴纳凭证复印件或投标担保函</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、符合《政府采购促进中小企业发展暂行办法》、《关于政府采购支持监狱企业发展有关问题的通知》和《三部门联合发布关于促进残疾人就业政府采购政策的通知》价格扣减条件的供应商须提交）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rPr>
      </w:pPr>
      <w:bookmarkStart w:id="360" w:name="_Toc10232_WPSOffice_Level2"/>
      <w:bookmarkStart w:id="361" w:name="_Toc31905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16"/>
        <w:spacing w:line="360" w:lineRule="exact"/>
        <w:ind w:firstLine="720" w:firstLineChars="300"/>
        <w:outlineLvl w:val="1"/>
        <w:rPr>
          <w:rFonts w:cs="宋体" w:asciiTheme="minorEastAsia" w:hAnsiTheme="minorEastAsia" w:eastAsiaTheme="minorEastAsia"/>
          <w:sz w:val="24"/>
        </w:rPr>
      </w:pPr>
      <w:bookmarkStart w:id="362" w:name="_Toc30193_WPSOffice_Level2"/>
      <w:bookmarkStart w:id="363" w:name="_Toc288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16"/>
        <w:spacing w:line="360" w:lineRule="exact"/>
        <w:ind w:firstLine="720" w:firstLineChars="300"/>
        <w:outlineLvl w:val="1"/>
        <w:rPr>
          <w:rFonts w:cs="宋体" w:asciiTheme="minorEastAsia" w:hAnsiTheme="minorEastAsia" w:eastAsiaTheme="minorEastAsia"/>
          <w:sz w:val="24"/>
        </w:rPr>
      </w:pPr>
      <w:bookmarkStart w:id="364" w:name="_Toc2617_WPSOffice_Level2"/>
      <w:bookmarkStart w:id="365" w:name="_Toc12463_WPSOffice_Level2"/>
      <w:r>
        <w:rPr>
          <w:rFonts w:hint="eastAsia" w:cs="宋体" w:asciiTheme="minorEastAsia" w:hAnsiTheme="minorEastAsia" w:eastAsiaTheme="minorEastAsia"/>
          <w:sz w:val="24"/>
        </w:rPr>
        <w:t>5-3《残疾人福利性单位声明函》（响应文件格式十三）</w:t>
      </w:r>
      <w:bookmarkEnd w:id="364"/>
      <w:bookmarkEnd w:id="365"/>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5"/>
        <w:spacing w:before="0" w:line="360" w:lineRule="exact"/>
        <w:ind w:left="1079"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6"/>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6"/>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6"/>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6" w:type="default"/>
          <w:pgSz w:w="11906" w:h="16838"/>
          <w:pgMar w:top="1440" w:right="1576" w:bottom="1440" w:left="1576" w:header="851" w:footer="992" w:gutter="0"/>
          <w:cols w:space="720" w:num="1"/>
          <w:docGrid w:type="linesAndChars" w:linePitch="312" w:charSpace="0"/>
        </w:sectPr>
      </w:pPr>
    </w:p>
    <w:p>
      <w:pPr>
        <w:pStyle w:val="5"/>
        <w:spacing w:before="0" w:line="240" w:lineRule="atLeast"/>
        <w:ind w:left="1079" w:leftChars="257" w:hanging="540"/>
        <w:rPr>
          <w:rFonts w:ascii="宋体" w:hAnsi="宋体" w:eastAsia="宋体" w:cs="宋体"/>
          <w:sz w:val="24"/>
        </w:rPr>
      </w:pPr>
      <w:bookmarkStart w:id="368" w:name="_Hlt520356243"/>
      <w:bookmarkEnd w:id="368"/>
      <w:bookmarkStart w:id="369" w:name="_Hlt520355938"/>
      <w:bookmarkEnd w:id="369"/>
      <w:bookmarkStart w:id="370" w:name="_Toc24886"/>
      <w:bookmarkStart w:id="371" w:name="_Toc518923117"/>
      <w:bookmarkStart w:id="372" w:name="_Toc216582817"/>
      <w:bookmarkStart w:id="373" w:name="_Toc23925"/>
      <w:bookmarkStart w:id="374" w:name="_Toc515647820"/>
      <w:bookmarkStart w:id="375" w:name="_Toc22563"/>
      <w:bookmarkStart w:id="376" w:name="_Toc1399"/>
      <w:bookmarkStart w:id="377" w:name="_Toc24837"/>
      <w:bookmarkStart w:id="378" w:name="_Toc28959"/>
      <w:bookmarkStart w:id="379" w:name="_Toc13833"/>
      <w:r>
        <w:rPr>
          <w:rFonts w:hint="eastAsia" w:ascii="宋体" w:hAnsi="宋体" w:eastAsia="宋体" w:cs="宋体"/>
          <w:sz w:val="24"/>
        </w:rPr>
        <w:t>2   投标保证金缴纳凭证复印件或投标担保函</w:t>
      </w:r>
      <w:bookmarkEnd w:id="370"/>
      <w:bookmarkEnd w:id="371"/>
    </w:p>
    <w:p>
      <w:pPr>
        <w:ind w:firstLine="420" w:firstLineChars="200"/>
        <w:rPr>
          <w:rFonts w:ascii="宋体" w:hAnsi="宋体" w:cs="宋体"/>
          <w:sz w:val="24"/>
        </w:rPr>
      </w:pPr>
      <w:bookmarkStart w:id="380" w:name="_Toc494296665"/>
      <w:bookmarkStart w:id="381"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年月日</w:t>
      </w:r>
    </w:p>
    <w:p>
      <w:pPr>
        <w:ind w:firstLine="5775" w:firstLineChars="2750"/>
        <w:rPr>
          <w:rFonts w:ascii="宋体" w:hAnsi="宋体" w:cs="宋体"/>
        </w:rPr>
        <w:sectPr>
          <w:footerReference r:id="rId9" w:type="first"/>
          <w:footerReference r:id="rId7" w:type="default"/>
          <w:footerReference r:id="rId8" w:type="even"/>
          <w:pgSz w:w="11906" w:h="16838"/>
          <w:pgMar w:top="1440" w:right="1797" w:bottom="1440" w:left="1797" w:header="851" w:footer="992" w:gutter="0"/>
          <w:cols w:space="720" w:num="1"/>
          <w:docGrid w:type="linesAndChars" w:linePitch="312" w:charSpace="0"/>
        </w:sectPr>
      </w:pPr>
    </w:p>
    <w:p>
      <w:pPr>
        <w:pStyle w:val="5"/>
        <w:spacing w:before="0" w:line="240" w:lineRule="atLeas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r>
        <w:rPr>
          <w:rFonts w:hint="eastAsia" w:cs="宋体" w:asciiTheme="minorEastAsia" w:hAnsiTheme="minorEastAsia" w:eastAsiaTheme="minorEastAsia"/>
          <w:color w:val="0000FF"/>
          <w:sz w:val="24"/>
        </w:rPr>
        <w:t>技术规格偏离表</w:t>
      </w:r>
      <w:bookmarkEnd w:id="372"/>
      <w:r>
        <w:rPr>
          <w:rFonts w:hint="eastAsia" w:cs="宋体" w:asciiTheme="minorEastAsia" w:hAnsiTheme="minorEastAsia" w:eastAsiaTheme="minorEastAsia"/>
          <w:color w:val="0000FF"/>
          <w:sz w:val="24"/>
        </w:rPr>
        <w:t>（响应文件格式九）</w:t>
      </w:r>
      <w:bookmarkEnd w:id="373"/>
      <w:bookmarkEnd w:id="374"/>
      <w:bookmarkEnd w:id="375"/>
      <w:bookmarkEnd w:id="376"/>
      <w:bookmarkEnd w:id="377"/>
      <w:bookmarkEnd w:id="378"/>
      <w:bookmarkEnd w:id="379"/>
      <w:r>
        <w:rPr>
          <w:rFonts w:hint="eastAsia" w:ascii="宋体" w:hAnsi="宋体" w:eastAsia="宋体" w:cs="宋体"/>
          <w:color w:val="0000FF"/>
          <w:sz w:val="24"/>
          <w:szCs w:val="24"/>
        </w:rPr>
        <w:t>(本项目不适用</w:t>
      </w:r>
      <w:r>
        <w:rPr>
          <w:rFonts w:hint="eastAsia" w:ascii="宋体" w:hAnsi="宋体" w:eastAsia="宋体" w:cs="宋体"/>
          <w:sz w:val="24"/>
          <w:szCs w:val="24"/>
        </w:rPr>
        <w:t>）</w:t>
      </w: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5"/>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tabs>
          <w:tab w:val="left" w:pos="5580"/>
        </w:tabs>
        <w:spacing w:line="360" w:lineRule="exact"/>
        <w:rPr>
          <w:rFonts w:cs="宋体" w:asciiTheme="minorEastAsia" w:hAnsiTheme="minorEastAsia" w:eastAsiaTheme="minorEastAsia"/>
          <w:sz w:val="24"/>
          <w:u w:val="single"/>
        </w:rPr>
      </w:pPr>
    </w:p>
    <w:p>
      <w:pPr>
        <w:pStyle w:val="16"/>
        <w:tabs>
          <w:tab w:val="left" w:pos="5580"/>
        </w:tabs>
        <w:spacing w:line="360" w:lineRule="exact"/>
        <w:rPr>
          <w:rFonts w:cs="宋体" w:asciiTheme="minorEastAsia" w:hAnsiTheme="minorEastAsia" w:eastAsiaTheme="minorEastAsia"/>
          <w:sz w:val="24"/>
        </w:rPr>
      </w:pPr>
    </w:p>
    <w:p>
      <w:pPr>
        <w:pStyle w:val="5"/>
        <w:spacing w:before="0" w:line="360" w:lineRule="exact"/>
        <w:ind w:left="1080" w:leftChars="257" w:hanging="540"/>
        <w:rPr>
          <w:rFonts w:cs="宋体" w:asciiTheme="minorEastAsia" w:hAnsiTheme="minorEastAsia" w:eastAsiaTheme="minorEastAsia"/>
          <w:sz w:val="24"/>
        </w:rPr>
      </w:pPr>
      <w:bookmarkStart w:id="382" w:name="_Toc216582818"/>
      <w:bookmarkStart w:id="383" w:name="_Toc28674"/>
      <w:bookmarkStart w:id="384" w:name="_Toc21009"/>
      <w:bookmarkStart w:id="385" w:name="_Toc4342"/>
      <w:bookmarkStart w:id="386" w:name="_Toc23"/>
      <w:bookmarkStart w:id="387" w:name="_Toc4280"/>
      <w:bookmarkStart w:id="388" w:name="_Toc1980"/>
      <w:bookmarkStart w:id="389" w:name="_Toc515647821"/>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5"/>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lang w:val="en-US" w:eastAsia="zh-CN"/>
        </w:rPr>
        <w:t xml:space="preserve">           </w:t>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5"/>
        <w:spacing w:before="0" w:line="360" w:lineRule="exact"/>
        <w:rPr>
          <w:rFonts w:cs="宋体" w:asciiTheme="minorEastAsia" w:hAnsiTheme="minorEastAsia" w:eastAsiaTheme="minorEastAsia"/>
          <w:sz w:val="24"/>
        </w:rPr>
      </w:pPr>
      <w:bookmarkStart w:id="390" w:name="_Hlt520274393"/>
      <w:bookmarkEnd w:id="390"/>
      <w:bookmarkStart w:id="391" w:name="_Hlt520343000"/>
      <w:bookmarkEnd w:id="391"/>
      <w:bookmarkStart w:id="392" w:name="_Hlt520343392"/>
      <w:bookmarkEnd w:id="392"/>
      <w:bookmarkStart w:id="393" w:name="_Hlt520273711"/>
      <w:bookmarkEnd w:id="393"/>
      <w:bookmarkStart w:id="394" w:name="_Hlt520350918"/>
      <w:bookmarkEnd w:id="394"/>
      <w:bookmarkStart w:id="395" w:name="_Hlt520271212"/>
      <w:bookmarkEnd w:id="395"/>
      <w:bookmarkStart w:id="396" w:name="_Hlt520274065"/>
      <w:bookmarkEnd w:id="396"/>
      <w:bookmarkStart w:id="397" w:name="_Hlt520273973"/>
      <w:bookmarkEnd w:id="397"/>
      <w:bookmarkStart w:id="398" w:name="_Hlt520274911"/>
      <w:bookmarkEnd w:id="398"/>
      <w:bookmarkStart w:id="399" w:name="_Hlt520350957"/>
      <w:bookmarkEnd w:id="399"/>
      <w:bookmarkStart w:id="400" w:name="_Hlt520274407"/>
      <w:bookmarkEnd w:id="400"/>
      <w:bookmarkStart w:id="401" w:name="_Toc10725"/>
      <w:bookmarkStart w:id="402" w:name="_Toc281"/>
      <w:bookmarkStart w:id="403" w:name="_Toc3916"/>
      <w:bookmarkStart w:id="404" w:name="_Toc26282"/>
      <w:bookmarkStart w:id="405" w:name="_Toc21312"/>
      <w:bookmarkStart w:id="406" w:name="_Toc515647823"/>
      <w:bookmarkStart w:id="407" w:name="_Toc17036"/>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5"/>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515647824"/>
      <w:bookmarkStart w:id="409" w:name="_Toc30508"/>
      <w:bookmarkStart w:id="410" w:name="_Toc13461"/>
      <w:bookmarkStart w:id="411" w:name="_Toc19302"/>
      <w:bookmarkStart w:id="412" w:name="_Toc30941"/>
      <w:bookmarkStart w:id="413" w:name="_Toc10977"/>
      <w:bookmarkStart w:id="414" w:name="_Toc11803"/>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hint="default" w:cs="宋体" w:asciiTheme="minorEastAsia" w:hAnsiTheme="minorEastAsia" w:eastAsiaTheme="minorEastAsia"/>
          <w:kern w:val="0"/>
          <w:sz w:val="24"/>
          <w:u w:val="single"/>
          <w:lang w:val="en-US" w:eastAsia="zh-CN"/>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u w:val="single"/>
          <w:lang w:val="en-US" w:eastAsia="zh-CN"/>
        </w:rPr>
        <w:t xml:space="preserve">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　期：_</w:t>
      </w:r>
      <w:r>
        <w:rPr>
          <w:rFonts w:hint="eastAsia" w:cs="宋体" w:asciiTheme="minorEastAsia" w:hAnsiTheme="minorEastAsia" w:eastAsiaTheme="minorEastAsia"/>
          <w:kern w:val="0"/>
          <w:sz w:val="24"/>
          <w:u w:val="single"/>
        </w:rPr>
        <w:t>___</w:t>
      </w:r>
      <w:r>
        <w:rPr>
          <w:rFonts w:hint="eastAsia" w:cs="宋体" w:asciiTheme="minorEastAsia" w:hAnsiTheme="minorEastAsia" w:eastAsiaTheme="minorEastAsia"/>
          <w:kern w:val="0"/>
          <w:sz w:val="24"/>
          <w:u w:val="single"/>
          <w:lang w:val="en-US" w:eastAsia="zh-CN"/>
        </w:rPr>
        <w:t xml:space="preserve">          </w:t>
      </w:r>
      <w:r>
        <w:rPr>
          <w:rFonts w:hint="eastAsia" w:cs="宋体" w:asciiTheme="minorEastAsia" w:hAnsiTheme="minorEastAsia" w:eastAsiaTheme="minorEastAsia"/>
          <w:kern w:val="0"/>
          <w:sz w:val="24"/>
          <w:u w:val="single"/>
        </w:rPr>
        <w:t>_____</w:t>
      </w:r>
      <w:r>
        <w:rPr>
          <w:rFonts w:hint="eastAsia" w:cs="宋体" w:asciiTheme="minorEastAsia" w:hAnsiTheme="minorEastAsia" w:eastAsiaTheme="minorEastAsia"/>
          <w:kern w:val="0"/>
          <w:sz w:val="24"/>
          <w:u w:val="single"/>
          <w:lang w:val="en-US" w:eastAsia="zh-CN"/>
        </w:rPr>
        <w:t xml:space="preserve">    </w:t>
      </w:r>
      <w:r>
        <w:rPr>
          <w:rFonts w:hint="eastAsia" w:cs="宋体" w:asciiTheme="minorEastAsia" w:hAnsiTheme="minorEastAsia" w:eastAsiaTheme="minorEastAsia"/>
          <w:kern w:val="0"/>
          <w:sz w:val="24"/>
          <w:u w:val="single"/>
        </w:rPr>
        <w:t>__</w:t>
      </w:r>
      <w:r>
        <w:rPr>
          <w:rFonts w:hint="eastAsia" w:cs="宋体" w:asciiTheme="minorEastAsia" w:hAnsiTheme="minorEastAsia" w:eastAsiaTheme="minorEastAsia"/>
          <w:kern w:val="0"/>
          <w:sz w:val="24"/>
        </w:rPr>
        <w:t xml:space="preserve">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2"/>
        <w:rPr>
          <w:rFonts w:cs="宋体" w:asciiTheme="minorEastAsia" w:hAnsiTheme="minorEastAsia" w:eastAsiaTheme="minorEastAsia"/>
        </w:rPr>
      </w:pPr>
    </w:p>
    <w:p>
      <w:pPr>
        <w:pStyle w:val="2"/>
        <w:rPr>
          <w:rFonts w:cs="宋体" w:asciiTheme="minorEastAsia" w:hAnsiTheme="minorEastAsia" w:eastAsiaTheme="minorEastAsia"/>
        </w:rPr>
      </w:pPr>
    </w:p>
    <w:p>
      <w:pPr>
        <w:pStyle w:val="2"/>
        <w:rPr>
          <w:rFonts w:cs="宋体" w:asciiTheme="minorEastAsia" w:hAnsiTheme="minorEastAsia" w:eastAsiaTheme="minorEastAsia"/>
        </w:rPr>
      </w:pPr>
    </w:p>
    <w:p>
      <w:pPr>
        <w:pStyle w:val="2"/>
        <w:rPr>
          <w:rFonts w:cs="宋体" w:asciiTheme="minorEastAsia" w:hAnsiTheme="minorEastAsia" w:eastAsiaTheme="minorEastAsia"/>
        </w:rPr>
      </w:pPr>
    </w:p>
    <w:p>
      <w:pPr>
        <w:pStyle w:val="2"/>
        <w:rPr>
          <w:rFonts w:cs="宋体" w:asciiTheme="minorEastAsia" w:hAnsiTheme="minorEastAsia" w:eastAsiaTheme="minorEastAsia"/>
        </w:rPr>
      </w:pPr>
    </w:p>
    <w:p>
      <w:pPr>
        <w:pStyle w:val="2"/>
        <w:rPr>
          <w:rFonts w:cs="宋体"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15" w:name="_Toc19284"/>
      <w:bookmarkStart w:id="416" w:name="_Toc26728"/>
      <w:bookmarkStart w:id="417" w:name="_Toc8320"/>
      <w:bookmarkStart w:id="418" w:name="_Toc23068"/>
      <w:bookmarkStart w:id="419" w:name="_Toc515647825"/>
      <w:bookmarkStart w:id="420" w:name="_Toc31054"/>
      <w:bookmarkStart w:id="421" w:name="_Toc20016"/>
      <w:bookmarkStart w:id="422" w:name="OLE_LINK14"/>
      <w:bookmarkStart w:id="423" w:name="OLE_LINK13"/>
    </w:p>
    <w:p>
      <w:pPr>
        <w:pStyle w:val="5"/>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bookmarkEnd w:id="415"/>
      <w:bookmarkEnd w:id="416"/>
      <w:bookmarkEnd w:id="417"/>
      <w:bookmarkEnd w:id="418"/>
      <w:bookmarkEnd w:id="419"/>
      <w:bookmarkEnd w:id="420"/>
      <w:bookmarkEnd w:id="421"/>
    </w:p>
    <w:p/>
    <w:bookmarkEnd w:id="422"/>
    <w:bookmarkEnd w:id="423"/>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rPr>
          <w:rFonts w:cs="宋体" w:asciiTheme="minorEastAsia" w:hAnsiTheme="minorEastAsia" w:eastAsiaTheme="minorEastAsia"/>
          <w:sz w:val="24"/>
        </w:rPr>
      </w:pPr>
      <w:bookmarkStart w:id="424" w:name="_Toc30795"/>
      <w:bookmarkStart w:id="425" w:name="_Toc28099"/>
      <w:bookmarkStart w:id="426" w:name="_Toc515647827"/>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pStyle w:val="25"/>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24"/>
    <w:bookmarkEnd w:id="425"/>
    <w:bookmarkEnd w:id="426"/>
    <w:p>
      <w:pPr>
        <w:pStyle w:val="5"/>
        <w:spacing w:before="0" w:line="360" w:lineRule="exact"/>
        <w:jc w:val="both"/>
        <w:rPr>
          <w:rFonts w:cs="宋体" w:asciiTheme="minorEastAsia" w:hAnsiTheme="minorEastAsia" w:eastAsiaTheme="minorEastAsia"/>
          <w:sz w:val="24"/>
        </w:rPr>
      </w:pPr>
      <w:bookmarkStart w:id="427" w:name="_Toc17980"/>
      <w:bookmarkStart w:id="428" w:name="_Toc12633"/>
      <w:bookmarkStart w:id="429" w:name="_Toc29422"/>
      <w:bookmarkStart w:id="430" w:name="_Toc14172"/>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427"/>
      <w:bookmarkEnd w:id="428"/>
      <w:bookmarkEnd w:id="429"/>
      <w:bookmarkEnd w:id="430"/>
    </w:p>
    <w:p>
      <w:pPr>
        <w:pStyle w:val="2"/>
        <w:spacing w:line="360" w:lineRule="exact"/>
        <w:jc w:val="center"/>
        <w:rPr>
          <w:rFonts w:cs="宋体" w:asciiTheme="minorEastAsia" w:hAnsiTheme="minorEastAsia" w:eastAsiaTheme="minorEastAsia"/>
        </w:rPr>
      </w:pPr>
    </w:p>
    <w:p>
      <w:pPr>
        <w:pStyle w:val="2"/>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2"/>
        <w:spacing w:line="360" w:lineRule="exact"/>
        <w:ind w:firstLine="480" w:firstLineChars="200"/>
        <w:rPr>
          <w:rFonts w:hint="eastAsia" w:cs="宋体" w:asciiTheme="minorEastAsia" w:hAnsiTheme="minorEastAsia" w:eastAsiaTheme="minorEastAsia"/>
          <w:lang w:eastAsia="zh-CN"/>
        </w:rPr>
      </w:pPr>
      <w:r>
        <w:rPr>
          <w:rFonts w:hint="eastAsia" w:cs="宋体" w:asciiTheme="minorEastAsia" w:hAnsiTheme="minorEastAsia" w:eastAsiaTheme="minorEastAsia"/>
        </w:rPr>
        <w:t>（1）与供应商单位负责人为同一人的其他单位；</w:t>
      </w:r>
    </w:p>
    <w:p>
      <w:pPr>
        <w:pStyle w:val="2"/>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（2）与供应商存在直接控股、管理关系的其他单位。</w:t>
      </w:r>
    </w:p>
    <w:p>
      <w:pPr>
        <w:pStyle w:val="2"/>
        <w:spacing w:line="360" w:lineRule="exact"/>
        <w:ind w:firstLine="480" w:firstLineChars="200"/>
        <w:rPr>
          <w:rFonts w:cs="宋体"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31" w:name="_Toc9060"/>
      <w:bookmarkStart w:id="432" w:name="_Toc515647828"/>
      <w:bookmarkStart w:id="433" w:name="_Toc17333"/>
      <w:bookmarkStart w:id="434" w:name="_Toc9517"/>
      <w:bookmarkStart w:id="435" w:name="_Toc9124"/>
      <w:bookmarkStart w:id="436" w:name="_Toc7414"/>
      <w:bookmarkStart w:id="437" w:name="_Toc28910"/>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38" w:name="_Toc18089"/>
      <w:bookmarkStart w:id="439" w:name="_Toc30129"/>
      <w:bookmarkStart w:id="440" w:name="_Toc21672"/>
      <w:bookmarkStart w:id="441" w:name="_Toc29188"/>
      <w:bookmarkStart w:id="442" w:name="_Toc21017"/>
      <w:bookmarkStart w:id="443" w:name="_Toc19460"/>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30798"/>
      <w:bookmarkStart w:id="445" w:name="_Toc13771"/>
      <w:bookmarkStart w:id="446" w:name="_Toc28994"/>
      <w:bookmarkStart w:id="447" w:name="_Toc23729"/>
      <w:bookmarkStart w:id="448" w:name="_Toc18887"/>
    </w:p>
    <w:p>
      <w:pPr>
        <w:pStyle w:val="16"/>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35"/>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1"/>
              <w:ind w:firstLine="4216" w:firstLineChars="1500"/>
              <w:rPr>
                <w:rFonts w:cs="宋体" w:asciiTheme="minorEastAsia" w:hAnsiTheme="minorEastAsia" w:eastAsiaTheme="minorEastAsia"/>
                <w:b/>
                <w:bCs/>
                <w:sz w:val="28"/>
                <w:szCs w:val="28"/>
              </w:rPr>
            </w:pPr>
          </w:p>
          <w:p>
            <w:pPr>
              <w:pStyle w:val="11"/>
              <w:ind w:firstLine="4216" w:firstLineChars="1500"/>
              <w:rPr>
                <w:rFonts w:cs="宋体" w:asciiTheme="minorEastAsia" w:hAnsiTheme="minorEastAsia" w:eastAsiaTheme="minorEastAsia"/>
                <w:b/>
                <w:bCs/>
                <w:sz w:val="28"/>
                <w:szCs w:val="28"/>
              </w:rPr>
            </w:pPr>
          </w:p>
          <w:p>
            <w:pPr>
              <w:pStyle w:val="11"/>
              <w:rPr>
                <w:rFonts w:cs="宋体" w:asciiTheme="minorEastAsia" w:hAnsiTheme="minorEastAsia" w:eastAsiaTheme="minorEastAsia"/>
                <w:b/>
                <w:bCs/>
                <w:sz w:val="28"/>
                <w:szCs w:val="28"/>
              </w:rPr>
            </w:pPr>
          </w:p>
          <w:p>
            <w:pPr>
              <w:pStyle w:val="11"/>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1"/>
              <w:jc w:val="center"/>
              <w:rPr>
                <w:rFonts w:cs="宋体" w:asciiTheme="minorEastAsia" w:hAnsiTheme="minorEastAsia" w:eastAsiaTheme="minorEastAsia"/>
                <w:b/>
                <w:bCs/>
                <w:sz w:val="21"/>
                <w:szCs w:val="21"/>
              </w:rPr>
            </w:pPr>
          </w:p>
          <w:p>
            <w:pPr>
              <w:pStyle w:val="11"/>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1"/>
              <w:jc w:val="center"/>
              <w:rPr>
                <w:rFonts w:cs="宋体" w:asciiTheme="minorEastAsia" w:hAnsiTheme="minorEastAsia" w:eastAsiaTheme="minorEastAsia"/>
                <w:b/>
                <w:bCs/>
                <w:sz w:val="48"/>
              </w:rPr>
            </w:pPr>
          </w:p>
          <w:p>
            <w:pPr>
              <w:pStyle w:val="11"/>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2"/>
              <w:rPr>
                <w:rFonts w:cs="宋体" w:asciiTheme="minorEastAsia" w:hAnsiTheme="minorEastAsia" w:eastAsiaTheme="minorEastAsia"/>
                <w:b/>
                <w:sz w:val="32"/>
              </w:rPr>
            </w:pPr>
          </w:p>
          <w:p>
            <w:pPr>
              <w:pStyle w:val="2"/>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0" w:type="default"/>
          <w:footerReference r:id="rId12" w:type="default"/>
          <w:headerReference r:id="rId11" w:type="even"/>
          <w:footerReference r:id="rId13"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080"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4"/>
        <w:tabs>
          <w:tab w:val="left" w:pos="0"/>
        </w:tabs>
        <w:spacing w:before="0" w:after="0" w:line="240" w:lineRule="atLeast"/>
        <w:rPr>
          <w:rFonts w:cs="宋体" w:asciiTheme="minorEastAsia" w:hAnsiTheme="minorEastAsia" w:eastAsiaTheme="minorEastAsia"/>
          <w:color w:val="000000"/>
        </w:rPr>
      </w:pPr>
      <w:bookmarkStart w:id="449" w:name="_Toc21156_WPSOffice_Level1"/>
      <w:bookmarkStart w:id="450" w:name="_Toc9913"/>
      <w:bookmarkStart w:id="451" w:name="_Toc507399902"/>
      <w:bookmarkStart w:id="452" w:name="_Toc518923124"/>
      <w:bookmarkStart w:id="453" w:name="_Toc31119"/>
      <w:bookmarkStart w:id="454" w:name="_Toc216582822"/>
      <w:bookmarkStart w:id="455" w:name="_Toc218935350"/>
      <w:bookmarkStart w:id="456" w:name="_Toc219175634"/>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华文中宋" w:hAnsi="华文中宋" w:eastAsia="华文中宋" w:cs="Times New Roman"/>
          <w:b/>
          <w:bCs/>
          <w:kern w:val="44"/>
          <w:sz w:val="28"/>
          <w:szCs w:val="28"/>
          <w:lang w:val="en-US" w:eastAsia="zh-CN" w:bidi="ar-SA"/>
        </w:rPr>
      </w:pPr>
      <w:bookmarkStart w:id="457" w:name="_Toc512937850"/>
      <w:bookmarkStart w:id="458" w:name="_Toc28647"/>
      <w:bookmarkStart w:id="459" w:name="_Toc518923125"/>
      <w:bookmarkStart w:id="460" w:name="_Toc507399903"/>
      <w:bookmarkStart w:id="461" w:name="_Toc216582823"/>
      <w:r>
        <w:rPr>
          <w:rFonts w:hint="eastAsia" w:ascii="华文中宋" w:hAnsi="华文中宋" w:eastAsia="华文中宋" w:cs="Times New Roman"/>
          <w:b/>
          <w:bCs/>
          <w:kern w:val="44"/>
          <w:sz w:val="28"/>
          <w:szCs w:val="28"/>
          <w:lang w:val="en-US" w:eastAsia="zh-CN" w:bidi="ar-SA"/>
        </w:rPr>
        <w:t>巴楚县旅游产业发展-乡村旅游基础设施提升项目（设备采购）</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0"/>
        <w:rPr>
          <w:sz w:val="20"/>
          <w:szCs w:val="22"/>
        </w:rPr>
      </w:pPr>
      <w:r>
        <w:rPr>
          <w:rFonts w:hint="eastAsia" w:ascii="华文中宋" w:hAnsi="华文中宋" w:eastAsia="华文中宋" w:cs="Times New Roman"/>
          <w:b/>
          <w:bCs/>
          <w:kern w:val="44"/>
          <w:sz w:val="28"/>
          <w:szCs w:val="28"/>
          <w:lang w:val="en-US" w:eastAsia="zh-CN" w:bidi="ar-SA"/>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巴楚县旅游产业发展-乡村旅游基础设施提升项目（设备采购）</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26</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16:00</w:t>
      </w:r>
      <w:r>
        <w:rPr>
          <w:rFonts w:hint="eastAsia" w:ascii="仿宋" w:hAnsi="仿宋" w:eastAsia="仿宋"/>
          <w:bCs/>
          <w:sz w:val="28"/>
          <w:szCs w:val="28"/>
          <w:u w:val="single"/>
        </w:rPr>
        <w:t>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5"/>
        <w:pageBreakBefore w:val="0"/>
        <w:widowControl w:val="0"/>
        <w:kinsoku/>
        <w:wordWrap/>
        <w:overflowPunct/>
        <w:topLinePunct w:val="0"/>
        <w:autoSpaceDE/>
        <w:autoSpaceDN/>
        <w:bidi w:val="0"/>
        <w:adjustRightInd/>
        <w:snapToGrid/>
        <w:spacing w:line="400" w:lineRule="exact"/>
        <w:jc w:val="both"/>
        <w:textAlignment w:val="auto"/>
        <w:rPr>
          <w:rFonts w:ascii="黑体" w:hAnsi="黑体" w:cs="宋体"/>
          <w:b w:val="0"/>
          <w:sz w:val="28"/>
          <w:szCs w:val="28"/>
        </w:rPr>
      </w:pPr>
      <w:bookmarkStart w:id="462" w:name="_Toc28359012"/>
      <w:bookmarkStart w:id="463" w:name="_Toc35393629"/>
      <w:bookmarkStart w:id="464" w:name="_Toc28359089"/>
      <w:bookmarkStart w:id="465" w:name="_Toc35393798"/>
      <w:r>
        <w:rPr>
          <w:rFonts w:hint="eastAsia" w:ascii="黑体" w:hAnsi="黑体" w:cs="宋体"/>
          <w:b w:val="0"/>
          <w:sz w:val="28"/>
          <w:szCs w:val="28"/>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SXZX</w:t>
      </w:r>
      <w:r>
        <w:rPr>
          <w:rFonts w:hint="eastAsia" w:ascii="仿宋" w:hAnsi="仿宋" w:eastAsia="仿宋"/>
          <w:b/>
          <w:bCs/>
          <w:sz w:val="28"/>
          <w:szCs w:val="28"/>
          <w:lang w:eastAsia="zh-CN"/>
        </w:rPr>
        <w:t>-BCX（CS）2022-0</w:t>
      </w:r>
      <w:r>
        <w:rPr>
          <w:rFonts w:hint="eastAsia" w:ascii="仿宋" w:hAnsi="仿宋" w:eastAsia="仿宋"/>
          <w:b/>
          <w:bCs/>
          <w:sz w:val="28"/>
          <w:szCs w:val="28"/>
          <w:lang w:val="en-US" w:eastAsia="zh-CN"/>
        </w:rPr>
        <w:t>18</w:t>
      </w:r>
      <w:r>
        <w:rPr>
          <w:rFonts w:hint="eastAsia" w:ascii="仿宋" w:hAnsi="仿宋" w:eastAsia="仿宋"/>
          <w:b/>
          <w:bCs/>
          <w:sz w:val="28"/>
          <w:szCs w:val="28"/>
          <w:lang w:eastAsia="zh-CN"/>
        </w:rPr>
        <w:t>号</w:t>
      </w:r>
    </w:p>
    <w:p>
      <w:pPr>
        <w:pageBreakBefore w:val="0"/>
        <w:widowControl w:val="0"/>
        <w:kinsoku/>
        <w:wordWrap/>
        <w:overflowPunct/>
        <w:topLinePunct w:val="0"/>
        <w:bidi w:val="0"/>
        <w:spacing w:line="400" w:lineRule="exact"/>
        <w:textAlignment w:val="auto"/>
        <w:rPr>
          <w:rFonts w:hint="eastAsia" w:ascii="仿宋" w:hAnsi="仿宋" w:eastAsia="仿宋"/>
          <w:sz w:val="28"/>
          <w:szCs w:val="28"/>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sz w:val="28"/>
          <w:szCs w:val="28"/>
          <w:lang w:val="en-US" w:eastAsia="zh-CN"/>
        </w:rPr>
        <w:t>巴楚县旅游产业发展-乡村旅游基础设施提升项目（设备采购）</w:t>
      </w:r>
    </w:p>
    <w:p>
      <w:pPr>
        <w:pageBreakBefore w:val="0"/>
        <w:widowControl w:val="0"/>
        <w:kinsoku/>
        <w:wordWrap/>
        <w:overflowPunct/>
        <w:topLinePunct w:val="0"/>
        <w:bidi w:val="0"/>
        <w:spacing w:line="400" w:lineRule="exact"/>
        <w:textAlignment w:val="auto"/>
        <w:rPr>
          <w:rFonts w:ascii="仿宋" w:hAnsi="仿宋" w:eastAsia="仿宋"/>
          <w:sz w:val="28"/>
          <w:szCs w:val="28"/>
        </w:rPr>
      </w:pPr>
      <w:r>
        <w:rPr>
          <w:rFonts w:hint="eastAsia" w:ascii="仿宋" w:hAnsi="仿宋" w:eastAsia="仿宋"/>
          <w:b/>
          <w:bCs/>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w:t>
      </w:r>
    </w:p>
    <w:p>
      <w:pPr>
        <w:pageBreakBefore w:val="0"/>
        <w:kinsoku/>
        <w:wordWrap/>
        <w:overflowPunct/>
        <w:topLinePunct w:val="0"/>
        <w:autoSpaceDE/>
        <w:autoSpaceDN/>
        <w:bidi w:val="0"/>
        <w:adjustRightInd/>
        <w:spacing w:line="400" w:lineRule="exact"/>
        <w:textAlignment w:val="auto"/>
        <w:rPr>
          <w:rFonts w:hint="eastAsia" w:ascii="仿宋" w:hAnsi="仿宋" w:eastAsia="仿宋"/>
          <w:sz w:val="28"/>
          <w:szCs w:val="28"/>
          <w:lang w:val="en-US" w:eastAsia="zh-CN"/>
        </w:rPr>
      </w:pPr>
      <w:r>
        <w:rPr>
          <w:rFonts w:hint="eastAsia" w:ascii="仿宋" w:hAnsi="仿宋" w:eastAsia="仿宋"/>
          <w:b/>
          <w:bCs/>
          <w:sz w:val="28"/>
          <w:szCs w:val="28"/>
        </w:rPr>
        <w:t>预算金额</w:t>
      </w:r>
      <w:r>
        <w:rPr>
          <w:rFonts w:hint="eastAsia" w:ascii="仿宋" w:hAnsi="仿宋" w:eastAsia="仿宋" w:cs="宋体"/>
          <w:sz w:val="28"/>
          <w:szCs w:val="28"/>
          <w:lang w:val="en-US" w:eastAsia="zh-CN"/>
        </w:rPr>
        <w:t>：1448000.00元（壹佰肆拾肆万捌仟元整）；</w:t>
      </w:r>
    </w:p>
    <w:p>
      <w:pPr>
        <w:pageBreakBefore w:val="0"/>
        <w:kinsoku/>
        <w:wordWrap/>
        <w:overflowPunct/>
        <w:topLinePunct w:val="0"/>
        <w:autoSpaceDE/>
        <w:autoSpaceDN/>
        <w:bidi w:val="0"/>
        <w:adjustRightInd/>
        <w:spacing w:line="400" w:lineRule="exact"/>
        <w:textAlignment w:val="auto"/>
        <w:rPr>
          <w:rFonts w:hint="eastAsia" w:ascii="仿宋" w:hAnsi="仿宋" w:eastAsia="仿宋" w:cs="宋体"/>
          <w:sz w:val="28"/>
          <w:szCs w:val="28"/>
          <w:lang w:val="en-US" w:eastAsia="zh-CN"/>
        </w:rPr>
      </w:pPr>
      <w:r>
        <w:rPr>
          <w:rFonts w:hint="eastAsia" w:ascii="仿宋" w:hAnsi="仿宋" w:eastAsia="仿宋"/>
          <w:b/>
          <w:bCs/>
          <w:sz w:val="28"/>
          <w:szCs w:val="28"/>
        </w:rPr>
        <w:t>最高限价：</w:t>
      </w:r>
      <w:r>
        <w:rPr>
          <w:rFonts w:hint="eastAsia" w:ascii="仿宋" w:hAnsi="仿宋" w:eastAsia="仿宋" w:cs="宋体"/>
          <w:sz w:val="28"/>
          <w:szCs w:val="28"/>
          <w:lang w:val="en-US" w:eastAsia="zh-CN"/>
        </w:rPr>
        <w:t>1448000.00元（壹佰肆拾肆万捌仟元整）；</w:t>
      </w:r>
    </w:p>
    <w:p>
      <w:pPr>
        <w:pStyle w:val="25"/>
        <w:pageBreakBefore w:val="0"/>
        <w:kinsoku/>
        <w:wordWrap/>
        <w:overflowPunct/>
        <w:topLinePunct w:val="0"/>
        <w:bidi w:val="0"/>
        <w:spacing w:line="400" w:lineRule="exact"/>
        <w:textAlignment w:val="auto"/>
        <w:rPr>
          <w:rFonts w:hint="eastAsia" w:ascii="仿宋" w:hAnsi="仿宋" w:eastAsia="仿宋" w:cs="Times New Roman"/>
          <w:b/>
          <w:bCs/>
          <w:color w:val="0000FF"/>
          <w:kern w:val="2"/>
          <w:sz w:val="28"/>
          <w:szCs w:val="28"/>
          <w:lang w:val="en-US" w:eastAsia="zh-CN" w:bidi="ar-SA"/>
        </w:rPr>
      </w:pPr>
      <w:r>
        <w:rPr>
          <w:rFonts w:hint="eastAsia" w:ascii="宋体" w:hAnsi="宋体" w:cs="Arial"/>
          <w:bCs/>
          <w:color w:val="auto"/>
          <w:kern w:val="0"/>
          <w:sz w:val="24"/>
          <w:lang w:eastAsia="zh-CN"/>
        </w:rPr>
        <w:t>供货期</w:t>
      </w:r>
      <w:r>
        <w:rPr>
          <w:rFonts w:hint="eastAsia" w:ascii="仿宋" w:hAnsi="仿宋" w:eastAsia="仿宋" w:cs="Times New Roman"/>
          <w:b/>
          <w:bCs/>
          <w:color w:val="0000FF"/>
          <w:kern w:val="2"/>
          <w:sz w:val="28"/>
          <w:szCs w:val="28"/>
          <w:lang w:val="en-US" w:eastAsia="zh-CN" w:bidi="ar-SA"/>
        </w:rPr>
        <w:t>:30天(具体情况由中标单位和业主在合同中约定)</w:t>
      </w:r>
    </w:p>
    <w:p>
      <w:pPr>
        <w:pageBreakBefore w:val="0"/>
        <w:kinsoku/>
        <w:wordWrap/>
        <w:overflowPunct/>
        <w:topLinePunct w:val="0"/>
        <w:autoSpaceDE/>
        <w:autoSpaceDN/>
        <w:bidi w:val="0"/>
        <w:adjustRightInd/>
        <w:spacing w:line="400" w:lineRule="exact"/>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00" w:lineRule="exact"/>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5"/>
        <w:pageBreakBefore w:val="0"/>
        <w:widowControl w:val="0"/>
        <w:numPr>
          <w:ilvl w:val="0"/>
          <w:numId w:val="8"/>
        </w:numPr>
        <w:kinsoku/>
        <w:wordWrap/>
        <w:overflowPunct/>
        <w:topLinePunct w:val="0"/>
        <w:bidi w:val="0"/>
        <w:spacing w:line="400" w:lineRule="exact"/>
        <w:jc w:val="both"/>
        <w:textAlignment w:val="auto"/>
        <w:rPr>
          <w:rFonts w:hint="eastAsia" w:ascii="黑体" w:hAnsi="黑体" w:cs="宋体"/>
          <w:b w:val="0"/>
          <w:sz w:val="28"/>
          <w:szCs w:val="28"/>
        </w:rPr>
      </w:pPr>
      <w:bookmarkStart w:id="466" w:name="_Toc28359090"/>
      <w:bookmarkStart w:id="467" w:name="_Toc28359013"/>
      <w:bookmarkStart w:id="468" w:name="_Toc35393630"/>
      <w:bookmarkStart w:id="469" w:name="_Toc35393799"/>
      <w:r>
        <w:rPr>
          <w:rFonts w:hint="eastAsia" w:ascii="黑体" w:hAnsi="黑体" w:cs="宋体"/>
          <w:b w:val="0"/>
          <w:sz w:val="28"/>
          <w:szCs w:val="28"/>
        </w:rPr>
        <w:t>申请人的资格要求：</w:t>
      </w:r>
      <w:bookmarkEnd w:id="466"/>
      <w:bookmarkEnd w:id="467"/>
      <w:bookmarkEnd w:id="468"/>
      <w:bookmarkEnd w:id="469"/>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Times New Roman"/>
          <w:sz w:val="28"/>
          <w:szCs w:val="28"/>
          <w:lang w:eastAsia="zh-CN"/>
        </w:rPr>
      </w:pPr>
      <w:bookmarkStart w:id="470" w:name="_Toc28359014"/>
      <w:bookmarkStart w:id="471" w:name="_Toc28359091"/>
      <w:r>
        <w:rPr>
          <w:rFonts w:hint="eastAsia" w:ascii="仿宋" w:hAnsi="仿宋" w:eastAsia="仿宋" w:cs="Times New Roman"/>
          <w:sz w:val="28"/>
          <w:szCs w:val="28"/>
          <w:lang w:eastAsia="zh-CN"/>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.本项目的特定资格要求：标项1：</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（1）具有经年审合格的企业法人营业执照；</w:t>
      </w:r>
    </w:p>
    <w:p>
      <w:pPr>
        <w:pageBreakBefore w:val="0"/>
        <w:kinsoku/>
        <w:wordWrap/>
        <w:overflowPunct/>
        <w:topLinePunct w:val="0"/>
        <w:autoSpaceDE/>
        <w:autoSpaceDN/>
        <w:bidi w:val="0"/>
        <w:adjustRightInd/>
        <w:spacing w:line="400" w:lineRule="exact"/>
        <w:ind w:firstLine="560" w:firstLineChars="200"/>
        <w:textAlignment w:val="auto"/>
        <w:rPr>
          <w:rFonts w:ascii="仿宋" w:hAnsi="仿宋" w:eastAsia="仿宋" w:cs="仿宋"/>
          <w:i w:val="0"/>
          <w:iCs w:val="0"/>
          <w:caps w:val="0"/>
          <w:color w:val="000000"/>
          <w:spacing w:val="0"/>
          <w:sz w:val="27"/>
          <w:szCs w:val="27"/>
        </w:rPr>
      </w:pPr>
      <w:r>
        <w:rPr>
          <w:rFonts w:hint="eastAsia" w:ascii="仿宋" w:hAnsi="仿宋" w:eastAsia="仿宋" w:cs="Times New Roman"/>
          <w:sz w:val="28"/>
          <w:szCs w:val="28"/>
          <w:lang w:eastAsia="zh-CN"/>
        </w:rPr>
        <w:t>（2）</w:t>
      </w:r>
      <w:r>
        <w:rPr>
          <w:rFonts w:hint="eastAsia" w:ascii="仿宋" w:hAnsi="仿宋" w:eastAsia="仿宋" w:cs="Times New Roman"/>
          <w:sz w:val="28"/>
          <w:szCs w:val="28"/>
          <w:lang w:val="en-US" w:eastAsia="zh-CN"/>
        </w:rPr>
        <w:t>具有良好的商业信誉和健全的财务会计制度（提供2021年度财务审计报告，</w:t>
      </w:r>
      <w:r>
        <w:rPr>
          <w:rFonts w:ascii="仿宋" w:hAnsi="仿宋" w:eastAsia="仿宋" w:cs="仿宋"/>
          <w:i w:val="0"/>
          <w:iCs w:val="0"/>
          <w:caps w:val="0"/>
          <w:color w:val="000000"/>
          <w:spacing w:val="0"/>
          <w:sz w:val="27"/>
          <w:szCs w:val="27"/>
        </w:rPr>
        <w:t>新成立的公司需出具银行资信证明</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（3）税务部门出具的近三个月内的任意一个月的完税证明；</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（4）法定代表人投标的需携带法定代表人证明书及法定代表人身份证；委托代理人需携带法定代表人授权委托书及委托代理人身份证；</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（5）依法缴纳社保证明，提供本单位近三个月的任意一个月社保证明；</w:t>
      </w:r>
    </w:p>
    <w:p>
      <w:pPr>
        <w:pStyle w:val="12"/>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lang w:eastAsia="zh-CN"/>
        </w:rPr>
        <w:t>）</w:t>
      </w:r>
      <w:r>
        <w:rPr>
          <w:rFonts w:hint="eastAsia" w:ascii="仿宋" w:hAnsi="仿宋" w:eastAsia="仿宋" w:cs="Times New Roman"/>
          <w:kern w:val="2"/>
          <w:sz w:val="28"/>
          <w:szCs w:val="28"/>
          <w:lang w:val="en-US" w:eastAsia="zh-CN" w:bidi="ar-SA"/>
        </w:rPr>
        <w:t>凡拟参加本次采购项目的投标人，如在“信用中国（www.creditchina.gov.cn）”；“中国政府采购网（www.ccgp.gov.cn）”；列入严重违法失信企业名单（黑名单）信息的将拒绝其参本次政府采购活动（开标现场查询）；</w:t>
      </w:r>
    </w:p>
    <w:p>
      <w:pPr>
        <w:pStyle w:val="12"/>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lang w:eastAsia="zh-CN"/>
        </w:rPr>
        <w:t>）本项目不接受联合体投标。</w:t>
      </w:r>
    </w:p>
    <w:p>
      <w:pPr>
        <w:pStyle w:val="12"/>
        <w:ind w:firstLine="562" w:firstLineChars="200"/>
        <w:rPr>
          <w:rFonts w:hint="eastAsia" w:ascii="仿宋" w:hAnsi="仿宋" w:eastAsia="仿宋"/>
          <w:b/>
          <w:bCs/>
          <w:sz w:val="28"/>
          <w:szCs w:val="28"/>
        </w:rPr>
      </w:pPr>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0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（1）《政府采购促进中小企业发展暂行办法》（财库〔2011〕181号），详见</w:t>
      </w:r>
      <w:r>
        <w:rPr>
          <w:rFonts w:hint="eastAsia" w:ascii="仿宋" w:hAnsi="仿宋" w:eastAsia="仿宋" w:cs="Times New Roman"/>
          <w:bCs/>
          <w:kern w:val="2"/>
          <w:sz w:val="28"/>
          <w:szCs w:val="28"/>
          <w:u w:val="none"/>
          <w:lang w:val="en-US" w:eastAsia="zh-CN" w:bidi="ar-SA"/>
        </w:rPr>
        <w:t>竞争性谈判文件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竞争性谈判文件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竞争性谈判文件</w:t>
      </w:r>
      <w:r>
        <w:rPr>
          <w:rFonts w:hint="eastAsia" w:ascii="仿宋" w:hAnsi="仿宋" w:eastAsia="仿宋"/>
          <w:bCs/>
          <w:sz w:val="28"/>
          <w:szCs w:val="28"/>
          <w:u w:val="none"/>
          <w:lang w:val="en-US" w:eastAsia="zh-CN"/>
        </w:rPr>
        <w:t>。</w:t>
      </w:r>
    </w:p>
    <w:p>
      <w:pPr>
        <w:pStyle w:val="5"/>
        <w:pageBreakBefore w:val="0"/>
        <w:widowControl w:val="0"/>
        <w:kinsoku/>
        <w:wordWrap/>
        <w:overflowPunct/>
        <w:topLinePunct w:val="0"/>
        <w:bidi w:val="0"/>
        <w:spacing w:line="400" w:lineRule="exact"/>
        <w:jc w:val="both"/>
        <w:textAlignment w:val="auto"/>
        <w:rPr>
          <w:rFonts w:ascii="黑体" w:hAnsi="黑体" w:cs="宋体"/>
          <w:b w:val="0"/>
          <w:sz w:val="28"/>
          <w:szCs w:val="28"/>
        </w:rPr>
      </w:pPr>
      <w:bookmarkStart w:id="472" w:name="_Toc35393631"/>
      <w:bookmarkStart w:id="473" w:name="_Toc35393800"/>
      <w:r>
        <w:rPr>
          <w:rFonts w:hint="eastAsia" w:ascii="黑体" w:hAnsi="黑体" w:cs="宋体"/>
          <w:b w:val="0"/>
          <w:sz w:val="28"/>
          <w:szCs w:val="28"/>
        </w:rPr>
        <w:t>三、获取采购文件</w:t>
      </w:r>
      <w:bookmarkEnd w:id="470"/>
      <w:bookmarkEnd w:id="471"/>
      <w:bookmarkEnd w:id="472"/>
      <w:bookmarkEnd w:id="473"/>
    </w:p>
    <w:p>
      <w:pPr>
        <w:pageBreakBefore w:val="0"/>
        <w:widowControl w:val="0"/>
        <w:kinsoku/>
        <w:wordWrap/>
        <w:overflowPunct/>
        <w:topLinePunct w:val="0"/>
        <w:bidi w:val="0"/>
        <w:spacing w:line="40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16</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25</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pStyle w:val="30"/>
        <w:keepNext w:val="0"/>
        <w:keepLines w:val="0"/>
        <w:widowControl/>
        <w:suppressLineNumbers w:val="0"/>
        <w:spacing w:before="75" w:beforeAutospacing="0" w:after="75" w:afterAutospacing="0"/>
        <w:ind w:left="0" w:right="0" w:firstLine="420"/>
        <w:rPr>
          <w:rFonts w:ascii="仿宋" w:hAnsi="仿宋" w:eastAsia="仿宋" w:cs="仿宋"/>
          <w:i w:val="0"/>
          <w:iCs w:val="0"/>
          <w:caps w:val="0"/>
          <w:color w:val="000000"/>
          <w:spacing w:val="0"/>
          <w:sz w:val="24"/>
          <w:szCs w:val="24"/>
        </w:rPr>
      </w:pPr>
      <w:bookmarkStart w:id="474" w:name="_Toc35393801"/>
      <w:bookmarkStart w:id="475" w:name="_Toc28359092"/>
      <w:bookmarkStart w:id="476" w:name="_Toc28359015"/>
      <w:bookmarkStart w:id="477" w:name="_Toc35393632"/>
      <w:r>
        <w:rPr>
          <w:rFonts w:hint="eastAsia" w:ascii="仿宋" w:hAnsi="仿宋" w:eastAsia="仿宋" w:cs="仿宋"/>
          <w:i w:val="0"/>
          <w:iCs w:val="0"/>
          <w:caps w:val="0"/>
          <w:color w:val="000000"/>
          <w:spacing w:val="0"/>
          <w:sz w:val="27"/>
          <w:szCs w:val="27"/>
        </w:rPr>
        <w:t>地点：政采云平台（https://www.zcygov.cn）</w:t>
      </w:r>
    </w:p>
    <w:p>
      <w:pPr>
        <w:pStyle w:val="30"/>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方式：供应商登陆政采云平台https://www.zcygov.cn/进入“项目采购”栏目，在获取采购文件菜单中选择所要获取采购文件的项目，申请获取采购文件</w:t>
      </w:r>
    </w:p>
    <w:p>
      <w:pPr>
        <w:pStyle w:val="30"/>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售价（元）：0</w:t>
      </w:r>
    </w:p>
    <w:p>
      <w:pPr>
        <w:pStyle w:val="5"/>
        <w:pageBreakBefore w:val="0"/>
        <w:widowControl w:val="0"/>
        <w:kinsoku/>
        <w:wordWrap/>
        <w:overflowPunct/>
        <w:topLinePunct w:val="0"/>
        <w:bidi w:val="0"/>
        <w:spacing w:line="40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pageBreakBefore w:val="0"/>
        <w:widowControl w:val="0"/>
        <w:kinsoku/>
        <w:wordWrap/>
        <w:overflowPunct/>
        <w:topLinePunct w:val="0"/>
        <w:bidi w:val="0"/>
        <w:spacing w:line="40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26</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0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val="en-US" w:eastAsia="zh-CN"/>
        </w:rPr>
        <w:t xml:space="preserve">巴楚县巴楚镇迎宾北路39号隆城大酒店会议室 </w:t>
      </w:r>
    </w:p>
    <w:p>
      <w:pPr>
        <w:pStyle w:val="5"/>
        <w:pageBreakBefore w:val="0"/>
        <w:widowControl w:val="0"/>
        <w:kinsoku/>
        <w:wordWrap/>
        <w:overflowPunct/>
        <w:topLinePunct w:val="0"/>
        <w:bidi w:val="0"/>
        <w:spacing w:line="400" w:lineRule="exact"/>
        <w:jc w:val="both"/>
        <w:textAlignment w:val="auto"/>
        <w:rPr>
          <w:rFonts w:ascii="黑体" w:hAnsi="黑体" w:cs="宋体"/>
          <w:b w:val="0"/>
          <w:sz w:val="28"/>
          <w:szCs w:val="28"/>
        </w:rPr>
      </w:pPr>
      <w:bookmarkStart w:id="478" w:name="_Toc35393633"/>
      <w:bookmarkStart w:id="479" w:name="_Toc28359016"/>
      <w:bookmarkStart w:id="480" w:name="_Toc35393802"/>
      <w:bookmarkStart w:id="481" w:name="_Toc28359093"/>
      <w:r>
        <w:rPr>
          <w:rFonts w:hint="eastAsia" w:ascii="黑体" w:hAnsi="黑体" w:cs="宋体"/>
          <w:b w:val="0"/>
          <w:sz w:val="28"/>
          <w:szCs w:val="28"/>
        </w:rPr>
        <w:t>五、开启</w:t>
      </w:r>
      <w:bookmarkEnd w:id="478"/>
      <w:bookmarkEnd w:id="479"/>
      <w:bookmarkEnd w:id="480"/>
      <w:bookmarkEnd w:id="481"/>
    </w:p>
    <w:p>
      <w:pPr>
        <w:pageBreakBefore w:val="0"/>
        <w:widowControl w:val="0"/>
        <w:kinsoku/>
        <w:wordWrap/>
        <w:overflowPunct/>
        <w:topLinePunct w:val="0"/>
        <w:bidi w:val="0"/>
        <w:spacing w:line="40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26</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00" w:lineRule="exact"/>
        <w:ind w:firstLine="560" w:firstLineChars="200"/>
        <w:textAlignment w:val="auto"/>
        <w:rPr>
          <w:rFonts w:hint="default" w:ascii="仿宋" w:hAnsi="仿宋" w:eastAsia="仿宋"/>
          <w:color w:val="0000FF"/>
          <w:sz w:val="28"/>
          <w:szCs w:val="28"/>
          <w:lang w:val="en-US" w:eastAsia="zh-CN"/>
        </w:rPr>
      </w:pPr>
      <w:r>
        <w:rPr>
          <w:rFonts w:hint="eastAsia" w:ascii="仿宋" w:hAnsi="仿宋" w:eastAsia="仿宋"/>
          <w:sz w:val="28"/>
          <w:szCs w:val="28"/>
        </w:rPr>
        <w:t>地点</w:t>
      </w:r>
      <w:r>
        <w:rPr>
          <w:rFonts w:hint="eastAsia" w:ascii="仿宋" w:hAnsi="仿宋" w:eastAsia="仿宋"/>
          <w:color w:val="0000FF"/>
          <w:sz w:val="28"/>
          <w:szCs w:val="28"/>
        </w:rPr>
        <w:t>：</w:t>
      </w:r>
      <w:bookmarkStart w:id="482" w:name="_Toc35393634"/>
      <w:bookmarkStart w:id="483" w:name="_Toc28359017"/>
      <w:bookmarkStart w:id="484" w:name="_Toc28359094"/>
      <w:bookmarkStart w:id="485" w:name="_Toc35393803"/>
      <w:r>
        <w:rPr>
          <w:rFonts w:hint="eastAsia" w:ascii="仿宋" w:hAnsi="仿宋" w:eastAsia="仿宋"/>
          <w:color w:val="0000FF"/>
          <w:sz w:val="28"/>
          <w:szCs w:val="28"/>
          <w:lang w:val="en-US" w:eastAsia="zh-CN"/>
        </w:rPr>
        <w:t xml:space="preserve">巴楚县巴楚镇迎宾北路39号隆城大酒店会议室  </w:t>
      </w:r>
    </w:p>
    <w:p>
      <w:pPr>
        <w:pageBreakBefore w:val="0"/>
        <w:widowControl w:val="0"/>
        <w:kinsoku/>
        <w:wordWrap/>
        <w:overflowPunct/>
        <w:topLinePunct w:val="0"/>
        <w:bidi w:val="0"/>
        <w:spacing w:line="40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5"/>
        <w:pageBreakBefore w:val="0"/>
        <w:widowControl w:val="0"/>
        <w:kinsoku/>
        <w:wordWrap/>
        <w:overflowPunct/>
        <w:topLinePunct w:val="0"/>
        <w:bidi w:val="0"/>
        <w:spacing w:line="400" w:lineRule="exact"/>
        <w:jc w:val="both"/>
        <w:textAlignment w:val="auto"/>
        <w:rPr>
          <w:rFonts w:ascii="黑体" w:hAnsi="黑体" w:cs="宋体"/>
          <w:b w:val="0"/>
          <w:sz w:val="28"/>
          <w:szCs w:val="28"/>
        </w:rPr>
      </w:pPr>
      <w:bookmarkStart w:id="486" w:name="_Toc35393804"/>
      <w:bookmarkStart w:id="487" w:name="_Toc35393635"/>
      <w:r>
        <w:rPr>
          <w:rFonts w:hint="eastAsia" w:ascii="黑体" w:hAnsi="黑体" w:cs="宋体"/>
          <w:b w:val="0"/>
          <w:sz w:val="28"/>
          <w:szCs w:val="28"/>
        </w:rPr>
        <w:t>七、其他补充事宜</w:t>
      </w:r>
      <w:bookmarkEnd w:id="486"/>
      <w:bookmarkEnd w:id="487"/>
    </w:p>
    <w:p>
      <w:pPr>
        <w:pStyle w:val="5"/>
        <w:pageBreakBefore w:val="0"/>
        <w:widowControl w:val="0"/>
        <w:kinsoku/>
        <w:wordWrap/>
        <w:overflowPunct/>
        <w:topLinePunct w:val="0"/>
        <w:bidi w:val="0"/>
        <w:spacing w:line="400" w:lineRule="exact"/>
        <w:jc w:val="both"/>
        <w:textAlignment w:val="auto"/>
        <w:rPr>
          <w:rFonts w:hint="eastAsia" w:ascii="仿宋" w:hAnsi="仿宋" w:eastAsia="仿宋" w:cs="Times New Roman"/>
          <w:b w:val="0"/>
          <w:kern w:val="2"/>
          <w:sz w:val="28"/>
          <w:szCs w:val="28"/>
          <w:lang w:val="en-US" w:eastAsia="zh-CN" w:bidi="ar-SA"/>
        </w:rPr>
      </w:pPr>
      <w:bookmarkStart w:id="488" w:name="_Toc28359018"/>
      <w:bookmarkStart w:id="489" w:name="_Toc28359095"/>
      <w:bookmarkStart w:id="490" w:name="_Toc35393805"/>
      <w:bookmarkStart w:id="491" w:name="_Toc35393636"/>
      <w:r>
        <w:rPr>
          <w:rFonts w:hint="eastAsia" w:ascii="仿宋" w:hAnsi="仿宋" w:eastAsia="仿宋" w:cs="Times New Roman"/>
          <w:b w:val="0"/>
          <w:kern w:val="2"/>
          <w:sz w:val="28"/>
          <w:szCs w:val="28"/>
          <w:lang w:val="en-US" w:eastAsia="zh-CN" w:bidi="ar-SA"/>
        </w:rPr>
        <w:t>1、政采云线上获取招标文件方法：供应商登陆政采云平台（https://www.zcygov.cn），在线申请获取采购文件（登录政府采购云平台 → 项目采购 → 获取采购文件 → 申请，审核通过后可下载招标文件，如有操作性问题，可与政采云在线客服进行咨询，咨询电话：400-881-7190）。</w:t>
      </w:r>
    </w:p>
    <w:p>
      <w:pPr>
        <w:pStyle w:val="5"/>
        <w:pageBreakBefore w:val="0"/>
        <w:widowControl w:val="0"/>
        <w:kinsoku/>
        <w:wordWrap/>
        <w:overflowPunct/>
        <w:topLinePunct w:val="0"/>
        <w:bidi w:val="0"/>
        <w:spacing w:line="400" w:lineRule="exact"/>
        <w:jc w:val="both"/>
        <w:textAlignment w:val="auto"/>
        <w:rPr>
          <w:rFonts w:hint="eastAsia"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特别提示：</w:t>
      </w:r>
    </w:p>
    <w:p>
      <w:pPr>
        <w:pStyle w:val="5"/>
        <w:pageBreakBefore w:val="0"/>
        <w:widowControl w:val="0"/>
        <w:kinsoku/>
        <w:wordWrap/>
        <w:overflowPunct/>
        <w:topLinePunct w:val="0"/>
        <w:bidi w:val="0"/>
        <w:spacing w:line="400" w:lineRule="exact"/>
        <w:jc w:val="both"/>
        <w:textAlignment w:val="auto"/>
        <w:rPr>
          <w:rFonts w:hint="eastAsia"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pageBreakBefore w:val="0"/>
        <w:widowControl w:val="0"/>
        <w:kinsoku/>
        <w:wordWrap/>
        <w:overflowPunct/>
        <w:topLinePunct w:val="0"/>
        <w:bidi w:val="0"/>
        <w:spacing w:line="400" w:lineRule="exact"/>
        <w:jc w:val="both"/>
        <w:textAlignment w:val="auto"/>
        <w:rPr>
          <w:rFonts w:hint="eastAsia"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pageBreakBefore w:val="0"/>
        <w:widowControl w:val="0"/>
        <w:kinsoku/>
        <w:wordWrap/>
        <w:overflowPunct/>
        <w:topLinePunct w:val="0"/>
        <w:bidi w:val="0"/>
        <w:spacing w:line="400" w:lineRule="exact"/>
        <w:jc w:val="both"/>
        <w:textAlignment w:val="auto"/>
        <w:rPr>
          <w:rFonts w:hint="eastAsia"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pageBreakBefore w:val="0"/>
        <w:widowControl w:val="0"/>
        <w:kinsoku/>
        <w:wordWrap/>
        <w:overflowPunct/>
        <w:topLinePunct w:val="0"/>
        <w:bidi w:val="0"/>
        <w:spacing w:line="40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88"/>
      <w:bookmarkEnd w:id="489"/>
      <w:bookmarkEnd w:id="490"/>
      <w:bookmarkEnd w:id="491"/>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lang w:val="en-US" w:eastAsia="zh-CN"/>
        </w:rPr>
        <w:t>巴楚县文化体育广播电视和旅游局　</w:t>
      </w:r>
    </w:p>
    <w:p>
      <w:pPr>
        <w:pStyle w:val="25"/>
        <w:pageBreakBefore w:val="0"/>
        <w:kinsoku/>
        <w:wordWrap/>
        <w:overflowPunct/>
        <w:topLinePunct w:val="0"/>
        <w:bidi w:val="0"/>
        <w:spacing w:line="400" w:lineRule="exact"/>
        <w:ind w:firstLine="560" w:firstLineChars="200"/>
        <w:textAlignment w:val="auto"/>
        <w:rPr>
          <w:rFonts w:hint="default"/>
          <w:lang w:val="en-US" w:eastAsia="zh-CN"/>
        </w:rPr>
      </w:pPr>
      <w:r>
        <w:rPr>
          <w:rFonts w:hint="eastAsia" w:ascii="仿宋" w:hAnsi="仿宋" w:eastAsia="仿宋"/>
          <w:sz w:val="28"/>
          <w:szCs w:val="28"/>
          <w:lang w:val="en-US" w:eastAsia="zh-CN"/>
        </w:rPr>
        <w:t>联系人：杨绪凤</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sz w:val="28"/>
          <w:szCs w:val="28"/>
        </w:rPr>
        <w:t>地址：</w:t>
      </w:r>
      <w:r>
        <w:rPr>
          <w:rFonts w:hint="eastAsia" w:ascii="仿宋" w:hAnsi="仿宋" w:eastAsia="仿宋"/>
          <w:sz w:val="28"/>
          <w:szCs w:val="28"/>
          <w:lang w:val="en-US" w:eastAsia="zh-CN"/>
        </w:rPr>
        <w:t>巴楚县文化体育广播电视和旅游局　</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18799509980</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eastAsia="zh-CN"/>
        </w:rPr>
        <w:t>陕西智鑫工程造价咨询有限公司</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eastAsia="zh-CN"/>
        </w:rPr>
        <w:t xml:space="preserve">新疆喀什市帕依纳普路西域名都A区10楼1001号 </w:t>
      </w:r>
      <w:r>
        <w:rPr>
          <w:rFonts w:hint="eastAsia" w:ascii="仿宋" w:hAnsi="仿宋" w:eastAsia="仿宋"/>
          <w:sz w:val="28"/>
          <w:szCs w:val="28"/>
          <w:u w:val="none"/>
          <w:lang w:val="en-US" w:eastAsia="zh-CN"/>
        </w:rPr>
        <w:t xml:space="preserve"> </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kern w:val="2"/>
          <w:sz w:val="28"/>
          <w:szCs w:val="28"/>
          <w:u w:val="none"/>
          <w:lang w:val="en-US" w:eastAsia="zh-CN" w:bidi="ar-SA"/>
        </w:rPr>
        <w:t>联系人：</w:t>
      </w:r>
      <w:r>
        <w:rPr>
          <w:rFonts w:hint="eastAsia" w:ascii="仿宋" w:hAnsi="仿宋" w:eastAsia="仿宋" w:cs="Times New Roman"/>
          <w:sz w:val="28"/>
          <w:szCs w:val="28"/>
          <w:u w:val="none"/>
          <w:lang w:val="en-US" w:eastAsia="zh-CN"/>
        </w:rPr>
        <w:t>刘玉娥</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cs="Times New Roman"/>
          <w:sz w:val="28"/>
          <w:szCs w:val="28"/>
          <w:u w:val="none"/>
          <w:lang w:val="en-US" w:eastAsia="zh-CN"/>
        </w:rPr>
        <w:t>18997635667</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3、项目联系方式</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项目联系人：刘玉娥</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Times New Roman"/>
          <w:sz w:val="28"/>
          <w:szCs w:val="28"/>
          <w:u w:val="none"/>
          <w:lang w:val="en-US" w:eastAsia="zh-CN"/>
        </w:rPr>
        <w:t>电 话：18997635667</w:t>
      </w:r>
    </w:p>
    <w:p>
      <w:pPr>
        <w:pStyle w:val="11"/>
        <w:rPr>
          <w:u w:val="single"/>
        </w:rPr>
      </w:pPr>
    </w:p>
    <w:p/>
    <w:p>
      <w:pPr>
        <w:pStyle w:val="30"/>
        <w:spacing w:beforeAutospacing="0" w:afterAutospacing="0" w:line="360" w:lineRule="exact"/>
        <w:rPr>
          <w:rFonts w:asciiTheme="minorEastAsia" w:hAnsiTheme="minorEastAsia" w:eastAsiaTheme="minorEastAsia"/>
          <w:color w:val="000000"/>
        </w:rPr>
      </w:pPr>
    </w:p>
    <w:p>
      <w:pPr>
        <w:pStyle w:val="2"/>
        <w:rPr>
          <w:rFonts w:cs="宋体" w:asciiTheme="minorEastAsia" w:hAnsiTheme="minorEastAsia" w:eastAsiaTheme="minorEastAsia"/>
          <w:szCs w:val="24"/>
        </w:rPr>
      </w:pPr>
    </w:p>
    <w:p>
      <w:pPr>
        <w:pStyle w:val="2"/>
        <w:rPr>
          <w:rFonts w:cs="宋体" w:asciiTheme="minorEastAsia" w:hAnsiTheme="minorEastAsia" w:eastAsiaTheme="minorEastAsia"/>
          <w:szCs w:val="24"/>
        </w:rPr>
      </w:pPr>
    </w:p>
    <w:p>
      <w:pPr>
        <w:pStyle w:val="2"/>
        <w:rPr>
          <w:rFonts w:cs="宋体" w:asciiTheme="minorEastAsia" w:hAnsiTheme="minorEastAsia" w:eastAsiaTheme="minorEastAsia"/>
          <w:szCs w:val="24"/>
        </w:rPr>
      </w:pPr>
    </w:p>
    <w:bookmarkEnd w:id="457"/>
    <w:bookmarkEnd w:id="458"/>
    <w:bookmarkEnd w:id="459"/>
    <w:bookmarkEnd w:id="460"/>
    <w:bookmarkEnd w:id="461"/>
    <w:p>
      <w:pPr>
        <w:spacing w:line="240" w:lineRule="atLeast"/>
        <w:jc w:val="center"/>
        <w:outlineLvl w:val="0"/>
        <w:rPr>
          <w:rFonts w:cs="宋体" w:asciiTheme="minorEastAsia" w:hAnsiTheme="minorEastAsia" w:eastAsiaTheme="minorEastAsia"/>
          <w:b/>
          <w:bCs/>
          <w:sz w:val="30"/>
          <w:szCs w:val="30"/>
        </w:rPr>
      </w:pPr>
    </w:p>
    <w:p>
      <w:pPr>
        <w:pStyle w:val="6"/>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6"/>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57"/>
      </w:pPr>
    </w:p>
    <w:p>
      <w:pPr>
        <w:pStyle w:val="58"/>
      </w:pPr>
    </w:p>
    <w:p>
      <w:pPr>
        <w:pStyle w:val="34"/>
      </w:pPr>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第三章供应商须知资料表</w:t>
      </w:r>
    </w:p>
    <w:p>
      <w:pPr>
        <w:spacing w:line="240" w:lineRule="atLeast"/>
        <w:ind w:left="479" w:leftChars="228"/>
        <w:jc w:val="center"/>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5"/>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spacing w:line="240" w:lineRule="atLeast"/>
              <w:rPr>
                <w:rFonts w:ascii="宋体" w:hAnsi="宋体" w:cs="宋体"/>
                <w:color w:val="000000"/>
                <w:sz w:val="24"/>
                <w:u w:val="none"/>
              </w:rPr>
            </w:pPr>
            <w:r>
              <w:rPr>
                <w:rFonts w:hint="eastAsia" w:ascii="宋体" w:hAnsi="宋体" w:cs="宋体"/>
                <w:color w:val="000000"/>
                <w:sz w:val="24"/>
              </w:rPr>
              <w:t>采购人：</w:t>
            </w:r>
            <w:r>
              <w:rPr>
                <w:rFonts w:hint="eastAsia" w:ascii="宋体" w:hAnsi="宋体" w:cs="宋体"/>
                <w:color w:val="000000"/>
                <w:sz w:val="24"/>
                <w:u w:val="none"/>
                <w:lang w:val="en-US" w:eastAsia="zh-CN"/>
              </w:rPr>
              <w:t>巴楚县文化体育广播电视和旅游局</w:t>
            </w:r>
          </w:p>
          <w:p>
            <w:pPr>
              <w:spacing w:line="240" w:lineRule="atLeast"/>
              <w:rPr>
                <w:rFonts w:hint="eastAsia" w:ascii="宋体" w:hAnsi="宋体" w:eastAsia="宋体" w:cs="宋体"/>
                <w:color w:val="000000"/>
                <w:sz w:val="24"/>
                <w:u w:val="none"/>
                <w:lang w:eastAsia="zh-CN"/>
              </w:rPr>
            </w:pPr>
            <w:r>
              <w:rPr>
                <w:rFonts w:hint="eastAsia" w:ascii="宋体" w:hAnsi="宋体" w:cs="宋体"/>
                <w:sz w:val="24"/>
                <w:u w:val="none"/>
              </w:rPr>
              <w:t>联系人</w:t>
            </w:r>
            <w:r>
              <w:rPr>
                <w:rFonts w:hint="eastAsia" w:ascii="宋体" w:hAnsi="宋体" w:cs="宋体"/>
                <w:color w:val="000000"/>
                <w:sz w:val="24"/>
                <w:u w:val="none"/>
              </w:rPr>
              <w:t>：</w:t>
            </w:r>
            <w:r>
              <w:rPr>
                <w:rFonts w:hint="eastAsia" w:ascii="宋体" w:hAnsi="宋体" w:cs="宋体"/>
                <w:sz w:val="24"/>
                <w:u w:val="none"/>
                <w:lang w:eastAsia="zh-CN"/>
              </w:rPr>
              <w:t>杨绪凤</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u w:val="none"/>
              </w:rPr>
              <w:t>电话：</w:t>
            </w:r>
            <w:r>
              <w:rPr>
                <w:rFonts w:hint="eastAsia" w:ascii="宋体" w:hAnsi="宋体" w:cs="宋体"/>
                <w:sz w:val="24"/>
                <w:u w:val="none"/>
                <w:lang w:val="en-US" w:eastAsia="zh-CN"/>
              </w:rPr>
              <w:t>18799509980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hint="eastAsia" w:ascii="宋体" w:hAnsi="宋体" w:cs="宋体"/>
                <w:color w:val="000000"/>
                <w:sz w:val="24"/>
                <w:lang w:val="en-US" w:eastAsia="zh-CN"/>
              </w:rPr>
            </w:pPr>
            <w:r>
              <w:rPr>
                <w:rFonts w:hint="eastAsia" w:ascii="宋体" w:hAnsi="宋体" w:cs="宋体"/>
                <w:color w:val="000000"/>
                <w:sz w:val="24"/>
              </w:rPr>
              <w:t>采购代理机构：</w:t>
            </w:r>
            <w:r>
              <w:rPr>
                <w:rFonts w:hint="eastAsia" w:ascii="宋体" w:hAnsi="宋体" w:cs="宋体"/>
                <w:color w:val="000000"/>
                <w:sz w:val="24"/>
                <w:lang w:eastAsia="zh-CN"/>
              </w:rPr>
              <w:t>陕西智鑫工程造价咨询有限公司</w:t>
            </w:r>
          </w:p>
          <w:p>
            <w:pPr>
              <w:spacing w:line="240" w:lineRule="atLeast"/>
              <w:rPr>
                <w:rFonts w:hint="eastAsia" w:ascii="宋体" w:hAnsi="宋体" w:cs="宋体"/>
                <w:color w:val="000000"/>
                <w:sz w:val="24"/>
                <w:u w:val="none"/>
                <w:lang w:val="en-US" w:eastAsia="zh-CN"/>
              </w:rPr>
            </w:pPr>
            <w:r>
              <w:rPr>
                <w:rFonts w:hint="eastAsia" w:ascii="宋体" w:hAnsi="宋体" w:cs="宋体"/>
                <w:color w:val="000000"/>
                <w:sz w:val="24"/>
                <w:u w:val="none"/>
              </w:rPr>
              <w:t>地址：</w:t>
            </w:r>
            <w:r>
              <w:rPr>
                <w:rFonts w:hint="eastAsia" w:ascii="宋体" w:hAnsi="宋体" w:cs="宋体"/>
                <w:color w:val="000000"/>
                <w:sz w:val="24"/>
                <w:u w:val="none"/>
                <w:lang w:eastAsia="zh-CN"/>
              </w:rPr>
              <w:t>新疆喀什市帕依纳普路西域名都A区10楼1001号</w:t>
            </w:r>
          </w:p>
          <w:p>
            <w:pPr>
              <w:spacing w:line="240" w:lineRule="atLeast"/>
              <w:rPr>
                <w:rFonts w:hint="default" w:ascii="宋体" w:hAnsi="宋体" w:eastAsia="宋体" w:cs="宋体"/>
                <w:color w:val="000000"/>
                <w:sz w:val="24"/>
                <w:lang w:val="en-US" w:eastAsia="zh-CN"/>
              </w:rPr>
            </w:pPr>
            <w:r>
              <w:rPr>
                <w:rFonts w:hint="eastAsia" w:ascii="宋体" w:hAnsi="宋体" w:cs="宋体"/>
                <w:sz w:val="24"/>
                <w:u w:val="none"/>
                <w:lang w:eastAsia="zh-CN"/>
              </w:rPr>
              <w:t>联系人：刘玉娥</w:t>
            </w:r>
            <w:r>
              <w:rPr>
                <w:rFonts w:hint="eastAsia" w:ascii="宋体" w:hAnsi="宋体" w:cs="宋体"/>
                <w:sz w:val="24"/>
                <w:u w:val="none"/>
                <w:lang w:val="en-US" w:eastAsia="zh-CN"/>
              </w:rPr>
              <w:t xml:space="preserve">            </w:t>
            </w:r>
            <w:r>
              <w:rPr>
                <w:rFonts w:hint="eastAsia" w:ascii="宋体" w:hAnsi="宋体" w:cs="宋体"/>
                <w:sz w:val="24"/>
                <w:u w:val="none"/>
              </w:rPr>
              <w:t>电话：</w:t>
            </w:r>
            <w:r>
              <w:rPr>
                <w:rFonts w:hint="eastAsia" w:ascii="宋体" w:hAnsi="宋体" w:cs="宋体"/>
                <w:sz w:val="24"/>
                <w:u w:val="none"/>
                <w:lang w:val="en-US" w:eastAsia="zh-CN"/>
              </w:rPr>
              <w:t>18997635667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1.满足《中华人民共和国政府采购法》第二十二条规定；</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2.落实政府采购政策需满足的资格要求：无</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3.本项目的特定资格要求：标项1：</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（1）具有经年审合格的企业法人营业执照；</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（2）具有良好的商业信誉和健全的财务会计制度（提供2021年度财务审计报告，新成立的公司需出具银行资信证明</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（3）税务部门出具的近三个月内的任意一个月的完税证明；</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（4）法定代表人投标的需携带法定代表人证明书及法定代表人身份证；委托代理人需携带法定代表人授权委托书及委托代理人身份证；</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（5）依法缴纳社保证明，提供本单位近三个月的任意一个月社保证明；</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6）凡拟参加本次采购项目的投标人，如在“信用中国（www.creditchina.gov.cn）”；“中国政府采购网（www.ccgp.gov.cn）”；列入严重违法失信企业名单（黑名单）信息的将拒绝其参本次政府采购活动（开标现场查询）；</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（7）本项目不接受联合体投标。</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（8）企业负责人为同一人或者存在直接控股、管理关系的不同投标人，不得参加同一合同项下的政府采购活动，否则，皆取消投标资格；</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（9）</w:t>
            </w:r>
            <w:r>
              <w:rPr>
                <w:rFonts w:hint="eastAsia" w:ascii="宋体" w:hAnsi="宋体" w:cs="Arial"/>
                <w:bCs/>
                <w:color w:val="000000"/>
                <w:kern w:val="0"/>
                <w:sz w:val="24"/>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（10）</w:t>
            </w:r>
            <w:r>
              <w:rPr>
                <w:rFonts w:hint="eastAsia" w:ascii="宋体" w:hAnsi="宋体" w:cs="Arial"/>
                <w:bCs/>
                <w:color w:val="000000"/>
                <w:kern w:val="0"/>
                <w:sz w:val="24"/>
              </w:rPr>
              <w:t>、提供针对本次项目《反商业贿赂承诺书》。</w:t>
            </w:r>
          </w:p>
          <w:p>
            <w:pPr>
              <w:widowControl/>
              <w:spacing w:before="50" w:after="50" w:line="320" w:lineRule="exact"/>
              <w:jc w:val="left"/>
            </w:pPr>
            <w:r>
              <w:rPr>
                <w:rFonts w:hint="eastAsia" w:ascii="宋体" w:hAnsi="宋体" w:eastAsia="宋体" w:cs="Arial"/>
                <w:bCs/>
                <w:color w:val="000000"/>
                <w:kern w:val="0"/>
                <w:sz w:val="24"/>
                <w:szCs w:val="24"/>
                <w:u w:val="none"/>
                <w:lang w:val="en-US" w:eastAsia="zh-CN" w:bidi="ar-SA"/>
              </w:rPr>
              <w:t>（1</w:t>
            </w:r>
            <w:r>
              <w:rPr>
                <w:rFonts w:hint="eastAsia" w:ascii="宋体" w:hAnsi="宋体" w:cs="Arial"/>
                <w:bCs/>
                <w:color w:val="000000"/>
                <w:kern w:val="0"/>
                <w:sz w:val="24"/>
                <w:szCs w:val="24"/>
                <w:u w:val="none"/>
                <w:lang w:val="en-US" w:eastAsia="zh-CN" w:bidi="ar-SA"/>
              </w:rPr>
              <w:t>1</w:t>
            </w:r>
            <w:r>
              <w:rPr>
                <w:rFonts w:hint="eastAsia" w:ascii="宋体" w:hAnsi="宋体" w:eastAsia="宋体" w:cs="Arial"/>
                <w:bCs/>
                <w:color w:val="000000"/>
                <w:kern w:val="0"/>
                <w:sz w:val="24"/>
                <w:szCs w:val="24"/>
                <w:u w:val="none"/>
                <w:lang w:val="en-US" w:eastAsia="zh-CN" w:bidi="ar-SA"/>
              </w:rPr>
              <w:t>）投标保证金已缴纳证明或银行保函原件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lang w:eastAsia="zh-CN"/>
              </w:rPr>
              <w:t>是</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宋体" w:hAnsi="宋体" w:cs="Arial"/>
                <w:bCs/>
                <w:color w:val="000000"/>
                <w:kern w:val="0"/>
                <w:sz w:val="24"/>
                <w:lang w:val="en-US" w:eastAsia="zh-CN"/>
              </w:rPr>
              <w:t>巴楚县旅游产业发展-乡村旅游基础设施提升项目（设备采购），最高限价：1448000.00元（壹佰肆拾肆万捌仟元整）</w:t>
            </w:r>
            <w:r>
              <w:rPr>
                <w:rFonts w:hint="eastAsia" w:ascii="宋体" w:hAnsi="宋体" w:cs="Arial"/>
                <w:bCs/>
                <w:color w:val="auto"/>
                <w:kern w:val="0"/>
                <w:sz w:val="24"/>
                <w:lang w:eastAsia="zh-CN"/>
              </w:rPr>
              <w:t>；供货期</w:t>
            </w:r>
            <w:r>
              <w:rPr>
                <w:rFonts w:hint="eastAsia" w:ascii="宋体" w:hAnsi="宋体" w:cs="Arial"/>
                <w:bCs/>
                <w:color w:val="auto"/>
                <w:kern w:val="0"/>
                <w:sz w:val="24"/>
              </w:rPr>
              <w:t>:</w:t>
            </w:r>
            <w:r>
              <w:rPr>
                <w:rFonts w:hint="eastAsia" w:ascii="宋体" w:hAnsi="宋体" w:cs="Arial"/>
                <w:bCs/>
                <w:color w:val="auto"/>
                <w:kern w:val="0"/>
                <w:sz w:val="24"/>
                <w:lang w:val="en-US" w:eastAsia="zh-CN"/>
              </w:rPr>
              <w:t>30</w:t>
            </w:r>
            <w:r>
              <w:rPr>
                <w:rFonts w:hint="eastAsia" w:ascii="宋体" w:hAnsi="宋体" w:cs="Arial"/>
                <w:bCs/>
                <w:color w:val="auto"/>
                <w:kern w:val="0"/>
                <w:sz w:val="24"/>
                <w:lang w:eastAsia="zh-CN"/>
              </w:rPr>
              <w:t>天</w:t>
            </w:r>
            <w:r>
              <w:rPr>
                <w:rFonts w:hint="eastAsia" w:ascii="宋体" w:hAnsi="宋体" w:cs="Arial"/>
                <w:bCs/>
                <w:color w:val="auto"/>
                <w:kern w:val="0"/>
                <w:sz w:val="24"/>
              </w:rPr>
              <w:t>(具体</w:t>
            </w:r>
            <w:r>
              <w:rPr>
                <w:rFonts w:hint="eastAsia" w:ascii="宋体" w:hAnsi="宋体" w:cs="Arial"/>
                <w:bCs/>
                <w:color w:val="000000"/>
                <w:kern w:val="0"/>
                <w:sz w:val="24"/>
              </w:rPr>
              <w:t>情况由中标单位和业主在合同中约定)</w:t>
            </w:r>
            <w:r>
              <w:rPr>
                <w:rFonts w:hint="eastAsia" w:ascii="宋体" w:hAnsi="宋体" w:cs="Arial"/>
                <w:bCs/>
                <w:color w:val="000000"/>
                <w:kern w:val="0"/>
                <w:sz w:val="24"/>
                <w:lang w:eastAsia="zh-CN"/>
              </w:rPr>
              <w:t>；供货</w:t>
            </w:r>
            <w:r>
              <w:rPr>
                <w:rFonts w:hint="eastAsia" w:ascii="宋体" w:hAnsi="宋体" w:cs="Arial"/>
                <w:bCs/>
                <w:color w:val="000000"/>
                <w:kern w:val="0"/>
                <w:sz w:val="24"/>
              </w:rPr>
              <w:t>地点</w:t>
            </w:r>
            <w:r>
              <w:rPr>
                <w:rFonts w:hint="eastAsia" w:ascii="宋体" w:hAnsi="宋体" w:cs="Arial"/>
                <w:bCs/>
                <w:color w:val="000000"/>
                <w:kern w:val="0"/>
                <w:sz w:val="24"/>
                <w:lang w:eastAsia="zh-CN"/>
              </w:rPr>
              <w:t>：</w:t>
            </w:r>
            <w:r>
              <w:rPr>
                <w:rFonts w:hint="eastAsia" w:ascii="宋体" w:hAnsi="宋体" w:cs="Arial"/>
                <w:bCs/>
                <w:color w:val="000000"/>
                <w:kern w:val="0"/>
                <w:sz w:val="24"/>
              </w:rPr>
              <w:t>巴楚县阿纳库勒乡塔拉硝尔村、巴楚县夏马勒乡奇特村、巴楚县白沙山景区。(具体情况由中标单位和业主在合同中约定)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w:t>
            </w:r>
            <w:r>
              <w:rPr>
                <w:rFonts w:hint="eastAsia" w:ascii="宋体" w:hAnsi="宋体" w:cs="宋体"/>
                <w:color w:val="000000"/>
                <w:sz w:val="24"/>
                <w:lang w:eastAsia="zh-CN"/>
              </w:rPr>
              <w:t>☑</w:t>
            </w:r>
            <w:r>
              <w:rPr>
                <w:rFonts w:hint="eastAsia" w:ascii="宋体" w:hAnsi="宋体" w:cs="宋体"/>
                <w:color w:val="000000"/>
                <w:sz w:val="24"/>
              </w:rPr>
              <w:t>保函</w:t>
            </w:r>
            <w:r>
              <w:rPr>
                <w:rFonts w:hint="eastAsia" w:ascii="宋体" w:hAnsi="宋体" w:cs="宋体"/>
                <w:color w:val="000000"/>
                <w:sz w:val="24"/>
                <w:lang w:eastAsia="zh-CN"/>
              </w:rPr>
              <w:t>☑</w:t>
            </w:r>
            <w:r>
              <w:rPr>
                <w:rFonts w:hint="eastAsia" w:ascii="宋体" w:hAnsi="宋体" w:cs="宋体"/>
                <w:color w:val="000000"/>
                <w:sz w:val="24"/>
              </w:rPr>
              <w:t>电汇</w:t>
            </w:r>
            <w:r>
              <w:rPr>
                <w:rFonts w:hint="eastAsia" w:ascii="宋体" w:hAnsi="宋体" w:cs="宋体"/>
                <w:color w:val="000000"/>
                <w:sz w:val="24"/>
                <w:lang w:eastAsia="zh-CN"/>
              </w:rPr>
              <w:t>☑</w:t>
            </w:r>
            <w:r>
              <w:rPr>
                <w:rFonts w:hint="eastAsia" w:ascii="宋体" w:hAnsi="宋体" w:cs="宋体"/>
                <w:color w:val="000000"/>
                <w:sz w:val="24"/>
              </w:rPr>
              <w:t>支票</w:t>
            </w:r>
            <w:r>
              <w:rPr>
                <w:rFonts w:hint="eastAsia" w:ascii="宋体" w:hAnsi="宋体" w:cs="宋体"/>
                <w:color w:val="000000"/>
                <w:sz w:val="24"/>
                <w:lang w:eastAsia="zh-CN"/>
              </w:rPr>
              <w:t>☑</w:t>
            </w:r>
            <w:r>
              <w:rPr>
                <w:rFonts w:hint="eastAsia" w:ascii="宋体" w:hAnsi="宋体" w:cs="宋体"/>
                <w:color w:val="000000"/>
                <w:sz w:val="24"/>
              </w:rPr>
              <w:t>网银（本项目允许的其他形式）</w:t>
            </w:r>
          </w:p>
          <w:p>
            <w:pPr>
              <w:spacing w:line="320" w:lineRule="exact"/>
              <w:rPr>
                <w:rFonts w:ascii="宋体" w:hAnsi="宋体" w:cs="宋体"/>
                <w:color w:val="000000"/>
                <w:sz w:val="24"/>
              </w:rPr>
            </w:pPr>
            <w:r>
              <w:rPr>
                <w:rFonts w:hint="eastAsia" w:ascii="宋体" w:hAnsi="宋体" w:cs="宋体"/>
                <w:color w:val="000000"/>
                <w:sz w:val="24"/>
              </w:rPr>
              <w:t>保证金数额：</w:t>
            </w:r>
            <w:r>
              <w:rPr>
                <w:rFonts w:hint="eastAsia" w:ascii="宋体" w:hAnsi="宋体" w:cs="宋体"/>
                <w:color w:val="000000"/>
                <w:sz w:val="24"/>
                <w:lang w:val="en-US" w:eastAsia="zh-CN"/>
              </w:rPr>
              <w:t>20000</w:t>
            </w:r>
            <w:r>
              <w:rPr>
                <w:rFonts w:hint="eastAsia" w:ascii="宋体" w:hAnsi="宋体" w:cs="宋体"/>
                <w:color w:val="000000"/>
                <w:sz w:val="24"/>
              </w:rPr>
              <w:t>.00元</w:t>
            </w:r>
            <w:r>
              <w:rPr>
                <w:rFonts w:hint="eastAsia" w:ascii="宋体" w:hAnsi="宋体" w:cs="宋体"/>
                <w:color w:val="000000"/>
                <w:sz w:val="24"/>
                <w:lang w:eastAsia="zh-CN"/>
              </w:rPr>
              <w:t>，</w:t>
            </w:r>
            <w:r>
              <w:rPr>
                <w:rFonts w:hint="eastAsia" w:ascii="宋体" w:hAnsi="宋体" w:cs="宋体"/>
                <w:color w:val="000000"/>
                <w:sz w:val="24"/>
              </w:rPr>
              <w:t>大写：</w:t>
            </w:r>
            <w:r>
              <w:rPr>
                <w:rFonts w:hint="eastAsia" w:ascii="宋体" w:hAnsi="宋体" w:cs="宋体"/>
                <w:color w:val="000000"/>
                <w:sz w:val="24"/>
                <w:lang w:val="en-US" w:eastAsia="zh-CN"/>
              </w:rPr>
              <w:t>贰万元整</w:t>
            </w:r>
            <w:r>
              <w:rPr>
                <w:rFonts w:hint="eastAsia" w:ascii="宋体" w:hAnsi="宋体" w:cs="宋体"/>
                <w:color w:val="000000"/>
                <w:sz w:val="24"/>
              </w:rPr>
              <w:t>（人民币）</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lang w:val="en-US" w:eastAsia="zh-CN"/>
              </w:rPr>
              <w:t>开户名称：陕西智鑫工程造价咨询有限公司喀什一分公司</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lang w:val="en-US" w:eastAsia="zh-CN"/>
              </w:rPr>
              <w:t xml:space="preserve">开户银行：中国工商银行股份有限公司喀什解放南路支行    </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lang w:val="en-US" w:eastAsia="zh-CN"/>
              </w:rPr>
              <w:t>帐    号：3012341509200069026</w:t>
            </w:r>
          </w:p>
          <w:p>
            <w:pPr>
              <w:spacing w:line="240" w:lineRule="atLeast"/>
              <w:ind w:firstLine="422" w:firstLineChars="175"/>
              <w:rPr>
                <w:rFonts w:hint="eastAsia" w:ascii="宋体" w:hAnsi="宋体" w:eastAsia="仿宋_GB2312" w:cs="宋体"/>
                <w:color w:val="000000"/>
                <w:sz w:val="24"/>
                <w:lang w:eastAsia="zh-CN"/>
              </w:rPr>
            </w:pPr>
            <w:r>
              <w:rPr>
                <w:rFonts w:hint="eastAsia" w:ascii="仿宋_GB2312" w:eastAsia="仿宋_GB2312"/>
                <w:b/>
                <w:bCs/>
                <w:sz w:val="24"/>
                <w:lang w:val="en-US" w:eastAsia="zh-CN"/>
              </w:rPr>
              <w:t xml:space="preserve"> </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lang w:val="en-US" w:eastAsia="zh-CN"/>
              </w:rPr>
              <w:t>2</w:t>
            </w:r>
            <w:r>
              <w:rPr>
                <w:rFonts w:hint="eastAsia" w:ascii="仿宋_GB2312" w:eastAsia="仿宋_GB2312"/>
                <w:b/>
                <w:bCs/>
                <w:sz w:val="24"/>
              </w:rPr>
              <w:t>年</w:t>
            </w:r>
            <w:r>
              <w:rPr>
                <w:rFonts w:hint="eastAsia" w:ascii="仿宋_GB2312" w:eastAsia="仿宋_GB2312"/>
                <w:b/>
                <w:bCs/>
                <w:sz w:val="24"/>
                <w:lang w:val="en-US" w:eastAsia="zh-CN"/>
              </w:rPr>
              <w:t>6</w:t>
            </w:r>
            <w:r>
              <w:rPr>
                <w:rFonts w:hint="eastAsia" w:ascii="仿宋_GB2312" w:eastAsia="仿宋_GB2312"/>
                <w:b/>
                <w:bCs/>
                <w:sz w:val="24"/>
              </w:rPr>
              <w:t>月</w:t>
            </w:r>
            <w:r>
              <w:rPr>
                <w:rFonts w:hint="eastAsia" w:ascii="仿宋_GB2312" w:eastAsia="仿宋_GB2312"/>
                <w:b/>
                <w:bCs/>
                <w:sz w:val="24"/>
                <w:lang w:val="en-US" w:eastAsia="zh-CN"/>
              </w:rPr>
              <w:t>26</w:t>
            </w:r>
            <w:r>
              <w:rPr>
                <w:rFonts w:hint="eastAsia" w:ascii="仿宋_GB2312" w:eastAsia="仿宋_GB2312"/>
                <w:b/>
                <w:bCs/>
                <w:sz w:val="24"/>
              </w:rPr>
              <w:t>日</w:t>
            </w:r>
            <w:r>
              <w:rPr>
                <w:rFonts w:ascii="仿宋_GB2312" w:eastAsia="仿宋_GB2312"/>
                <w:b/>
                <w:bCs/>
                <w:sz w:val="24"/>
              </w:rPr>
              <w:t>1</w:t>
            </w:r>
            <w:r>
              <w:rPr>
                <w:rFonts w:hint="eastAsia" w:ascii="仿宋_GB2312" w:eastAsia="仿宋_GB2312"/>
                <w:b/>
                <w:bCs/>
                <w:sz w:val="24"/>
                <w:lang w:val="en-US" w:eastAsia="zh-CN"/>
              </w:rPr>
              <w:t>6</w:t>
            </w:r>
            <w:r>
              <w:rPr>
                <w:rFonts w:hint="eastAsia" w:ascii="仿宋_GB2312" w:eastAsia="仿宋_GB2312"/>
                <w:b/>
                <w:bCs/>
                <w:sz w:val="24"/>
              </w:rPr>
              <w:t>时0</w:t>
            </w:r>
            <w:r>
              <w:rPr>
                <w:rFonts w:ascii="仿宋_GB2312" w:eastAsia="仿宋_GB2312"/>
                <w:b/>
                <w:bCs/>
                <w:sz w:val="24"/>
              </w:rPr>
              <w:t>0</w:t>
            </w:r>
            <w:r>
              <w:rPr>
                <w:rFonts w:hint="eastAsia" w:ascii="仿宋_GB2312" w:eastAsia="仿宋_GB2312"/>
                <w:b/>
                <w:bCs/>
                <w:sz w:val="24"/>
              </w:rPr>
              <w:t>分（以到账户时间为准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2"/>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履约保证金金额：合同总价的　</w:t>
            </w:r>
            <w:r>
              <w:rPr>
                <w:rFonts w:hint="eastAsia" w:ascii="仿宋_GB2312" w:hAnsi="Times New Roman" w:eastAsia="仿宋_GB2312" w:cs="Times New Roman"/>
                <w:b/>
                <w:bCs/>
                <w:sz w:val="24"/>
                <w:lang w:val="en-US" w:eastAsia="zh-CN"/>
              </w:rPr>
              <w:t>5</w:t>
            </w:r>
            <w:r>
              <w:rPr>
                <w:rFonts w:hint="eastAsia" w:ascii="仿宋_GB2312" w:hAnsi="Times New Roman" w:eastAsia="仿宋_GB2312" w:cs="Times New Roman"/>
                <w:b/>
                <w:bCs/>
                <w:sz w:val="24"/>
              </w:rPr>
              <w:t>%　（不得超过政府采购合同金额的10%）</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履约保证金形式：</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保函</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电汇</w:t>
            </w:r>
            <w:r>
              <w:rPr>
                <w:rFonts w:hint="eastAsia" w:ascii="仿宋_GB2312" w:hAnsi="Times New Roman" w:eastAsia="仿宋_GB2312" w:cs="Times New Roman"/>
                <w:b/>
                <w:bCs/>
                <w:sz w:val="24"/>
              </w:rPr>
              <w:fldChar w:fldCharType="begin"/>
            </w:r>
            <w:r>
              <w:rPr>
                <w:rFonts w:hint="eastAsia" w:ascii="仿宋_GB2312" w:hAnsi="Times New Roman" w:eastAsia="仿宋_GB2312" w:cs="Times New Roman"/>
                <w:b/>
                <w:bCs/>
                <w:sz w:val="24"/>
              </w:rPr>
              <w:instrText xml:space="preserve"> eq \o\ac(□</w:instrText>
            </w:r>
            <w:r>
              <w:rPr>
                <w:rFonts w:hint="eastAsia" w:ascii="仿宋_GB2312" w:hAnsi="Times New Roman" w:eastAsia="仿宋_GB2312" w:cs="Times New Roman"/>
                <w:b/>
                <w:bCs/>
                <w:sz w:val="24"/>
                <w:lang w:eastAsia="zh-CN"/>
              </w:rPr>
              <w:instrText xml:space="preserve">,√</w:instrText>
            </w:r>
            <w:r>
              <w:rPr>
                <w:rFonts w:hint="eastAsia" w:ascii="仿宋_GB2312" w:hAnsi="Times New Roman" w:eastAsia="仿宋_GB2312" w:cs="Times New Roman"/>
                <w:b/>
                <w:bCs/>
                <w:sz w:val="24"/>
              </w:rPr>
              <w:instrText xml:space="preserve">)</w:instrText>
            </w:r>
            <w:r>
              <w:rPr>
                <w:rFonts w:hint="eastAsia" w:ascii="仿宋_GB2312" w:hAnsi="Times New Roman" w:eastAsia="仿宋_GB2312" w:cs="Times New Roman"/>
                <w:b/>
                <w:bCs/>
                <w:sz w:val="24"/>
              </w:rPr>
              <w:fldChar w:fldCharType="end"/>
            </w:r>
            <w:r>
              <w:rPr>
                <w:rFonts w:hint="eastAsia" w:ascii="仿宋_GB2312" w:hAnsi="Times New Roman" w:eastAsia="仿宋_GB2312" w:cs="Times New Roman"/>
                <w:b/>
                <w:bCs/>
                <w:sz w:val="24"/>
              </w:rPr>
              <w:t>支票</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 xml:space="preserve">网银（本项目允许的其他形式）        </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提交履约保证金的时间：签订合同前</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u w:val="single"/>
                <w:lang w:val="en-US" w:eastAsia="zh-CN"/>
              </w:rPr>
              <w:t>7</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rPr>
              <w:t>日历日</w:t>
            </w:r>
          </w:p>
          <w:p>
            <w:pPr>
              <w:spacing w:line="240" w:lineRule="atLeast"/>
              <w:ind w:firstLine="422" w:firstLineChars="175"/>
              <w:rPr>
                <w:rFonts w:hint="eastAsia" w:ascii="仿宋_GB2312" w:eastAsia="仿宋_GB2312" w:cs="Times New Roman"/>
                <w:b/>
                <w:bCs/>
                <w:sz w:val="24"/>
                <w:lang w:val="en-US" w:eastAsia="zh-CN"/>
              </w:rPr>
            </w:pPr>
            <w:r>
              <w:rPr>
                <w:rFonts w:hint="eastAsia" w:ascii="仿宋_GB2312" w:hAnsi="Times New Roman" w:eastAsia="仿宋_GB2312" w:cs="Times New Roman"/>
                <w:b/>
                <w:bCs/>
                <w:sz w:val="24"/>
              </w:rPr>
              <w:t>账户名称：</w:t>
            </w:r>
            <w:r>
              <w:rPr>
                <w:rFonts w:hint="eastAsia" w:ascii="仿宋_GB2312" w:eastAsia="仿宋_GB2312" w:cs="Times New Roman"/>
                <w:b/>
                <w:bCs/>
                <w:sz w:val="24"/>
                <w:lang w:val="en-US" w:eastAsia="zh-CN"/>
              </w:rPr>
              <w:t xml:space="preserve"> </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账号：</w:t>
            </w:r>
          </w:p>
          <w:p>
            <w:pPr>
              <w:spacing w:line="240" w:lineRule="atLeast"/>
              <w:ind w:firstLine="422" w:firstLineChars="175"/>
              <w:rPr>
                <w:rFonts w:hint="eastAsia" w:ascii="宋体" w:hAnsi="宋体" w:cs="宋体"/>
                <w:color w:val="000000"/>
                <w:sz w:val="24"/>
              </w:rPr>
            </w:pPr>
            <w:r>
              <w:rPr>
                <w:rFonts w:hint="eastAsia" w:ascii="仿宋_GB2312" w:hAnsi="Times New Roman" w:eastAsia="仿宋_GB2312" w:cs="Times New Roman"/>
                <w:b/>
                <w:bCs/>
                <w:sz w:val="24"/>
              </w:rPr>
              <w:t>开户行：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sz w:val="24"/>
                <w:u w:val="single"/>
              </w:rPr>
            </w:pPr>
            <w:r>
              <w:rPr>
                <w:rFonts w:hint="eastAsia" w:ascii="宋体" w:hAnsi="宋体" w:cs="宋体"/>
                <w:sz w:val="24"/>
              </w:rPr>
              <w:t>投标截止时间：</w:t>
            </w:r>
            <w:r>
              <w:rPr>
                <w:rFonts w:hint="eastAsia" w:ascii="宋体" w:hAnsi="宋体" w:cs="宋体"/>
                <w:color w:val="000000"/>
                <w:sz w:val="24"/>
                <w:u w:val="single"/>
              </w:rPr>
              <w:t>202</w:t>
            </w:r>
            <w:r>
              <w:rPr>
                <w:rFonts w:hint="eastAsia" w:ascii="宋体" w:hAnsi="宋体" w:cs="宋体"/>
                <w:color w:val="000000"/>
                <w:sz w:val="24"/>
                <w:u w:val="single"/>
                <w:lang w:val="en-US" w:eastAsia="zh-CN"/>
              </w:rPr>
              <w:t>2</w:t>
            </w:r>
            <w:r>
              <w:rPr>
                <w:rFonts w:hint="eastAsia" w:ascii="宋体" w:hAnsi="宋体" w:cs="宋体"/>
                <w:color w:val="000000"/>
                <w:sz w:val="24"/>
                <w:u w:val="single"/>
              </w:rPr>
              <w:t>年</w:t>
            </w:r>
            <w:r>
              <w:rPr>
                <w:rFonts w:hint="eastAsia" w:ascii="宋体" w:hAnsi="宋体" w:cs="宋体"/>
                <w:color w:val="000000"/>
                <w:sz w:val="24"/>
                <w:u w:val="single"/>
                <w:lang w:val="en-US" w:eastAsia="zh-CN"/>
              </w:rPr>
              <w:t>6</w:t>
            </w:r>
            <w:r>
              <w:rPr>
                <w:rFonts w:hint="eastAsia" w:ascii="宋体" w:hAnsi="宋体" w:cs="宋体"/>
                <w:color w:val="000000"/>
                <w:sz w:val="24"/>
                <w:u w:val="single"/>
              </w:rPr>
              <w:t>月</w:t>
            </w:r>
            <w:r>
              <w:rPr>
                <w:rFonts w:hint="eastAsia" w:ascii="宋体" w:hAnsi="宋体" w:cs="宋体"/>
                <w:color w:val="000000"/>
                <w:sz w:val="24"/>
                <w:u w:val="single"/>
                <w:lang w:val="en-US" w:eastAsia="zh-CN"/>
              </w:rPr>
              <w:t>26</w:t>
            </w:r>
            <w:r>
              <w:rPr>
                <w:rFonts w:hint="eastAsia" w:ascii="宋体" w:hAnsi="宋体" w:cs="宋体"/>
                <w:color w:val="000000"/>
                <w:sz w:val="24"/>
                <w:u w:val="single"/>
              </w:rPr>
              <w:t>日</w:t>
            </w:r>
            <w:r>
              <w:rPr>
                <w:rFonts w:hint="eastAsia" w:ascii="宋体" w:hAnsi="宋体" w:cs="宋体"/>
                <w:color w:val="000000"/>
                <w:sz w:val="24"/>
                <w:u w:val="single"/>
                <w:lang w:eastAsia="zh-CN"/>
              </w:rPr>
              <w:t>下</w:t>
            </w:r>
            <w:r>
              <w:rPr>
                <w:rFonts w:hint="eastAsia" w:ascii="宋体" w:hAnsi="宋体" w:cs="宋体"/>
                <w:color w:val="000000"/>
                <w:sz w:val="24"/>
                <w:u w:val="single"/>
              </w:rPr>
              <w:t>午1</w:t>
            </w:r>
            <w:r>
              <w:rPr>
                <w:rFonts w:hint="eastAsia" w:ascii="宋体" w:hAnsi="宋体" w:cs="宋体"/>
                <w:color w:val="000000"/>
                <w:sz w:val="24"/>
                <w:u w:val="single"/>
                <w:lang w:val="en-US" w:eastAsia="zh-CN"/>
              </w:rPr>
              <w:t>6</w:t>
            </w:r>
            <w:r>
              <w:rPr>
                <w:rFonts w:hint="eastAsia" w:ascii="宋体" w:hAnsi="宋体" w:cs="宋体"/>
                <w:color w:val="000000"/>
                <w:sz w:val="24"/>
                <w:u w:val="single"/>
              </w:rPr>
              <w:t>:00</w:t>
            </w:r>
          </w:p>
          <w:p>
            <w:pPr>
              <w:spacing w:line="240" w:lineRule="atLeast"/>
              <w:rPr>
                <w:rFonts w:hint="eastAsia" w:ascii="宋体" w:hAnsi="宋体" w:eastAsia="宋体" w:cs="宋体"/>
                <w:color w:val="000000"/>
                <w:sz w:val="24"/>
                <w:lang w:eastAsia="zh-CN"/>
              </w:rPr>
            </w:pPr>
            <w:r>
              <w:rPr>
                <w:rFonts w:hint="eastAsia" w:ascii="宋体" w:hAnsi="宋体" w:cs="宋体"/>
                <w:sz w:val="24"/>
              </w:rPr>
              <w:t>投标文件递交地点：</w:t>
            </w:r>
            <w:r>
              <w:rPr>
                <w:rFonts w:hint="eastAsia" w:ascii="宋体" w:hAnsi="宋体" w:cs="宋体"/>
                <w:sz w:val="24"/>
                <w:lang w:val="en-US" w:eastAsia="zh-CN"/>
              </w:rPr>
              <w:t>巴楚县巴楚镇迎宾北路39号隆城大酒店会议室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sz w:val="24"/>
                <w:u w:val="single"/>
              </w:rPr>
            </w:pPr>
            <w:r>
              <w:rPr>
                <w:rFonts w:hint="eastAsia" w:ascii="宋体" w:hAnsi="宋体" w:cs="宋体"/>
                <w:color w:val="000000"/>
                <w:sz w:val="24"/>
              </w:rPr>
              <w:t>开标时间：</w:t>
            </w:r>
            <w:r>
              <w:rPr>
                <w:rFonts w:hint="eastAsia" w:ascii="宋体" w:hAnsi="宋体" w:cs="宋体"/>
                <w:color w:val="000000"/>
                <w:sz w:val="24"/>
                <w:u w:val="single"/>
              </w:rPr>
              <w:t>202</w:t>
            </w:r>
            <w:r>
              <w:rPr>
                <w:rFonts w:hint="eastAsia" w:ascii="宋体" w:hAnsi="宋体" w:cs="宋体"/>
                <w:color w:val="000000"/>
                <w:sz w:val="24"/>
                <w:u w:val="single"/>
                <w:lang w:val="en-US" w:eastAsia="zh-CN"/>
              </w:rPr>
              <w:t>2</w:t>
            </w:r>
            <w:r>
              <w:rPr>
                <w:rFonts w:hint="eastAsia" w:ascii="宋体" w:hAnsi="宋体" w:cs="宋体"/>
                <w:color w:val="000000"/>
                <w:sz w:val="24"/>
                <w:u w:val="single"/>
              </w:rPr>
              <w:t>年</w:t>
            </w:r>
            <w:r>
              <w:rPr>
                <w:rFonts w:hint="eastAsia" w:ascii="宋体" w:hAnsi="宋体" w:cs="宋体"/>
                <w:color w:val="000000"/>
                <w:sz w:val="24"/>
                <w:u w:val="single"/>
                <w:lang w:val="en-US" w:eastAsia="zh-CN"/>
              </w:rPr>
              <w:t>6</w:t>
            </w:r>
            <w:r>
              <w:rPr>
                <w:rFonts w:hint="eastAsia" w:ascii="宋体" w:hAnsi="宋体" w:cs="宋体"/>
                <w:color w:val="000000"/>
                <w:sz w:val="24"/>
                <w:u w:val="single"/>
              </w:rPr>
              <w:t>月</w:t>
            </w:r>
            <w:r>
              <w:rPr>
                <w:rFonts w:hint="eastAsia" w:ascii="宋体" w:hAnsi="宋体" w:cs="宋体"/>
                <w:color w:val="000000"/>
                <w:sz w:val="24"/>
                <w:u w:val="single"/>
                <w:lang w:val="en-US" w:eastAsia="zh-CN"/>
              </w:rPr>
              <w:t>26</w:t>
            </w:r>
            <w:r>
              <w:rPr>
                <w:rFonts w:hint="eastAsia" w:ascii="宋体" w:hAnsi="宋体" w:cs="宋体"/>
                <w:color w:val="000000"/>
                <w:sz w:val="24"/>
                <w:u w:val="single"/>
              </w:rPr>
              <w:t>日</w:t>
            </w:r>
            <w:r>
              <w:rPr>
                <w:rFonts w:hint="eastAsia" w:ascii="宋体" w:hAnsi="宋体" w:cs="宋体"/>
                <w:color w:val="000000"/>
                <w:sz w:val="24"/>
                <w:u w:val="single"/>
                <w:lang w:eastAsia="zh-CN"/>
              </w:rPr>
              <w:t>下</w:t>
            </w:r>
            <w:r>
              <w:rPr>
                <w:rFonts w:hint="eastAsia" w:ascii="宋体" w:hAnsi="宋体" w:cs="宋体"/>
                <w:color w:val="000000"/>
                <w:sz w:val="24"/>
                <w:u w:val="single"/>
              </w:rPr>
              <w:t>午1</w:t>
            </w:r>
            <w:r>
              <w:rPr>
                <w:rFonts w:hint="eastAsia" w:ascii="宋体" w:hAnsi="宋体" w:cs="宋体"/>
                <w:color w:val="000000"/>
                <w:sz w:val="24"/>
                <w:u w:val="single"/>
                <w:lang w:val="en-US" w:eastAsia="zh-CN"/>
              </w:rPr>
              <w:t>6</w:t>
            </w:r>
            <w:r>
              <w:rPr>
                <w:rFonts w:hint="eastAsia" w:ascii="宋体" w:hAnsi="宋体" w:cs="宋体"/>
                <w:color w:val="000000"/>
                <w:sz w:val="24"/>
                <w:u w:val="single"/>
              </w:rPr>
              <w:t>:00</w:t>
            </w:r>
          </w:p>
          <w:p>
            <w:pPr>
              <w:spacing w:line="240" w:lineRule="atLeast"/>
              <w:rPr>
                <w:rFonts w:hint="eastAsia" w:ascii="宋体" w:hAnsi="宋体" w:eastAsia="宋体" w:cs="宋体"/>
                <w:color w:val="000000"/>
                <w:sz w:val="24"/>
                <w:lang w:eastAsia="zh-CN"/>
              </w:rPr>
            </w:pPr>
            <w:r>
              <w:rPr>
                <w:rFonts w:hint="eastAsia" w:ascii="宋体" w:hAnsi="宋体" w:cs="宋体"/>
                <w:color w:val="000000"/>
                <w:sz w:val="24"/>
              </w:rPr>
              <w:t>开标地点：</w:t>
            </w:r>
            <w:r>
              <w:rPr>
                <w:rFonts w:hint="eastAsia" w:ascii="宋体" w:hAnsi="宋体" w:cs="宋体"/>
                <w:color w:val="000000"/>
                <w:sz w:val="24"/>
                <w:lang w:val="en-US" w:eastAsia="zh-CN"/>
              </w:rPr>
              <w:t>巴楚县巴楚镇迎宾北路39号隆城大酒店会议室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highlight w:val="none"/>
              </w:rPr>
            </w:pPr>
            <w:r>
              <w:rPr>
                <w:rFonts w:hint="eastAsia" w:ascii="宋体" w:hAnsi="宋体" w:cs="宋体"/>
                <w:color w:val="000000"/>
                <w:sz w:val="24"/>
                <w:highlight w:val="none"/>
              </w:rPr>
              <w:t>19.1</w:t>
            </w:r>
          </w:p>
        </w:tc>
        <w:tc>
          <w:tcPr>
            <w:tcW w:w="7875" w:type="dxa"/>
            <w:vAlign w:val="center"/>
          </w:tcPr>
          <w:p>
            <w:pPr>
              <w:spacing w:line="240" w:lineRule="atLeast"/>
              <w:rPr>
                <w:rFonts w:ascii="宋体" w:hAnsi="宋体" w:cs="宋体"/>
                <w:spacing w:val="-2"/>
                <w:kern w:val="0"/>
                <w:sz w:val="24"/>
                <w:highlight w:val="none"/>
              </w:rPr>
            </w:pPr>
            <w:r>
              <w:rPr>
                <w:rFonts w:hint="eastAsia" w:ascii="宋体" w:hAnsi="宋体" w:cs="宋体"/>
                <w:kern w:val="0"/>
                <w:sz w:val="24"/>
                <w:highlight w:val="none"/>
              </w:rPr>
              <w:t>评标小组构</w:t>
            </w:r>
            <w:r>
              <w:rPr>
                <w:rFonts w:hint="eastAsia" w:ascii="宋体" w:hAnsi="宋体" w:cs="宋体"/>
                <w:spacing w:val="-2"/>
                <w:kern w:val="0"/>
                <w:sz w:val="24"/>
                <w:highlight w:val="none"/>
              </w:rPr>
              <w:t>成</w:t>
            </w:r>
            <w:r>
              <w:rPr>
                <w:rFonts w:hint="eastAsia" w:ascii="宋体" w:hAnsi="宋体" w:cs="宋体"/>
                <w:kern w:val="0"/>
                <w:sz w:val="24"/>
                <w:highlight w:val="none"/>
              </w:rPr>
              <w:t>：</w:t>
            </w:r>
            <w:r>
              <w:rPr>
                <w:rFonts w:hint="eastAsia" w:ascii="宋体" w:hAnsi="宋体" w:cs="宋体"/>
                <w:spacing w:val="43"/>
                <w:kern w:val="0"/>
                <w:sz w:val="24"/>
                <w:highlight w:val="none"/>
                <w:u w:val="single"/>
              </w:rPr>
              <w:t>5</w:t>
            </w:r>
            <w:r>
              <w:rPr>
                <w:rFonts w:hint="eastAsia" w:ascii="宋体" w:hAnsi="宋体" w:cs="宋体"/>
                <w:kern w:val="0"/>
                <w:sz w:val="24"/>
                <w:highlight w:val="none"/>
              </w:rPr>
              <w:t>人其中</w:t>
            </w:r>
            <w:r>
              <w:rPr>
                <w:rFonts w:hint="eastAsia" w:ascii="宋体" w:hAnsi="宋体" w:cs="宋体"/>
                <w:spacing w:val="-2"/>
                <w:kern w:val="0"/>
                <w:sz w:val="24"/>
                <w:highlight w:val="none"/>
              </w:rPr>
              <w:t>招</w:t>
            </w:r>
            <w:r>
              <w:rPr>
                <w:rFonts w:hint="eastAsia" w:ascii="宋体" w:hAnsi="宋体" w:cs="宋体"/>
                <w:kern w:val="0"/>
                <w:sz w:val="24"/>
                <w:highlight w:val="none"/>
              </w:rPr>
              <w:t>标</w:t>
            </w:r>
            <w:r>
              <w:rPr>
                <w:rFonts w:hint="eastAsia" w:ascii="宋体" w:hAnsi="宋体" w:cs="宋体"/>
                <w:spacing w:val="-2"/>
                <w:kern w:val="0"/>
                <w:sz w:val="24"/>
                <w:highlight w:val="none"/>
              </w:rPr>
              <w:t>人</w:t>
            </w:r>
            <w:r>
              <w:rPr>
                <w:rFonts w:hint="eastAsia" w:ascii="宋体" w:hAnsi="宋体" w:cs="宋体"/>
                <w:kern w:val="0"/>
                <w:sz w:val="24"/>
                <w:highlight w:val="none"/>
              </w:rPr>
              <w:t>代</w:t>
            </w:r>
            <w:r>
              <w:rPr>
                <w:rFonts w:hint="eastAsia" w:ascii="宋体" w:hAnsi="宋体" w:cs="宋体"/>
                <w:spacing w:val="-3"/>
                <w:kern w:val="0"/>
                <w:sz w:val="24"/>
                <w:highlight w:val="none"/>
              </w:rPr>
              <w:t>表</w:t>
            </w:r>
            <w:r>
              <w:rPr>
                <w:rFonts w:hint="eastAsia" w:ascii="宋体" w:hAnsi="宋体" w:cs="宋体"/>
                <w:spacing w:val="43"/>
                <w:kern w:val="0"/>
                <w:sz w:val="24"/>
                <w:highlight w:val="none"/>
                <w:u w:val="single"/>
                <w:lang w:val="en-US" w:eastAsia="zh-CN"/>
              </w:rPr>
              <w:t>1</w:t>
            </w:r>
            <w:r>
              <w:rPr>
                <w:rFonts w:hint="eastAsia" w:ascii="宋体" w:hAnsi="宋体" w:cs="宋体"/>
                <w:spacing w:val="-2"/>
                <w:kern w:val="0"/>
                <w:sz w:val="24"/>
                <w:highlight w:val="none"/>
              </w:rPr>
              <w:t>人</w:t>
            </w:r>
            <w:r>
              <w:rPr>
                <w:rFonts w:hint="eastAsia" w:ascii="宋体" w:hAnsi="宋体" w:cs="宋体"/>
                <w:spacing w:val="-60"/>
                <w:kern w:val="0"/>
                <w:sz w:val="24"/>
                <w:highlight w:val="none"/>
              </w:rPr>
              <w:t>，</w:t>
            </w:r>
            <w:r>
              <w:rPr>
                <w:rFonts w:hint="eastAsia" w:ascii="宋体" w:hAnsi="宋体" w:cs="宋体"/>
                <w:kern w:val="0"/>
                <w:sz w:val="24"/>
                <w:highlight w:val="none"/>
              </w:rPr>
              <w:t>专</w:t>
            </w:r>
            <w:r>
              <w:rPr>
                <w:rFonts w:hint="eastAsia" w:ascii="宋体" w:hAnsi="宋体" w:cs="宋体"/>
                <w:spacing w:val="1"/>
                <w:kern w:val="0"/>
                <w:sz w:val="24"/>
                <w:highlight w:val="none"/>
              </w:rPr>
              <w:t>家</w:t>
            </w:r>
            <w:r>
              <w:rPr>
                <w:rFonts w:hint="eastAsia" w:ascii="宋体" w:hAnsi="宋体" w:cs="宋体"/>
                <w:spacing w:val="43"/>
                <w:kern w:val="0"/>
                <w:sz w:val="24"/>
                <w:highlight w:val="none"/>
                <w:u w:val="single"/>
                <w:lang w:val="en-US" w:eastAsia="zh-CN"/>
              </w:rPr>
              <w:t>4</w:t>
            </w:r>
            <w:r>
              <w:rPr>
                <w:rFonts w:hint="eastAsia" w:ascii="宋体" w:hAnsi="宋体" w:cs="宋体"/>
                <w:spacing w:val="-2"/>
                <w:kern w:val="0"/>
                <w:sz w:val="24"/>
                <w:highlight w:val="none"/>
              </w:rPr>
              <w:t>人；</w:t>
            </w:r>
          </w:p>
          <w:p>
            <w:pPr>
              <w:spacing w:line="240" w:lineRule="atLeast"/>
              <w:rPr>
                <w:rFonts w:ascii="宋体" w:hAnsi="宋体" w:cs="宋体"/>
                <w:color w:val="000000"/>
                <w:sz w:val="24"/>
                <w:highlight w:val="none"/>
              </w:rPr>
            </w:pPr>
            <w:r>
              <w:rPr>
                <w:rFonts w:hint="eastAsia" w:ascii="宋体" w:hAnsi="宋体" w:cs="宋体"/>
                <w:kern w:val="0"/>
                <w:sz w:val="24"/>
                <w:highlight w:val="none"/>
              </w:rPr>
              <w:t>评标小组成员</w:t>
            </w:r>
            <w:r>
              <w:rPr>
                <w:rFonts w:hint="eastAsia" w:ascii="宋体" w:hAnsi="宋体" w:cs="宋体"/>
                <w:spacing w:val="-2"/>
                <w:kern w:val="0"/>
                <w:sz w:val="24"/>
                <w:highlight w:val="none"/>
              </w:rPr>
              <w:t>确</w:t>
            </w:r>
            <w:r>
              <w:rPr>
                <w:rFonts w:hint="eastAsia" w:ascii="宋体" w:hAnsi="宋体" w:cs="宋体"/>
                <w:kern w:val="0"/>
                <w:sz w:val="24"/>
                <w:highlight w:val="none"/>
              </w:rPr>
              <w:t>定</w:t>
            </w:r>
            <w:r>
              <w:rPr>
                <w:rFonts w:hint="eastAsia" w:ascii="宋体" w:hAnsi="宋体" w:cs="宋体"/>
                <w:spacing w:val="-2"/>
                <w:kern w:val="0"/>
                <w:sz w:val="24"/>
                <w:highlight w:val="none"/>
              </w:rPr>
              <w:t>方</w:t>
            </w:r>
            <w:r>
              <w:rPr>
                <w:rFonts w:hint="eastAsia" w:ascii="宋体" w:hAnsi="宋体" w:cs="宋体"/>
                <w:kern w:val="0"/>
                <w:sz w:val="24"/>
                <w:highlight w:val="none"/>
              </w:rPr>
              <w:t>式：专家</w:t>
            </w:r>
            <w:r>
              <w:rPr>
                <w:rFonts w:hint="eastAsia" w:ascii="宋体" w:hAnsi="宋体" w:cs="宋体"/>
                <w:kern w:val="0"/>
                <w:sz w:val="24"/>
                <w:highlight w:val="none"/>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spacing w:line="240" w:lineRule="atLeast"/>
        <w:ind w:left="1080" w:leftChars="257" w:hanging="540"/>
        <w:rPr>
          <w:rFonts w:cs="宋体" w:asciiTheme="minorEastAsia" w:hAnsiTheme="minorEastAsia" w:eastAsiaTheme="minorEastAsia"/>
          <w:sz w:val="24"/>
        </w:rPr>
        <w:sectPr>
          <w:headerReference r:id="rId14" w:type="default"/>
          <w:footerReference r:id="rId16" w:type="default"/>
          <w:headerReference r:id="rId15" w:type="even"/>
          <w:footerReference r:id="rId17"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rPr>
      </w:pPr>
      <w:bookmarkStart w:id="492" w:name="_Toc216582825"/>
      <w:bookmarkStart w:id="493" w:name="_Toc216513787"/>
      <w:bookmarkStart w:id="494" w:name="_Toc218935351"/>
      <w:bookmarkStart w:id="495" w:name="_Toc218935354"/>
      <w:bookmarkStart w:id="496" w:name="_Toc21132"/>
      <w:bookmarkStart w:id="497" w:name="_Toc219175638"/>
      <w:bookmarkStart w:id="498" w:name="_Toc7112"/>
      <w:bookmarkStart w:id="499" w:name="_Toc216582811"/>
      <w:bookmarkStart w:id="500" w:name="_Toc219175635"/>
      <w:bookmarkStart w:id="501" w:name="_Toc29079_WPSOffice_Level1"/>
      <w:bookmarkStart w:id="502" w:name="_Toc507399906"/>
      <w:bookmarkStart w:id="503" w:name="_Toc518923126"/>
      <w:bookmarkStart w:id="504" w:name="_Toc512937852"/>
      <w:r>
        <w:rPr>
          <w:rFonts w:hint="eastAsia" w:ascii="宋体" w:hAnsi="宋体" w:cs="宋体"/>
          <w:b/>
          <w:kern w:val="0"/>
          <w:sz w:val="32"/>
          <w:szCs w:val="32"/>
        </w:rPr>
        <w:t>资格审查表</w:t>
      </w:r>
    </w:p>
    <w:p>
      <w:pPr>
        <w:rPr>
          <w:rFonts w:ascii="宋体" w:hAnsi="宋体" w:cs="宋体"/>
        </w:rPr>
      </w:pPr>
    </w:p>
    <w:tbl>
      <w:tblPr>
        <w:tblStyle w:val="35"/>
        <w:tblW w:w="15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6"/>
        <w:gridCol w:w="3652"/>
        <w:gridCol w:w="3653"/>
        <w:gridCol w:w="1512"/>
        <w:gridCol w:w="1512"/>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lang w:eastAsia="zh-CN"/>
              </w:rPr>
            </w:pPr>
            <w:r>
              <w:rPr>
                <w:rFonts w:hint="eastAsia" w:ascii="仿宋_GB2312" w:hAnsi="宋体" w:eastAsia="仿宋_GB2312" w:cs="仿宋_GB2312"/>
                <w:b w:val="0"/>
                <w:bCs w:val="0"/>
                <w:i w:val="0"/>
                <w:iCs w:val="0"/>
                <w:color w:val="000000"/>
                <w:sz w:val="24"/>
                <w:szCs w:val="24"/>
                <w:u w:val="none"/>
                <w:lang w:val="en-US" w:eastAsia="zh-CN"/>
              </w:rPr>
              <w:t>审查项目</w:t>
            </w:r>
          </w:p>
        </w:tc>
        <w:tc>
          <w:tcPr>
            <w:tcW w:w="7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913"/>
              </w:tabs>
              <w:jc w:val="center"/>
              <w:textAlignment w:val="center"/>
              <w:rPr>
                <w:rFonts w:hint="eastAsia" w:ascii="仿宋_GB2312" w:hAnsi="宋体" w:eastAsia="仿宋_GB2312" w:cs="仿宋_GB2312"/>
                <w:b/>
                <w:bCs/>
                <w:i w:val="0"/>
                <w:iCs w:val="0"/>
                <w:color w:val="000000"/>
                <w:sz w:val="32"/>
                <w:szCs w:val="32"/>
                <w:u w:val="none"/>
                <w:lang w:eastAsia="zh-CN"/>
              </w:rPr>
            </w:pPr>
            <w:r>
              <w:rPr>
                <w:rFonts w:hint="eastAsia" w:ascii="仿宋_GB2312" w:hAnsi="宋体" w:eastAsia="仿宋_GB2312" w:cs="仿宋_GB2312"/>
                <w:b w:val="0"/>
                <w:bCs w:val="0"/>
                <w:i w:val="0"/>
                <w:iCs w:val="0"/>
                <w:color w:val="000000"/>
                <w:sz w:val="24"/>
                <w:szCs w:val="24"/>
                <w:u w:val="none"/>
                <w:lang w:val="en-US" w:eastAsia="zh-CN"/>
              </w:rPr>
              <w:t>投标人名称</w:t>
            </w:r>
          </w:p>
        </w:tc>
        <w:tc>
          <w:tcPr>
            <w:tcW w:w="1512"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512"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lang w:val="en-US" w:eastAsia="zh-CN"/>
              </w:rPr>
              <w:t>具有经年审合格的企业法人营业执照</w:t>
            </w:r>
            <w:r>
              <w:rPr>
                <w:rFonts w:hint="default" w:ascii="仿宋_GB2312" w:hAnsi="宋体" w:eastAsia="仿宋_GB2312" w:cs="仿宋_GB2312"/>
                <w:b w:val="0"/>
                <w:bCs w:val="0"/>
                <w:i w:val="0"/>
                <w:iCs w:val="0"/>
                <w:color w:val="000000"/>
                <w:sz w:val="24"/>
                <w:szCs w:val="24"/>
                <w:u w:val="none"/>
              </w:rPr>
              <w:t>；</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lang w:val="en-US" w:eastAsia="zh-CN"/>
              </w:rPr>
              <w:t>具有良好的商业信誉和健全的财务会计制度（提供2021年度财务审计报告，</w:t>
            </w:r>
            <w:r>
              <w:rPr>
                <w:rFonts w:hint="default" w:ascii="仿宋_GB2312" w:hAnsi="宋体" w:eastAsia="仿宋_GB2312" w:cs="仿宋_GB2312"/>
                <w:b w:val="0"/>
                <w:bCs w:val="0"/>
                <w:i w:val="0"/>
                <w:iCs w:val="0"/>
                <w:color w:val="000000"/>
                <w:sz w:val="24"/>
                <w:szCs w:val="24"/>
                <w:u w:val="none"/>
              </w:rPr>
              <w:t>新成立的公司需出具银行资信证明</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rPr>
              <w:t>税务部门出具的近三个月内的任意一个月的完税证明</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lang w:val="en-US" w:eastAsia="zh-CN"/>
              </w:rPr>
              <w:t>法定代表人投标的需携带法定代表人证明书及法定代表人身份证；委托代理人需携带法定代表人授权委托书及委托代理人身份证</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lang w:eastAsia="zh-CN"/>
              </w:rPr>
              <w:t>依法缴纳社保证明，提供本单位近三个月的任意一个月社保证明；</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eastAsia" w:ascii="宋体" w:hAnsi="宋体" w:cs="Arial"/>
                <w:bCs/>
                <w:color w:val="000000"/>
                <w:kern w:val="0"/>
                <w:sz w:val="24"/>
                <w:lang w:val="en-US" w:eastAsia="zh-CN"/>
              </w:rPr>
              <w:t>凡拟参加本次采购项目的投标人，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sz w:val="24"/>
                <w:szCs w:val="24"/>
                <w:u w:val="none"/>
              </w:rPr>
              <w:t>提供针对本次项目《反商业贿赂承诺书》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default" w:ascii="仿宋_GB2312" w:hAnsi="宋体" w:eastAsia="仿宋_GB2312" w:cs="仿宋_GB2312"/>
                <w:b w:val="0"/>
                <w:bCs w:val="0"/>
                <w:i w:val="0"/>
                <w:iCs w:val="0"/>
                <w:color w:val="000000"/>
                <w:kern w:val="0"/>
                <w:sz w:val="24"/>
                <w:szCs w:val="24"/>
                <w:u w:val="none"/>
                <w:lang w:val="en-US" w:eastAsia="zh-CN" w:bidi="ar"/>
              </w:rPr>
              <w:t>投标保证金已缴纳证明或银行保函原件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审 核 结 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bl>
    <w:p>
      <w:pPr>
        <w:rPr>
          <w:rFonts w:ascii="宋体" w:hAnsi="宋体" w:cs="宋体"/>
          <w:b/>
          <w:sz w:val="32"/>
          <w:szCs w:val="40"/>
        </w:rPr>
      </w:pPr>
    </w:p>
    <w:bookmarkEnd w:id="492"/>
    <w:bookmarkEnd w:id="493"/>
    <w:bookmarkEnd w:id="494"/>
    <w:bookmarkEnd w:id="495"/>
    <w:bookmarkEnd w:id="496"/>
    <w:bookmarkEnd w:id="497"/>
    <w:bookmarkEnd w:id="498"/>
    <w:bookmarkEnd w:id="499"/>
    <w:bookmarkEnd w:id="500"/>
    <w:bookmarkEnd w:id="501"/>
    <w:bookmarkEnd w:id="502"/>
    <w:bookmarkEnd w:id="503"/>
    <w:bookmarkEnd w:id="504"/>
    <w:p>
      <w:pPr>
        <w:rPr>
          <w:rFonts w:ascii="仿宋_GB2312" w:eastAsia="仿宋_GB2312"/>
          <w:b/>
          <w:bCs/>
          <w:sz w:val="32"/>
          <w:szCs w:val="32"/>
        </w:rPr>
      </w:pPr>
      <w:bookmarkStart w:id="505" w:name="_Toc22779"/>
      <w:bookmarkStart w:id="506" w:name="_Toc515647831"/>
      <w:bookmarkStart w:id="507" w:name="_Toc9887"/>
      <w:bookmarkStart w:id="508" w:name="_Toc9032"/>
      <w:r>
        <w:rPr>
          <w:rFonts w:hint="eastAsia" w:ascii="仿宋_GB2312" w:eastAsia="仿宋_GB2312"/>
          <w:b/>
          <w:bCs/>
          <w:sz w:val="32"/>
          <w:szCs w:val="32"/>
        </w:rPr>
        <w:t>备注：1、以上资料现场携带；2、以上资料装订在投标文件中。</w:t>
      </w:r>
    </w:p>
    <w:p>
      <w:pPr>
        <w:pStyle w:val="4"/>
        <w:tabs>
          <w:tab w:val="left" w:pos="0"/>
        </w:tabs>
        <w:spacing w:before="0" w:after="0" w:line="240" w:lineRule="atLeast"/>
        <w:rPr>
          <w:rFonts w:asciiTheme="minorEastAsia" w:hAnsiTheme="minorEastAsia" w:eastAsiaTheme="minorEastAsia" w:cstheme="minorEastAsia"/>
        </w:rPr>
      </w:pPr>
    </w:p>
    <w:p>
      <w:pPr>
        <w:pStyle w:val="4"/>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4"/>
        <w:tabs>
          <w:tab w:val="left" w:pos="0"/>
        </w:tabs>
        <w:spacing w:before="0" w:after="0" w:line="240" w:lineRule="atLeast"/>
        <w:rPr>
          <w:rFonts w:hAnsi="宋体"/>
          <w:color w:val="auto"/>
          <w:kern w:val="0"/>
          <w:sz w:val="24"/>
          <w:highlight w:val="none"/>
        </w:rPr>
      </w:pPr>
      <w:r>
        <w:rPr>
          <w:rFonts w:hint="eastAsia" w:hAnsi="宋体"/>
          <w:color w:val="auto"/>
          <w:kern w:val="0"/>
          <w:sz w:val="24"/>
          <w:highlight w:val="none"/>
        </w:rPr>
        <w:t>第5章服务需求一览表及技术规格</w:t>
      </w:r>
      <w:bookmarkEnd w:id="505"/>
      <w:bookmarkEnd w:id="506"/>
      <w:bookmarkEnd w:id="507"/>
      <w:bookmarkEnd w:id="508"/>
    </w:p>
    <w:p>
      <w:pPr>
        <w:ind w:left="2570"/>
        <w:rPr>
          <w:rFonts w:ascii="宋体" w:hAnsi="宋体"/>
          <w:b/>
          <w:color w:val="000000"/>
          <w:kern w:val="0"/>
          <w:sz w:val="24"/>
          <w:szCs w:val="20"/>
        </w:rPr>
      </w:pPr>
    </w:p>
    <w:p>
      <w:pPr>
        <w:tabs>
          <w:tab w:val="left" w:pos="1470"/>
        </w:tabs>
        <w:spacing w:line="360" w:lineRule="auto"/>
        <w:ind w:left="-1" w:leftChars="0" w:firstLine="0" w:firstLineChars="0"/>
        <w:rPr>
          <w:rFonts w:hint="eastAsia" w:ascii="仿宋_GB2312" w:eastAsia="仿宋_GB2312"/>
          <w:b/>
          <w:sz w:val="24"/>
        </w:rPr>
      </w:pPr>
      <w:bookmarkStart w:id="509" w:name="_Toc387416363"/>
      <w:bookmarkStart w:id="510" w:name="_Toc287112607"/>
      <w:bookmarkStart w:id="511" w:name="_Toc1213263"/>
      <w:bookmarkStart w:id="512" w:name="_Toc507399904"/>
      <w:r>
        <w:rPr>
          <w:rFonts w:hint="eastAsia" w:ascii="仿宋_GB2312" w:eastAsia="仿宋_GB2312"/>
          <w:b/>
          <w:sz w:val="24"/>
        </w:rPr>
        <w:t>招标编号：</w:t>
      </w:r>
      <w:r>
        <w:rPr>
          <w:rFonts w:hint="eastAsia" w:ascii="仿宋_GB2312" w:eastAsia="仿宋_GB2312"/>
          <w:b/>
          <w:sz w:val="24"/>
          <w:lang w:val="en-US" w:eastAsia="zh-CN"/>
        </w:rPr>
        <w:t>SXZX</w:t>
      </w:r>
      <w:r>
        <w:rPr>
          <w:rFonts w:hint="eastAsia" w:ascii="仿宋_GB2312" w:eastAsia="仿宋_GB2312"/>
          <w:b/>
          <w:sz w:val="24"/>
          <w:lang w:eastAsia="zh-CN"/>
        </w:rPr>
        <w:t>-BCX（CS）2022-0</w:t>
      </w:r>
      <w:r>
        <w:rPr>
          <w:rFonts w:hint="eastAsia" w:ascii="仿宋_GB2312" w:eastAsia="仿宋_GB2312"/>
          <w:b/>
          <w:sz w:val="24"/>
          <w:lang w:val="en-US" w:eastAsia="zh-CN"/>
        </w:rPr>
        <w:t>18</w:t>
      </w:r>
      <w:r>
        <w:rPr>
          <w:rFonts w:hint="eastAsia" w:ascii="仿宋_GB2312" w:eastAsia="仿宋_GB2312"/>
          <w:b/>
          <w:sz w:val="24"/>
          <w:lang w:eastAsia="zh-CN"/>
        </w:rPr>
        <w:t>号</w:t>
      </w:r>
      <w:r>
        <w:rPr>
          <w:rFonts w:hint="eastAsia" w:ascii="仿宋_GB2312" w:eastAsia="仿宋_GB2312"/>
          <w:b/>
          <w:sz w:val="24"/>
        </w:rPr>
        <w:t xml:space="preserve">              </w:t>
      </w:r>
    </w:p>
    <w:p>
      <w:pPr>
        <w:tabs>
          <w:tab w:val="left" w:pos="1470"/>
        </w:tabs>
        <w:spacing w:line="360" w:lineRule="auto"/>
        <w:ind w:left="-1" w:leftChars="0" w:firstLine="0" w:firstLineChars="0"/>
        <w:rPr>
          <w:rFonts w:hint="eastAsia"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val="en-US" w:eastAsia="zh-CN"/>
        </w:rPr>
        <w:t>巴楚县旅游产业发展-乡村旅游基础设施提升项目（设备采购）</w:t>
      </w:r>
    </w:p>
    <w:p>
      <w:pPr>
        <w:spacing w:line="360" w:lineRule="auto"/>
        <w:rPr>
          <w:rFonts w:hint="eastAsia" w:ascii="仿宋_GB2312" w:hAnsi="Times New Roman" w:eastAsia="仿宋_GB2312" w:cs="Times New Roman"/>
          <w:sz w:val="24"/>
          <w:highlight w:val="none"/>
          <w:u w:val="single"/>
          <w:lang w:val="en-US" w:eastAsia="zh-CN"/>
        </w:rPr>
      </w:pPr>
      <w:r>
        <w:rPr>
          <w:rFonts w:hint="eastAsia" w:ascii="仿宋_GB2312" w:eastAsia="仿宋_GB2312"/>
          <w:sz w:val="24"/>
          <w:highlight w:val="none"/>
        </w:rPr>
        <w:t>项目预算金额：</w:t>
      </w:r>
      <w:r>
        <w:rPr>
          <w:rFonts w:hint="eastAsia" w:ascii="仿宋_GB2312" w:eastAsia="仿宋_GB2312" w:cs="Times New Roman"/>
          <w:sz w:val="24"/>
          <w:highlight w:val="none"/>
          <w:u w:val="single"/>
          <w:lang w:val="en-US" w:eastAsia="zh-CN"/>
        </w:rPr>
        <w:t>144.8</w:t>
      </w:r>
      <w:r>
        <w:rPr>
          <w:rFonts w:hint="eastAsia" w:ascii="仿宋_GB2312" w:hAnsi="Times New Roman" w:eastAsia="仿宋_GB2312" w:cs="Times New Roman"/>
          <w:sz w:val="24"/>
          <w:highlight w:val="none"/>
          <w:u w:val="single"/>
          <w:lang w:val="en-US" w:eastAsia="zh-CN"/>
        </w:rPr>
        <w:t xml:space="preserve">万元。 </w:t>
      </w:r>
    </w:p>
    <w:p>
      <w:pPr>
        <w:spacing w:line="360" w:lineRule="auto"/>
        <w:rPr>
          <w:rFonts w:hint="eastAsia"/>
          <w:highlight w:val="none"/>
        </w:rPr>
      </w:pPr>
      <w:r>
        <w:rPr>
          <w:rFonts w:hint="eastAsia" w:ascii="仿宋_GB2312" w:eastAsia="仿宋_GB2312"/>
          <w:sz w:val="24"/>
          <w:highlight w:val="none"/>
        </w:rPr>
        <w:t>最高限价：</w:t>
      </w:r>
      <w:r>
        <w:rPr>
          <w:rFonts w:hint="eastAsia" w:ascii="仿宋_GB2312" w:eastAsia="仿宋_GB2312" w:cs="Times New Roman"/>
          <w:sz w:val="24"/>
          <w:highlight w:val="none"/>
          <w:u w:val="single"/>
          <w:lang w:val="en-US" w:eastAsia="zh-CN"/>
        </w:rPr>
        <w:t>144.8</w:t>
      </w:r>
      <w:r>
        <w:rPr>
          <w:rFonts w:hint="eastAsia" w:ascii="仿宋_GB2312" w:hAnsi="Times New Roman" w:eastAsia="仿宋_GB2312" w:cs="Times New Roman"/>
          <w:sz w:val="24"/>
          <w:highlight w:val="none"/>
          <w:u w:val="single"/>
          <w:lang w:val="en-US" w:eastAsia="zh-CN"/>
        </w:rPr>
        <w:t xml:space="preserve">万元。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采购需求：采购一批成品木屋、露营帐篷、泡沫屋、营地标志性标识、大门、照明设备、成品公厕、成品化粪池等设施设备，</w:t>
      </w:r>
    </w:p>
    <w:tbl>
      <w:tblPr>
        <w:tblStyle w:val="35"/>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904"/>
        <w:gridCol w:w="5856"/>
        <w:gridCol w:w="755"/>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99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巴楚县旅游产业发展-乡村旅游基础设施提升项目（设备采购）清单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规格尺寸（CM）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宽*长+高</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成品木屋</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1.建筑标高为房檐底2.8米，房檐四周外出墙面0.5米。出室内外高差为0.05米，主体结构为钢框架及轻钢龙骨结构。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2.墙体工程：外墙50*100的方管，轴线中分，外贴防腐木外墙装饰板，方管间隙内夹100厚保温岩棉板，容重大于70KG/M3燃烧性能为A级。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3.外墙做法：（1）1.2cm厚OSB板</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（2）防火涂料2遍。（3）防水透气膜</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（4）2.3cm厚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宽度13.5cm防腐木外墙平挂板</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（5）户外木蜡油2遍装饰。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4.内墙做法：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1）33cm*133cm木龙骨固定</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（2）内外墙之间放100厚保温岩棉板</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（3）1.0厚内墙装饰桑拿板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（4）龙骨桑拿板吊顶。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5.房顶部分：（1）1.2厚OSB板（2）SBS自粘防水卷材（3）防水沥青瓦装饰房顶。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6.门窗部分：（1）门窗洞口尺寸由业主定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（2）窗为热断桥铝材质，双向平开门立樘墙中，中空玻璃，单向平开门立樘开启方向墙平面</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（3）门为实木门。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7.电气部分：房内设圆吸顶灯1个，设置电源五孔插座2个，空调插座1个，3.7KV电暖气片一个。室内采用BV4mm和BV2.5mm电线。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2"/>
                <w:lang w:val="en-US" w:eastAsia="zh-CN" w:bidi="ar"/>
              </w:rPr>
              <w:t>m</w:t>
            </w:r>
            <w:r>
              <w:rPr>
                <w:rStyle w:val="133"/>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w:t>
            </w:r>
            <w:r>
              <w:rPr>
                <w:rFonts w:hint="eastAsia" w:ascii="宋体" w:hAnsi="宋体" w:cs="宋体"/>
                <w:i w:val="0"/>
                <w:iCs w:val="0"/>
                <w:color w:val="000000"/>
                <w:kern w:val="0"/>
                <w:sz w:val="22"/>
                <w:szCs w:val="22"/>
                <w:u w:val="none"/>
                <w:lang w:val="en-US" w:eastAsia="zh-CN" w:bidi="ar"/>
              </w:rPr>
              <w:t>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电力配套：包含照明器具、 开关、 插座、 配线等。</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泡沫屋</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表观密度（kg/m3）30.2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压缩强度（MPa）0.26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导热系数（W/m.K）0.033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尺寸稳定性（%）0.12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水蒸气透过系数【ng/（Pa.m.s）】2.1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吸水率（体积分数）（%）0.98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溶解性能-断裂玩去负荷（N）42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溶解性能-弯曲变形（mm）21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燃烧性能等级B1级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垂直于板面方向抗拉强度（MPa）0.26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模块厚度180mm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28平方圆顶屋尺寸5.6m*5.6m*3.2m（高度）</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露营帐篷</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面料；混纺棉布 展开尺寸；300X210X200cm(含配件）重量；约20公斤  外账；展开尺寸；414X414X280cm配件；支撑杆 风绳X10 钢钉X32等规格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营地标志性标识</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直径60mm，厚度2.3mm；副管壁厚2.3mm工艺采用二氧化碳保护焊焊接而成、焊接平整 表面经喷砂抛丸去油除绣、静电喷塑，高温固化、塑粉环保无毒、效果表面光滑明亮无流痕。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1000*1200一个字体，厚度15-20cm *10个字体，面层为镀锌铁皮，夹层为方钢龙骨，刷防腐，防锈，刮腻子，独立基础及基础防腐，连挖带运</w:t>
            </w:r>
            <w:r>
              <w:rPr>
                <w:rFonts w:hint="eastAsia" w:ascii="宋体" w:hAnsi="宋体" w:cs="宋体"/>
                <w:i w:val="0"/>
                <w:iCs w:val="0"/>
                <w:color w:val="000000"/>
                <w:kern w:val="0"/>
                <w:sz w:val="24"/>
                <w:szCs w:val="24"/>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主立柱500mX500mX6000m主梁300mX500mX6000m次梁140mX140mX6000m小立柱140mX140mX6000m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椽子 60mX120mX6000m岩板 30mX140mX6000m门挡板 20mX85mX6000m顶板20mX85mX6000m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防水自粘卷材  仿真茅草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门边框 80mX120mX6000m 木蜡油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合页 10mX120mX200m=4支门栓1付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基础 深挖120cmX120cmX150cm 基础采用 高抗硫c35 垫层c20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主立柱：1.08m³花旗松-胶合板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基础：2m³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小立柱：:300*300木材种类:花旗松-胶合板</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成品公厕</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整体为钢木结构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1.木屋主体立柱 ，底座用100x100x6000x3(壁厚）方钢（厚度国标）焊成“田”字型（宽3米、长4米）。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2.次龙骨50x100x6000x3(壁厚），间距45公分。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3.室内用33X133厘米的木板满铺（樟子松木材、防腐处理），丙纶布满铺，丙乙烯保温棉铺装，10厚复合地板。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4.木屋的四面墙体用33X85的方木作为支撑龙骨（樟子松木材、防腐处理），间隙不得大于45厘米。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5.外墙板的规格是厚15X125（樟子松木材、清漆防腐处理），内墙板的规格是厚1厘米*宽10厘米（樟子松木材、清漆防腐处理）。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6.木屋屋顶为几何造型，丙纶布及沥青瓦作为屋面防水。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7.防盗门（宽0.96米*高2.05米）。（清漆防腐处理）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8.窗户材质为断桥铝。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9.5个蹲便器，一个木制立柱洗手台，两个小便池，一个拖布池，排风扇两个，吸顶灯，配电箱一个，配线，上下水</w:t>
            </w:r>
            <w:r>
              <w:rPr>
                <w:rFonts w:hint="eastAsia" w:ascii="宋体" w:hAnsi="宋体" w:cs="宋体"/>
                <w:i w:val="0"/>
                <w:iCs w:val="0"/>
                <w:color w:val="000000"/>
                <w:kern w:val="0"/>
                <w:sz w:val="24"/>
                <w:szCs w:val="24"/>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化粪池</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玻璃钢 30m³</w:t>
            </w:r>
            <w:r>
              <w:rPr>
                <w:rFonts w:hint="eastAsia" w:ascii="宋体" w:hAnsi="宋体" w:cs="宋体"/>
                <w:i w:val="0"/>
                <w:iCs w:val="0"/>
                <w:color w:val="000000"/>
                <w:kern w:val="0"/>
                <w:sz w:val="24"/>
                <w:szCs w:val="24"/>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75"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总计</w:t>
            </w:r>
          </w:p>
        </w:tc>
        <w:tc>
          <w:tcPr>
            <w:tcW w:w="862"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b/>
                <w:bCs/>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b/>
                <w:bCs/>
                <w:i w:val="0"/>
                <w:iCs w:val="0"/>
                <w:color w:val="000000"/>
                <w:sz w:val="28"/>
                <w:szCs w:val="28"/>
                <w:u w:val="none"/>
              </w:rPr>
            </w:pPr>
          </w:p>
        </w:tc>
      </w:tr>
    </w:tbl>
    <w:p>
      <w:pPr>
        <w:pStyle w:val="2"/>
        <w:rPr>
          <w:rFonts w:hint="eastAsia" w:ascii="仿宋" w:hAnsi="仿宋" w:eastAsia="仿宋" w:cs="Times New Roman"/>
          <w:sz w:val="28"/>
          <w:szCs w:val="28"/>
          <w:highlight w:val="none"/>
          <w:lang w:val="en-US" w:eastAsia="zh-CN"/>
        </w:rPr>
      </w:pPr>
    </w:p>
    <w:p>
      <w:pPr>
        <w:pStyle w:val="3"/>
        <w:rPr>
          <w:rFonts w:hint="eastAsia" w:ascii="仿宋" w:hAnsi="仿宋" w:eastAsia="仿宋" w:cs="Times New Roman"/>
          <w:sz w:val="28"/>
          <w:szCs w:val="28"/>
          <w:highlight w:val="none"/>
          <w:lang w:val="en-US" w:eastAsia="zh-CN"/>
        </w:rPr>
      </w:pPr>
    </w:p>
    <w:p>
      <w:pPr>
        <w:pStyle w:val="2"/>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 </w:t>
      </w:r>
    </w:p>
    <w:p>
      <w:pPr>
        <w:pStyle w:val="3"/>
        <w:rPr>
          <w:rFonts w:hint="eastAsia" w:ascii="仿宋" w:hAnsi="仿宋" w:eastAsia="仿宋" w:cs="Times New Roman"/>
          <w:sz w:val="28"/>
          <w:szCs w:val="28"/>
          <w:highlight w:val="none"/>
          <w:lang w:val="en-US" w:eastAsia="zh-CN"/>
        </w:rPr>
      </w:pPr>
    </w:p>
    <w:p>
      <w:pPr>
        <w:rPr>
          <w:rFonts w:hint="eastAsia" w:ascii="仿宋" w:hAnsi="仿宋" w:eastAsia="仿宋" w:cs="Times New Roman"/>
          <w:sz w:val="28"/>
          <w:szCs w:val="28"/>
          <w:highlight w:val="none"/>
          <w:lang w:val="en-US" w:eastAsia="zh-CN"/>
        </w:rPr>
      </w:pPr>
    </w:p>
    <w:p>
      <w:pPr>
        <w:pStyle w:val="2"/>
        <w:rPr>
          <w:rFonts w:hint="eastAsia" w:ascii="仿宋" w:hAnsi="仿宋" w:eastAsia="仿宋" w:cs="Times New Roman"/>
          <w:sz w:val="28"/>
          <w:szCs w:val="28"/>
          <w:highlight w:val="none"/>
          <w:lang w:val="en-US" w:eastAsia="zh-CN"/>
        </w:rPr>
      </w:pPr>
    </w:p>
    <w:p>
      <w:pPr>
        <w:pStyle w:val="3"/>
        <w:rPr>
          <w:rFonts w:hint="eastAsia" w:ascii="仿宋" w:hAnsi="仿宋" w:eastAsia="仿宋" w:cs="Times New Roman"/>
          <w:sz w:val="28"/>
          <w:szCs w:val="28"/>
          <w:highlight w:val="none"/>
          <w:lang w:val="en-US" w:eastAsia="zh-CN"/>
        </w:rPr>
      </w:pPr>
    </w:p>
    <w:p>
      <w:pPr>
        <w:rPr>
          <w:rFonts w:hint="eastAsia" w:ascii="仿宋" w:hAnsi="仿宋" w:eastAsia="仿宋" w:cs="Times New Roman"/>
          <w:sz w:val="28"/>
          <w:szCs w:val="28"/>
          <w:highlight w:val="none"/>
          <w:lang w:val="en-US" w:eastAsia="zh-CN"/>
        </w:rPr>
      </w:pPr>
    </w:p>
    <w:p>
      <w:pPr>
        <w:pStyle w:val="2"/>
        <w:rPr>
          <w:rFonts w:hint="eastAsia" w:ascii="仿宋" w:hAnsi="仿宋" w:eastAsia="仿宋" w:cs="Times New Roman"/>
          <w:sz w:val="28"/>
          <w:szCs w:val="28"/>
          <w:highlight w:val="none"/>
          <w:lang w:val="en-US" w:eastAsia="zh-CN"/>
        </w:rPr>
      </w:pPr>
    </w:p>
    <w:p>
      <w:pPr>
        <w:pStyle w:val="3"/>
        <w:rPr>
          <w:rFonts w:hint="eastAsia" w:ascii="仿宋" w:hAnsi="仿宋" w:eastAsia="仿宋" w:cs="Times New Roman"/>
          <w:sz w:val="28"/>
          <w:szCs w:val="28"/>
          <w:highlight w:val="none"/>
          <w:lang w:val="en-US" w:eastAsia="zh-CN"/>
        </w:rPr>
      </w:pPr>
    </w:p>
    <w:p>
      <w:pPr>
        <w:rPr>
          <w:rFonts w:hint="eastAsia" w:ascii="仿宋" w:hAnsi="仿宋" w:eastAsia="仿宋" w:cs="Times New Roman"/>
          <w:sz w:val="28"/>
          <w:szCs w:val="28"/>
          <w:highlight w:val="none"/>
          <w:lang w:val="en-US" w:eastAsia="zh-CN"/>
        </w:rPr>
      </w:pPr>
    </w:p>
    <w:p>
      <w:pPr>
        <w:pStyle w:val="2"/>
        <w:rPr>
          <w:rFonts w:hint="eastAsia" w:ascii="仿宋" w:hAnsi="仿宋" w:eastAsia="仿宋" w:cs="Times New Roman"/>
          <w:sz w:val="28"/>
          <w:szCs w:val="28"/>
          <w:highlight w:val="none"/>
          <w:lang w:val="en-US" w:eastAsia="zh-CN"/>
        </w:rPr>
      </w:pPr>
    </w:p>
    <w:p>
      <w:pPr>
        <w:pStyle w:val="3"/>
        <w:rPr>
          <w:rFonts w:hint="eastAsia" w:ascii="仿宋" w:hAnsi="仿宋" w:eastAsia="仿宋" w:cs="Times New Roman"/>
          <w:sz w:val="28"/>
          <w:szCs w:val="28"/>
          <w:highlight w:val="none"/>
          <w:lang w:val="en-US" w:eastAsia="zh-CN"/>
        </w:rPr>
      </w:pPr>
    </w:p>
    <w:p>
      <w:pPr>
        <w:rPr>
          <w:rFonts w:hint="eastAsia" w:ascii="仿宋" w:hAnsi="仿宋" w:eastAsia="仿宋" w:cs="Times New Roman"/>
          <w:sz w:val="28"/>
          <w:szCs w:val="28"/>
          <w:highlight w:val="none"/>
          <w:lang w:val="en-US" w:eastAsia="zh-CN"/>
        </w:rPr>
      </w:pPr>
    </w:p>
    <w:p>
      <w:pPr>
        <w:pStyle w:val="2"/>
        <w:rPr>
          <w:rFonts w:hint="eastAsia" w:ascii="仿宋" w:hAnsi="仿宋" w:eastAsia="仿宋" w:cs="Times New Roman"/>
          <w:sz w:val="28"/>
          <w:szCs w:val="28"/>
          <w:highlight w:val="none"/>
          <w:lang w:val="en-US" w:eastAsia="zh-CN"/>
        </w:rPr>
      </w:pPr>
    </w:p>
    <w:p>
      <w:pPr>
        <w:pStyle w:val="3"/>
        <w:rPr>
          <w:rFonts w:hint="eastAsia" w:ascii="仿宋" w:hAnsi="仿宋" w:eastAsia="仿宋" w:cs="Times New Roman"/>
          <w:sz w:val="28"/>
          <w:szCs w:val="28"/>
          <w:highlight w:val="none"/>
          <w:lang w:val="en-US" w:eastAsia="zh-CN"/>
        </w:rPr>
      </w:pPr>
    </w:p>
    <w:p>
      <w:pPr>
        <w:spacing w:line="360" w:lineRule="auto"/>
        <w:rPr>
          <w:rFonts w:ascii="仿宋" w:hAnsi="仿宋" w:eastAsia="仿宋" w:cs="仿宋"/>
          <w:b/>
          <w:sz w:val="28"/>
          <w:szCs w:val="28"/>
        </w:rPr>
      </w:pPr>
      <w:r>
        <w:rPr>
          <w:rFonts w:hint="eastAsia" w:ascii="仿宋" w:hAnsi="仿宋" w:eastAsia="仿宋" w:cs="仿宋"/>
          <w:b/>
          <w:sz w:val="28"/>
          <w:szCs w:val="28"/>
        </w:rPr>
        <w:t>二、技术要求</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说　明</w:t>
      </w:r>
    </w:p>
    <w:p>
      <w:pPr>
        <w:spacing w:line="360" w:lineRule="auto"/>
        <w:rPr>
          <w:rFonts w:ascii="仿宋" w:hAnsi="仿宋" w:eastAsia="仿宋" w:cs="仿宋"/>
          <w:b/>
          <w:bCs/>
          <w:iCs/>
          <w:sz w:val="24"/>
          <w:u w:val="single"/>
        </w:rPr>
      </w:pPr>
      <w:r>
        <w:rPr>
          <w:rFonts w:hint="eastAsia" w:ascii="仿宋" w:hAnsi="仿宋" w:eastAsia="仿宋" w:cs="仿宋"/>
          <w:b/>
          <w:bCs/>
          <w:sz w:val="24"/>
        </w:rPr>
        <w:t>采购人应对招标货物提出详细的要求。</w:t>
      </w:r>
    </w:p>
    <w:p>
      <w:pPr>
        <w:spacing w:line="360" w:lineRule="auto"/>
        <w:rPr>
          <w:rFonts w:ascii="仿宋" w:hAnsi="仿宋" w:eastAsia="仿宋" w:cs="仿宋"/>
          <w:b/>
          <w:bCs/>
          <w:iCs/>
          <w:sz w:val="24"/>
        </w:rPr>
      </w:pPr>
      <w:r>
        <w:rPr>
          <w:rFonts w:hint="eastAsia" w:ascii="仿宋" w:hAnsi="仿宋" w:eastAsia="仿宋" w:cs="仿宋"/>
          <w:b/>
          <w:bCs/>
          <w:iCs/>
          <w:sz w:val="24"/>
          <w:u w:val="single"/>
        </w:rPr>
        <w:t>1、交付地点：：巴楚县阿纳库勒乡塔拉硝尔村、巴楚县夏马勒乡奇特村、巴楚县白沙山景区。</w:t>
      </w:r>
    </w:p>
    <w:p>
      <w:pPr>
        <w:spacing w:line="360" w:lineRule="auto"/>
        <w:rPr>
          <w:rFonts w:ascii="仿宋" w:hAnsi="仿宋" w:eastAsia="仿宋" w:cs="仿宋"/>
          <w:b/>
          <w:bCs/>
          <w:iCs/>
          <w:sz w:val="24"/>
          <w:u w:val="single"/>
        </w:rPr>
      </w:pPr>
      <w:r>
        <w:rPr>
          <w:rFonts w:hint="eastAsia" w:ascii="仿宋" w:hAnsi="仿宋" w:eastAsia="仿宋" w:cs="仿宋"/>
          <w:b/>
          <w:bCs/>
          <w:iCs/>
          <w:sz w:val="24"/>
          <w:u w:val="single"/>
        </w:rPr>
        <w:t>2、中标通知书发出后在3日内签订政府采购合同，若第一中标人拒绝签订政府采购合同，将取消中标资格，应当承担相应的法律责任。确定下一候选人为中标人，也可以重新开展政府采购活动。</w:t>
      </w:r>
    </w:p>
    <w:p>
      <w:pPr>
        <w:spacing w:line="360" w:lineRule="auto"/>
        <w:rPr>
          <w:rFonts w:ascii="仿宋" w:hAnsi="仿宋" w:eastAsia="仿宋" w:cs="仿宋"/>
          <w:b/>
          <w:bCs/>
          <w:iCs/>
          <w:sz w:val="24"/>
          <w:u w:val="single"/>
        </w:rPr>
      </w:pPr>
      <w:r>
        <w:rPr>
          <w:rFonts w:hint="eastAsia" w:ascii="仿宋" w:hAnsi="仿宋" w:eastAsia="仿宋" w:cs="仿宋"/>
          <w:b/>
          <w:bCs/>
          <w:iCs/>
          <w:sz w:val="24"/>
          <w:u w:val="single"/>
        </w:rPr>
        <w:t>3、交货期：签订合同后</w:t>
      </w:r>
      <w:r>
        <w:rPr>
          <w:rFonts w:hint="eastAsia" w:ascii="仿宋" w:hAnsi="仿宋" w:eastAsia="仿宋" w:cs="仿宋"/>
          <w:b/>
          <w:bCs/>
          <w:iCs/>
          <w:sz w:val="24"/>
          <w:u w:val="single"/>
          <w:lang w:val="en-US" w:eastAsia="zh-CN"/>
        </w:rPr>
        <w:t>30</w:t>
      </w:r>
      <w:r>
        <w:rPr>
          <w:rFonts w:hint="eastAsia" w:ascii="仿宋" w:hAnsi="仿宋" w:eastAsia="仿宋" w:cs="仿宋"/>
          <w:b/>
          <w:bCs/>
          <w:iCs/>
          <w:sz w:val="24"/>
          <w:u w:val="single"/>
          <w:lang w:eastAsia="zh-CN"/>
        </w:rPr>
        <w:t>天</w:t>
      </w:r>
      <w:r>
        <w:rPr>
          <w:rFonts w:hint="eastAsia" w:ascii="仿宋" w:hAnsi="仿宋" w:eastAsia="仿宋" w:cs="仿宋"/>
          <w:b/>
          <w:bCs/>
          <w:iCs/>
          <w:sz w:val="24"/>
          <w:u w:val="single"/>
        </w:rPr>
        <w:t>内交货并安装完成，如逾期交付，每延误一天按1000元赔付，超过</w:t>
      </w:r>
      <w:r>
        <w:rPr>
          <w:rFonts w:hint="eastAsia" w:ascii="仿宋" w:hAnsi="仿宋" w:eastAsia="仿宋" w:cs="仿宋"/>
          <w:b/>
          <w:bCs/>
          <w:iCs/>
          <w:sz w:val="24"/>
          <w:u w:val="single"/>
          <w:lang w:val="en-US" w:eastAsia="zh-CN"/>
        </w:rPr>
        <w:t>15</w:t>
      </w:r>
      <w:r>
        <w:rPr>
          <w:rFonts w:hint="eastAsia" w:ascii="仿宋" w:hAnsi="仿宋" w:eastAsia="仿宋" w:cs="仿宋"/>
          <w:b/>
          <w:bCs/>
          <w:iCs/>
          <w:sz w:val="24"/>
          <w:u w:val="single"/>
        </w:rPr>
        <w:t>天采购单位有权终止合同，给采购单位造成的损失，按不超过损失总额的</w:t>
      </w:r>
      <w:r>
        <w:rPr>
          <w:rFonts w:hint="eastAsia" w:ascii="仿宋" w:hAnsi="仿宋" w:eastAsia="仿宋" w:cs="仿宋"/>
          <w:b/>
          <w:bCs/>
          <w:iCs/>
          <w:sz w:val="24"/>
          <w:u w:val="single"/>
          <w:lang w:val="en-US" w:eastAsia="zh-CN"/>
        </w:rPr>
        <w:t>1</w:t>
      </w:r>
      <w:r>
        <w:rPr>
          <w:rFonts w:hint="eastAsia" w:ascii="仿宋" w:hAnsi="仿宋" w:eastAsia="仿宋" w:cs="仿宋"/>
          <w:b/>
          <w:bCs/>
          <w:iCs/>
          <w:sz w:val="24"/>
          <w:u w:val="single"/>
        </w:rPr>
        <w:t>0%赔付。（具体按双方合同约定执行）。</w:t>
      </w:r>
    </w:p>
    <w:p>
      <w:pPr>
        <w:spacing w:line="360" w:lineRule="auto"/>
        <w:rPr>
          <w:rFonts w:ascii="仿宋" w:hAnsi="仿宋" w:eastAsia="仿宋" w:cs="仿宋"/>
          <w:b/>
          <w:bCs/>
          <w:iCs/>
          <w:sz w:val="24"/>
          <w:u w:val="single"/>
        </w:rPr>
      </w:pPr>
      <w:r>
        <w:rPr>
          <w:rFonts w:hint="eastAsia" w:ascii="仿宋" w:hAnsi="仿宋" w:eastAsia="仿宋" w:cs="仿宋"/>
          <w:b/>
          <w:bCs/>
          <w:iCs/>
          <w:sz w:val="24"/>
          <w:u w:val="single"/>
        </w:rPr>
        <w:t>4、质保期：免费质保期2年。</w:t>
      </w:r>
    </w:p>
    <w:p>
      <w:pPr>
        <w:spacing w:line="360" w:lineRule="auto"/>
        <w:rPr>
          <w:rFonts w:ascii="仿宋" w:hAnsi="仿宋" w:eastAsia="仿宋" w:cs="仿宋"/>
          <w:b/>
          <w:bCs/>
          <w:iCs/>
          <w:sz w:val="24"/>
          <w:u w:val="single"/>
        </w:rPr>
      </w:pPr>
      <w:r>
        <w:rPr>
          <w:rFonts w:hint="eastAsia" w:ascii="仿宋" w:hAnsi="仿宋" w:eastAsia="仿宋" w:cs="仿宋"/>
          <w:b/>
          <w:bCs/>
          <w:iCs/>
          <w:sz w:val="24"/>
          <w:u w:val="single"/>
        </w:rPr>
        <w:t>5、付款方式：合同签订后支付</w:t>
      </w:r>
      <w:r>
        <w:rPr>
          <w:rFonts w:hint="eastAsia" w:ascii="仿宋" w:hAnsi="仿宋" w:eastAsia="仿宋" w:cs="仿宋"/>
          <w:b/>
          <w:bCs/>
          <w:iCs/>
          <w:sz w:val="24"/>
          <w:u w:val="single"/>
          <w:lang w:val="en-US" w:eastAsia="zh-CN"/>
        </w:rPr>
        <w:t>4</w:t>
      </w:r>
      <w:r>
        <w:rPr>
          <w:rFonts w:hint="eastAsia" w:ascii="仿宋" w:hAnsi="仿宋" w:eastAsia="仿宋" w:cs="仿宋"/>
          <w:b/>
          <w:bCs/>
          <w:iCs/>
          <w:sz w:val="24"/>
          <w:u w:val="single"/>
        </w:rPr>
        <w:t>0%合同价款，供货安装完成项目支付</w:t>
      </w:r>
      <w:r>
        <w:rPr>
          <w:rFonts w:hint="eastAsia" w:ascii="仿宋" w:hAnsi="仿宋" w:eastAsia="仿宋" w:cs="仿宋"/>
          <w:b/>
          <w:bCs/>
          <w:iCs/>
          <w:sz w:val="24"/>
          <w:u w:val="single"/>
          <w:lang w:val="en-US" w:eastAsia="zh-CN"/>
        </w:rPr>
        <w:t>4</w:t>
      </w:r>
      <w:r>
        <w:rPr>
          <w:rFonts w:hint="eastAsia" w:ascii="仿宋" w:hAnsi="仿宋" w:eastAsia="仿宋" w:cs="仿宋"/>
          <w:b/>
          <w:bCs/>
          <w:iCs/>
          <w:sz w:val="24"/>
          <w:u w:val="single"/>
        </w:rPr>
        <w:t>0%合同价款，</w:t>
      </w:r>
      <w:r>
        <w:rPr>
          <w:rFonts w:hint="eastAsia" w:ascii="仿宋" w:hAnsi="仿宋" w:eastAsia="仿宋" w:cs="仿宋"/>
          <w:b/>
          <w:bCs/>
          <w:iCs/>
          <w:sz w:val="24"/>
          <w:u w:val="single"/>
          <w:lang w:eastAsia="zh-CN"/>
        </w:rPr>
        <w:t>审计完成后</w:t>
      </w:r>
      <w:r>
        <w:rPr>
          <w:rFonts w:hint="eastAsia" w:ascii="仿宋" w:hAnsi="仿宋" w:eastAsia="仿宋" w:cs="仿宋"/>
          <w:b/>
          <w:bCs/>
          <w:iCs/>
          <w:sz w:val="24"/>
          <w:u w:val="single"/>
        </w:rPr>
        <w:t>支付</w:t>
      </w:r>
      <w:r>
        <w:rPr>
          <w:rFonts w:hint="eastAsia" w:ascii="仿宋" w:hAnsi="仿宋" w:eastAsia="仿宋" w:cs="仿宋"/>
          <w:b/>
          <w:bCs/>
          <w:iCs/>
          <w:sz w:val="24"/>
          <w:u w:val="single"/>
          <w:lang w:val="en-US" w:eastAsia="zh-CN"/>
        </w:rPr>
        <w:t>2</w:t>
      </w:r>
      <w:r>
        <w:rPr>
          <w:rFonts w:hint="eastAsia" w:ascii="仿宋" w:hAnsi="仿宋" w:eastAsia="仿宋" w:cs="仿宋"/>
          <w:b/>
          <w:bCs/>
          <w:iCs/>
          <w:sz w:val="24"/>
          <w:u w:val="single"/>
        </w:rPr>
        <w:t>0%合同价款。（中标方在要求支付最后一笔付款前，按合同价款的百分之三以质保金的形式打入甲方单位账户，待质保期满后无息全额返还）（具体按双方合同约定执行）</w:t>
      </w:r>
    </w:p>
    <w:p>
      <w:pPr>
        <w:pStyle w:val="2"/>
        <w:spacing w:line="360" w:lineRule="auto"/>
        <w:ind w:firstLine="0"/>
        <w:rPr>
          <w:rFonts w:ascii="仿宋" w:hAnsi="仿宋" w:eastAsia="仿宋" w:cs="仿宋"/>
          <w:b/>
          <w:bCs/>
          <w:iCs/>
          <w:kern w:val="2"/>
          <w:szCs w:val="24"/>
          <w:u w:val="single"/>
        </w:rPr>
      </w:pPr>
      <w:r>
        <w:rPr>
          <w:rFonts w:hint="eastAsia" w:ascii="仿宋" w:hAnsi="仿宋" w:eastAsia="仿宋" w:cs="仿宋"/>
          <w:b/>
          <w:bCs/>
          <w:iCs/>
          <w:kern w:val="2"/>
          <w:szCs w:val="24"/>
          <w:u w:val="single"/>
        </w:rPr>
        <w:t>6、投标报价含:装卸、运输、</w:t>
      </w:r>
      <w:r>
        <w:rPr>
          <w:rFonts w:hint="eastAsia" w:ascii="仿宋" w:hAnsi="仿宋" w:eastAsia="仿宋" w:cs="仿宋"/>
          <w:b/>
          <w:bCs/>
          <w:iCs/>
          <w:kern w:val="2"/>
          <w:szCs w:val="24"/>
          <w:u w:val="single"/>
          <w:lang w:eastAsia="zh-CN"/>
        </w:rPr>
        <w:t>设计</w:t>
      </w:r>
      <w:r>
        <w:rPr>
          <w:rFonts w:hint="eastAsia" w:ascii="仿宋" w:hAnsi="仿宋" w:eastAsia="仿宋" w:cs="仿宋"/>
          <w:b/>
          <w:bCs/>
          <w:iCs/>
          <w:kern w:val="2"/>
          <w:szCs w:val="24"/>
          <w:u w:val="single"/>
        </w:rPr>
        <w:t>安装、售后服务、税费等所有费用。（中标单位必须向业主提供发票）</w:t>
      </w:r>
    </w:p>
    <w:p>
      <w:pPr>
        <w:pStyle w:val="25"/>
        <w:spacing w:line="360" w:lineRule="auto"/>
        <w:rPr>
          <w:rFonts w:ascii="仿宋" w:hAnsi="仿宋" w:eastAsia="仿宋" w:cs="仿宋"/>
          <w:b/>
          <w:bCs/>
          <w:iCs/>
          <w:sz w:val="24"/>
          <w:u w:val="single"/>
        </w:rPr>
      </w:pPr>
      <w:r>
        <w:rPr>
          <w:rFonts w:hint="eastAsia" w:ascii="仿宋" w:hAnsi="仿宋" w:eastAsia="仿宋" w:cs="仿宋"/>
          <w:b/>
          <w:bCs/>
          <w:iCs/>
          <w:sz w:val="24"/>
          <w:u w:val="single"/>
        </w:rPr>
        <w:t>7、验收单位：</w:t>
      </w:r>
      <w:r>
        <w:rPr>
          <w:rFonts w:hint="eastAsia" w:ascii="仿宋" w:hAnsi="仿宋" w:eastAsia="仿宋" w:cs="仿宋"/>
          <w:b/>
          <w:bCs/>
          <w:iCs/>
          <w:sz w:val="24"/>
          <w:u w:val="single"/>
          <w:lang w:eastAsia="zh-CN"/>
        </w:rPr>
        <w:t>巴楚</w:t>
      </w:r>
      <w:r>
        <w:rPr>
          <w:rFonts w:hint="eastAsia" w:ascii="仿宋" w:hAnsi="仿宋" w:eastAsia="仿宋" w:cs="仿宋"/>
          <w:b/>
          <w:bCs/>
          <w:iCs/>
          <w:sz w:val="24"/>
          <w:u w:val="single"/>
        </w:rPr>
        <w:t>县文化体育广播电视和旅游局等相关单位</w:t>
      </w:r>
    </w:p>
    <w:p>
      <w:pPr>
        <w:pStyle w:val="25"/>
        <w:spacing w:line="360" w:lineRule="auto"/>
        <w:rPr>
          <w:rFonts w:ascii="仿宋" w:hAnsi="仿宋" w:eastAsia="仿宋" w:cs="仿宋"/>
          <w:b/>
          <w:bCs/>
          <w:iCs/>
          <w:sz w:val="24"/>
          <w:u w:val="single"/>
        </w:rPr>
      </w:pPr>
      <w:r>
        <w:rPr>
          <w:rFonts w:hint="eastAsia" w:ascii="仿宋" w:hAnsi="仿宋" w:eastAsia="仿宋" w:cs="仿宋"/>
          <w:b/>
          <w:bCs/>
          <w:iCs/>
          <w:sz w:val="24"/>
          <w:u w:val="single"/>
        </w:rPr>
        <w:t>8、验收标准：参数满足质量、安全、技术规格、物理特性国家相关标准、行业标准、或者其他标准，出具相关证书、合格证件。</w:t>
      </w:r>
    </w:p>
    <w:p>
      <w:pPr>
        <w:pStyle w:val="25"/>
        <w:spacing w:line="360" w:lineRule="auto"/>
        <w:rPr>
          <w:rFonts w:ascii="仿宋" w:hAnsi="仿宋" w:eastAsia="仿宋" w:cs="仿宋"/>
          <w:b/>
          <w:bCs/>
          <w:iCs/>
          <w:sz w:val="24"/>
          <w:u w:val="single"/>
        </w:rPr>
      </w:pPr>
      <w:r>
        <w:rPr>
          <w:rFonts w:hint="eastAsia" w:ascii="仿宋" w:hAnsi="仿宋" w:eastAsia="仿宋" w:cs="仿宋"/>
          <w:b/>
          <w:bCs/>
          <w:iCs/>
          <w:sz w:val="24"/>
          <w:u w:val="single"/>
        </w:rPr>
        <w:t>9、服务要求：在质保期内，投标人应定期进行维护，至少一个月内两次电话回访，如有故障发生，30分钟内电话响应，12小时到达现场进行维修安装。</w:t>
      </w:r>
    </w:p>
    <w:p>
      <w:pPr>
        <w:pStyle w:val="2"/>
        <w:rPr>
          <w:rFonts w:hint="eastAsia"/>
          <w:sz w:val="24"/>
          <w:szCs w:val="24"/>
        </w:rPr>
      </w:pPr>
    </w:p>
    <w:p>
      <w:pPr>
        <w:rPr>
          <w:rFonts w:hint="eastAsia"/>
          <w:sz w:val="24"/>
          <w:szCs w:val="24"/>
        </w:rPr>
      </w:pPr>
    </w:p>
    <w:p>
      <w:pPr>
        <w:pStyle w:val="2"/>
        <w:rPr>
          <w:rFonts w:hint="eastAsia"/>
          <w:sz w:val="24"/>
          <w:szCs w:val="24"/>
        </w:rPr>
      </w:pPr>
    </w:p>
    <w:p>
      <w:pPr>
        <w:rPr>
          <w:rFonts w:hint="eastAsia"/>
          <w:sz w:val="24"/>
          <w:szCs w:val="24"/>
        </w:rPr>
      </w:pPr>
    </w:p>
    <w:p>
      <w:pPr>
        <w:pStyle w:val="2"/>
        <w:rPr>
          <w:rFonts w:hint="eastAsia"/>
          <w:sz w:val="24"/>
          <w:szCs w:val="24"/>
        </w:rPr>
      </w:pPr>
    </w:p>
    <w:p>
      <w:pPr>
        <w:rPr>
          <w:rFonts w:hint="eastAsia"/>
          <w:sz w:val="24"/>
          <w:szCs w:val="24"/>
        </w:rPr>
      </w:pPr>
    </w:p>
    <w:p>
      <w:pPr>
        <w:pStyle w:val="2"/>
        <w:rPr>
          <w:rFonts w:hint="eastAsia"/>
          <w:sz w:val="24"/>
          <w:szCs w:val="24"/>
        </w:rPr>
      </w:pPr>
    </w:p>
    <w:p>
      <w:pPr>
        <w:rPr>
          <w:rFonts w:hint="eastAsia"/>
          <w:sz w:val="24"/>
          <w:szCs w:val="24"/>
        </w:rPr>
      </w:pPr>
    </w:p>
    <w:p>
      <w:pPr>
        <w:pStyle w:val="2"/>
        <w:rPr>
          <w:rFonts w:hint="eastAsia"/>
          <w:sz w:val="24"/>
          <w:szCs w:val="24"/>
        </w:rPr>
      </w:pPr>
    </w:p>
    <w:p>
      <w:pPr>
        <w:rPr>
          <w:rFonts w:hint="eastAsia"/>
          <w:sz w:val="24"/>
          <w:szCs w:val="24"/>
        </w:rPr>
      </w:pPr>
    </w:p>
    <w:p>
      <w:pPr>
        <w:pStyle w:val="2"/>
        <w:rPr>
          <w:rFonts w:hint="eastAsia"/>
          <w:sz w:val="24"/>
          <w:szCs w:val="24"/>
        </w:rPr>
      </w:pPr>
    </w:p>
    <w:p>
      <w:pPr>
        <w:rPr>
          <w:rFonts w:hint="eastAsia"/>
          <w:sz w:val="24"/>
          <w:szCs w:val="24"/>
        </w:rPr>
      </w:pPr>
    </w:p>
    <w:p>
      <w:pPr>
        <w:pStyle w:val="2"/>
        <w:rPr>
          <w:rFonts w:hint="eastAsia"/>
          <w:sz w:val="24"/>
          <w:szCs w:val="24"/>
        </w:rPr>
      </w:pPr>
    </w:p>
    <w:p>
      <w:pPr>
        <w:pStyle w:val="5"/>
        <w:rPr>
          <w:b w:val="0"/>
          <w:szCs w:val="32"/>
        </w:rPr>
      </w:pPr>
      <w:r>
        <w:rPr>
          <w:rFonts w:hint="eastAsia"/>
          <w:sz w:val="24"/>
          <w:szCs w:val="24"/>
        </w:rPr>
        <w:t>六</w:t>
      </w:r>
      <w:r>
        <w:rPr>
          <w:sz w:val="24"/>
          <w:szCs w:val="24"/>
        </w:rPr>
        <w:t>、</w:t>
      </w:r>
      <w:r>
        <w:rPr>
          <w:rFonts w:hint="eastAsia"/>
          <w:sz w:val="24"/>
          <w:szCs w:val="24"/>
        </w:rPr>
        <w:t>开标</w:t>
      </w:r>
      <w:r>
        <w:rPr>
          <w:sz w:val="24"/>
          <w:szCs w:val="24"/>
        </w:rPr>
        <w:t>及</w:t>
      </w:r>
      <w:bookmarkEnd w:id="509"/>
      <w:bookmarkEnd w:id="510"/>
      <w:r>
        <w:rPr>
          <w:rFonts w:hint="eastAsia"/>
          <w:sz w:val="24"/>
          <w:szCs w:val="24"/>
        </w:rPr>
        <w:t>评标</w:t>
      </w:r>
      <w:bookmarkEnd w:id="511"/>
    </w:p>
    <w:p>
      <w:pPr>
        <w:pStyle w:val="6"/>
        <w:spacing w:before="72" w:after="72"/>
        <w:rPr>
          <w:szCs w:val="24"/>
        </w:rPr>
      </w:pPr>
      <w:bookmarkStart w:id="513" w:name="_Toc387416364"/>
      <w:bookmarkStart w:id="514" w:name="_Toc217102232"/>
      <w:bookmarkStart w:id="515" w:name="_Toc184891545"/>
      <w:bookmarkStart w:id="516" w:name="_Toc157179295"/>
      <w:bookmarkStart w:id="517" w:name="_Toc157176931"/>
      <w:bookmarkStart w:id="518" w:name="_Toc287112608"/>
      <w:bookmarkStart w:id="519" w:name="_Toc157179518"/>
      <w:bookmarkStart w:id="520" w:name="_Toc157176486"/>
      <w:bookmarkStart w:id="521" w:name="_Toc184891772"/>
      <w:bookmarkStart w:id="522" w:name="_Toc157179740"/>
      <w:bookmarkStart w:id="523" w:name="_Toc157182372"/>
      <w:bookmarkStart w:id="524" w:name="_Toc143596260"/>
      <w:bookmarkStart w:id="525" w:name="_Toc143596671"/>
      <w:bookmarkStart w:id="526" w:name="_Toc157175819"/>
      <w:bookmarkStart w:id="527" w:name="_Toc1213264"/>
      <w:r>
        <w:rPr>
          <w:rFonts w:hint="eastAsia"/>
          <w:szCs w:val="24"/>
        </w:rPr>
        <w:t>1</w:t>
      </w:r>
      <w:r>
        <w:rPr>
          <w:szCs w:val="24"/>
        </w:rPr>
        <w:t>.</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rFonts w:hint="eastAsia"/>
          <w:szCs w:val="24"/>
        </w:rPr>
        <w:t>开标</w:t>
      </w:r>
      <w:bookmarkEnd w:id="527"/>
    </w:p>
    <w:p>
      <w:pPr>
        <w:rPr>
          <w:b/>
          <w:bCs/>
        </w:rPr>
      </w:pPr>
      <w:r>
        <w:rPr>
          <w:rFonts w:hint="eastAsia"/>
          <w:b/>
          <w:bCs/>
        </w:rPr>
        <w:t>1</w:t>
      </w:r>
      <w:r>
        <w:rPr>
          <w:b/>
          <w:bCs/>
        </w:rPr>
        <w:t>.1</w:t>
      </w:r>
      <w:r>
        <w:rPr>
          <w:rFonts w:hint="eastAsia" w:hAnsi="宋体"/>
          <w:b/>
          <w:bCs/>
        </w:rPr>
        <w:t>开标</w:t>
      </w:r>
      <w:r>
        <w:rPr>
          <w:rFonts w:hAnsi="宋体"/>
          <w:b/>
          <w:bCs/>
        </w:rPr>
        <w:t>时间和地点</w:t>
      </w:r>
    </w:p>
    <w:p>
      <w:pPr>
        <w:pStyle w:val="2"/>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2"/>
        <w:ind w:firstLine="480"/>
        <w:rPr>
          <w:rFonts w:hAnsi="宋体"/>
          <w:b/>
          <w:color w:val="000000"/>
        </w:rPr>
      </w:pPr>
      <w:bookmarkStart w:id="528" w:name="_Toc157175820"/>
      <w:bookmarkStart w:id="529" w:name="_Toc143596261"/>
      <w:bookmarkStart w:id="530" w:name="_Toc157179296"/>
      <w:bookmarkStart w:id="531" w:name="_Toc287112609"/>
      <w:bookmarkStart w:id="532" w:name="_Toc157182373"/>
      <w:bookmarkStart w:id="533" w:name="_Toc157179519"/>
      <w:bookmarkStart w:id="534" w:name="_Toc387416365"/>
      <w:bookmarkStart w:id="535" w:name="_Toc143596672"/>
      <w:bookmarkStart w:id="536" w:name="_Toc157176932"/>
      <w:bookmarkStart w:id="537" w:name="_Toc184891773"/>
      <w:bookmarkStart w:id="538" w:name="_Toc157179741"/>
      <w:bookmarkStart w:id="539" w:name="_Toc184891546"/>
      <w:bookmarkStart w:id="540" w:name="_Toc157176487"/>
      <w:bookmarkStart w:id="541" w:name="_Toc217102233"/>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）；（2）被授权人身份证证明；（2）保证金交纳证明;）等招标标公告中要求的所有证件（以上证件均为原件）。</w:t>
      </w:r>
    </w:p>
    <w:p>
      <w:pPr>
        <w:pStyle w:val="2"/>
        <w:ind w:firstLine="480"/>
        <w:rPr>
          <w:rFonts w:hAnsi="宋体"/>
          <w:color w:val="000000"/>
        </w:rPr>
      </w:pPr>
      <w:r>
        <w:rPr>
          <w:rFonts w:hAnsi="宋体"/>
          <w:color w:val="000000"/>
        </w:rPr>
        <w:t>（所有个人身份证原件及保证金收据原件于</w:t>
      </w:r>
      <w:r>
        <w:rPr>
          <w:rFonts w:hint="eastAsia" w:hAnsi="宋体"/>
          <w:color w:val="000000"/>
        </w:rPr>
        <w:t>开标</w:t>
      </w:r>
      <w:r>
        <w:rPr>
          <w:rFonts w:hAnsi="宋体"/>
          <w:color w:val="000000"/>
        </w:rPr>
        <w:t>会现场查验后当场退还）。</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文件评审细则表之要求，将响应文件所附带的相关证书、证件及证明材料等资料原件（附资料清单）提交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2"/>
        <w:ind w:firstLine="480"/>
        <w:rPr>
          <w:rFonts w:hAnsi="宋体"/>
          <w:color w:val="000000"/>
        </w:rPr>
      </w:pPr>
      <w:bookmarkStart w:id="542"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2"/>
    </w:p>
    <w:p>
      <w:pPr>
        <w:pStyle w:val="2"/>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2"/>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2"/>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2"/>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2"/>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2"/>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2"/>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2"/>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2"/>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2"/>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2"/>
        <w:ind w:firstLine="480"/>
        <w:rPr>
          <w:rFonts w:hAnsi="宋体"/>
          <w:color w:val="000000"/>
        </w:rPr>
      </w:pPr>
      <w:bookmarkStart w:id="543" w:name="_Toc389085275"/>
      <w:bookmarkStart w:id="544" w:name="_Toc389087478"/>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43"/>
      <w:bookmarkEnd w:id="544"/>
    </w:p>
    <w:p>
      <w:pPr>
        <w:pStyle w:val="2"/>
        <w:ind w:firstLine="480"/>
        <w:rPr>
          <w:rFonts w:hAnsi="宋体"/>
          <w:color w:val="000000"/>
        </w:rPr>
      </w:pPr>
      <w:r>
        <w:rPr>
          <w:rFonts w:hAnsi="宋体"/>
          <w:color w:val="000000"/>
        </w:rPr>
        <w:t>（一）判定响应文件不予受理的情形：</w:t>
      </w:r>
    </w:p>
    <w:p>
      <w:pPr>
        <w:pStyle w:val="2"/>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2"/>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2"/>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2"/>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2"/>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2"/>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110"/>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2"/>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2"/>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2"/>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2"/>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2"/>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110"/>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2"/>
        <w:ind w:firstLine="480"/>
        <w:rPr>
          <w:rFonts w:hAnsi="宋体"/>
          <w:color w:val="000000"/>
        </w:rPr>
      </w:pPr>
      <w:bookmarkStart w:id="545"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45"/>
    </w:p>
    <w:p>
      <w:pPr>
        <w:pStyle w:val="2"/>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2"/>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6"/>
        <w:spacing w:before="72" w:after="72"/>
        <w:rPr>
          <w:szCs w:val="24"/>
        </w:rPr>
      </w:pPr>
      <w:bookmarkStart w:id="546" w:name="_Toc1213265"/>
      <w:r>
        <w:rPr>
          <w:rFonts w:hint="eastAsia"/>
          <w:szCs w:val="24"/>
        </w:rPr>
        <w:t>3</w:t>
      </w:r>
      <w:r>
        <w:rPr>
          <w:szCs w:val="24"/>
        </w:rPr>
        <w:t>.</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Pr>
          <w:rFonts w:hint="eastAsia"/>
          <w:szCs w:val="24"/>
        </w:rPr>
        <w:t>评标小组</w:t>
      </w:r>
      <w:bookmarkEnd w:id="546"/>
    </w:p>
    <w:p>
      <w:pPr>
        <w:pStyle w:val="2"/>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2"/>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2"/>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2"/>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2"/>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2"/>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47" w:name="_Toc143596673"/>
      <w:bookmarkStart w:id="548" w:name="_Toc143596262"/>
    </w:p>
    <w:p>
      <w:pPr>
        <w:pStyle w:val="2"/>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6"/>
        <w:spacing w:before="72" w:after="72"/>
        <w:rPr>
          <w:szCs w:val="24"/>
        </w:rPr>
      </w:pPr>
      <w:bookmarkStart w:id="549" w:name="_Toc217102234"/>
      <w:bookmarkStart w:id="550" w:name="_Toc184891774"/>
      <w:bookmarkStart w:id="551" w:name="_Toc1213266"/>
      <w:bookmarkStart w:id="552" w:name="_Toc287112610"/>
      <w:bookmarkStart w:id="553" w:name="_Toc387416366"/>
      <w:bookmarkStart w:id="554" w:name="_Toc184891547"/>
      <w:bookmarkStart w:id="555" w:name="_Toc157182374"/>
      <w:r>
        <w:rPr>
          <w:rFonts w:hint="eastAsia"/>
          <w:szCs w:val="24"/>
        </w:rPr>
        <w:t>4</w:t>
      </w:r>
      <w:r>
        <w:rPr>
          <w:szCs w:val="24"/>
        </w:rPr>
        <w:t>.</w:t>
      </w:r>
      <w:r>
        <w:rPr>
          <w:rFonts w:hint="eastAsia"/>
          <w:szCs w:val="24"/>
        </w:rPr>
        <w:t>评标</w:t>
      </w:r>
      <w:r>
        <w:rPr>
          <w:szCs w:val="24"/>
        </w:rPr>
        <w:t>办法和程序</w:t>
      </w:r>
      <w:bookmarkEnd w:id="547"/>
      <w:bookmarkEnd w:id="548"/>
      <w:bookmarkEnd w:id="549"/>
      <w:bookmarkEnd w:id="550"/>
      <w:bookmarkEnd w:id="551"/>
      <w:bookmarkEnd w:id="552"/>
      <w:bookmarkEnd w:id="553"/>
      <w:bookmarkEnd w:id="554"/>
      <w:bookmarkEnd w:id="555"/>
    </w:p>
    <w:p>
      <w:pPr>
        <w:pStyle w:val="2"/>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2"/>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2"/>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2"/>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2"/>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2"/>
        <w:ind w:firstLine="480"/>
        <w:rPr>
          <w:rFonts w:hAnsi="宋体"/>
          <w:color w:val="000000"/>
        </w:rPr>
      </w:pPr>
      <w:r>
        <w:rPr>
          <w:rFonts w:hAnsi="宋体"/>
          <w:color w:val="000000"/>
        </w:rPr>
        <w:t>（2）内容齐全、关键内容字迹清晰可辨；</w:t>
      </w:r>
    </w:p>
    <w:p>
      <w:pPr>
        <w:pStyle w:val="2"/>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2"/>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2"/>
        <w:ind w:firstLine="480"/>
        <w:rPr>
          <w:rFonts w:hAnsi="宋体"/>
          <w:color w:val="000000"/>
        </w:rPr>
      </w:pPr>
      <w:r>
        <w:rPr>
          <w:rFonts w:hAnsi="宋体"/>
          <w:color w:val="000000"/>
        </w:rPr>
        <w:t>（5）没有递交两份或多份内容不同的响应文件；</w:t>
      </w:r>
    </w:p>
    <w:p>
      <w:pPr>
        <w:pStyle w:val="2"/>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2"/>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2"/>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2"/>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2"/>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2"/>
        <w:ind w:firstLine="480"/>
        <w:rPr>
          <w:rFonts w:hAnsi="宋体"/>
          <w:color w:val="000000"/>
        </w:rPr>
      </w:pPr>
      <w:r>
        <w:rPr>
          <w:rFonts w:hint="eastAsia" w:hAnsi="宋体"/>
          <w:color w:val="000000"/>
        </w:rPr>
        <w:t>（2）最后小计得到方案评审分。</w:t>
      </w:r>
    </w:p>
    <w:p>
      <w:pPr>
        <w:pStyle w:val="2"/>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2"/>
        <w:ind w:firstLine="482"/>
        <w:rPr>
          <w:rFonts w:hAnsi="宋体"/>
          <w:b/>
          <w:color w:val="000000"/>
        </w:rPr>
      </w:pPr>
      <w:r>
        <w:rPr>
          <w:rFonts w:hint="eastAsia" w:hAnsi="宋体"/>
          <w:b/>
          <w:color w:val="000000"/>
        </w:rPr>
        <w:t>投标人的价格分统一按照下列公式计算：</w:t>
      </w:r>
    </w:p>
    <w:p>
      <w:pPr>
        <w:pStyle w:val="2"/>
        <w:ind w:firstLine="482"/>
      </w:pPr>
      <w:r>
        <w:rPr>
          <w:rFonts w:hint="eastAsia" w:hAnsi="宋体"/>
          <w:b/>
          <w:color w:val="000000"/>
        </w:rPr>
        <w:t>投标报价得分=</w:t>
      </w:r>
      <w:r>
        <w:rPr>
          <w:rFonts w:hint="eastAsia" w:hAnsi="宋体"/>
          <w:b/>
          <w:color w:val="000000"/>
          <w:highlight w:val="none"/>
        </w:rPr>
        <w:t>（评标基准价/最后投标报价）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2"/>
        <w:ind w:firstLine="482"/>
        <w:rPr>
          <w:rFonts w:hAnsi="宋体"/>
          <w:b/>
          <w:color w:val="000000"/>
        </w:rPr>
      </w:pPr>
      <w:r>
        <w:rPr>
          <w:rFonts w:hint="eastAsia" w:hAnsi="宋体"/>
          <w:b/>
          <w:color w:val="000000"/>
        </w:rPr>
        <w:t>供应商的价格分统一按照下列公式计算：</w:t>
      </w:r>
    </w:p>
    <w:p>
      <w:pPr>
        <w:pStyle w:val="2"/>
        <w:ind w:firstLine="482"/>
        <w:rPr>
          <w:rFonts w:hAnsi="宋体"/>
          <w:b/>
          <w:color w:val="000000"/>
        </w:rPr>
      </w:pPr>
      <w:r>
        <w:rPr>
          <w:rFonts w:hint="eastAsia" w:hAnsi="宋体"/>
          <w:b/>
          <w:color w:val="000000"/>
        </w:rPr>
        <w:t>项目评审过程中，不得去掉最后报价中的最高报价和最低报价。</w:t>
      </w:r>
    </w:p>
    <w:p>
      <w:pPr>
        <w:pStyle w:val="2"/>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2"/>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rPr>
      </w:pPr>
    </w:p>
    <w:p>
      <w:pPr>
        <w:pStyle w:val="2"/>
        <w:rPr>
          <w:rFonts w:hAnsi="宋体"/>
          <w:bCs/>
        </w:rPr>
      </w:pPr>
    </w:p>
    <w:p>
      <w:pPr>
        <w:pStyle w:val="3"/>
        <w:rPr>
          <w:rFonts w:hAnsi="宋体"/>
          <w:bCs/>
        </w:rPr>
      </w:pPr>
    </w:p>
    <w:p>
      <w:pPr>
        <w:rPr>
          <w:rFonts w:hAnsi="宋体"/>
          <w:bCs/>
        </w:rPr>
      </w:pPr>
    </w:p>
    <w:p>
      <w:pPr>
        <w:pStyle w:val="2"/>
        <w:rPr>
          <w:rFonts w:hAnsi="宋体"/>
          <w:bCs/>
        </w:rPr>
      </w:pPr>
    </w:p>
    <w:p>
      <w:pPr>
        <w:pStyle w:val="3"/>
        <w:rPr>
          <w:rFonts w:hAnsi="宋体"/>
          <w:bCs/>
        </w:rPr>
      </w:pPr>
    </w:p>
    <w:p>
      <w:pPr>
        <w:rPr>
          <w:rFonts w:hAnsi="宋体"/>
          <w:bCs/>
        </w:rPr>
      </w:pPr>
    </w:p>
    <w:p>
      <w:pPr>
        <w:pStyle w:val="2"/>
        <w:rPr>
          <w:rFonts w:hAnsi="宋体"/>
          <w:bCs/>
        </w:rPr>
      </w:pPr>
    </w:p>
    <w:p>
      <w:pPr>
        <w:pStyle w:val="3"/>
        <w:rPr>
          <w:rFonts w:hAnsi="宋体"/>
          <w:bCs/>
        </w:rPr>
      </w:pPr>
    </w:p>
    <w:p>
      <w:pPr>
        <w:rPr>
          <w:rFonts w:hAnsi="宋体"/>
          <w:bCs/>
        </w:rPr>
      </w:pPr>
    </w:p>
    <w:p>
      <w:pPr>
        <w:pStyle w:val="2"/>
        <w:rPr>
          <w:rFonts w:hAnsi="宋体"/>
          <w:bCs/>
        </w:rPr>
      </w:pPr>
    </w:p>
    <w:p>
      <w:pPr>
        <w:pStyle w:val="3"/>
        <w:rPr>
          <w:rFonts w:hAnsi="宋体"/>
          <w:bCs/>
        </w:rPr>
      </w:pPr>
    </w:p>
    <w:p>
      <w:pPr>
        <w:rPr>
          <w:rFonts w:hAnsi="宋体"/>
          <w:bCs/>
        </w:rPr>
      </w:pPr>
    </w:p>
    <w:p>
      <w:pPr>
        <w:pStyle w:val="2"/>
        <w:rPr>
          <w:rFonts w:hAnsi="宋体"/>
          <w:bCs/>
        </w:rPr>
      </w:pPr>
    </w:p>
    <w:p>
      <w:pPr>
        <w:pStyle w:val="3"/>
        <w:rPr>
          <w:rFonts w:hAnsi="宋体"/>
          <w:bCs/>
        </w:rPr>
      </w:pPr>
    </w:p>
    <w:p>
      <w:pPr>
        <w:rPr>
          <w:rFonts w:hAnsi="宋体"/>
          <w:bCs/>
        </w:rPr>
      </w:pPr>
    </w:p>
    <w:p>
      <w:pPr>
        <w:pStyle w:val="2"/>
        <w:rPr>
          <w:rFonts w:hAnsi="宋体"/>
          <w:bCs/>
        </w:rPr>
      </w:pPr>
    </w:p>
    <w:p>
      <w:pPr>
        <w:pStyle w:val="3"/>
        <w:rPr>
          <w:rFonts w:hAnsi="宋体"/>
          <w:bCs/>
        </w:rPr>
      </w:pPr>
    </w:p>
    <w:p>
      <w:pPr>
        <w:rPr>
          <w:rFonts w:hAnsi="宋体"/>
          <w:bCs/>
        </w:rPr>
      </w:pPr>
    </w:p>
    <w:p>
      <w:pPr>
        <w:pStyle w:val="2"/>
        <w:rPr>
          <w:rFonts w:hAnsi="宋体"/>
          <w:bCs/>
        </w:rPr>
      </w:pPr>
    </w:p>
    <w:p>
      <w:pPr>
        <w:pStyle w:val="3"/>
        <w:rPr>
          <w:rFonts w:hAnsi="宋体"/>
          <w:bCs/>
        </w:rPr>
      </w:pPr>
    </w:p>
    <w:p>
      <w:pPr>
        <w:rPr>
          <w:rFonts w:hAnsi="宋体"/>
          <w:bCs/>
        </w:rPr>
      </w:pPr>
    </w:p>
    <w:p>
      <w:pPr>
        <w:pStyle w:val="2"/>
        <w:rPr>
          <w:rFonts w:hAnsi="宋体"/>
          <w:bCs/>
        </w:rPr>
      </w:pPr>
    </w:p>
    <w:p>
      <w:pPr>
        <w:pStyle w:val="3"/>
        <w:rPr>
          <w:rFonts w:hAnsi="宋体"/>
          <w:bCs/>
        </w:rPr>
      </w:pPr>
    </w:p>
    <w:p>
      <w:pPr>
        <w:rPr>
          <w:rFonts w:hAnsi="宋体"/>
          <w:bCs/>
        </w:rPr>
      </w:pPr>
    </w:p>
    <w:p>
      <w:pPr>
        <w:pStyle w:val="2"/>
        <w:rPr>
          <w:rFonts w:hAnsi="宋体"/>
          <w:bCs/>
        </w:rPr>
      </w:pPr>
    </w:p>
    <w:p>
      <w:pPr>
        <w:pStyle w:val="3"/>
        <w:rPr>
          <w:rFonts w:hAnsi="宋体"/>
          <w:bCs/>
        </w:rPr>
      </w:pPr>
    </w:p>
    <w:p>
      <w:pPr>
        <w:rPr>
          <w:rFonts w:hAnsi="宋体"/>
          <w:bCs/>
        </w:rPr>
      </w:pPr>
    </w:p>
    <w:p>
      <w:pPr>
        <w:pStyle w:val="2"/>
        <w:rPr>
          <w:rFonts w:hAnsi="宋体"/>
          <w:bCs/>
        </w:rPr>
      </w:pPr>
    </w:p>
    <w:p>
      <w:pPr>
        <w:pStyle w:val="3"/>
      </w:pPr>
    </w:p>
    <w:p/>
    <w:p>
      <w:pPr>
        <w:pStyle w:val="2"/>
      </w:pPr>
    </w:p>
    <w:p>
      <w:pPr>
        <w:spacing w:line="300" w:lineRule="auto"/>
        <w:jc w:val="center"/>
      </w:pPr>
      <w:r>
        <w:rPr>
          <w:rFonts w:hint="eastAsia" w:ascii="仿宋" w:hAnsi="仿宋" w:eastAsia="仿宋" w:cs="仿宋"/>
          <w:b/>
          <w:bCs/>
          <w:sz w:val="28"/>
          <w:szCs w:val="28"/>
        </w:rPr>
        <w:t>初步评审—资格性审查表</w:t>
      </w:r>
    </w:p>
    <w:tbl>
      <w:tblPr>
        <w:tblStyle w:val="35"/>
        <w:tblpPr w:leftFromText="180" w:rightFromText="180" w:vertAnchor="text" w:horzAnchor="page" w:tblpXSpec="center" w:tblpY="470"/>
        <w:tblOverlap w:val="neve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6365"/>
        <w:gridCol w:w="870"/>
        <w:gridCol w:w="84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85" w:type="dxa"/>
            <w:vMerge w:val="restart"/>
            <w:vAlign w:val="center"/>
          </w:tcPr>
          <w:p>
            <w:pPr>
              <w:spacing w:line="300" w:lineRule="auto"/>
              <w:jc w:val="center"/>
              <w:rPr>
                <w:rFonts w:ascii="仿宋" w:hAnsi="仿宋" w:eastAsia="仿宋" w:cs="仿宋"/>
                <w:b/>
                <w:sz w:val="24"/>
              </w:rPr>
            </w:pPr>
            <w:r>
              <w:rPr>
                <w:rFonts w:hint="eastAsia" w:ascii="仿宋" w:hAnsi="仿宋" w:eastAsia="仿宋" w:cs="仿宋"/>
                <w:b/>
                <w:sz w:val="24"/>
              </w:rPr>
              <w:t>序号</w:t>
            </w:r>
          </w:p>
        </w:tc>
        <w:tc>
          <w:tcPr>
            <w:tcW w:w="6365" w:type="dxa"/>
            <w:vMerge w:val="restart"/>
            <w:vAlign w:val="center"/>
          </w:tcPr>
          <w:p>
            <w:pPr>
              <w:spacing w:line="300" w:lineRule="auto"/>
              <w:jc w:val="center"/>
              <w:rPr>
                <w:rFonts w:ascii="仿宋" w:hAnsi="仿宋" w:eastAsia="仿宋" w:cs="仿宋"/>
                <w:b/>
                <w:sz w:val="24"/>
              </w:rPr>
            </w:pPr>
            <w:r>
              <w:rPr>
                <w:rFonts w:hint="eastAsia" w:ascii="仿宋" w:hAnsi="仿宋" w:eastAsia="仿宋" w:cs="仿宋"/>
                <w:b/>
                <w:sz w:val="24"/>
              </w:rPr>
              <w:t>评审内容</w:t>
            </w:r>
          </w:p>
        </w:tc>
        <w:tc>
          <w:tcPr>
            <w:tcW w:w="2490" w:type="dxa"/>
            <w:gridSpan w:val="3"/>
            <w:vAlign w:val="center"/>
          </w:tcPr>
          <w:p>
            <w:pPr>
              <w:spacing w:line="300" w:lineRule="auto"/>
              <w:jc w:val="center"/>
              <w:rPr>
                <w:rFonts w:ascii="仿宋" w:hAnsi="仿宋" w:eastAsia="仿宋" w:cs="仿宋"/>
                <w:b/>
                <w:sz w:val="24"/>
              </w:rPr>
            </w:pPr>
            <w:r>
              <w:rPr>
                <w:rFonts w:hint="eastAsia" w:ascii="仿宋" w:hAnsi="仿宋" w:eastAsia="仿宋" w:cs="仿宋"/>
                <w:b/>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85" w:type="dxa"/>
            <w:vMerge w:val="continue"/>
            <w:vAlign w:val="center"/>
          </w:tcPr>
          <w:p>
            <w:pPr>
              <w:spacing w:line="300" w:lineRule="auto"/>
              <w:jc w:val="center"/>
              <w:rPr>
                <w:rFonts w:ascii="仿宋" w:hAnsi="仿宋" w:eastAsia="仿宋" w:cs="仿宋"/>
                <w:b/>
                <w:sz w:val="24"/>
              </w:rPr>
            </w:pPr>
          </w:p>
        </w:tc>
        <w:tc>
          <w:tcPr>
            <w:tcW w:w="6365" w:type="dxa"/>
            <w:vMerge w:val="continue"/>
            <w:vAlign w:val="center"/>
          </w:tcPr>
          <w:p>
            <w:pPr>
              <w:spacing w:line="300" w:lineRule="auto"/>
              <w:jc w:val="center"/>
              <w:rPr>
                <w:rFonts w:ascii="仿宋" w:hAnsi="仿宋" w:eastAsia="仿宋" w:cs="仿宋"/>
                <w:b/>
                <w:sz w:val="24"/>
              </w:rPr>
            </w:pPr>
          </w:p>
        </w:tc>
        <w:tc>
          <w:tcPr>
            <w:tcW w:w="870"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c>
          <w:tcPr>
            <w:tcW w:w="840"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c>
          <w:tcPr>
            <w:tcW w:w="780"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85" w:type="dxa"/>
            <w:vAlign w:val="center"/>
          </w:tcPr>
          <w:p>
            <w:pPr>
              <w:spacing w:line="300" w:lineRule="auto"/>
              <w:jc w:val="center"/>
              <w:rPr>
                <w:rFonts w:ascii="仿宋" w:hAnsi="仿宋" w:eastAsia="仿宋" w:cs="仿宋"/>
                <w:sz w:val="24"/>
              </w:rPr>
            </w:pPr>
            <w:r>
              <w:rPr>
                <w:rFonts w:hint="eastAsia" w:ascii="仿宋" w:hAnsi="仿宋" w:eastAsia="仿宋" w:cs="仿宋"/>
                <w:sz w:val="24"/>
              </w:rPr>
              <w:t>1</w:t>
            </w:r>
          </w:p>
        </w:tc>
        <w:tc>
          <w:tcPr>
            <w:tcW w:w="6365" w:type="dxa"/>
            <w:vAlign w:val="center"/>
          </w:tcPr>
          <w:p>
            <w:pPr>
              <w:spacing w:line="300" w:lineRule="auto"/>
              <w:rPr>
                <w:rFonts w:hint="eastAsia" w:ascii="仿宋" w:hAnsi="仿宋" w:eastAsia="仿宋" w:cs="仿宋"/>
                <w:kern w:val="0"/>
                <w:sz w:val="24"/>
              </w:rPr>
            </w:pPr>
            <w:r>
              <w:rPr>
                <w:rFonts w:hint="eastAsia" w:ascii="仿宋" w:hAnsi="仿宋" w:eastAsia="仿宋" w:cs="仿宋"/>
                <w:kern w:val="0"/>
                <w:sz w:val="24"/>
              </w:rPr>
              <w:t>具有相应经营范围的营业执照副本；</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5" w:type="dxa"/>
            <w:vAlign w:val="center"/>
          </w:tcPr>
          <w:p>
            <w:pPr>
              <w:spacing w:line="300" w:lineRule="auto"/>
              <w:jc w:val="center"/>
              <w:rPr>
                <w:rFonts w:ascii="仿宋" w:hAnsi="仿宋" w:eastAsia="仿宋" w:cs="仿宋"/>
                <w:sz w:val="24"/>
              </w:rPr>
            </w:pPr>
            <w:r>
              <w:rPr>
                <w:rFonts w:hint="eastAsia" w:ascii="仿宋" w:hAnsi="仿宋" w:eastAsia="仿宋" w:cs="仿宋"/>
                <w:sz w:val="24"/>
              </w:rPr>
              <w:t>2</w:t>
            </w:r>
          </w:p>
        </w:tc>
        <w:tc>
          <w:tcPr>
            <w:tcW w:w="6365" w:type="dxa"/>
            <w:vAlign w:val="center"/>
          </w:tcPr>
          <w:p>
            <w:pPr>
              <w:spacing w:line="300" w:lineRule="auto"/>
              <w:rPr>
                <w:rFonts w:hint="eastAsia" w:ascii="仿宋" w:hAnsi="仿宋" w:eastAsia="仿宋" w:cs="仿宋"/>
                <w:kern w:val="0"/>
                <w:sz w:val="24"/>
              </w:rPr>
            </w:pPr>
            <w:r>
              <w:rPr>
                <w:rFonts w:hint="eastAsia" w:ascii="仿宋" w:hAnsi="仿宋" w:eastAsia="仿宋" w:cs="仿宋"/>
                <w:kern w:val="0"/>
                <w:sz w:val="24"/>
                <w:lang w:val="en-US" w:eastAsia="zh-CN"/>
              </w:rPr>
              <w:t>具有良好的商业信誉和健全的财务会计制度（提供2021年度财务审计报告，</w:t>
            </w:r>
            <w:r>
              <w:rPr>
                <w:rFonts w:hint="eastAsia" w:ascii="仿宋" w:hAnsi="仿宋" w:eastAsia="仿宋" w:cs="仿宋"/>
                <w:kern w:val="0"/>
                <w:sz w:val="24"/>
              </w:rPr>
              <w:t>新成立的公司需出具银行资信证明</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85" w:type="dxa"/>
            <w:vAlign w:val="center"/>
          </w:tcPr>
          <w:p>
            <w:pPr>
              <w:spacing w:line="300" w:lineRule="auto"/>
              <w:jc w:val="center"/>
              <w:rPr>
                <w:rFonts w:ascii="仿宋" w:hAnsi="仿宋" w:eastAsia="仿宋" w:cs="仿宋"/>
                <w:sz w:val="24"/>
              </w:rPr>
            </w:pPr>
            <w:r>
              <w:rPr>
                <w:rFonts w:hint="eastAsia" w:ascii="仿宋" w:hAnsi="仿宋" w:eastAsia="仿宋" w:cs="仿宋"/>
                <w:sz w:val="24"/>
              </w:rPr>
              <w:t>3</w:t>
            </w:r>
          </w:p>
        </w:tc>
        <w:tc>
          <w:tcPr>
            <w:tcW w:w="6365" w:type="dxa"/>
            <w:vAlign w:val="center"/>
          </w:tcPr>
          <w:p>
            <w:pPr>
              <w:spacing w:line="300" w:lineRule="auto"/>
              <w:rPr>
                <w:rFonts w:hint="eastAsia" w:ascii="仿宋" w:hAnsi="仿宋" w:eastAsia="仿宋" w:cs="仿宋"/>
                <w:kern w:val="0"/>
                <w:sz w:val="24"/>
              </w:rPr>
            </w:pPr>
            <w:r>
              <w:rPr>
                <w:rFonts w:hint="eastAsia" w:ascii="仿宋" w:hAnsi="仿宋" w:eastAsia="仿宋" w:cs="仿宋"/>
                <w:kern w:val="0"/>
                <w:sz w:val="24"/>
              </w:rPr>
              <w:t>税务部门出具的近三个月内的任意一个月的完税证明</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85" w:type="dxa"/>
            <w:vAlign w:val="center"/>
          </w:tcPr>
          <w:p>
            <w:pPr>
              <w:spacing w:line="300" w:lineRule="auto"/>
              <w:jc w:val="center"/>
              <w:rPr>
                <w:rFonts w:ascii="仿宋" w:hAnsi="仿宋" w:eastAsia="仿宋" w:cs="仿宋"/>
                <w:sz w:val="24"/>
              </w:rPr>
            </w:pPr>
            <w:r>
              <w:rPr>
                <w:rFonts w:hint="eastAsia" w:ascii="仿宋" w:hAnsi="仿宋" w:eastAsia="仿宋" w:cs="仿宋"/>
                <w:sz w:val="24"/>
              </w:rPr>
              <w:t>4</w:t>
            </w:r>
          </w:p>
        </w:tc>
        <w:tc>
          <w:tcPr>
            <w:tcW w:w="6365" w:type="dxa"/>
            <w:vAlign w:val="center"/>
          </w:tcPr>
          <w:p>
            <w:pPr>
              <w:spacing w:line="300" w:lineRule="auto"/>
              <w:rPr>
                <w:rFonts w:hint="eastAsia" w:ascii="仿宋" w:hAnsi="仿宋" w:eastAsia="仿宋" w:cs="仿宋"/>
                <w:kern w:val="0"/>
                <w:sz w:val="24"/>
              </w:rPr>
            </w:pPr>
            <w:r>
              <w:rPr>
                <w:rFonts w:hint="eastAsia" w:ascii="仿宋" w:hAnsi="仿宋" w:eastAsia="仿宋" w:cs="仿宋"/>
                <w:kern w:val="0"/>
                <w:sz w:val="24"/>
                <w:lang w:eastAsia="zh-CN"/>
              </w:rPr>
              <w:t>法定代表人投标的需携带法定代表人证明书及法定代表人身份证；委托代理人需携带法定代表人授权委托书及委托代理人身份证；</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5" w:type="dxa"/>
            <w:vAlign w:val="center"/>
          </w:tcPr>
          <w:p>
            <w:pPr>
              <w:spacing w:line="300" w:lineRule="auto"/>
              <w:jc w:val="center"/>
              <w:rPr>
                <w:rFonts w:ascii="仿宋" w:hAnsi="仿宋" w:eastAsia="仿宋" w:cs="仿宋"/>
                <w:sz w:val="24"/>
              </w:rPr>
            </w:pPr>
            <w:r>
              <w:rPr>
                <w:rFonts w:hint="eastAsia" w:ascii="仿宋" w:hAnsi="仿宋" w:eastAsia="仿宋" w:cs="仿宋"/>
                <w:sz w:val="24"/>
              </w:rPr>
              <w:t>5</w:t>
            </w:r>
          </w:p>
        </w:tc>
        <w:tc>
          <w:tcPr>
            <w:tcW w:w="6365" w:type="dxa"/>
            <w:vAlign w:val="center"/>
          </w:tcPr>
          <w:p>
            <w:pPr>
              <w:spacing w:line="300" w:lineRule="auto"/>
              <w:rPr>
                <w:rFonts w:hint="eastAsia" w:ascii="仿宋" w:hAnsi="仿宋" w:eastAsia="仿宋" w:cs="仿宋"/>
                <w:kern w:val="0"/>
                <w:sz w:val="24"/>
              </w:rPr>
            </w:pPr>
            <w:r>
              <w:rPr>
                <w:rFonts w:hint="eastAsia" w:ascii="仿宋" w:hAnsi="仿宋" w:eastAsia="仿宋" w:cs="仿宋"/>
                <w:kern w:val="0"/>
                <w:sz w:val="24"/>
                <w:lang w:eastAsia="zh-CN"/>
              </w:rPr>
              <w:t>依法缴纳社保证明，提供本单位近三个月的任意一个月社保证明；</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5" w:type="dxa"/>
            <w:vAlign w:val="center"/>
          </w:tcPr>
          <w:p>
            <w:pPr>
              <w:spacing w:line="300" w:lineRule="auto"/>
              <w:jc w:val="center"/>
              <w:rPr>
                <w:rFonts w:ascii="仿宋" w:hAnsi="仿宋" w:eastAsia="仿宋" w:cs="仿宋"/>
                <w:sz w:val="24"/>
              </w:rPr>
            </w:pPr>
            <w:r>
              <w:rPr>
                <w:rFonts w:hint="eastAsia" w:ascii="仿宋" w:hAnsi="仿宋" w:eastAsia="仿宋" w:cs="仿宋"/>
                <w:sz w:val="24"/>
              </w:rPr>
              <w:t>6</w:t>
            </w:r>
          </w:p>
        </w:tc>
        <w:tc>
          <w:tcPr>
            <w:tcW w:w="6365" w:type="dxa"/>
            <w:vAlign w:val="center"/>
          </w:tcPr>
          <w:p>
            <w:pPr>
              <w:spacing w:line="300" w:lineRule="auto"/>
              <w:rPr>
                <w:rFonts w:hint="eastAsia" w:ascii="仿宋" w:hAnsi="仿宋" w:eastAsia="仿宋" w:cs="仿宋"/>
                <w:kern w:val="0"/>
                <w:sz w:val="24"/>
              </w:rPr>
            </w:pPr>
            <w:r>
              <w:rPr>
                <w:rFonts w:hint="eastAsia" w:ascii="仿宋" w:hAnsi="仿宋" w:eastAsia="仿宋" w:cs="仿宋"/>
                <w:kern w:val="0"/>
                <w:sz w:val="24"/>
                <w:lang w:val="en-US" w:eastAsia="zh-CN"/>
              </w:rPr>
              <w:t xml:space="preserve">凡拟参加本次采购项目的投标人，如在“信用中国（www.creditchina.gov.cn）”；“中国政府采购网（www.ccgp.gov.cn）”；列入严重违法失信企业名单（黑名单）信息的将拒绝其参本次政府采购活动 </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5" w:type="dxa"/>
            <w:vAlign w:val="center"/>
          </w:tcPr>
          <w:p>
            <w:pPr>
              <w:spacing w:line="300" w:lineRule="auto"/>
              <w:jc w:val="center"/>
              <w:rPr>
                <w:rFonts w:ascii="仿宋" w:hAnsi="仿宋" w:eastAsia="仿宋" w:cs="仿宋"/>
                <w:sz w:val="24"/>
              </w:rPr>
            </w:pPr>
            <w:r>
              <w:rPr>
                <w:rFonts w:hint="eastAsia" w:ascii="仿宋" w:hAnsi="仿宋" w:eastAsia="仿宋" w:cs="仿宋"/>
                <w:sz w:val="24"/>
              </w:rPr>
              <w:t>7</w:t>
            </w:r>
          </w:p>
        </w:tc>
        <w:tc>
          <w:tcPr>
            <w:tcW w:w="6365" w:type="dxa"/>
            <w:vAlign w:val="center"/>
          </w:tcPr>
          <w:p>
            <w:pPr>
              <w:spacing w:line="300" w:lineRule="auto"/>
              <w:rPr>
                <w:rFonts w:hint="eastAsia" w:ascii="仿宋" w:hAnsi="仿宋" w:eastAsia="仿宋" w:cs="仿宋"/>
                <w:kern w:val="0"/>
                <w:sz w:val="24"/>
              </w:rPr>
            </w:pPr>
            <w:r>
              <w:rPr>
                <w:rFonts w:hint="eastAsia" w:ascii="仿宋" w:hAnsi="仿宋" w:eastAsia="仿宋" w:cs="仿宋"/>
                <w:kern w:val="0"/>
                <w:sz w:val="24"/>
              </w:rPr>
              <w:t>参加政府采购活动前三年内，在经营活动中没有重大违法记录；</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5" w:type="dxa"/>
            <w:vAlign w:val="center"/>
          </w:tcPr>
          <w:p>
            <w:pPr>
              <w:spacing w:line="300" w:lineRule="auto"/>
              <w:jc w:val="center"/>
              <w:rPr>
                <w:rFonts w:ascii="仿宋" w:hAnsi="仿宋" w:eastAsia="仿宋" w:cs="仿宋"/>
                <w:sz w:val="24"/>
              </w:rPr>
            </w:pPr>
            <w:r>
              <w:rPr>
                <w:rFonts w:hint="eastAsia" w:ascii="仿宋" w:hAnsi="仿宋" w:eastAsia="仿宋" w:cs="仿宋"/>
                <w:sz w:val="24"/>
              </w:rPr>
              <w:t>8</w:t>
            </w:r>
          </w:p>
        </w:tc>
        <w:tc>
          <w:tcPr>
            <w:tcW w:w="6365" w:type="dxa"/>
            <w:vAlign w:val="center"/>
          </w:tcPr>
          <w:p>
            <w:pPr>
              <w:spacing w:line="300" w:lineRule="auto"/>
              <w:rPr>
                <w:rFonts w:hint="eastAsia" w:ascii="仿宋" w:hAnsi="仿宋" w:eastAsia="仿宋" w:cs="仿宋"/>
                <w:kern w:val="0"/>
                <w:sz w:val="24"/>
                <w:lang w:eastAsia="zh-CN"/>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针对本项目的反商业贿赂承诺书</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5" w:type="dxa"/>
            <w:vAlign w:val="center"/>
          </w:tcPr>
          <w:p>
            <w:pPr>
              <w:spacing w:line="300" w:lineRule="auto"/>
              <w:jc w:val="center"/>
              <w:rPr>
                <w:rFonts w:ascii="仿宋" w:hAnsi="仿宋" w:eastAsia="仿宋" w:cs="仿宋"/>
                <w:sz w:val="24"/>
              </w:rPr>
            </w:pPr>
            <w:r>
              <w:rPr>
                <w:rFonts w:hint="eastAsia" w:ascii="仿宋" w:hAnsi="仿宋" w:eastAsia="仿宋" w:cs="仿宋"/>
                <w:sz w:val="24"/>
              </w:rPr>
              <w:t>9</w:t>
            </w:r>
          </w:p>
        </w:tc>
        <w:tc>
          <w:tcPr>
            <w:tcW w:w="6365" w:type="dxa"/>
            <w:vAlign w:val="center"/>
          </w:tcPr>
          <w:p>
            <w:pPr>
              <w:spacing w:line="300" w:lineRule="auto"/>
              <w:rPr>
                <w:rFonts w:hint="eastAsia" w:ascii="仿宋" w:hAnsi="仿宋" w:eastAsia="仿宋" w:cs="仿宋"/>
                <w:kern w:val="0"/>
                <w:sz w:val="24"/>
                <w:lang w:eastAsia="zh-CN"/>
              </w:rPr>
            </w:pPr>
            <w:r>
              <w:rPr>
                <w:rFonts w:hint="eastAsia" w:ascii="仿宋" w:hAnsi="仿宋" w:eastAsia="仿宋" w:cs="仿宋"/>
                <w:kern w:val="0"/>
                <w:sz w:val="24"/>
                <w:lang w:val="en-US" w:eastAsia="zh-CN"/>
              </w:rPr>
              <w:t xml:space="preserve"> 投标保证金已缴纳证明或银行保函原件</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5" w:type="dxa"/>
            <w:vAlign w:val="center"/>
          </w:tcPr>
          <w:p>
            <w:pPr>
              <w:spacing w:line="300" w:lineRule="auto"/>
              <w:rPr>
                <w:rFonts w:ascii="仿宋" w:hAnsi="仿宋" w:eastAsia="仿宋" w:cs="仿宋"/>
                <w:sz w:val="24"/>
              </w:rPr>
            </w:pPr>
          </w:p>
        </w:tc>
        <w:tc>
          <w:tcPr>
            <w:tcW w:w="6365" w:type="dxa"/>
            <w:vAlign w:val="center"/>
          </w:tcPr>
          <w:p>
            <w:pPr>
              <w:spacing w:line="300" w:lineRule="auto"/>
              <w:rPr>
                <w:rFonts w:ascii="仿宋" w:hAnsi="仿宋" w:eastAsia="仿宋" w:cs="仿宋"/>
                <w:sz w:val="24"/>
              </w:rPr>
            </w:pPr>
            <w:r>
              <w:rPr>
                <w:rFonts w:hint="eastAsia" w:ascii="仿宋" w:hAnsi="仿宋" w:eastAsia="仿宋" w:cs="仿宋"/>
                <w:sz w:val="24"/>
              </w:rPr>
              <w:t>结论</w:t>
            </w:r>
          </w:p>
        </w:tc>
        <w:tc>
          <w:tcPr>
            <w:tcW w:w="870" w:type="dxa"/>
          </w:tcPr>
          <w:p>
            <w:pPr>
              <w:spacing w:line="300" w:lineRule="auto"/>
              <w:rPr>
                <w:rFonts w:ascii="仿宋" w:hAnsi="仿宋" w:eastAsia="仿宋" w:cs="仿宋"/>
                <w:sz w:val="24"/>
              </w:rPr>
            </w:pPr>
          </w:p>
        </w:tc>
        <w:tc>
          <w:tcPr>
            <w:tcW w:w="840" w:type="dxa"/>
          </w:tcPr>
          <w:p>
            <w:pPr>
              <w:spacing w:line="300" w:lineRule="auto"/>
              <w:rPr>
                <w:rFonts w:ascii="仿宋" w:hAnsi="仿宋" w:eastAsia="仿宋" w:cs="仿宋"/>
                <w:sz w:val="24"/>
              </w:rPr>
            </w:pPr>
          </w:p>
        </w:tc>
        <w:tc>
          <w:tcPr>
            <w:tcW w:w="780" w:type="dxa"/>
          </w:tcPr>
          <w:p>
            <w:pPr>
              <w:spacing w:line="300" w:lineRule="auto"/>
              <w:rPr>
                <w:rFonts w:ascii="仿宋" w:hAnsi="仿宋" w:eastAsia="仿宋" w:cs="仿宋"/>
                <w:sz w:val="24"/>
              </w:rPr>
            </w:pPr>
          </w:p>
        </w:tc>
      </w:tr>
    </w:tbl>
    <w:p>
      <w:pPr>
        <w:pStyle w:val="2"/>
        <w:sectPr>
          <w:pgSz w:w="11906" w:h="16838"/>
          <w:pgMar w:top="1134" w:right="1134" w:bottom="1134" w:left="1134" w:header="851" w:footer="992" w:gutter="0"/>
          <w:cols w:space="720" w:num="1"/>
          <w:docGrid w:linePitch="312" w:charSpace="0"/>
        </w:sectPr>
      </w:pPr>
    </w:p>
    <w:p>
      <w:pPr>
        <w:pStyle w:val="2"/>
        <w:spacing w:line="300" w:lineRule="auto"/>
        <w:ind w:firstLine="0"/>
        <w:jc w:val="center"/>
        <w:rPr>
          <w:rFonts w:ascii="仿宋" w:hAnsi="仿宋" w:eastAsia="仿宋" w:cs="仿宋"/>
          <w:b/>
          <w:sz w:val="28"/>
          <w:szCs w:val="28"/>
        </w:rPr>
      </w:pPr>
      <w:bookmarkStart w:id="556" w:name="_Toc1213267"/>
      <w:r>
        <w:rPr>
          <w:rFonts w:hint="eastAsia" w:ascii="仿宋" w:hAnsi="仿宋" w:eastAsia="仿宋" w:cs="仿宋"/>
          <w:b/>
          <w:sz w:val="28"/>
          <w:szCs w:val="28"/>
        </w:rPr>
        <w:t>初步评审—符合性审查表</w:t>
      </w:r>
    </w:p>
    <w:tbl>
      <w:tblPr>
        <w:tblStyle w:val="35"/>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pPr>
              <w:spacing w:line="300" w:lineRule="auto"/>
              <w:jc w:val="center"/>
              <w:rPr>
                <w:rFonts w:ascii="仿宋" w:hAnsi="仿宋" w:eastAsia="仿宋" w:cs="仿宋"/>
                <w:b/>
                <w:spacing w:val="-2"/>
                <w:sz w:val="24"/>
              </w:rPr>
            </w:pPr>
            <w:r>
              <w:rPr>
                <w:rFonts w:hint="eastAsia" w:ascii="仿宋" w:hAnsi="仿宋" w:eastAsia="仿宋" w:cs="仿宋"/>
                <w:b/>
                <w:spacing w:val="-2"/>
                <w:sz w:val="24"/>
              </w:rPr>
              <w:t>评审内容</w:t>
            </w:r>
          </w:p>
        </w:tc>
        <w:tc>
          <w:tcPr>
            <w:tcW w:w="1276" w:type="dxa"/>
            <w:vAlign w:val="center"/>
          </w:tcPr>
          <w:p>
            <w:pPr>
              <w:spacing w:line="300" w:lineRule="auto"/>
              <w:jc w:val="center"/>
              <w:rPr>
                <w:rFonts w:ascii="仿宋" w:hAnsi="仿宋" w:eastAsia="仿宋" w:cs="仿宋"/>
                <w:spacing w:val="-2"/>
                <w:sz w:val="24"/>
              </w:rPr>
            </w:pPr>
            <w:r>
              <w:rPr>
                <w:rFonts w:hint="eastAsia" w:ascii="仿宋" w:hAnsi="仿宋" w:eastAsia="仿宋" w:cs="仿宋"/>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序号</w:t>
            </w:r>
          </w:p>
        </w:tc>
        <w:tc>
          <w:tcPr>
            <w:tcW w:w="6915" w:type="dxa"/>
            <w:vAlign w:val="center"/>
          </w:tcPr>
          <w:p>
            <w:pPr>
              <w:spacing w:line="300" w:lineRule="auto"/>
              <w:rPr>
                <w:rFonts w:ascii="仿宋" w:hAnsi="仿宋" w:eastAsia="仿宋" w:cs="仿宋"/>
                <w:spacing w:val="-2"/>
                <w:sz w:val="24"/>
              </w:rPr>
            </w:pPr>
          </w:p>
        </w:tc>
        <w:tc>
          <w:tcPr>
            <w:tcW w:w="1276" w:type="dxa"/>
            <w:vAlign w:val="center"/>
          </w:tcPr>
          <w:p>
            <w:pPr>
              <w:spacing w:line="300" w:lineRule="auto"/>
              <w:jc w:val="center"/>
              <w:rPr>
                <w:rFonts w:ascii="仿宋" w:hAnsi="仿宋" w:eastAsia="仿宋" w:cs="仿宋"/>
                <w:spacing w:val="-2"/>
                <w:sz w:val="24"/>
              </w:rPr>
            </w:pPr>
            <w:r>
              <w:rPr>
                <w:rFonts w:hint="eastAsia" w:ascii="仿宋" w:hAnsi="仿宋" w:eastAsia="仿宋" w:cs="仿宋"/>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1</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投标报价高于预算金额；</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2</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投标人之间或者投标人与采购人串通投标的；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3</w:t>
            </w:r>
          </w:p>
        </w:tc>
        <w:tc>
          <w:tcPr>
            <w:tcW w:w="6915" w:type="dxa"/>
            <w:vAlign w:val="center"/>
          </w:tcPr>
          <w:p>
            <w:pPr>
              <w:widowControl/>
              <w:spacing w:line="300" w:lineRule="auto"/>
              <w:jc w:val="left"/>
              <w:textAlignment w:val="center"/>
              <w:rPr>
                <w:rFonts w:ascii="仿宋" w:hAnsi="仿宋" w:eastAsia="仿宋" w:cs="仿宋"/>
                <w:sz w:val="24"/>
              </w:rPr>
            </w:pPr>
            <w:r>
              <w:rPr>
                <w:rFonts w:hint="eastAsia" w:ascii="仿宋" w:hAnsi="仿宋" w:eastAsia="仿宋" w:cs="仿宋"/>
                <w:kern w:val="0"/>
                <w:sz w:val="24"/>
              </w:rPr>
              <w:t>以行贿手段谋取中标或者以其他弄虚作假方式投标的；</w:t>
            </w:r>
          </w:p>
        </w:tc>
        <w:tc>
          <w:tcPr>
            <w:tcW w:w="1276" w:type="dxa"/>
            <w:vAlign w:val="center"/>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4</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评标委员会共同确定有实质上不响应招标文件要求的；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5</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投标文件没有投标单位法定代表人或其授权代表签字（章）和加盖投标单位公章的（投标文件正本的印章和签字不能为复印件）；</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6</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投标的政府采购项目完成期限超过招标文件规定期限的；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7</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投标文件载明的技术规格、技术标准、货物包装方式、检验标准和方法等，不符合招标文件要求的；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8</w:t>
            </w:r>
          </w:p>
        </w:tc>
        <w:tc>
          <w:tcPr>
            <w:tcW w:w="6915" w:type="dxa"/>
            <w:vAlign w:val="center"/>
          </w:tcPr>
          <w:p>
            <w:pPr>
              <w:widowControl/>
              <w:spacing w:line="300" w:lineRule="auto"/>
              <w:textAlignment w:val="center"/>
              <w:rPr>
                <w:rFonts w:ascii="仿宋" w:hAnsi="仿宋" w:eastAsia="仿宋" w:cs="仿宋"/>
                <w:sz w:val="24"/>
              </w:rPr>
            </w:pPr>
            <w:r>
              <w:rPr>
                <w:rFonts w:hint="eastAsia" w:ascii="仿宋" w:hAnsi="仿宋" w:eastAsia="仿宋" w:cs="仿宋"/>
                <w:kern w:val="0"/>
                <w:sz w:val="24"/>
              </w:rPr>
              <w:t>投标文件附有采购人不能接受条件的；</w:t>
            </w:r>
          </w:p>
        </w:tc>
        <w:tc>
          <w:tcPr>
            <w:tcW w:w="1276" w:type="dxa"/>
            <w:vAlign w:val="center"/>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9</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不满足招标文件实质性要求的其他情形.</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pPr>
              <w:spacing w:line="300" w:lineRule="auto"/>
              <w:ind w:firstLine="424" w:firstLineChars="180"/>
              <w:rPr>
                <w:rFonts w:ascii="仿宋" w:hAnsi="仿宋" w:eastAsia="仿宋" w:cs="仿宋"/>
                <w:spacing w:val="-2"/>
                <w:sz w:val="24"/>
              </w:rPr>
            </w:pPr>
            <w:r>
              <w:rPr>
                <w:rFonts w:hint="eastAsia" w:ascii="仿宋" w:hAnsi="仿宋" w:eastAsia="仿宋" w:cs="仿宋"/>
                <w:spacing w:val="-2"/>
                <w:sz w:val="24"/>
              </w:rPr>
              <w:t>结论：通过评审打“√”，未通过评审打“×”</w:t>
            </w:r>
          </w:p>
        </w:tc>
        <w:tc>
          <w:tcPr>
            <w:tcW w:w="1276" w:type="dxa"/>
            <w:vAlign w:val="center"/>
          </w:tcPr>
          <w:p>
            <w:pPr>
              <w:spacing w:line="300" w:lineRule="auto"/>
              <w:ind w:firstLine="424" w:firstLineChars="180"/>
              <w:rPr>
                <w:rFonts w:ascii="仿宋" w:hAnsi="仿宋" w:eastAsia="仿宋" w:cs="仿宋"/>
                <w:spacing w:val="-2"/>
                <w:sz w:val="24"/>
              </w:rPr>
            </w:pPr>
          </w:p>
        </w:tc>
      </w:tr>
    </w:tbl>
    <w:p>
      <w:pPr>
        <w:spacing w:line="360" w:lineRule="exact"/>
        <w:rPr>
          <w:rFonts w:ascii="仿宋" w:hAnsi="仿宋" w:eastAsia="仿宋" w:cs="仿宋"/>
          <w:sz w:val="24"/>
        </w:rPr>
      </w:pPr>
      <w:r>
        <w:rPr>
          <w:rFonts w:hint="eastAsia" w:ascii="仿宋" w:hAnsi="仿宋" w:eastAsia="仿宋" w:cs="仿宋"/>
          <w:sz w:val="24"/>
        </w:rPr>
        <w:t>说明：</w:t>
      </w:r>
    </w:p>
    <w:p>
      <w:pPr>
        <w:spacing w:line="360" w:lineRule="exact"/>
        <w:rPr>
          <w:rFonts w:ascii="仿宋" w:hAnsi="仿宋" w:eastAsia="仿宋" w:cs="仿宋"/>
          <w:sz w:val="24"/>
        </w:rPr>
      </w:pPr>
      <w:r>
        <w:rPr>
          <w:rFonts w:hint="eastAsia" w:ascii="仿宋" w:hAnsi="仿宋" w:eastAsia="仿宋" w:cs="仿宋"/>
          <w:sz w:val="24"/>
        </w:rPr>
        <w:t>（1）上述各项中用“√”表示通过，“×”表示不通过；</w:t>
      </w:r>
    </w:p>
    <w:p>
      <w:pPr>
        <w:spacing w:line="360" w:lineRule="exact"/>
        <w:rPr>
          <w:rFonts w:ascii="仿宋" w:hAnsi="仿宋" w:eastAsia="仿宋" w:cs="仿宋"/>
          <w:sz w:val="24"/>
        </w:rPr>
      </w:pPr>
      <w:r>
        <w:rPr>
          <w:rFonts w:hint="eastAsia" w:ascii="仿宋" w:hAnsi="仿宋" w:eastAsia="仿宋" w:cs="仿宋"/>
          <w:sz w:val="24"/>
        </w:rPr>
        <w:t>（2）上述各项中如有一项为“×”，则结论为“×”，表示该投标文件中存在重大偏差，不能通过初步评审；评委对某一分项评审认为不合格时，必须要写明原因。</w:t>
      </w:r>
    </w:p>
    <w:p>
      <w:pPr>
        <w:spacing w:line="360" w:lineRule="exact"/>
        <w:rPr>
          <w:rFonts w:eastAsia="仿宋"/>
        </w:rPr>
      </w:pPr>
      <w:r>
        <w:rPr>
          <w:rFonts w:hint="eastAsia" w:ascii="仿宋" w:hAnsi="仿宋" w:eastAsia="仿宋" w:cs="仿宋"/>
          <w:sz w:val="24"/>
        </w:rPr>
        <w:t>（3）投标文件最终合格与否，以所有评委的评审意见中少数服从多数为原则定论。</w:t>
      </w:r>
    </w:p>
    <w:p>
      <w:pPr>
        <w:spacing w:line="360" w:lineRule="auto"/>
        <w:rPr>
          <w:rFonts w:ascii="仿宋" w:hAnsi="仿宋" w:eastAsia="仿宋" w:cs="仿宋"/>
          <w:b/>
          <w:bCs/>
          <w:sz w:val="24"/>
        </w:rPr>
      </w:pPr>
      <w:r>
        <w:rPr>
          <w:rFonts w:hint="eastAsia" w:ascii="仿宋" w:hAnsi="仿宋" w:eastAsia="仿宋" w:cs="仿宋"/>
          <w:sz w:val="24"/>
        </w:rPr>
        <w:t>★</w:t>
      </w:r>
      <w:r>
        <w:rPr>
          <w:rFonts w:hint="eastAsia" w:ascii="仿宋" w:hAnsi="仿宋" w:eastAsia="仿宋" w:cs="仿宋"/>
          <w:b/>
          <w:bCs/>
          <w:sz w:val="24"/>
        </w:rPr>
        <w:t>备注：如果投标文件中有一项未通过上述审查标准，评标委员会将认定整个投标文件未响应招标文件而予以废标处理。</w:t>
      </w:r>
    </w:p>
    <w:p>
      <w:pPr>
        <w:pStyle w:val="6"/>
        <w:spacing w:before="72" w:after="72"/>
        <w:jc w:val="center"/>
        <w:rPr>
          <w:rFonts w:hint="eastAsia"/>
          <w:szCs w:val="24"/>
          <w:u w:val="none"/>
        </w:rPr>
      </w:pPr>
    </w:p>
    <w:p>
      <w:pPr>
        <w:pStyle w:val="6"/>
        <w:spacing w:before="72" w:after="72"/>
        <w:jc w:val="center"/>
        <w:rPr>
          <w:rFonts w:hint="eastAsia"/>
          <w:szCs w:val="24"/>
          <w:u w:val="none"/>
        </w:rPr>
      </w:pPr>
    </w:p>
    <w:p>
      <w:pPr>
        <w:rPr>
          <w:rFonts w:hint="eastAsia"/>
          <w:szCs w:val="24"/>
          <w:u w:val="none"/>
        </w:rPr>
      </w:pPr>
    </w:p>
    <w:p>
      <w:pPr>
        <w:pStyle w:val="2"/>
        <w:rPr>
          <w:rFonts w:hint="eastAsia"/>
          <w:szCs w:val="24"/>
          <w:u w:val="none"/>
        </w:rPr>
      </w:pPr>
    </w:p>
    <w:p>
      <w:pPr>
        <w:pStyle w:val="3"/>
        <w:rPr>
          <w:rFonts w:hint="eastAsia"/>
          <w:szCs w:val="24"/>
          <w:u w:val="none"/>
        </w:rPr>
      </w:pPr>
    </w:p>
    <w:p>
      <w:pPr>
        <w:rPr>
          <w:rFonts w:hint="eastAsia"/>
        </w:rPr>
      </w:pPr>
    </w:p>
    <w:p>
      <w:pPr>
        <w:pStyle w:val="6"/>
        <w:spacing w:before="72" w:after="72"/>
        <w:jc w:val="center"/>
        <w:rPr>
          <w:rFonts w:hint="eastAsia"/>
          <w:szCs w:val="24"/>
          <w:u w:val="none"/>
        </w:rPr>
      </w:pPr>
    </w:p>
    <w:p>
      <w:pPr>
        <w:pStyle w:val="6"/>
        <w:spacing w:before="72" w:after="72"/>
        <w:jc w:val="center"/>
        <w:rPr>
          <w:szCs w:val="24"/>
          <w:u w:val="none"/>
        </w:rPr>
      </w:pPr>
      <w:r>
        <w:rPr>
          <w:rFonts w:hint="eastAsia"/>
          <w:szCs w:val="24"/>
          <w:u w:val="none"/>
        </w:rPr>
        <w:t>符合性审查表</w:t>
      </w:r>
      <w:bookmarkEnd w:id="556"/>
    </w:p>
    <w:p>
      <w:pPr>
        <w:ind w:left="-120"/>
        <w:jc w:val="left"/>
        <w:rPr>
          <w:bCs/>
          <w:szCs w:val="20"/>
        </w:rPr>
      </w:pPr>
      <w:r>
        <w:rPr>
          <w:rFonts w:hint="eastAsia"/>
          <w:bCs/>
          <w:szCs w:val="20"/>
        </w:rPr>
        <w:t>项目名称</w:t>
      </w:r>
      <w:r>
        <w:rPr>
          <w:bCs/>
          <w:szCs w:val="20"/>
        </w:rPr>
        <w:t>：</w:t>
      </w:r>
    </w:p>
    <w:tbl>
      <w:tblPr>
        <w:tblStyle w:val="35"/>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税务部门出具的近三个月内的任意一个月的完税证明</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lang w:eastAsia="zh-CN"/>
              </w:rPr>
              <w:t>依法缴纳社保证明，提供本单位近三个月的任意一个月社保证明；</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2"/>
        <w:ind w:firstLine="480"/>
        <w:rPr>
          <w:rFonts w:hAnsi="宋体"/>
          <w:color w:val="000000"/>
        </w:rPr>
      </w:pPr>
      <w:r>
        <w:rPr>
          <w:rFonts w:hint="eastAsia" w:hAnsi="宋体"/>
          <w:color w:val="000000"/>
        </w:rPr>
        <w:t>备注：</w:t>
      </w:r>
    </w:p>
    <w:p>
      <w:pPr>
        <w:pStyle w:val="2"/>
        <w:ind w:firstLine="480"/>
        <w:rPr>
          <w:rFonts w:hAnsi="宋体"/>
          <w:color w:val="000000"/>
        </w:rPr>
      </w:pPr>
      <w:r>
        <w:rPr>
          <w:rFonts w:hint="eastAsia" w:hAnsi="宋体"/>
          <w:color w:val="000000"/>
        </w:rPr>
        <w:t>本表由评审小组的每位专家分别填写；</w:t>
      </w:r>
    </w:p>
    <w:p>
      <w:pPr>
        <w:pStyle w:val="2"/>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2"/>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2"/>
        <w:ind w:firstLine="480"/>
        <w:rPr>
          <w:rFonts w:hAnsi="宋体"/>
          <w:color w:val="000000"/>
        </w:rPr>
      </w:pPr>
      <w:r>
        <w:rPr>
          <w:rFonts w:hint="eastAsia" w:hAnsi="宋体"/>
          <w:color w:val="000000"/>
        </w:rPr>
        <w:t>超过半数的评委的结论是“否”的投标人不能进入下一轮评标。</w:t>
      </w:r>
    </w:p>
    <w:p>
      <w:pPr>
        <w:pStyle w:val="2"/>
        <w:ind w:firstLine="480"/>
        <w:rPr>
          <w:rFonts w:hAnsi="宋体"/>
          <w:color w:val="000000"/>
        </w:rPr>
      </w:pPr>
    </w:p>
    <w:p>
      <w:pPr>
        <w:pStyle w:val="2"/>
        <w:ind w:firstLine="480"/>
        <w:rPr>
          <w:rFonts w:hAnsi="宋体"/>
          <w:color w:val="000000"/>
        </w:rPr>
      </w:pPr>
    </w:p>
    <w:p>
      <w:pPr>
        <w:pStyle w:val="2"/>
        <w:ind w:firstLine="480"/>
        <w:rPr>
          <w:rFonts w:hAnsi="宋体"/>
          <w:color w:val="000000"/>
        </w:rPr>
      </w:pPr>
    </w:p>
    <w:p>
      <w:pPr>
        <w:rPr>
          <w:rFonts w:hAnsi="宋体"/>
          <w:color w:val="000000"/>
          <w:sz w:val="24"/>
        </w:rPr>
      </w:pPr>
    </w:p>
    <w:p>
      <w:pPr>
        <w:pStyle w:val="25"/>
        <w:rPr>
          <w:rFonts w:hAnsi="宋体"/>
          <w:color w:val="000000"/>
          <w:sz w:val="24"/>
        </w:rPr>
      </w:pPr>
    </w:p>
    <w:p>
      <w:pPr>
        <w:pStyle w:val="25"/>
        <w:rPr>
          <w:rFonts w:hAnsi="宋体"/>
          <w:color w:val="000000"/>
          <w:sz w:val="24"/>
        </w:rPr>
      </w:pPr>
    </w:p>
    <w:p>
      <w:pPr>
        <w:pStyle w:val="25"/>
        <w:rPr>
          <w:rFonts w:hAnsi="宋体"/>
          <w:color w:val="000000"/>
          <w:sz w:val="24"/>
        </w:rPr>
      </w:pPr>
    </w:p>
    <w:p>
      <w:pPr>
        <w:pStyle w:val="25"/>
        <w:rPr>
          <w:rFonts w:hAnsi="宋体"/>
          <w:color w:val="000000"/>
          <w:sz w:val="24"/>
        </w:rPr>
      </w:pPr>
    </w:p>
    <w:p>
      <w:pPr>
        <w:pStyle w:val="25"/>
        <w:rPr>
          <w:rFonts w:hAnsi="宋体"/>
          <w:color w:val="000000"/>
          <w:sz w:val="24"/>
        </w:rPr>
      </w:pPr>
    </w:p>
    <w:p>
      <w:pPr>
        <w:pStyle w:val="2"/>
        <w:ind w:firstLine="480"/>
        <w:rPr>
          <w:rFonts w:hAnsi="宋体"/>
          <w:color w:val="000000"/>
        </w:rPr>
      </w:pPr>
    </w:p>
    <w:p>
      <w:pPr>
        <w:pStyle w:val="2"/>
        <w:ind w:firstLine="480"/>
        <w:rPr>
          <w:rFonts w:hAnsi="宋体"/>
          <w:color w:val="000000"/>
        </w:rPr>
      </w:pPr>
    </w:p>
    <w:p>
      <w:pPr>
        <w:tabs>
          <w:tab w:val="left" w:pos="480"/>
        </w:tabs>
        <w:ind w:left="600" w:firstLine="424"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pStyle w:val="2"/>
        <w:rPr>
          <w:b/>
          <w:bCs/>
          <w:szCs w:val="20"/>
        </w:rPr>
      </w:pPr>
    </w:p>
    <w:p>
      <w:pPr>
        <w:pStyle w:val="3"/>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35"/>
        <w:tblW w:w="87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134"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70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30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134"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70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3</w:t>
            </w:r>
            <w:r>
              <w:rPr>
                <w:rFonts w:hint="eastAsia" w:hAnsi="宋体"/>
                <w:b/>
                <w:color w:val="auto"/>
                <w:sz w:val="18"/>
                <w:szCs w:val="18"/>
                <w:highlight w:val="none"/>
              </w:rPr>
              <w:t>0%</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pStyle w:val="6"/>
        <w:spacing w:before="72" w:after="72"/>
        <w:jc w:val="center"/>
        <w:rPr>
          <w:color w:val="auto"/>
          <w:szCs w:val="24"/>
          <w:highlight w:val="none"/>
          <w:u w:val="none"/>
        </w:rPr>
      </w:pPr>
      <w:bookmarkStart w:id="557" w:name="_Toc1213268"/>
      <w:r>
        <w:rPr>
          <w:rFonts w:hint="eastAsia"/>
          <w:color w:val="auto"/>
          <w:szCs w:val="24"/>
          <w:highlight w:val="none"/>
          <w:u w:val="none"/>
        </w:rPr>
        <w:t>商务、</w:t>
      </w:r>
      <w:r>
        <w:rPr>
          <w:color w:val="auto"/>
          <w:szCs w:val="24"/>
          <w:highlight w:val="none"/>
          <w:u w:val="none"/>
        </w:rPr>
        <w:t>技术评分细则表</w:t>
      </w:r>
      <w:bookmarkEnd w:id="557"/>
    </w:p>
    <w:tbl>
      <w:tblPr>
        <w:tblStyle w:val="35"/>
        <w:tblW w:w="9018"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0"/>
        <w:gridCol w:w="1119"/>
        <w:gridCol w:w="725"/>
        <w:gridCol w:w="6664"/>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510" w:type="dxa"/>
            <w:noWrap w:val="0"/>
            <w:vAlign w:val="center"/>
          </w:tcPr>
          <w:p>
            <w:pPr>
              <w:jc w:val="center"/>
              <w:rPr>
                <w:color w:val="auto"/>
                <w:szCs w:val="21"/>
                <w:highlight w:val="none"/>
              </w:rPr>
            </w:pPr>
            <w:r>
              <w:rPr>
                <w:color w:val="auto"/>
                <w:szCs w:val="21"/>
                <w:highlight w:val="none"/>
              </w:rPr>
              <w:t>序号</w:t>
            </w:r>
          </w:p>
        </w:tc>
        <w:tc>
          <w:tcPr>
            <w:tcW w:w="1119" w:type="dxa"/>
            <w:noWrap w:val="0"/>
            <w:vAlign w:val="center"/>
          </w:tcPr>
          <w:p>
            <w:pPr>
              <w:jc w:val="center"/>
              <w:rPr>
                <w:color w:val="auto"/>
                <w:szCs w:val="21"/>
                <w:highlight w:val="none"/>
              </w:rPr>
            </w:pPr>
            <w:r>
              <w:rPr>
                <w:color w:val="auto"/>
                <w:szCs w:val="21"/>
                <w:highlight w:val="none"/>
              </w:rPr>
              <w:t>评审因素</w:t>
            </w:r>
          </w:p>
        </w:tc>
        <w:tc>
          <w:tcPr>
            <w:tcW w:w="725" w:type="dxa"/>
            <w:noWrap w:val="0"/>
            <w:vAlign w:val="center"/>
          </w:tcPr>
          <w:p>
            <w:pPr>
              <w:jc w:val="center"/>
              <w:rPr>
                <w:color w:val="auto"/>
                <w:szCs w:val="21"/>
                <w:highlight w:val="none"/>
              </w:rPr>
            </w:pPr>
            <w:r>
              <w:rPr>
                <w:color w:val="auto"/>
                <w:szCs w:val="21"/>
                <w:highlight w:val="none"/>
              </w:rPr>
              <w:t>分值</w:t>
            </w:r>
          </w:p>
        </w:tc>
        <w:tc>
          <w:tcPr>
            <w:tcW w:w="6664" w:type="dxa"/>
            <w:noWrap w:val="0"/>
            <w:vAlign w:val="center"/>
          </w:tcPr>
          <w:p>
            <w:pPr>
              <w:jc w:val="center"/>
              <w:rPr>
                <w:color w:val="auto"/>
                <w:szCs w:val="21"/>
                <w:highlight w:val="none"/>
              </w:rPr>
            </w:pPr>
            <w:r>
              <w:rPr>
                <w:color w:val="auto"/>
                <w:szCs w:val="21"/>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574" w:hRule="atLeast"/>
          <w:jc w:val="center"/>
        </w:trPr>
        <w:tc>
          <w:tcPr>
            <w:tcW w:w="510" w:type="dxa"/>
            <w:noWrap w:val="0"/>
            <w:vAlign w:val="center"/>
          </w:tcPr>
          <w:p>
            <w:pPr>
              <w:jc w:val="center"/>
              <w:rPr>
                <w:b/>
                <w:color w:val="auto"/>
                <w:szCs w:val="21"/>
                <w:highlight w:val="none"/>
              </w:rPr>
            </w:pPr>
            <w:r>
              <w:rPr>
                <w:b/>
                <w:color w:val="auto"/>
                <w:szCs w:val="21"/>
                <w:highlight w:val="none"/>
              </w:rPr>
              <w:t>1</w:t>
            </w:r>
          </w:p>
        </w:tc>
        <w:tc>
          <w:tcPr>
            <w:tcW w:w="1119" w:type="dxa"/>
            <w:noWrap w:val="0"/>
            <w:vAlign w:val="center"/>
          </w:tcPr>
          <w:p>
            <w:pPr>
              <w:jc w:val="center"/>
              <w:rPr>
                <w:b/>
                <w:color w:val="auto"/>
                <w:szCs w:val="21"/>
                <w:highlight w:val="none"/>
              </w:rPr>
            </w:pPr>
            <w:r>
              <w:rPr>
                <w:rFonts w:hint="eastAsia"/>
                <w:b/>
                <w:color w:val="auto"/>
                <w:szCs w:val="21"/>
                <w:highlight w:val="none"/>
              </w:rPr>
              <w:t>响应报价</w:t>
            </w:r>
          </w:p>
        </w:tc>
        <w:tc>
          <w:tcPr>
            <w:tcW w:w="725" w:type="dxa"/>
            <w:noWrap w:val="0"/>
            <w:vAlign w:val="center"/>
          </w:tcPr>
          <w:p>
            <w:pPr>
              <w:jc w:val="center"/>
              <w:rPr>
                <w:rFonts w:hint="default" w:eastAsia="宋体"/>
                <w:b/>
                <w:color w:val="auto"/>
                <w:szCs w:val="21"/>
                <w:highlight w:val="none"/>
                <w:lang w:val="en-US" w:eastAsia="zh-CN"/>
              </w:rPr>
            </w:pPr>
            <w:r>
              <w:rPr>
                <w:rFonts w:hint="eastAsia"/>
                <w:b/>
                <w:color w:val="auto"/>
                <w:szCs w:val="21"/>
                <w:highlight w:val="none"/>
                <w:lang w:val="en-US" w:eastAsia="zh-CN"/>
              </w:rPr>
              <w:t>30</w:t>
            </w:r>
          </w:p>
        </w:tc>
        <w:tc>
          <w:tcPr>
            <w:tcW w:w="6664" w:type="dxa"/>
            <w:noWrap w:val="0"/>
            <w:vAlign w:val="center"/>
          </w:tcPr>
          <w:p>
            <w:pPr>
              <w:pStyle w:val="2"/>
              <w:ind w:firstLine="422"/>
              <w:rPr>
                <w:rFonts w:hAnsi="宋体"/>
                <w:b/>
                <w:color w:val="auto"/>
                <w:sz w:val="21"/>
                <w:szCs w:val="21"/>
                <w:highlight w:val="none"/>
              </w:rPr>
            </w:pPr>
            <w:r>
              <w:rPr>
                <w:rFonts w:hint="eastAsia" w:hAnsi="宋体"/>
                <w:b/>
                <w:color w:val="auto"/>
                <w:sz w:val="21"/>
                <w:szCs w:val="21"/>
                <w:highlight w:val="none"/>
              </w:rPr>
              <w:t>价格分统一采用低价优先法计算，即满足招标文件要求且最后报价最低的投标人的价格为评标基准价，其价格分为满分。</w:t>
            </w:r>
          </w:p>
          <w:p>
            <w:pPr>
              <w:pStyle w:val="2"/>
              <w:ind w:firstLine="422"/>
              <w:rPr>
                <w:rFonts w:hAnsi="宋体"/>
                <w:b/>
                <w:color w:val="auto"/>
                <w:sz w:val="21"/>
                <w:szCs w:val="21"/>
                <w:highlight w:val="none"/>
              </w:rPr>
            </w:pPr>
            <w:r>
              <w:rPr>
                <w:rFonts w:hint="eastAsia" w:hAnsi="宋体"/>
                <w:b/>
                <w:color w:val="auto"/>
                <w:sz w:val="21"/>
                <w:szCs w:val="21"/>
                <w:highlight w:val="none"/>
              </w:rPr>
              <w:t>投标人的价格分统一按照下列公式计算：</w:t>
            </w:r>
          </w:p>
          <w:p>
            <w:pPr>
              <w:pStyle w:val="2"/>
              <w:ind w:firstLine="422"/>
              <w:rPr>
                <w:color w:val="auto"/>
                <w:sz w:val="21"/>
                <w:szCs w:val="21"/>
                <w:highlight w:val="none"/>
              </w:rPr>
            </w:pPr>
            <w:r>
              <w:rPr>
                <w:rFonts w:hint="eastAsia" w:hAnsi="宋体"/>
                <w:b/>
                <w:color w:val="auto"/>
                <w:sz w:val="21"/>
                <w:szCs w:val="21"/>
                <w:highlight w:val="none"/>
              </w:rPr>
              <w:t>投标报价得分=（评标基准价/最后投标报价）</w:t>
            </w:r>
            <w:r>
              <w:rPr>
                <w:rFonts w:hAnsi="宋体"/>
                <w:b/>
                <w:color w:val="auto"/>
                <w:sz w:val="21"/>
                <w:szCs w:val="21"/>
                <w:highlight w:val="none"/>
              </w:rPr>
              <w:t>X</w:t>
            </w:r>
            <w:r>
              <w:rPr>
                <w:rFonts w:hint="eastAsia" w:hAnsi="宋体"/>
                <w:b/>
                <w:color w:val="auto"/>
                <w:sz w:val="21"/>
                <w:szCs w:val="21"/>
                <w:highlight w:val="none"/>
              </w:rPr>
              <w:t>价格权值</w:t>
            </w:r>
            <w:r>
              <w:rPr>
                <w:rFonts w:hAnsi="宋体"/>
                <w:b/>
                <w:color w:val="auto"/>
                <w:sz w:val="21"/>
                <w:szCs w:val="21"/>
                <w:highlight w:val="none"/>
              </w:rPr>
              <w:t>X</w:t>
            </w:r>
            <w:r>
              <w:rPr>
                <w:rFonts w:hint="eastAsia" w:hAnsi="宋体"/>
                <w:b/>
                <w:color w:val="auto"/>
                <w:sz w:val="21"/>
                <w:szCs w:val="21"/>
                <w:highlight w:val="none"/>
              </w:rPr>
              <w:t>100</w:t>
            </w:r>
          </w:p>
          <w:p>
            <w:pPr>
              <w:pStyle w:val="2"/>
              <w:ind w:firstLine="422"/>
              <w:rPr>
                <w:rFonts w:hAnsi="宋体"/>
                <w:b/>
                <w:color w:val="auto"/>
                <w:sz w:val="21"/>
                <w:szCs w:val="21"/>
                <w:highlight w:val="none"/>
              </w:rPr>
            </w:pPr>
            <w:r>
              <w:rPr>
                <w:rFonts w:hint="eastAsia" w:hAnsi="宋体"/>
                <w:b/>
                <w:color w:val="auto"/>
                <w:sz w:val="21"/>
                <w:szCs w:val="21"/>
                <w:highlight w:val="none"/>
              </w:rPr>
              <w:t>供应商的价格分统一按照下列公式计算：</w:t>
            </w:r>
          </w:p>
          <w:p>
            <w:pPr>
              <w:pStyle w:val="2"/>
              <w:ind w:firstLine="422"/>
              <w:rPr>
                <w:rFonts w:hAnsi="宋体"/>
                <w:b/>
                <w:color w:val="auto"/>
                <w:sz w:val="21"/>
                <w:szCs w:val="21"/>
                <w:highlight w:val="none"/>
              </w:rPr>
            </w:pPr>
            <w:r>
              <w:rPr>
                <w:rFonts w:hint="eastAsia" w:hAnsi="宋体"/>
                <w:b/>
                <w:color w:val="auto"/>
                <w:sz w:val="21"/>
                <w:szCs w:val="21"/>
                <w:highlight w:val="none"/>
              </w:rPr>
              <w:t>项目评审过程中，不得去掉最后报价中的最高报价和最低报价。</w:t>
            </w:r>
          </w:p>
          <w:p>
            <w:pPr>
              <w:rPr>
                <w:color w:val="auto"/>
                <w:szCs w:val="21"/>
                <w:highlight w:val="none"/>
              </w:rPr>
            </w:pPr>
            <w:r>
              <w:rPr>
                <w:rFonts w:hint="eastAsia" w:ascii="宋体" w:hAnsi="宋体"/>
                <w:b/>
                <w:color w:val="auto"/>
                <w:sz w:val="21"/>
                <w:szCs w:val="21"/>
                <w:highlight w:val="none"/>
              </w:rPr>
              <w:t>价格评审得分保留小数点后两位，第三位四舍五入。综合得分最高者</w:t>
            </w:r>
            <w:r>
              <w:rPr>
                <w:rFonts w:ascii="宋体" w:hAnsi="宋体"/>
                <w:b/>
                <w:color w:val="auto"/>
                <w:sz w:val="21"/>
                <w:szCs w:val="21"/>
                <w:highlight w:val="none"/>
              </w:rPr>
              <w:t>优先</w:t>
            </w:r>
            <w:r>
              <w:rPr>
                <w:rFonts w:hint="eastAsia" w:ascii="宋体" w:hAnsi="宋体"/>
                <w:b/>
                <w:color w:val="auto"/>
                <w:sz w:val="21"/>
                <w:szCs w:val="21"/>
                <w:highlight w:val="none"/>
              </w:rPr>
              <w:t>推荐</w:t>
            </w:r>
            <w:r>
              <w:rPr>
                <w:rFonts w:ascii="宋体" w:hAnsi="宋体"/>
                <w:b/>
                <w:color w:val="auto"/>
                <w:sz w:val="21"/>
                <w:szCs w:val="21"/>
                <w:highlight w:val="none"/>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510" w:type="dxa"/>
            <w:noWrap w:val="0"/>
            <w:vAlign w:val="center"/>
          </w:tcPr>
          <w:p>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p>
        </w:tc>
        <w:tc>
          <w:tcPr>
            <w:tcW w:w="1119" w:type="dxa"/>
            <w:noWrap w:val="0"/>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履约能力</w:t>
            </w:r>
          </w:p>
        </w:tc>
        <w:tc>
          <w:tcPr>
            <w:tcW w:w="725"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4</w:t>
            </w:r>
          </w:p>
        </w:tc>
        <w:tc>
          <w:tcPr>
            <w:tcW w:w="6664" w:type="dxa"/>
            <w:noWrap w:val="0"/>
            <w:vAlign w:val="center"/>
          </w:tcPr>
          <w:p>
            <w:pPr>
              <w:widowControl/>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投标人每提供1个类似项目反馈意见得2分，最多得4分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无用户反馈意见或者反馈意见不良的不得分。（附相关证明材料加盖投标人公章）</w:t>
            </w:r>
            <w:r>
              <w:rPr>
                <w:rFonts w:hint="eastAsia" w:asciiTheme="minorEastAsia" w:hAnsiTheme="minorEastAsia" w:eastAsiaTheme="minorEastAsia" w:cstheme="minorEastAsia"/>
                <w:color w:val="auto"/>
                <w:sz w:val="24"/>
                <w:szCs w:val="24"/>
                <w:highlight w:val="none"/>
                <w:lang w:val="en-US" w:eastAsia="zh-CN"/>
              </w:rPr>
              <w:t xml:space="preserve"> </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152" w:hRule="atLeast"/>
          <w:jc w:val="center"/>
        </w:trPr>
        <w:tc>
          <w:tcPr>
            <w:tcW w:w="510"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119" w:type="dxa"/>
            <w:noWrap w:val="0"/>
            <w:vAlign w:val="center"/>
          </w:tcPr>
          <w:p>
            <w:pPr>
              <w:widowControl/>
              <w:jc w:val="center"/>
              <w:textAlignment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 w:val="24"/>
                <w:szCs w:val="24"/>
              </w:rPr>
              <w:t>实施方案</w:t>
            </w:r>
          </w:p>
        </w:tc>
        <w:tc>
          <w:tcPr>
            <w:tcW w:w="725" w:type="dxa"/>
            <w:noWrap w:val="0"/>
            <w:vAlign w:val="center"/>
          </w:tcPr>
          <w:p>
            <w:pPr>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 w:val="24"/>
                <w:szCs w:val="24"/>
                <w:lang w:val="en-US" w:eastAsia="zh-CN"/>
              </w:rPr>
              <w:t>20</w:t>
            </w:r>
          </w:p>
        </w:tc>
        <w:tc>
          <w:tcPr>
            <w:tcW w:w="6664" w:type="dxa"/>
            <w:noWrap w:val="0"/>
            <w:vAlign w:val="center"/>
          </w:tcPr>
          <w:p>
            <w:pPr>
              <w:widowControl/>
              <w:textAlignment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 w:val="24"/>
                <w:szCs w:val="24"/>
              </w:rPr>
              <w:t>投标单位根据本项目具体特点及实际需求制定实施方案、供货计划及配送安装方案(方案包括运输、配送方式、配送时间、人员安排、各个阶段进度、安全措施、紧急保障措施）等方面情况进行评分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实施方案，方案安排合理、可操作性、实用性</w:t>
            </w:r>
            <w:r>
              <w:rPr>
                <w:rFonts w:hint="eastAsia" w:asciiTheme="minorEastAsia" w:hAnsiTheme="minorEastAsia" w:eastAsiaTheme="minorEastAsia" w:cstheme="minorEastAsia"/>
                <w:sz w:val="24"/>
                <w:szCs w:val="24"/>
              </w:rPr>
              <w:t>强，符合实际需求得</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实施方案，方案安排合理、可操作性基本满足实际需求得7-14分；</w:t>
            </w:r>
            <w:r>
              <w:rPr>
                <w:rFonts w:hint="eastAsia" w:asciiTheme="minorEastAsia" w:hAnsiTheme="minorEastAsia" w:eastAsiaTheme="minorEastAsia" w:cstheme="minorEastAsia"/>
                <w:sz w:val="24"/>
                <w:szCs w:val="24"/>
                <w:lang w:eastAsia="zh-CN"/>
              </w:rPr>
              <w:t>方案内容及措施可操作性</w:t>
            </w:r>
            <w:r>
              <w:rPr>
                <w:rFonts w:hint="eastAsia" w:asciiTheme="minorEastAsia" w:hAnsiTheme="minorEastAsia" w:eastAsiaTheme="minorEastAsia" w:cstheme="minorEastAsia"/>
                <w:sz w:val="24"/>
                <w:szCs w:val="24"/>
              </w:rPr>
              <w:t>一般得0-</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510"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119" w:type="dxa"/>
            <w:noWrap w:val="0"/>
            <w:vAlign w:val="center"/>
          </w:tcPr>
          <w:p>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后期服务</w:t>
            </w:r>
          </w:p>
        </w:tc>
        <w:tc>
          <w:tcPr>
            <w:tcW w:w="725" w:type="dxa"/>
            <w:noWrap w:val="0"/>
            <w:vAlign w:val="center"/>
          </w:tcPr>
          <w:p>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rPr>
              <w:t>13</w:t>
            </w:r>
          </w:p>
        </w:tc>
        <w:tc>
          <w:tcPr>
            <w:tcW w:w="6664" w:type="dxa"/>
            <w:noWrap w:val="0"/>
            <w:vAlign w:val="center"/>
          </w:tcPr>
          <w:p>
            <w:pPr>
              <w:widowControl/>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满足招标文件要求的</w:t>
            </w:r>
            <w:r>
              <w:rPr>
                <w:rFonts w:hint="eastAsia" w:asciiTheme="minorEastAsia" w:hAnsiTheme="minorEastAsia" w:eastAsiaTheme="minorEastAsia" w:cstheme="minorEastAsia"/>
                <w:sz w:val="24"/>
                <w:szCs w:val="24"/>
              </w:rPr>
              <w:t>完善合理的后期服务技术支持方案</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售后服务承诺(包含所供货物</w:t>
            </w:r>
            <w:r>
              <w:rPr>
                <w:rFonts w:hint="eastAsia" w:asciiTheme="minorEastAsia" w:hAnsiTheme="minorEastAsia" w:eastAsiaTheme="minorEastAsia" w:cstheme="minorEastAsia"/>
                <w:sz w:val="24"/>
                <w:szCs w:val="24"/>
                <w:lang w:val="en-US" w:eastAsia="zh-CN"/>
              </w:rPr>
              <w:t>维保及故障响应</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p>
          <w:p>
            <w:pPr>
              <w:widowControl/>
              <w:textAlignment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 w:val="24"/>
                <w:szCs w:val="24"/>
                <w:lang w:eastAsia="zh-CN"/>
              </w:rPr>
              <w:t>技术方案及售后服务全面可行性优于招标文件要求</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；技术方案及售后服务满足招标文件得</w:t>
            </w:r>
            <w:r>
              <w:rPr>
                <w:rFonts w:hint="eastAsia" w:asciiTheme="minorEastAsia" w:hAnsiTheme="minorEastAsia" w:eastAsiaTheme="minorEastAsia" w:cstheme="minorEastAsia"/>
                <w:sz w:val="24"/>
                <w:szCs w:val="24"/>
                <w:lang w:val="en-US" w:eastAsia="zh-CN"/>
              </w:rPr>
              <w:t>5-8分；</w:t>
            </w:r>
            <w:r>
              <w:rPr>
                <w:rFonts w:hint="eastAsia" w:asciiTheme="minorEastAsia" w:hAnsiTheme="minorEastAsia" w:eastAsiaTheme="minorEastAsia" w:cstheme="minorEastAsia"/>
                <w:sz w:val="24"/>
                <w:szCs w:val="24"/>
                <w:lang w:eastAsia="zh-CN"/>
              </w:rPr>
              <w:t>技术方案及售后服务</w:t>
            </w:r>
            <w:r>
              <w:rPr>
                <w:rFonts w:hint="eastAsia" w:asciiTheme="minorEastAsia" w:hAnsiTheme="minorEastAsia" w:eastAsiaTheme="minorEastAsia" w:cstheme="minorEastAsia"/>
                <w:sz w:val="24"/>
                <w:szCs w:val="24"/>
              </w:rPr>
              <w:t>一般得0-</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510" w:type="dxa"/>
            <w:noWrap w:val="0"/>
            <w:vAlign w:val="center"/>
          </w:tcPr>
          <w:p>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1119" w:type="dxa"/>
            <w:noWrap w:val="0"/>
            <w:vAlign w:val="center"/>
          </w:tcPr>
          <w:p>
            <w:pPr>
              <w:widowControl/>
              <w:jc w:val="center"/>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sz w:val="24"/>
                <w:szCs w:val="24"/>
              </w:rPr>
              <w:t>技术</w:t>
            </w:r>
            <w:r>
              <w:rPr>
                <w:rFonts w:hint="eastAsia" w:asciiTheme="minorEastAsia" w:hAnsiTheme="minorEastAsia" w:eastAsiaTheme="minorEastAsia" w:cstheme="minorEastAsia"/>
                <w:sz w:val="24"/>
                <w:szCs w:val="24"/>
                <w:lang w:val="en-US" w:eastAsia="zh-CN"/>
              </w:rPr>
              <w:t>参数响应情况</w:t>
            </w:r>
          </w:p>
        </w:tc>
        <w:tc>
          <w:tcPr>
            <w:tcW w:w="725" w:type="dxa"/>
            <w:noWrap w:val="0"/>
            <w:vAlign w:val="center"/>
          </w:tcPr>
          <w:p>
            <w:pPr>
              <w:spacing w:line="276" w:lineRule="auto"/>
              <w:jc w:val="center"/>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sz w:val="24"/>
                <w:szCs w:val="24"/>
                <w:lang w:val="en-US" w:eastAsia="zh-CN"/>
              </w:rPr>
              <w:t>25</w:t>
            </w:r>
          </w:p>
        </w:tc>
        <w:tc>
          <w:tcPr>
            <w:tcW w:w="6664" w:type="dxa"/>
            <w:noWrap w:val="0"/>
            <w:vAlign w:val="center"/>
          </w:tcPr>
          <w:p>
            <w:pPr>
              <w:spacing w:line="276" w:lineRule="auto"/>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根据所投产品的技术参数配置与性能指标的响应程度打分，全部响应招标文件的得20分。每有一项技术指标优于招标参数的加1分（满分25分）；每有一项技术指标低于招标参数的扣2分，扣完为止。</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510" w:type="dxa"/>
            <w:noWrap w:val="0"/>
            <w:vAlign w:val="center"/>
          </w:tcPr>
          <w:p>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1119" w:type="dxa"/>
            <w:noWrap w:val="0"/>
            <w:vAlign w:val="center"/>
          </w:tcPr>
          <w:p>
            <w:pPr>
              <w:snapToGrid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类似业绩</w:t>
            </w:r>
          </w:p>
        </w:tc>
        <w:tc>
          <w:tcPr>
            <w:tcW w:w="725" w:type="dxa"/>
            <w:noWrap w:val="0"/>
            <w:vAlign w:val="center"/>
          </w:tcPr>
          <w:p>
            <w:pPr>
              <w:snapToGrid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6664" w:type="dxa"/>
            <w:noWrap w:val="0"/>
            <w:vAlign w:val="center"/>
          </w:tcPr>
          <w:p>
            <w:pPr>
              <w:pStyle w:val="25"/>
              <w:tabs>
                <w:tab w:val="left" w:pos="1004"/>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提供近三年内（自投标截止日往前推）的类似业绩。符合要求的每项业绩得1分；不符合要求或无业绩得0分。此项最多得3分。（类似业绩以合同签订时间为准，需提供合同及验收证明复印件并加盖公章）</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510" w:type="dxa"/>
            <w:noWrap w:val="0"/>
            <w:vAlign w:val="center"/>
          </w:tcPr>
          <w:p>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1119" w:type="dxa"/>
            <w:noWrap w:val="0"/>
            <w:vAlign w:val="center"/>
          </w:tcPr>
          <w:p>
            <w:pPr>
              <w:snapToGrid w:val="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财务状况</w:t>
            </w:r>
          </w:p>
        </w:tc>
        <w:tc>
          <w:tcPr>
            <w:tcW w:w="725" w:type="dxa"/>
            <w:noWrap w:val="0"/>
            <w:vAlign w:val="center"/>
          </w:tcPr>
          <w:p>
            <w:pPr>
              <w:snapToGrid w:val="0"/>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6664" w:type="dxa"/>
            <w:noWrap w:val="0"/>
            <w:vAlign w:val="center"/>
          </w:tcPr>
          <w:p>
            <w:pPr>
              <w:snapToGrid w:val="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会计师事务所出具的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2021年度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财务审计报告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根据企业营业收入及净利润指标横向对比，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分值0-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招标采购单位保留审核原件的权利。</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510" w:type="dxa"/>
            <w:noWrap w:val="0"/>
            <w:vAlign w:val="center"/>
          </w:tcPr>
          <w:p>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c>
          <w:tcPr>
            <w:tcW w:w="1119" w:type="dxa"/>
            <w:noWrap w:val="0"/>
            <w:vAlign w:val="center"/>
          </w:tcPr>
          <w:p>
            <w:pPr>
              <w:snapToGrid w:val="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标函质量</w:t>
            </w:r>
          </w:p>
        </w:tc>
        <w:tc>
          <w:tcPr>
            <w:tcW w:w="725" w:type="dxa"/>
            <w:noWrap w:val="0"/>
            <w:vAlign w:val="center"/>
          </w:tcPr>
          <w:p>
            <w:pPr>
              <w:snapToGrid w:val="0"/>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6664" w:type="dxa"/>
            <w:noWrap w:val="0"/>
            <w:vAlign w:val="center"/>
          </w:tcPr>
          <w:p>
            <w:pPr>
              <w:snapToGrid w:val="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根据投标文件标函编制内容完整、齐全、叙述严谨；投标文件无涂改、错页、漏页现象；投标文件内容不得重复性、反复性出现资料，具体由评委视具体情况给分，分值0-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510" w:type="dxa"/>
            <w:noWrap w:val="0"/>
            <w:vAlign w:val="center"/>
          </w:tcPr>
          <w:p>
            <w:pPr>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1119" w:type="dxa"/>
            <w:noWrap w:val="0"/>
            <w:vAlign w:val="center"/>
          </w:tcPr>
          <w:p>
            <w:pPr>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w:t>
            </w:r>
          </w:p>
        </w:tc>
        <w:tc>
          <w:tcPr>
            <w:tcW w:w="725" w:type="dxa"/>
            <w:noWrap w:val="0"/>
            <w:vAlign w:val="center"/>
          </w:tcPr>
          <w:p>
            <w:pPr>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6664" w:type="dxa"/>
            <w:noWrap w:val="0"/>
            <w:vAlign w:val="center"/>
          </w:tcPr>
          <w:p>
            <w:pPr>
              <w:snapToGrid w:val="0"/>
              <w:jc w:val="center"/>
              <w:rPr>
                <w:rFonts w:hint="eastAsia" w:asciiTheme="minorEastAsia" w:hAnsiTheme="minorEastAsia" w:eastAsiaTheme="minorEastAsia" w:cstheme="minorEastAsia"/>
                <w:sz w:val="24"/>
                <w:szCs w:val="24"/>
                <w:highlight w:val="none"/>
              </w:rPr>
            </w:pPr>
          </w:p>
        </w:tc>
      </w:tr>
    </w:tbl>
    <w:p/>
    <w:p>
      <w:pPr>
        <w:widowControl/>
        <w:spacing w:line="360" w:lineRule="auto"/>
        <w:rPr>
          <w:rFonts w:ascii="仿宋" w:hAnsi="仿宋" w:eastAsia="仿宋" w:cs="仿宋"/>
          <w:b/>
          <w:sz w:val="24"/>
        </w:rPr>
      </w:pPr>
      <w:r>
        <w:rPr>
          <w:rFonts w:hint="eastAsia" w:ascii="仿宋" w:hAnsi="仿宋" w:eastAsia="仿宋" w:cs="仿宋"/>
          <w:b/>
          <w:sz w:val="24"/>
        </w:rPr>
        <w:t>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sz w:val="24"/>
          <w:u w:val="single"/>
        </w:rPr>
        <w:t xml:space="preserve"> /  </w:t>
      </w:r>
      <w:r>
        <w:rPr>
          <w:rFonts w:hint="eastAsia" w:ascii="仿宋" w:hAnsi="仿宋" w:eastAsia="仿宋" w:cs="仿宋"/>
          <w:b/>
          <w:sz w:val="24"/>
        </w:rPr>
        <w:t>%后参与评审。对于同时属于小微企业、监狱企业残疾人福利性单位的，不重复进行投标报价扣除。</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2.联合协议中约定，小型、微型企业和监狱企业的协议合同金额占到联合体协议合同总金额30%以上的，可给予联合体</w:t>
      </w:r>
      <w:r>
        <w:rPr>
          <w:rFonts w:hint="eastAsia" w:ascii="仿宋" w:hAnsi="仿宋" w:eastAsia="仿宋" w:cs="仿宋"/>
          <w:sz w:val="24"/>
          <w:u w:val="single"/>
        </w:rPr>
        <w:t xml:space="preserve">  /  </w:t>
      </w:r>
      <w:r>
        <w:rPr>
          <w:rFonts w:hint="eastAsia" w:ascii="仿宋" w:hAnsi="仿宋" w:eastAsia="仿宋" w:cs="仿宋"/>
          <w:sz w:val="24"/>
        </w:rPr>
        <w:t>%的价格扣除。</w:t>
      </w:r>
    </w:p>
    <w:p>
      <w:pPr>
        <w:widowControl/>
        <w:spacing w:line="360" w:lineRule="auto"/>
        <w:jc w:val="left"/>
        <w:rPr>
          <w:rFonts w:ascii="仿宋" w:hAnsi="仿宋" w:eastAsia="仿宋" w:cs="仿宋"/>
          <w:sz w:val="24"/>
        </w:rPr>
      </w:pPr>
      <w:r>
        <w:rPr>
          <w:rFonts w:hint="eastAsia" w:ascii="仿宋" w:hAnsi="仿宋" w:eastAsia="仿宋" w:cs="仿宋"/>
          <w:sz w:val="24"/>
        </w:rPr>
        <w:t>联合体各方均为小型、微型企业和监狱企业的，联合体视同为小型、微型企业和监狱企业。</w:t>
      </w:r>
    </w:p>
    <w:p>
      <w:pPr>
        <w:pStyle w:val="11"/>
        <w:tabs>
          <w:tab w:val="clear" w:pos="567"/>
        </w:tabs>
        <w:spacing w:before="0" w:line="360" w:lineRule="auto"/>
        <w:ind w:left="-61" w:leftChars="-29" w:firstLine="540" w:firstLineChars="225"/>
        <w:rPr>
          <w:rFonts w:ascii="仿宋" w:hAnsi="仿宋" w:eastAsia="仿宋" w:cs="仿宋"/>
          <w:u w:val="single"/>
        </w:rPr>
      </w:pPr>
      <w:r>
        <w:rPr>
          <w:rFonts w:hint="eastAsia" w:ascii="仿宋" w:hAnsi="仿宋" w:eastAsia="仿宋" w:cs="仿宋"/>
        </w:rPr>
        <w:t>3.投标人所投产品如被列入财政部与国家主管部门颁发的节能产品目录或环境标志产品目录或无线局域网产品目录，应提供相关证明，在评标时予以优先采购，具体优惠措施为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u w:val="single"/>
        </w:rPr>
        <w:t xml:space="preserve">：   无        </w:t>
      </w:r>
    </w:p>
    <w:p>
      <w:pPr>
        <w:pStyle w:val="11"/>
        <w:tabs>
          <w:tab w:val="clear" w:pos="567"/>
        </w:tabs>
        <w:spacing w:before="0" w:line="360" w:lineRule="auto"/>
        <w:ind w:left="-181" w:leftChars="-86" w:firstLine="660" w:firstLineChars="275"/>
        <w:rPr>
          <w:rFonts w:ascii="仿宋" w:hAnsi="仿宋" w:eastAsia="仿宋" w:cs="仿宋"/>
        </w:rPr>
      </w:pPr>
      <w:r>
        <w:rPr>
          <w:rFonts w:hint="eastAsia" w:ascii="仿宋" w:hAnsi="仿宋" w:eastAsia="仿宋" w:cs="仿宋"/>
        </w:rPr>
        <w:t>4.如采购人所采购产品为政府强制采购的节能产品，投标人所投产品的品牌及型号必须为清单中有效期内产品并提供证明文件，否则其投标将被认定为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rPr>
        <w:t>投标无效</w:t>
      </w:r>
      <w:r>
        <w:rPr>
          <w:rFonts w:hint="eastAsia" w:ascii="仿宋" w:hAnsi="仿宋" w:eastAsia="仿宋" w:cs="仿宋"/>
        </w:rPr>
        <w:t>。</w:t>
      </w:r>
    </w:p>
    <w:p>
      <w:pPr>
        <w:pStyle w:val="11"/>
        <w:tabs>
          <w:tab w:val="clear" w:pos="567"/>
        </w:tabs>
        <w:spacing w:before="0" w:line="360" w:lineRule="auto"/>
        <w:ind w:left="-181" w:leftChars="-86" w:firstLine="660" w:firstLineChars="275"/>
        <w:rPr>
          <w:rFonts w:ascii="仿宋" w:hAnsi="仿宋" w:eastAsia="仿宋" w:cs="仿宋"/>
        </w:rPr>
      </w:pPr>
      <w:r>
        <w:rPr>
          <w:rFonts w:hint="eastAsia" w:ascii="仿宋" w:hAnsi="仿宋" w:eastAsia="仿宋" w:cs="仿宋"/>
        </w:rPr>
        <w:t>5.对创新产品或创新性企业的优惠措施为</w:t>
      </w:r>
      <w:r>
        <w:rPr>
          <w:rFonts w:hint="eastAsia" w:ascii="仿宋" w:hAnsi="仿宋" w:eastAsia="仿宋" w:cs="仿宋"/>
          <w:u w:val="single"/>
        </w:rPr>
        <w:t xml:space="preserve">：          无             </w:t>
      </w:r>
    </w:p>
    <w:p>
      <w:pPr>
        <w:pStyle w:val="11"/>
        <w:tabs>
          <w:tab w:val="clear" w:pos="567"/>
        </w:tabs>
        <w:spacing w:before="0" w:line="360" w:lineRule="auto"/>
        <w:ind w:left="-181" w:leftChars="-86" w:firstLine="660" w:firstLineChars="275"/>
        <w:rPr>
          <w:rFonts w:ascii="仿宋" w:hAnsi="仿宋" w:eastAsia="仿宋" w:cs="仿宋"/>
        </w:rPr>
      </w:pPr>
      <w:r>
        <w:rPr>
          <w:rFonts w:hint="eastAsia" w:ascii="仿宋" w:hAnsi="仿宋" w:eastAsia="仿宋" w:cs="仿宋"/>
        </w:rPr>
        <w:t>6.同品牌处理办法：</w:t>
      </w:r>
    </w:p>
    <w:p>
      <w:pPr>
        <w:pStyle w:val="11"/>
        <w:tabs>
          <w:tab w:val="clear" w:pos="567"/>
        </w:tabs>
        <w:spacing w:before="0" w:line="360" w:lineRule="auto"/>
        <w:ind w:left="-181" w:leftChars="-86" w:firstLine="180" w:firstLineChars="75"/>
        <w:rPr>
          <w:rFonts w:ascii="仿宋" w:hAnsi="仿宋" w:eastAsia="仿宋" w:cs="仿宋"/>
        </w:rPr>
      </w:pPr>
      <w:r>
        <w:rPr>
          <w:rFonts w:hint="eastAsia" w:ascii="仿宋" w:hAnsi="仿宋" w:eastAsia="仿宋" w:cs="仿宋"/>
        </w:rPr>
        <w:t>如采用最低评标办法，则：</w:t>
      </w:r>
      <w:r>
        <w:rPr>
          <w:rFonts w:hint="eastAsia" w:ascii="仿宋" w:hAnsi="仿宋" w:eastAsia="仿宋" w:cs="仿宋"/>
          <w:u w:val="single"/>
        </w:rPr>
        <w:t xml:space="preserve">  报价最低为第一中标候选人                </w:t>
      </w:r>
      <w:r>
        <w:rPr>
          <w:rFonts w:hint="eastAsia" w:ascii="仿宋" w:hAnsi="仿宋" w:eastAsia="仿宋" w:cs="仿宋"/>
        </w:rPr>
        <w:t>；</w:t>
      </w:r>
    </w:p>
    <w:p>
      <w:pPr>
        <w:pStyle w:val="11"/>
        <w:tabs>
          <w:tab w:val="clear" w:pos="567"/>
        </w:tabs>
        <w:spacing w:before="0" w:line="360" w:lineRule="auto"/>
        <w:ind w:left="-181" w:leftChars="-86" w:firstLine="180" w:firstLineChars="75"/>
        <w:rPr>
          <w:rFonts w:ascii="仿宋" w:hAnsi="仿宋" w:eastAsia="仿宋" w:cs="仿宋"/>
        </w:rPr>
      </w:pPr>
      <w:r>
        <w:rPr>
          <w:rFonts w:hint="eastAsia" w:ascii="仿宋" w:hAnsi="仿宋" w:eastAsia="仿宋" w:cs="仿宋"/>
        </w:rPr>
        <w:t>如采用综合评标法，则：</w:t>
      </w:r>
      <w:r>
        <w:rPr>
          <w:rFonts w:hint="eastAsia" w:ascii="仿宋" w:hAnsi="仿宋" w:eastAsia="仿宋" w:cs="仿宋"/>
          <w:u w:val="single"/>
        </w:rPr>
        <w:t xml:space="preserve">    综合得分最高的为第一中标候选人          </w:t>
      </w:r>
      <w:r>
        <w:rPr>
          <w:rFonts w:hint="eastAsia" w:ascii="仿宋" w:hAnsi="仿宋" w:eastAsia="仿宋" w:cs="仿宋"/>
        </w:rPr>
        <w:t>。</w:t>
      </w:r>
    </w:p>
    <w:p>
      <w:pPr>
        <w:pStyle w:val="11"/>
        <w:tabs>
          <w:tab w:val="clear" w:pos="567"/>
        </w:tabs>
        <w:spacing w:before="0" w:line="360" w:lineRule="auto"/>
        <w:ind w:left="-181" w:leftChars="-86" w:firstLine="660" w:firstLineChars="275"/>
        <w:rPr>
          <w:rFonts w:ascii="仿宋" w:hAnsi="仿宋" w:eastAsia="仿宋" w:cs="仿宋"/>
        </w:rPr>
      </w:pPr>
      <w:r>
        <w:rPr>
          <w:rFonts w:hint="eastAsia" w:ascii="仿宋" w:hAnsi="仿宋" w:eastAsia="仿宋" w:cs="仿宋"/>
        </w:rPr>
        <w:t xml:space="preserve">7.中标候选人并列式时的处理方式：   </w:t>
      </w:r>
    </w:p>
    <w:p>
      <w:pPr>
        <w:pStyle w:val="11"/>
        <w:tabs>
          <w:tab w:val="clear" w:pos="567"/>
        </w:tabs>
        <w:spacing w:before="0" w:line="360" w:lineRule="auto"/>
        <w:ind w:left="-181" w:leftChars="-86" w:firstLine="180" w:firstLineChars="75"/>
        <w:rPr>
          <w:rFonts w:ascii="仿宋" w:hAnsi="仿宋" w:eastAsia="仿宋" w:cs="仿宋"/>
        </w:rPr>
      </w:pPr>
      <w:r>
        <w:rPr>
          <w:rFonts w:hint="eastAsia" w:ascii="仿宋" w:hAnsi="仿宋" w:eastAsia="仿宋" w:cs="仿宋"/>
        </w:rPr>
        <w:t>如采用最低评标办法，则：</w:t>
      </w:r>
      <w:r>
        <w:rPr>
          <w:rFonts w:hint="eastAsia" w:ascii="仿宋" w:hAnsi="仿宋" w:eastAsia="仿宋" w:cs="仿宋"/>
          <w:u w:val="single"/>
        </w:rPr>
        <w:t xml:space="preserve">符合招标参数报价最低的为第一中标候选人       </w:t>
      </w:r>
      <w:r>
        <w:rPr>
          <w:rFonts w:hint="eastAsia" w:ascii="仿宋" w:hAnsi="仿宋" w:eastAsia="仿宋" w:cs="仿宋"/>
        </w:rPr>
        <w:t>；</w:t>
      </w:r>
    </w:p>
    <w:p>
      <w:pPr>
        <w:pStyle w:val="11"/>
        <w:tabs>
          <w:tab w:val="clear" w:pos="567"/>
        </w:tabs>
        <w:spacing w:before="0" w:line="360" w:lineRule="auto"/>
        <w:ind w:left="-181" w:leftChars="-86" w:firstLine="180" w:firstLineChars="75"/>
        <w:rPr>
          <w:rFonts w:ascii="仿宋" w:hAnsi="仿宋" w:eastAsia="仿宋" w:cs="仿宋"/>
          <w:b/>
        </w:rPr>
      </w:pPr>
      <w:r>
        <w:rPr>
          <w:rFonts w:hint="eastAsia" w:ascii="仿宋" w:hAnsi="仿宋" w:eastAsia="仿宋" w:cs="仿宋"/>
        </w:rPr>
        <w:t>如采用综合评标法，则：</w:t>
      </w:r>
      <w:r>
        <w:rPr>
          <w:rFonts w:hint="eastAsia" w:ascii="仿宋" w:hAnsi="仿宋" w:eastAsia="仿宋" w:cs="仿宋"/>
          <w:u w:val="single"/>
        </w:rPr>
        <w:t xml:space="preserve">符合招标参数要求综合得分最高的为第一中标候选人  </w:t>
      </w:r>
      <w:r>
        <w:rPr>
          <w:rFonts w:hint="eastAsia" w:ascii="仿宋" w:hAnsi="仿宋" w:eastAsia="仿宋" w:cs="仿宋"/>
        </w:rPr>
        <w:t>。</w:t>
      </w:r>
    </w:p>
    <w:bookmarkEnd w:id="512"/>
    <w:p>
      <w:pPr>
        <w:pStyle w:val="3"/>
        <w:rPr>
          <w:rFonts w:hint="eastAsia" w:cs="宋体" w:asciiTheme="minorEastAsia" w:hAnsiTheme="minorEastAsia" w:eastAsiaTheme="minorEastAsia"/>
          <w:sz w:val="44"/>
          <w:szCs w:val="24"/>
        </w:rPr>
      </w:pPr>
      <w:bookmarkStart w:id="558" w:name="_Toc32428_WPSOffice_Level1"/>
      <w:bookmarkStart w:id="559" w:name="_Toc12949_WPSOffice_Level1"/>
      <w:bookmarkStart w:id="560" w:name="_Toc21888_WPSOffice_Level1"/>
    </w:p>
    <w:p>
      <w:pPr>
        <w:rPr>
          <w:rFonts w:hint="eastAsia" w:cs="宋体" w:asciiTheme="minorEastAsia" w:hAnsiTheme="minorEastAsia" w:eastAsiaTheme="minorEastAsia"/>
          <w:sz w:val="44"/>
          <w:szCs w:val="24"/>
        </w:rPr>
      </w:pPr>
    </w:p>
    <w:p>
      <w:pPr>
        <w:pStyle w:val="2"/>
        <w:rPr>
          <w:rFonts w:hint="eastAsia"/>
        </w:rPr>
      </w:pPr>
    </w:p>
    <w:p>
      <w:pPr>
        <w:rPr>
          <w:rFonts w:hint="eastAsia"/>
        </w:rPr>
      </w:pPr>
    </w:p>
    <w:p>
      <w:pPr>
        <w:pStyle w:val="4"/>
        <w:tabs>
          <w:tab w:val="left" w:pos="0"/>
        </w:tabs>
        <w:spacing w:before="0" w:after="0" w:line="240" w:lineRule="atLeast"/>
        <w:rPr>
          <w:rFonts w:hint="eastAsia" w:cs="宋体" w:asciiTheme="minorEastAsia" w:hAnsiTheme="minorEastAsia" w:eastAsiaTheme="minorEastAsia"/>
          <w:sz w:val="44"/>
          <w:szCs w:val="24"/>
        </w:rPr>
      </w:pPr>
    </w:p>
    <w:p>
      <w:pPr>
        <w:pStyle w:val="4"/>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第7章政府采购合同</w:t>
      </w:r>
      <w:bookmarkStart w:id="561" w:name="_Hlt487972895"/>
      <w:bookmarkEnd w:id="561"/>
      <w:bookmarkStart w:id="562" w:name="_Toc216513788"/>
      <w:bookmarkStart w:id="563" w:name="_Toc487900382"/>
    </w:p>
    <w:bookmarkEnd w:id="558"/>
    <w:bookmarkEnd w:id="559"/>
    <w:bookmarkEnd w:id="560"/>
    <w:bookmarkEnd w:id="562"/>
    <w:bookmarkEnd w:id="563"/>
    <w:p>
      <w:pPr>
        <w:spacing w:line="480" w:lineRule="auto"/>
        <w:ind w:firstLine="2209" w:firstLineChars="500"/>
        <w:rPr>
          <w:rFonts w:ascii="宋体" w:hAnsi="宋体" w:cs="宋体"/>
          <w:b/>
          <w:sz w:val="44"/>
          <w:szCs w:val="44"/>
        </w:rPr>
      </w:pPr>
    </w:p>
    <w:p>
      <w:pPr>
        <w:spacing w:line="480" w:lineRule="auto"/>
        <w:ind w:firstLine="2209" w:firstLineChars="500"/>
        <w:rPr>
          <w:rFonts w:ascii="宋体" w:hAnsi="宋体" w:cs="宋体"/>
          <w:b/>
          <w:sz w:val="44"/>
          <w:szCs w:val="44"/>
        </w:rPr>
      </w:pPr>
      <w:r>
        <w:rPr>
          <w:rFonts w:hint="eastAsia" w:ascii="宋体" w:hAnsi="宋体" w:cs="宋体"/>
          <w:b/>
          <w:sz w:val="44"/>
          <w:szCs w:val="44"/>
        </w:rPr>
        <w:t>政府采购合同参考范本</w:t>
      </w: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hint="eastAsia" w:asciiTheme="minorEastAsia" w:hAnsiTheme="minorEastAsia" w:eastAsiaTheme="minorEastAsia" w:cstheme="minorEastAsia"/>
          <w:b/>
          <w:szCs w:val="24"/>
        </w:rPr>
      </w:pPr>
    </w:p>
    <w:p>
      <w:pPr>
        <w:pStyle w:val="71"/>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71"/>
        <w:ind w:firstLine="0"/>
        <w:rPr>
          <w:rFonts w:asciiTheme="minorEastAsia" w:hAnsiTheme="minorEastAsia" w:eastAsiaTheme="minorEastAsia" w:cstheme="minorEastAsia"/>
          <w:szCs w:val="24"/>
        </w:rPr>
      </w:pPr>
    </w:p>
    <w:p>
      <w:pPr>
        <w:pStyle w:val="71"/>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101"/>
        <w:spacing w:before="120" w:line="22" w:lineRule="atLeast"/>
        <w:rPr>
          <w:rFonts w:asciiTheme="minorEastAsia" w:hAnsiTheme="minorEastAsia" w:eastAsiaTheme="minorEastAsia" w:cstheme="minorEastAsia"/>
          <w:szCs w:val="24"/>
        </w:rPr>
      </w:pPr>
    </w:p>
    <w:p>
      <w:pPr>
        <w:pStyle w:val="101"/>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18" w:type="default"/>
          <w:footerReference r:id="rId19"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64" w:name="_Toc15367"/>
      <w:bookmarkStart w:id="565" w:name="_Toc20421"/>
      <w:bookmarkStart w:id="566" w:name="_Toc19273"/>
      <w:bookmarkStart w:id="567" w:name="_Toc22967"/>
      <w:bookmarkStart w:id="568" w:name="_Toc28855"/>
      <w:r>
        <w:rPr>
          <w:rFonts w:hint="eastAsia" w:asciiTheme="minorEastAsia" w:hAnsiTheme="minorEastAsia" w:eastAsiaTheme="minorEastAsia" w:cstheme="minorEastAsia"/>
          <w:b/>
          <w:sz w:val="24"/>
        </w:rPr>
        <w:t>1.1 合同组成部分</w:t>
      </w:r>
      <w:bookmarkEnd w:id="564"/>
      <w:bookmarkEnd w:id="565"/>
      <w:bookmarkEnd w:id="566"/>
      <w:bookmarkEnd w:id="567"/>
      <w:bookmarkEnd w:id="56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69" w:name="_Toc6311"/>
      <w:bookmarkStart w:id="570" w:name="_Toc2918"/>
      <w:bookmarkStart w:id="571" w:name="_Toc18585"/>
      <w:bookmarkStart w:id="572" w:name="_Toc6773"/>
      <w:bookmarkStart w:id="573" w:name="_Toc22185"/>
      <w:r>
        <w:rPr>
          <w:rFonts w:hint="eastAsia" w:asciiTheme="minorEastAsia" w:hAnsiTheme="minorEastAsia" w:eastAsiaTheme="minorEastAsia" w:cstheme="minorEastAsia"/>
          <w:b/>
          <w:sz w:val="24"/>
        </w:rPr>
        <w:t>1.2 标的</w:t>
      </w:r>
      <w:bookmarkEnd w:id="569"/>
      <w:bookmarkEnd w:id="570"/>
      <w:bookmarkEnd w:id="571"/>
      <w:bookmarkEnd w:id="572"/>
      <w:bookmarkEnd w:id="573"/>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74" w:name="_Toc21124"/>
      <w:bookmarkStart w:id="575" w:name="_Toc5635"/>
      <w:bookmarkStart w:id="576" w:name="_Toc13918"/>
      <w:bookmarkStart w:id="577" w:name="_Toc1386"/>
      <w:bookmarkStart w:id="578" w:name="_Toc4929"/>
      <w:r>
        <w:rPr>
          <w:rFonts w:hint="eastAsia" w:asciiTheme="minorEastAsia" w:hAnsiTheme="minorEastAsia" w:eastAsiaTheme="minorEastAsia" w:cstheme="minorEastAsia"/>
          <w:b/>
          <w:sz w:val="24"/>
        </w:rPr>
        <w:t>1.3 价款</w:t>
      </w:r>
      <w:bookmarkEnd w:id="574"/>
      <w:bookmarkEnd w:id="575"/>
      <w:bookmarkEnd w:id="576"/>
      <w:bookmarkEnd w:id="577"/>
      <w:bookmarkEnd w:id="57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9"/>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79"/>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79"/>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79" w:name="_Toc14993"/>
      <w:bookmarkStart w:id="580" w:name="_Toc30158"/>
      <w:bookmarkStart w:id="581" w:name="_Toc3654"/>
      <w:bookmarkStart w:id="582" w:name="_Toc26916"/>
      <w:bookmarkStart w:id="583" w:name="_Toc30506"/>
      <w:r>
        <w:rPr>
          <w:rFonts w:hint="eastAsia" w:asciiTheme="minorEastAsia" w:hAnsiTheme="minorEastAsia" w:eastAsiaTheme="minorEastAsia" w:cstheme="minorEastAsia"/>
          <w:b/>
          <w:sz w:val="24"/>
        </w:rPr>
        <w:t>1.4 付款方式和发票开具方式</w:t>
      </w:r>
      <w:bookmarkEnd w:id="579"/>
      <w:bookmarkEnd w:id="580"/>
      <w:bookmarkEnd w:id="581"/>
      <w:bookmarkEnd w:id="582"/>
      <w:bookmarkEnd w:id="58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84" w:name="_Toc3625"/>
      <w:bookmarkStart w:id="585" w:name="_Toc31421"/>
      <w:bookmarkStart w:id="586" w:name="_Toc11108"/>
      <w:bookmarkStart w:id="587" w:name="_Toc4760"/>
      <w:bookmarkStart w:id="588" w:name="_Toc8772"/>
      <w:r>
        <w:rPr>
          <w:rFonts w:hint="eastAsia" w:asciiTheme="minorEastAsia" w:hAnsiTheme="minorEastAsia" w:eastAsiaTheme="minorEastAsia" w:cstheme="minorEastAsia"/>
          <w:b/>
          <w:sz w:val="24"/>
        </w:rPr>
        <w:t>1.5 履行期限、地点和方式</w:t>
      </w:r>
      <w:bookmarkEnd w:id="584"/>
      <w:bookmarkEnd w:id="585"/>
      <w:bookmarkEnd w:id="586"/>
      <w:bookmarkEnd w:id="587"/>
      <w:bookmarkEnd w:id="588"/>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89" w:name="_Toc5698"/>
      <w:bookmarkStart w:id="590" w:name="_Toc2375"/>
      <w:bookmarkStart w:id="591" w:name="_Toc24662"/>
      <w:bookmarkStart w:id="592" w:name="_Toc3079"/>
      <w:bookmarkStart w:id="593" w:name="_Toc8586"/>
      <w:r>
        <w:rPr>
          <w:rFonts w:hint="eastAsia" w:asciiTheme="minorEastAsia" w:hAnsiTheme="minorEastAsia" w:eastAsiaTheme="minorEastAsia" w:cstheme="minorEastAsia"/>
          <w:b/>
          <w:sz w:val="24"/>
        </w:rPr>
        <w:t>1.6 违约责任</w:t>
      </w:r>
      <w:bookmarkEnd w:id="589"/>
      <w:bookmarkEnd w:id="590"/>
      <w:bookmarkEnd w:id="591"/>
      <w:bookmarkEnd w:id="592"/>
      <w:bookmarkEnd w:id="59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94" w:name="_Toc30329"/>
      <w:bookmarkStart w:id="595" w:name="_Toc18683"/>
      <w:bookmarkStart w:id="596" w:name="_Toc26807"/>
      <w:bookmarkStart w:id="597" w:name="_Toc9497"/>
      <w:bookmarkStart w:id="598" w:name="_Toc32454"/>
      <w:r>
        <w:rPr>
          <w:rFonts w:hint="eastAsia" w:asciiTheme="minorEastAsia" w:hAnsiTheme="minorEastAsia" w:eastAsiaTheme="minorEastAsia" w:cstheme="minorEastAsia"/>
          <w:b/>
          <w:sz w:val="24"/>
        </w:rPr>
        <w:t>1.7 合同争议的解决</w:t>
      </w:r>
      <w:bookmarkEnd w:id="594"/>
      <w:bookmarkEnd w:id="595"/>
      <w:bookmarkEnd w:id="596"/>
      <w:bookmarkEnd w:id="597"/>
      <w:bookmarkEnd w:id="59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599" w:name="_Toc15827"/>
      <w:bookmarkStart w:id="600" w:name="_Toc26227"/>
      <w:bookmarkStart w:id="601" w:name="_Toc16417"/>
      <w:bookmarkStart w:id="602" w:name="_Toc23784"/>
      <w:bookmarkStart w:id="603" w:name="_Toc12273"/>
      <w:r>
        <w:rPr>
          <w:rFonts w:hint="eastAsia" w:asciiTheme="minorEastAsia" w:hAnsiTheme="minorEastAsia" w:eastAsiaTheme="minorEastAsia" w:cstheme="minorEastAsia"/>
          <w:b/>
          <w:sz w:val="24"/>
        </w:rPr>
        <w:t>1.8 合同生效</w:t>
      </w:r>
      <w:bookmarkEnd w:id="599"/>
      <w:bookmarkEnd w:id="600"/>
      <w:bookmarkEnd w:id="601"/>
      <w:bookmarkEnd w:id="602"/>
      <w:bookmarkEnd w:id="603"/>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04" w:name="_Toc331685783"/>
    </w:p>
    <w:p>
      <w:pPr>
        <w:widowControl/>
        <w:spacing w:line="560" w:lineRule="exact"/>
        <w:jc w:val="left"/>
        <w:rPr>
          <w:rFonts w:asciiTheme="minorEastAsia" w:hAnsiTheme="minorEastAsia" w:eastAsiaTheme="minorEastAsia" w:cstheme="minorEastAsia"/>
          <w:b/>
          <w:kern w:val="0"/>
          <w:sz w:val="24"/>
        </w:rPr>
      </w:pPr>
    </w:p>
    <w:p>
      <w:pPr>
        <w:pStyle w:val="71"/>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04"/>
    </w:p>
    <w:p>
      <w:pPr>
        <w:spacing w:line="560" w:lineRule="exact"/>
        <w:ind w:firstLine="482" w:firstLineChars="200"/>
        <w:outlineLvl w:val="0"/>
        <w:rPr>
          <w:rFonts w:asciiTheme="minorEastAsia" w:hAnsiTheme="minorEastAsia" w:eastAsiaTheme="minorEastAsia" w:cstheme="minorEastAsia"/>
          <w:b/>
          <w:sz w:val="24"/>
        </w:rPr>
      </w:pPr>
      <w:bookmarkStart w:id="605" w:name="_Toc31297"/>
      <w:bookmarkStart w:id="606" w:name="_Toc487900349"/>
      <w:bookmarkStart w:id="607" w:name="_Toc259093669"/>
      <w:bookmarkStart w:id="608" w:name="_Toc279701240"/>
      <w:bookmarkStart w:id="609" w:name="_Toc19680"/>
      <w:bookmarkStart w:id="610" w:name="_Ref467379195"/>
      <w:bookmarkStart w:id="611" w:name="_Ref467379109"/>
      <w:bookmarkStart w:id="612" w:name="_Toc25079"/>
      <w:bookmarkStart w:id="613" w:name="_Ref467379214"/>
      <w:bookmarkStart w:id="614" w:name="_Ref467378499"/>
      <w:bookmarkStart w:id="615" w:name="_Ref467378404"/>
      <w:bookmarkStart w:id="616" w:name="_Ref467379225"/>
      <w:bookmarkStart w:id="617" w:name="_Toc5228"/>
      <w:bookmarkStart w:id="618" w:name="_Ref467379094"/>
      <w:bookmarkStart w:id="619" w:name="_Toc14021"/>
      <w:bookmarkStart w:id="620" w:name="_Ref467378463"/>
      <w:bookmarkStart w:id="621" w:name="_Ref467379101"/>
      <w:bookmarkStart w:id="622" w:name="_Ref467379205"/>
      <w:r>
        <w:rPr>
          <w:rFonts w:hint="eastAsia" w:asciiTheme="minorEastAsia" w:hAnsiTheme="minorEastAsia" w:eastAsiaTheme="minorEastAsia" w:cstheme="minorEastAsia"/>
          <w:b/>
          <w:sz w:val="24"/>
        </w:rPr>
        <w:t>2.1 定义</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23" w:name="_Ref467378840"/>
      <w:r>
        <w:rPr>
          <w:rFonts w:hint="eastAsia" w:asciiTheme="minorEastAsia" w:hAnsiTheme="minorEastAsia" w:eastAsiaTheme="minorEastAsia" w:cstheme="minorEastAsia"/>
          <w:sz w:val="24"/>
        </w:rPr>
        <w:t>2.1.4 “甲方”系指与中标供应商签署合同的采购人</w:t>
      </w:r>
      <w:bookmarkEnd w:id="623"/>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24" w:name="_Ref467379400"/>
      <w:r>
        <w:rPr>
          <w:rFonts w:hint="eastAsia" w:asciiTheme="minorEastAsia" w:hAnsiTheme="minorEastAsia" w:eastAsiaTheme="minorEastAsia" w:cstheme="minorEastAsia"/>
          <w:sz w:val="24"/>
        </w:rPr>
        <w:t>2.1.5“乙方”系指根据合同约定提供服务的中标供应商</w:t>
      </w:r>
      <w:bookmarkEnd w:id="624"/>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25" w:name="_Ref467379436"/>
      <w:r>
        <w:rPr>
          <w:rFonts w:hint="eastAsia" w:asciiTheme="minorEastAsia" w:hAnsiTheme="minorEastAsia" w:eastAsiaTheme="minorEastAsia" w:cstheme="minorEastAsia"/>
          <w:sz w:val="24"/>
        </w:rPr>
        <w:t>2.1.6 “现场”系指合同约定提供服务的地点。</w:t>
      </w:r>
      <w:bookmarkEnd w:id="625"/>
    </w:p>
    <w:p>
      <w:pPr>
        <w:spacing w:line="560" w:lineRule="exact"/>
        <w:ind w:firstLine="482" w:firstLineChars="200"/>
        <w:outlineLvl w:val="0"/>
        <w:rPr>
          <w:rFonts w:asciiTheme="minorEastAsia" w:hAnsiTheme="minorEastAsia" w:eastAsiaTheme="minorEastAsia" w:cstheme="minorEastAsia"/>
          <w:b/>
          <w:sz w:val="24"/>
        </w:rPr>
      </w:pPr>
      <w:bookmarkStart w:id="626" w:name="_Toc259093670"/>
      <w:bookmarkStart w:id="627" w:name="_Toc3769"/>
      <w:bookmarkStart w:id="628" w:name="_Toc279701241"/>
      <w:bookmarkStart w:id="629" w:name="_Toc31402"/>
      <w:bookmarkStart w:id="630" w:name="_Toc16752"/>
      <w:bookmarkStart w:id="631" w:name="_Toc23289"/>
      <w:bookmarkStart w:id="632" w:name="_Toc19539"/>
      <w:bookmarkStart w:id="633" w:name="_Toc487900350"/>
      <w:r>
        <w:rPr>
          <w:rFonts w:hint="eastAsia" w:asciiTheme="minorEastAsia" w:hAnsiTheme="minorEastAsia" w:eastAsiaTheme="minorEastAsia" w:cstheme="minorEastAsia"/>
          <w:b/>
          <w:sz w:val="24"/>
        </w:rPr>
        <w:t>2.2 技术规范</w:t>
      </w:r>
      <w:bookmarkEnd w:id="626"/>
      <w:bookmarkEnd w:id="627"/>
      <w:bookmarkEnd w:id="628"/>
      <w:bookmarkEnd w:id="629"/>
      <w:bookmarkEnd w:id="630"/>
      <w:bookmarkEnd w:id="631"/>
      <w:bookmarkEnd w:id="632"/>
      <w:bookmarkEnd w:id="63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34" w:name="_Toc9161"/>
      <w:bookmarkStart w:id="635" w:name="_Toc259093671"/>
      <w:bookmarkStart w:id="636" w:name="_Toc4133"/>
      <w:bookmarkStart w:id="637" w:name="_Toc12412"/>
      <w:bookmarkStart w:id="638" w:name="_Toc13673"/>
      <w:bookmarkStart w:id="639" w:name="_Toc487900351"/>
      <w:bookmarkStart w:id="640" w:name="_Toc27945"/>
      <w:bookmarkStart w:id="641" w:name="_Toc279701242"/>
      <w:r>
        <w:rPr>
          <w:rFonts w:hint="eastAsia" w:asciiTheme="minorEastAsia" w:hAnsiTheme="minorEastAsia" w:eastAsiaTheme="minorEastAsia" w:cstheme="minorEastAsia"/>
          <w:b/>
          <w:sz w:val="24"/>
        </w:rPr>
        <w:t>2.3 知识产权</w:t>
      </w:r>
      <w:bookmarkEnd w:id="634"/>
      <w:bookmarkEnd w:id="635"/>
      <w:bookmarkEnd w:id="636"/>
      <w:bookmarkEnd w:id="637"/>
      <w:bookmarkEnd w:id="638"/>
      <w:bookmarkEnd w:id="639"/>
      <w:bookmarkEnd w:id="640"/>
      <w:bookmarkEnd w:id="64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42" w:name="_Ref467379657"/>
      <w:r>
        <w:rPr>
          <w:rFonts w:hint="eastAsia" w:asciiTheme="minorEastAsia" w:hAnsiTheme="minorEastAsia" w:eastAsiaTheme="minorEastAsia" w:cstheme="minorEastAsia"/>
          <w:sz w:val="24"/>
        </w:rPr>
        <w:t>2.4.1</w:t>
      </w:r>
      <w:bookmarkEnd w:id="642"/>
      <w:bookmarkStart w:id="643" w:name="_Toc186431854"/>
      <w:bookmarkStart w:id="644" w:name="_Toc279701247"/>
      <w:bookmarkStart w:id="645" w:name="_Ref467379793"/>
      <w:bookmarkStart w:id="646" w:name="_Ref467379807"/>
      <w:bookmarkStart w:id="647" w:name="_Toc487900357"/>
      <w:bookmarkStart w:id="648" w:name="_Toc259093676"/>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43"/>
      <w:bookmarkStart w:id="649" w:name="_Toc186431855"/>
      <w:r>
        <w:rPr>
          <w:rFonts w:hint="eastAsia" w:asciiTheme="minorEastAsia" w:hAnsiTheme="minorEastAsia" w:eastAsiaTheme="minorEastAsia" w:cstheme="minorEastAsia"/>
          <w:sz w:val="24"/>
        </w:rPr>
        <w:t>。</w:t>
      </w:r>
    </w:p>
    <w:bookmarkEnd w:id="649"/>
    <w:p>
      <w:pPr>
        <w:spacing w:line="560" w:lineRule="exact"/>
        <w:ind w:firstLine="482" w:firstLineChars="200"/>
        <w:outlineLvl w:val="0"/>
        <w:rPr>
          <w:rFonts w:asciiTheme="minorEastAsia" w:hAnsiTheme="minorEastAsia" w:eastAsiaTheme="minorEastAsia" w:cstheme="minorEastAsia"/>
          <w:b/>
          <w:sz w:val="24"/>
        </w:rPr>
      </w:pPr>
      <w:bookmarkStart w:id="650" w:name="_Toc31233"/>
      <w:bookmarkStart w:id="651" w:name="_Toc22011"/>
      <w:bookmarkStart w:id="652" w:name="_Toc32670"/>
      <w:bookmarkStart w:id="653" w:name="_Toc15447"/>
      <w:bookmarkStart w:id="654" w:name="_Toc26555"/>
      <w:r>
        <w:rPr>
          <w:rFonts w:hint="eastAsia" w:asciiTheme="minorEastAsia" w:hAnsiTheme="minorEastAsia" w:eastAsiaTheme="minorEastAsia" w:cstheme="minorEastAsia"/>
          <w:b/>
          <w:sz w:val="24"/>
        </w:rPr>
        <w:t>2.5 结算方式和付款条件</w:t>
      </w:r>
      <w:bookmarkEnd w:id="644"/>
      <w:bookmarkEnd w:id="645"/>
      <w:bookmarkEnd w:id="646"/>
      <w:bookmarkEnd w:id="647"/>
      <w:bookmarkEnd w:id="648"/>
      <w:bookmarkEnd w:id="650"/>
      <w:bookmarkEnd w:id="651"/>
      <w:bookmarkEnd w:id="652"/>
      <w:bookmarkEnd w:id="653"/>
      <w:bookmarkEnd w:id="65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55" w:name="_Ref467379863"/>
      <w:bookmarkStart w:id="656" w:name="_Toc487900358"/>
      <w:bookmarkStart w:id="657" w:name="_Ref467379923"/>
      <w:bookmarkStart w:id="658" w:name="_Toc259093677"/>
      <w:bookmarkStart w:id="659" w:name="_Ref467379852"/>
      <w:bookmarkStart w:id="660" w:name="_Toc279701248"/>
      <w:bookmarkStart w:id="661" w:name="_Toc13154"/>
      <w:bookmarkStart w:id="662" w:name="_Toc13467"/>
      <w:bookmarkStart w:id="663" w:name="_Toc30507"/>
      <w:bookmarkStart w:id="664" w:name="_Toc18990"/>
      <w:bookmarkStart w:id="665" w:name="_Toc16163"/>
      <w:r>
        <w:rPr>
          <w:rFonts w:hint="eastAsia" w:asciiTheme="minorEastAsia" w:hAnsiTheme="minorEastAsia" w:eastAsiaTheme="minorEastAsia" w:cstheme="minorEastAsia"/>
          <w:b/>
          <w:sz w:val="24"/>
        </w:rPr>
        <w:t>2.6 技术资料</w:t>
      </w:r>
      <w:bookmarkEnd w:id="655"/>
      <w:bookmarkEnd w:id="656"/>
      <w:bookmarkEnd w:id="657"/>
      <w:bookmarkEnd w:id="658"/>
      <w:bookmarkEnd w:id="659"/>
      <w:bookmarkEnd w:id="660"/>
      <w:r>
        <w:rPr>
          <w:rFonts w:hint="eastAsia" w:asciiTheme="minorEastAsia" w:hAnsiTheme="minorEastAsia" w:eastAsiaTheme="minorEastAsia" w:cstheme="minorEastAsia"/>
          <w:b/>
          <w:sz w:val="24"/>
        </w:rPr>
        <w:t>和保密义务</w:t>
      </w:r>
      <w:bookmarkEnd w:id="661"/>
      <w:bookmarkEnd w:id="662"/>
      <w:bookmarkEnd w:id="663"/>
      <w:bookmarkEnd w:id="664"/>
      <w:bookmarkEnd w:id="66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66" w:name="_Toc19069"/>
      <w:bookmarkStart w:id="667" w:name="_Toc259093681"/>
      <w:bookmarkStart w:id="668" w:name="_Toc279701252"/>
      <w:bookmarkStart w:id="669" w:name="_Toc487900362"/>
      <w:r>
        <w:rPr>
          <w:rFonts w:hint="eastAsia" w:asciiTheme="minorEastAsia" w:hAnsiTheme="minorEastAsia" w:eastAsiaTheme="minorEastAsia" w:cstheme="minorEastAsia"/>
          <w:b/>
          <w:sz w:val="24"/>
        </w:rPr>
        <w:t>2.7 质量保证</w:t>
      </w:r>
      <w:bookmarkEnd w:id="66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0" w:name="_Toc22267"/>
      <w:r>
        <w:rPr>
          <w:rFonts w:hint="eastAsia" w:asciiTheme="minorEastAsia" w:hAnsiTheme="minorEastAsia" w:eastAsiaTheme="minorEastAsia" w:cstheme="minorEastAsia"/>
          <w:b/>
          <w:sz w:val="24"/>
        </w:rPr>
        <w:t>2.8 延迟</w:t>
      </w:r>
      <w:bookmarkEnd w:id="667"/>
      <w:bookmarkEnd w:id="668"/>
      <w:bookmarkEnd w:id="669"/>
      <w:r>
        <w:rPr>
          <w:rFonts w:hint="eastAsia" w:asciiTheme="minorEastAsia" w:hAnsiTheme="minorEastAsia" w:eastAsiaTheme="minorEastAsia" w:cstheme="minorEastAsia"/>
          <w:b/>
          <w:sz w:val="24"/>
        </w:rPr>
        <w:t>履行</w:t>
      </w:r>
      <w:bookmarkEnd w:id="67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1" w:name="_Toc10611"/>
      <w:bookmarkStart w:id="672" w:name="_Toc487900364"/>
      <w:bookmarkStart w:id="673" w:name="_Ref467378121"/>
      <w:bookmarkStart w:id="674" w:name="_Toc259093683"/>
      <w:bookmarkStart w:id="675" w:name="_Toc279701254"/>
      <w:r>
        <w:rPr>
          <w:rFonts w:hint="eastAsia" w:asciiTheme="minorEastAsia" w:hAnsiTheme="minorEastAsia" w:eastAsiaTheme="minorEastAsia" w:cstheme="minorEastAsia"/>
          <w:b/>
          <w:sz w:val="24"/>
        </w:rPr>
        <w:t>2.9 合同变更</w:t>
      </w:r>
      <w:bookmarkEnd w:id="67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76" w:name="_Toc259093688"/>
      <w:bookmarkStart w:id="677" w:name="_Toc279701259"/>
      <w:bookmarkStart w:id="678" w:name="_Toc487900369"/>
    </w:p>
    <w:p>
      <w:pPr>
        <w:spacing w:line="560" w:lineRule="exact"/>
        <w:ind w:firstLine="482" w:firstLineChars="200"/>
        <w:outlineLvl w:val="0"/>
        <w:rPr>
          <w:rFonts w:asciiTheme="minorEastAsia" w:hAnsiTheme="minorEastAsia" w:eastAsiaTheme="minorEastAsia" w:cstheme="minorEastAsia"/>
          <w:b/>
          <w:sz w:val="24"/>
        </w:rPr>
      </w:pPr>
      <w:bookmarkStart w:id="679" w:name="_Toc42"/>
      <w:bookmarkStart w:id="680" w:name="_Toc10663"/>
      <w:bookmarkStart w:id="681" w:name="_Toc23368"/>
      <w:bookmarkStart w:id="682" w:name="_Toc26689"/>
      <w:bookmarkStart w:id="683" w:name="_Toc21830"/>
      <w:r>
        <w:rPr>
          <w:rFonts w:hint="eastAsia" w:asciiTheme="minorEastAsia" w:hAnsiTheme="minorEastAsia" w:eastAsiaTheme="minorEastAsia" w:cstheme="minorEastAsia"/>
          <w:b/>
          <w:sz w:val="24"/>
        </w:rPr>
        <w:t>2.10 合同转让</w:t>
      </w:r>
      <w:bookmarkEnd w:id="676"/>
      <w:bookmarkEnd w:id="677"/>
      <w:bookmarkEnd w:id="678"/>
      <w:r>
        <w:rPr>
          <w:rFonts w:hint="eastAsia" w:asciiTheme="minorEastAsia" w:hAnsiTheme="minorEastAsia" w:eastAsiaTheme="minorEastAsia" w:cstheme="minorEastAsia"/>
          <w:b/>
          <w:sz w:val="24"/>
        </w:rPr>
        <w:t>和分包</w:t>
      </w:r>
      <w:bookmarkEnd w:id="679"/>
      <w:bookmarkEnd w:id="680"/>
      <w:bookmarkEnd w:id="681"/>
      <w:bookmarkEnd w:id="682"/>
      <w:bookmarkEnd w:id="68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84" w:name="_Toc26633"/>
      <w:bookmarkStart w:id="685" w:name="_Toc32494"/>
      <w:bookmarkStart w:id="686" w:name="_Toc25571"/>
      <w:bookmarkStart w:id="687" w:name="_Toc14371"/>
      <w:bookmarkStart w:id="688" w:name="_Toc4720"/>
      <w:r>
        <w:rPr>
          <w:rFonts w:hint="eastAsia" w:asciiTheme="minorEastAsia" w:hAnsiTheme="minorEastAsia" w:eastAsiaTheme="minorEastAsia" w:cstheme="minorEastAsia"/>
          <w:b/>
          <w:sz w:val="24"/>
        </w:rPr>
        <w:t>2.11 不可抗力</w:t>
      </w:r>
      <w:bookmarkEnd w:id="684"/>
      <w:bookmarkEnd w:id="685"/>
      <w:bookmarkEnd w:id="686"/>
      <w:bookmarkEnd w:id="687"/>
      <w:bookmarkEnd w:id="68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89" w:name="_Toc23854"/>
      <w:bookmarkStart w:id="690" w:name="_Toc24465"/>
      <w:bookmarkStart w:id="691" w:name="_Toc259093684"/>
      <w:bookmarkStart w:id="692" w:name="_Toc3638"/>
      <w:bookmarkStart w:id="693" w:name="_Toc279701255"/>
      <w:bookmarkStart w:id="694" w:name="_Toc14115"/>
      <w:bookmarkStart w:id="695" w:name="_Toc487900365"/>
      <w:bookmarkStart w:id="696" w:name="_Toc25783"/>
      <w:r>
        <w:rPr>
          <w:rFonts w:hint="eastAsia" w:asciiTheme="minorEastAsia" w:hAnsiTheme="minorEastAsia" w:eastAsiaTheme="minorEastAsia" w:cstheme="minorEastAsia"/>
          <w:b/>
          <w:sz w:val="24"/>
        </w:rPr>
        <w:t>2.12 税费</w:t>
      </w:r>
      <w:bookmarkEnd w:id="689"/>
      <w:bookmarkEnd w:id="690"/>
      <w:bookmarkEnd w:id="691"/>
      <w:bookmarkEnd w:id="692"/>
      <w:bookmarkEnd w:id="693"/>
      <w:bookmarkEnd w:id="694"/>
      <w:bookmarkEnd w:id="695"/>
      <w:bookmarkEnd w:id="69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697" w:name="_Toc26883"/>
      <w:bookmarkStart w:id="698" w:name="_Toc259093687"/>
      <w:bookmarkStart w:id="699" w:name="_Toc25525"/>
      <w:bookmarkStart w:id="700" w:name="_Toc487900368"/>
      <w:bookmarkStart w:id="701" w:name="_Toc30105"/>
      <w:bookmarkStart w:id="702" w:name="_Toc14814"/>
      <w:bookmarkStart w:id="703" w:name="_Toc279701258"/>
      <w:bookmarkStart w:id="704" w:name="_Toc7315"/>
      <w:r>
        <w:rPr>
          <w:rFonts w:hint="eastAsia" w:asciiTheme="minorEastAsia" w:hAnsiTheme="minorEastAsia" w:eastAsiaTheme="minorEastAsia" w:cstheme="minorEastAsia"/>
          <w:b/>
          <w:sz w:val="24"/>
        </w:rPr>
        <w:t>2.13 乙方破产</w:t>
      </w:r>
      <w:bookmarkEnd w:id="697"/>
      <w:bookmarkEnd w:id="698"/>
      <w:bookmarkEnd w:id="699"/>
      <w:bookmarkEnd w:id="700"/>
      <w:bookmarkEnd w:id="701"/>
      <w:bookmarkEnd w:id="702"/>
      <w:bookmarkEnd w:id="703"/>
      <w:bookmarkEnd w:id="70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05" w:name="_Toc23323"/>
      <w:bookmarkStart w:id="706" w:name="_Toc1123"/>
      <w:bookmarkStart w:id="707" w:name="_Toc2016"/>
      <w:r>
        <w:rPr>
          <w:rFonts w:hint="eastAsia" w:asciiTheme="minorEastAsia" w:hAnsiTheme="minorEastAsia" w:eastAsiaTheme="minorEastAsia" w:cstheme="minorEastAsia"/>
          <w:b/>
          <w:sz w:val="24"/>
        </w:rPr>
        <w:t>2.14 合同中止、终止</w:t>
      </w:r>
      <w:bookmarkEnd w:id="705"/>
      <w:bookmarkEnd w:id="706"/>
      <w:bookmarkEnd w:id="70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08" w:name="_Toc14525"/>
      <w:bookmarkStart w:id="709" w:name="_Toc17363"/>
      <w:bookmarkStart w:id="710" w:name="_Toc1969"/>
      <w:r>
        <w:rPr>
          <w:rFonts w:hint="eastAsia" w:asciiTheme="minorEastAsia" w:hAnsiTheme="minorEastAsia" w:eastAsiaTheme="minorEastAsia" w:cstheme="minorEastAsia"/>
          <w:b/>
          <w:sz w:val="24"/>
        </w:rPr>
        <w:t>2.15 检验和验收</w:t>
      </w:r>
      <w:bookmarkEnd w:id="708"/>
      <w:bookmarkEnd w:id="709"/>
      <w:bookmarkEnd w:id="710"/>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72"/>
    <w:bookmarkEnd w:id="673"/>
    <w:bookmarkEnd w:id="674"/>
    <w:bookmarkEnd w:id="675"/>
    <w:p>
      <w:pPr>
        <w:spacing w:line="560" w:lineRule="exact"/>
        <w:ind w:firstLine="482" w:firstLineChars="200"/>
        <w:outlineLvl w:val="0"/>
        <w:rPr>
          <w:rFonts w:asciiTheme="minorEastAsia" w:hAnsiTheme="minorEastAsia" w:eastAsiaTheme="minorEastAsia" w:cstheme="minorEastAsia"/>
          <w:b/>
          <w:sz w:val="24"/>
        </w:rPr>
      </w:pPr>
      <w:bookmarkStart w:id="711" w:name="_Toc259093690"/>
      <w:bookmarkStart w:id="712" w:name="_Toc487900371"/>
      <w:bookmarkStart w:id="713" w:name="_Toc279701261"/>
      <w:bookmarkStart w:id="714" w:name="_Toc31892"/>
      <w:bookmarkStart w:id="715" w:name="_Toc9808"/>
      <w:bookmarkStart w:id="716" w:name="_Toc2308"/>
      <w:bookmarkStart w:id="717" w:name="_Toc25198"/>
      <w:bookmarkStart w:id="718" w:name="_Toc12666"/>
      <w:r>
        <w:rPr>
          <w:rFonts w:hint="eastAsia" w:asciiTheme="minorEastAsia" w:hAnsiTheme="minorEastAsia" w:eastAsiaTheme="minorEastAsia" w:cstheme="minorEastAsia"/>
          <w:b/>
          <w:sz w:val="24"/>
        </w:rPr>
        <w:t>2.16 通知</w:t>
      </w:r>
      <w:bookmarkEnd w:id="711"/>
      <w:bookmarkEnd w:id="712"/>
      <w:bookmarkEnd w:id="713"/>
      <w:r>
        <w:rPr>
          <w:rFonts w:hint="eastAsia" w:asciiTheme="minorEastAsia" w:hAnsiTheme="minorEastAsia" w:eastAsiaTheme="minorEastAsia" w:cstheme="minorEastAsia"/>
          <w:b/>
          <w:sz w:val="24"/>
        </w:rPr>
        <w:t>和送达</w:t>
      </w:r>
      <w:bookmarkEnd w:id="714"/>
      <w:bookmarkEnd w:id="715"/>
      <w:bookmarkEnd w:id="716"/>
      <w:bookmarkEnd w:id="717"/>
      <w:bookmarkEnd w:id="718"/>
    </w:p>
    <w:p>
      <w:pPr>
        <w:spacing w:line="560" w:lineRule="exact"/>
        <w:ind w:firstLine="480" w:firstLineChars="200"/>
        <w:rPr>
          <w:rFonts w:asciiTheme="minorEastAsia" w:hAnsiTheme="minorEastAsia" w:eastAsiaTheme="minorEastAsia" w:cstheme="minorEastAsia"/>
          <w:sz w:val="24"/>
        </w:rPr>
      </w:pPr>
      <w:bookmarkStart w:id="719" w:name="_Toc29220"/>
      <w:bookmarkStart w:id="720" w:name="_Toc7073"/>
      <w:bookmarkStart w:id="721" w:name="_Toc487900372"/>
      <w:bookmarkStart w:id="722" w:name="_Toc279701262"/>
      <w:bookmarkStart w:id="723" w:name="_Toc259093691"/>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19"/>
      <w:bookmarkEnd w:id="720"/>
    </w:p>
    <w:p>
      <w:pPr>
        <w:spacing w:line="560" w:lineRule="exact"/>
        <w:ind w:firstLine="480" w:firstLineChars="200"/>
        <w:rPr>
          <w:rFonts w:asciiTheme="minorEastAsia" w:hAnsiTheme="minorEastAsia" w:eastAsiaTheme="minorEastAsia" w:cstheme="minorEastAsia"/>
          <w:sz w:val="24"/>
        </w:rPr>
      </w:pPr>
      <w:bookmarkStart w:id="724" w:name="_Toc18401"/>
      <w:bookmarkStart w:id="725"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4"/>
      <w:bookmarkEnd w:id="725"/>
    </w:p>
    <w:bookmarkEnd w:id="721"/>
    <w:bookmarkEnd w:id="722"/>
    <w:bookmarkEnd w:id="723"/>
    <w:p>
      <w:pPr>
        <w:spacing w:line="560" w:lineRule="exact"/>
        <w:ind w:firstLine="482" w:firstLineChars="200"/>
        <w:outlineLvl w:val="0"/>
        <w:rPr>
          <w:rFonts w:asciiTheme="minorEastAsia" w:hAnsiTheme="minorEastAsia" w:eastAsiaTheme="minorEastAsia" w:cstheme="minorEastAsia"/>
          <w:b/>
          <w:sz w:val="24"/>
        </w:rPr>
      </w:pPr>
      <w:bookmarkStart w:id="726" w:name="_Toc5063"/>
      <w:bookmarkStart w:id="727" w:name="_Toc12254"/>
      <w:bookmarkStart w:id="728" w:name="_Toc259093692"/>
      <w:bookmarkStart w:id="729" w:name="_Toc487900373"/>
      <w:bookmarkStart w:id="730" w:name="_Toc279701263"/>
      <w:bookmarkStart w:id="731" w:name="_Toc27644"/>
      <w:bookmarkStart w:id="732" w:name="_Toc28906"/>
      <w:bookmarkStart w:id="733" w:name="_Toc20808"/>
      <w:r>
        <w:rPr>
          <w:rFonts w:hint="eastAsia" w:asciiTheme="minorEastAsia" w:hAnsiTheme="minorEastAsia" w:eastAsiaTheme="minorEastAsia" w:cstheme="minorEastAsia"/>
          <w:b/>
          <w:sz w:val="24"/>
        </w:rPr>
        <w:t>2.17 合同使用的文字和适用的法律</w:t>
      </w:r>
      <w:bookmarkEnd w:id="726"/>
      <w:bookmarkEnd w:id="727"/>
      <w:bookmarkEnd w:id="728"/>
      <w:bookmarkEnd w:id="729"/>
      <w:bookmarkEnd w:id="730"/>
      <w:bookmarkEnd w:id="731"/>
      <w:bookmarkEnd w:id="732"/>
      <w:bookmarkEnd w:id="73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34" w:name="_Toc22266"/>
      <w:bookmarkStart w:id="735" w:name="_Toc259093693"/>
      <w:bookmarkStart w:id="736" w:name="_Toc27403"/>
      <w:bookmarkStart w:id="737" w:name="_Toc30096"/>
      <w:bookmarkStart w:id="738" w:name="_Toc279701264"/>
      <w:bookmarkStart w:id="739" w:name="_Toc27127"/>
      <w:bookmarkStart w:id="740" w:name="_Toc1492"/>
      <w:bookmarkStart w:id="741" w:name="_Toc487900374"/>
      <w:r>
        <w:rPr>
          <w:rFonts w:hint="eastAsia" w:asciiTheme="minorEastAsia" w:hAnsiTheme="minorEastAsia" w:eastAsiaTheme="minorEastAsia" w:cstheme="minorEastAsia"/>
          <w:b/>
          <w:sz w:val="24"/>
        </w:rPr>
        <w:t>2.18 履约保证金</w:t>
      </w:r>
      <w:bookmarkEnd w:id="734"/>
      <w:bookmarkEnd w:id="735"/>
      <w:bookmarkEnd w:id="736"/>
      <w:bookmarkEnd w:id="737"/>
      <w:bookmarkEnd w:id="738"/>
      <w:bookmarkEnd w:id="739"/>
      <w:bookmarkEnd w:id="74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1"/>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71"/>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2" w:name="_Toc331685784"/>
      <w:r>
        <w:rPr>
          <w:rFonts w:hint="eastAsia" w:asciiTheme="minorEastAsia" w:hAnsiTheme="minorEastAsia" w:eastAsiaTheme="minorEastAsia" w:cstheme="minorEastAsia"/>
          <w:b/>
          <w:szCs w:val="24"/>
        </w:rPr>
        <w:t>第三部分合同专用条款</w:t>
      </w:r>
      <w:bookmarkEnd w:id="74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5"/>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5"/>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5"/>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9"/>
        </w:numPr>
        <w:spacing w:line="360" w:lineRule="auto"/>
        <w:ind w:left="4011" w:leftChars="304" w:hanging="3373"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107"/>
        <w:spacing w:line="360" w:lineRule="auto"/>
        <w:rPr>
          <w:rFonts w:asciiTheme="minorEastAsia" w:hAnsiTheme="minorEastAsia" w:eastAsiaTheme="minorEastAsia" w:cstheme="minorEastAsia"/>
          <w:szCs w:val="21"/>
        </w:rPr>
      </w:pP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107"/>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spacing w:line="360" w:lineRule="auto"/>
        <w:jc w:val="left"/>
        <w:outlineLvl w:val="1"/>
        <w:rPr>
          <w:rStyle w:val="44"/>
          <w:rFonts w:asciiTheme="minorEastAsia" w:hAnsiTheme="minorEastAsia" w:eastAsiaTheme="minorEastAsia" w:cstheme="minorEastAsia"/>
          <w:color w:val="000000"/>
          <w:sz w:val="24"/>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5"/>
        <w:rPr>
          <w:rFonts w:asciiTheme="minorEastAsia" w:hAnsiTheme="minorEastAsia" w:eastAsiaTheme="minorEastAsia"/>
        </w:rPr>
      </w:pPr>
    </w:p>
    <w:p/>
    <w:sectPr>
      <w:headerReference r:id="rId20" w:type="default"/>
      <w:footerReference r:id="rId21"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21"/>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45"/>
                            </w:rPr>
                          </w:pPr>
                          <w:r>
                            <w:fldChar w:fldCharType="begin"/>
                          </w:r>
                          <w:r>
                            <w:rPr>
                              <w:rStyle w:val="45"/>
                            </w:rPr>
                            <w:instrText xml:space="preserve">PAGE  </w:instrText>
                          </w:r>
                          <w:r>
                            <w:fldChar w:fldCharType="separate"/>
                          </w:r>
                          <w:r>
                            <w:rPr>
                              <w:rStyle w:val="45"/>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21"/>
                      <w:rPr>
                        <w:rStyle w:val="45"/>
                      </w:rPr>
                    </w:pPr>
                    <w:r>
                      <w:fldChar w:fldCharType="begin"/>
                    </w:r>
                    <w:r>
                      <w:rPr>
                        <w:rStyle w:val="45"/>
                      </w:rPr>
                      <w:instrText xml:space="preserve">PAGE  </w:instrText>
                    </w:r>
                    <w:r>
                      <w:fldChar w:fldCharType="separate"/>
                    </w:r>
                    <w:r>
                      <w:rPr>
                        <w:rStyle w:val="45"/>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separate"/>
    </w:r>
    <w:r>
      <w:rPr>
        <w:rStyle w:val="45"/>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45"/>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5"/>
      </w:rPr>
    </w:pPr>
    <w:r>
      <w:fldChar w:fldCharType="begin"/>
    </w:r>
    <w:r>
      <w:rPr>
        <w:rStyle w:val="45"/>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tabs>
        <w:tab w:val="left" w:pos="1959"/>
        <w:tab w:val="clear" w:pos="4153"/>
      </w:tabs>
      <w:jc w:val="both"/>
    </w:pP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pPr>
        <w:ind w:left="-478"/>
      </w:p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5"/>
  </w:num>
  <w:num w:numId="3">
    <w:abstractNumId w:val="6"/>
  </w:num>
  <w:num w:numId="4">
    <w:abstractNumId w:val="4"/>
  </w:num>
  <w:num w:numId="5">
    <w:abstractNumId w:val="3"/>
  </w:num>
  <w:num w:numId="6">
    <w:abstractNumId w:val="0"/>
  </w:num>
  <w:num w:numId="7">
    <w:abstractNumId w:val="2"/>
  </w:num>
  <w:num w:numId="8">
    <w:abstractNumId w:val="1"/>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ZjdlOGY1OTg5Mzk1NDhhMTBhODA4OTY1MGZjZWUifQ=="/>
  </w:docVars>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821A30"/>
    <w:rsid w:val="008D019A"/>
    <w:rsid w:val="008F1E9F"/>
    <w:rsid w:val="00947F08"/>
    <w:rsid w:val="00954306"/>
    <w:rsid w:val="00996275"/>
    <w:rsid w:val="00A27348"/>
    <w:rsid w:val="00A5025E"/>
    <w:rsid w:val="00AC3793"/>
    <w:rsid w:val="00AD5849"/>
    <w:rsid w:val="00AF7E74"/>
    <w:rsid w:val="00B13095"/>
    <w:rsid w:val="00B517BF"/>
    <w:rsid w:val="00B76409"/>
    <w:rsid w:val="00CE6E7F"/>
    <w:rsid w:val="00DA3EA5"/>
    <w:rsid w:val="00DF56A2"/>
    <w:rsid w:val="00F247C9"/>
    <w:rsid w:val="01472CDB"/>
    <w:rsid w:val="015010AB"/>
    <w:rsid w:val="015E7D92"/>
    <w:rsid w:val="01714809"/>
    <w:rsid w:val="017460A8"/>
    <w:rsid w:val="018D1970"/>
    <w:rsid w:val="01A36139"/>
    <w:rsid w:val="01BA61B0"/>
    <w:rsid w:val="01CD3C62"/>
    <w:rsid w:val="01E66FA5"/>
    <w:rsid w:val="022D5F56"/>
    <w:rsid w:val="024617F2"/>
    <w:rsid w:val="026B74AB"/>
    <w:rsid w:val="02816CCE"/>
    <w:rsid w:val="0284231A"/>
    <w:rsid w:val="02916703"/>
    <w:rsid w:val="02A12ECC"/>
    <w:rsid w:val="02A6711D"/>
    <w:rsid w:val="02F82571"/>
    <w:rsid w:val="031C07A5"/>
    <w:rsid w:val="03236818"/>
    <w:rsid w:val="033F1861"/>
    <w:rsid w:val="03442F4A"/>
    <w:rsid w:val="03463A74"/>
    <w:rsid w:val="035850E8"/>
    <w:rsid w:val="036143F1"/>
    <w:rsid w:val="036208AE"/>
    <w:rsid w:val="03703C4C"/>
    <w:rsid w:val="037E320E"/>
    <w:rsid w:val="03882986"/>
    <w:rsid w:val="03941396"/>
    <w:rsid w:val="03C915BA"/>
    <w:rsid w:val="03D66DE1"/>
    <w:rsid w:val="03E365EF"/>
    <w:rsid w:val="03E5503B"/>
    <w:rsid w:val="03EE3BEB"/>
    <w:rsid w:val="03F4702C"/>
    <w:rsid w:val="040516DB"/>
    <w:rsid w:val="041A7EC8"/>
    <w:rsid w:val="04286A2C"/>
    <w:rsid w:val="042C49E6"/>
    <w:rsid w:val="0438160E"/>
    <w:rsid w:val="0442248D"/>
    <w:rsid w:val="04506736"/>
    <w:rsid w:val="04714B20"/>
    <w:rsid w:val="04826D2E"/>
    <w:rsid w:val="048346AF"/>
    <w:rsid w:val="04860654"/>
    <w:rsid w:val="04873A46"/>
    <w:rsid w:val="04D71736"/>
    <w:rsid w:val="04E10D08"/>
    <w:rsid w:val="04E4035E"/>
    <w:rsid w:val="04EA162B"/>
    <w:rsid w:val="05090A18"/>
    <w:rsid w:val="05183E1B"/>
    <w:rsid w:val="051C4A8C"/>
    <w:rsid w:val="0530678A"/>
    <w:rsid w:val="054458AE"/>
    <w:rsid w:val="0546541E"/>
    <w:rsid w:val="05483AD3"/>
    <w:rsid w:val="055200FB"/>
    <w:rsid w:val="0596483F"/>
    <w:rsid w:val="059E483A"/>
    <w:rsid w:val="05C018BB"/>
    <w:rsid w:val="05D12AC8"/>
    <w:rsid w:val="05F71525"/>
    <w:rsid w:val="06190FCC"/>
    <w:rsid w:val="062C0380"/>
    <w:rsid w:val="062E5905"/>
    <w:rsid w:val="062F6A41"/>
    <w:rsid w:val="06377C85"/>
    <w:rsid w:val="06400C4E"/>
    <w:rsid w:val="065E2E82"/>
    <w:rsid w:val="0687062B"/>
    <w:rsid w:val="06975764"/>
    <w:rsid w:val="069A210C"/>
    <w:rsid w:val="069A3EBB"/>
    <w:rsid w:val="06BB7780"/>
    <w:rsid w:val="06D55558"/>
    <w:rsid w:val="06DC43B2"/>
    <w:rsid w:val="06E33D11"/>
    <w:rsid w:val="06E80B45"/>
    <w:rsid w:val="06F15AA5"/>
    <w:rsid w:val="06F94D32"/>
    <w:rsid w:val="07006BED"/>
    <w:rsid w:val="07085B68"/>
    <w:rsid w:val="072B545A"/>
    <w:rsid w:val="074A3C4B"/>
    <w:rsid w:val="07794418"/>
    <w:rsid w:val="077E07E1"/>
    <w:rsid w:val="07941252"/>
    <w:rsid w:val="079D69A1"/>
    <w:rsid w:val="07F02425"/>
    <w:rsid w:val="081831DA"/>
    <w:rsid w:val="083E2F6B"/>
    <w:rsid w:val="083F0BCA"/>
    <w:rsid w:val="086C5D2B"/>
    <w:rsid w:val="087416D4"/>
    <w:rsid w:val="087B41C0"/>
    <w:rsid w:val="087F5A5E"/>
    <w:rsid w:val="088017D6"/>
    <w:rsid w:val="08824CDD"/>
    <w:rsid w:val="08A07B0D"/>
    <w:rsid w:val="08A71F12"/>
    <w:rsid w:val="08CA4B48"/>
    <w:rsid w:val="08DF02AB"/>
    <w:rsid w:val="08ED5B0A"/>
    <w:rsid w:val="08F2696F"/>
    <w:rsid w:val="08FE6A22"/>
    <w:rsid w:val="0913191F"/>
    <w:rsid w:val="09421287"/>
    <w:rsid w:val="095C26FE"/>
    <w:rsid w:val="096133B5"/>
    <w:rsid w:val="09642EB4"/>
    <w:rsid w:val="09646104"/>
    <w:rsid w:val="09727371"/>
    <w:rsid w:val="09736C45"/>
    <w:rsid w:val="099A4680"/>
    <w:rsid w:val="09B06648"/>
    <w:rsid w:val="09C37BCC"/>
    <w:rsid w:val="09E5606A"/>
    <w:rsid w:val="0A0E78ED"/>
    <w:rsid w:val="0A387B0A"/>
    <w:rsid w:val="0A6E4C9D"/>
    <w:rsid w:val="0A876E4C"/>
    <w:rsid w:val="0A881B1D"/>
    <w:rsid w:val="0A9B775A"/>
    <w:rsid w:val="0AB1686A"/>
    <w:rsid w:val="0AB37C41"/>
    <w:rsid w:val="0AB87005"/>
    <w:rsid w:val="0AE36EA9"/>
    <w:rsid w:val="0AFC2388"/>
    <w:rsid w:val="0B1B2C26"/>
    <w:rsid w:val="0B307ACE"/>
    <w:rsid w:val="0B316DB7"/>
    <w:rsid w:val="0B6906AA"/>
    <w:rsid w:val="0B7E6116"/>
    <w:rsid w:val="0B9730BE"/>
    <w:rsid w:val="0BA341BF"/>
    <w:rsid w:val="0BB329A8"/>
    <w:rsid w:val="0BB772BD"/>
    <w:rsid w:val="0BBE5ACF"/>
    <w:rsid w:val="0BE856C8"/>
    <w:rsid w:val="0C38783A"/>
    <w:rsid w:val="0C3B7112"/>
    <w:rsid w:val="0C550884"/>
    <w:rsid w:val="0C62191E"/>
    <w:rsid w:val="0C8C208F"/>
    <w:rsid w:val="0CAD06C0"/>
    <w:rsid w:val="0CD638BB"/>
    <w:rsid w:val="0CF236F8"/>
    <w:rsid w:val="0CF268EB"/>
    <w:rsid w:val="0D1F336B"/>
    <w:rsid w:val="0D240982"/>
    <w:rsid w:val="0D2850F2"/>
    <w:rsid w:val="0D4A0173"/>
    <w:rsid w:val="0D501777"/>
    <w:rsid w:val="0D533658"/>
    <w:rsid w:val="0D635D5C"/>
    <w:rsid w:val="0D706B58"/>
    <w:rsid w:val="0DAB048E"/>
    <w:rsid w:val="0DB066B9"/>
    <w:rsid w:val="0DC31278"/>
    <w:rsid w:val="0DDD3149"/>
    <w:rsid w:val="0DF32E73"/>
    <w:rsid w:val="0E0A401C"/>
    <w:rsid w:val="0E1D0DA5"/>
    <w:rsid w:val="0E1F0ADF"/>
    <w:rsid w:val="0E3E5A73"/>
    <w:rsid w:val="0E586C7B"/>
    <w:rsid w:val="0E82013C"/>
    <w:rsid w:val="0EC87C61"/>
    <w:rsid w:val="0EC95C85"/>
    <w:rsid w:val="0EDA7D85"/>
    <w:rsid w:val="0EFA0EBB"/>
    <w:rsid w:val="0F02611B"/>
    <w:rsid w:val="0F39381D"/>
    <w:rsid w:val="0F457CE8"/>
    <w:rsid w:val="0F4B41BB"/>
    <w:rsid w:val="0F8E47D8"/>
    <w:rsid w:val="0F900551"/>
    <w:rsid w:val="0F943D65"/>
    <w:rsid w:val="0FA7589A"/>
    <w:rsid w:val="0FBD0479"/>
    <w:rsid w:val="0FD31CC6"/>
    <w:rsid w:val="0FD7494D"/>
    <w:rsid w:val="0FDE0FEA"/>
    <w:rsid w:val="0FF038E5"/>
    <w:rsid w:val="0FF501C7"/>
    <w:rsid w:val="10042CED"/>
    <w:rsid w:val="100B77C9"/>
    <w:rsid w:val="100C1AE0"/>
    <w:rsid w:val="101271B8"/>
    <w:rsid w:val="102F7D69"/>
    <w:rsid w:val="10433815"/>
    <w:rsid w:val="106317C1"/>
    <w:rsid w:val="10743E39"/>
    <w:rsid w:val="108E1C7E"/>
    <w:rsid w:val="10C0707F"/>
    <w:rsid w:val="10C85AC8"/>
    <w:rsid w:val="10D14AD3"/>
    <w:rsid w:val="10E566CA"/>
    <w:rsid w:val="10F57AD2"/>
    <w:rsid w:val="11072A94"/>
    <w:rsid w:val="1118255B"/>
    <w:rsid w:val="112668C7"/>
    <w:rsid w:val="112709FD"/>
    <w:rsid w:val="112F3D99"/>
    <w:rsid w:val="114809B7"/>
    <w:rsid w:val="114C04A7"/>
    <w:rsid w:val="114E0034"/>
    <w:rsid w:val="11567578"/>
    <w:rsid w:val="116638F8"/>
    <w:rsid w:val="116A2FEE"/>
    <w:rsid w:val="11755C50"/>
    <w:rsid w:val="1178129C"/>
    <w:rsid w:val="118916FB"/>
    <w:rsid w:val="11AB78C4"/>
    <w:rsid w:val="11AE1162"/>
    <w:rsid w:val="11EF2BBD"/>
    <w:rsid w:val="11F50B3F"/>
    <w:rsid w:val="11F5345E"/>
    <w:rsid w:val="11FE0F9F"/>
    <w:rsid w:val="120A0565"/>
    <w:rsid w:val="12216843"/>
    <w:rsid w:val="12241424"/>
    <w:rsid w:val="124903BF"/>
    <w:rsid w:val="124F4F89"/>
    <w:rsid w:val="125457F4"/>
    <w:rsid w:val="126967B3"/>
    <w:rsid w:val="12C44B1A"/>
    <w:rsid w:val="12CA1FCB"/>
    <w:rsid w:val="12DC2072"/>
    <w:rsid w:val="12F369CC"/>
    <w:rsid w:val="12F71113"/>
    <w:rsid w:val="13096C23"/>
    <w:rsid w:val="13477EED"/>
    <w:rsid w:val="13651CF4"/>
    <w:rsid w:val="13AD64E5"/>
    <w:rsid w:val="14233444"/>
    <w:rsid w:val="143D057B"/>
    <w:rsid w:val="144435AB"/>
    <w:rsid w:val="144E46F9"/>
    <w:rsid w:val="148C4FD2"/>
    <w:rsid w:val="148E5243"/>
    <w:rsid w:val="148F64BF"/>
    <w:rsid w:val="14A46317"/>
    <w:rsid w:val="14AC2803"/>
    <w:rsid w:val="14B13342"/>
    <w:rsid w:val="14C52A4A"/>
    <w:rsid w:val="14D70619"/>
    <w:rsid w:val="14FE7D0A"/>
    <w:rsid w:val="152B5806"/>
    <w:rsid w:val="154107F7"/>
    <w:rsid w:val="156F7B86"/>
    <w:rsid w:val="1575228A"/>
    <w:rsid w:val="15761F97"/>
    <w:rsid w:val="15AC583D"/>
    <w:rsid w:val="15CF19FA"/>
    <w:rsid w:val="15D62A35"/>
    <w:rsid w:val="15DC3A19"/>
    <w:rsid w:val="15F77C50"/>
    <w:rsid w:val="16174847"/>
    <w:rsid w:val="163360DA"/>
    <w:rsid w:val="163A1216"/>
    <w:rsid w:val="1641446F"/>
    <w:rsid w:val="16706A2E"/>
    <w:rsid w:val="167C182F"/>
    <w:rsid w:val="16BC60CF"/>
    <w:rsid w:val="16BF34C9"/>
    <w:rsid w:val="16C0495F"/>
    <w:rsid w:val="179B5CE4"/>
    <w:rsid w:val="179F3A1B"/>
    <w:rsid w:val="17B943D5"/>
    <w:rsid w:val="17DF66DE"/>
    <w:rsid w:val="17E05DED"/>
    <w:rsid w:val="17EA3591"/>
    <w:rsid w:val="17EF3217"/>
    <w:rsid w:val="17EF533B"/>
    <w:rsid w:val="1820242C"/>
    <w:rsid w:val="182C4469"/>
    <w:rsid w:val="18567E5D"/>
    <w:rsid w:val="18581E27"/>
    <w:rsid w:val="1865223F"/>
    <w:rsid w:val="187D3481"/>
    <w:rsid w:val="18820C52"/>
    <w:rsid w:val="18866995"/>
    <w:rsid w:val="18867086"/>
    <w:rsid w:val="189015C1"/>
    <w:rsid w:val="18AE7C99"/>
    <w:rsid w:val="18F41B50"/>
    <w:rsid w:val="18F56825"/>
    <w:rsid w:val="18FE5D3B"/>
    <w:rsid w:val="19103171"/>
    <w:rsid w:val="19191E7E"/>
    <w:rsid w:val="1934019F"/>
    <w:rsid w:val="193C52A5"/>
    <w:rsid w:val="194138DF"/>
    <w:rsid w:val="196F567B"/>
    <w:rsid w:val="19844475"/>
    <w:rsid w:val="19A43F2E"/>
    <w:rsid w:val="19CD504F"/>
    <w:rsid w:val="19FD2C86"/>
    <w:rsid w:val="1A744557"/>
    <w:rsid w:val="1A942D5E"/>
    <w:rsid w:val="1A9829AF"/>
    <w:rsid w:val="1A9E28C8"/>
    <w:rsid w:val="1AA9696A"/>
    <w:rsid w:val="1AB23A71"/>
    <w:rsid w:val="1ADB6024"/>
    <w:rsid w:val="1ADD6D65"/>
    <w:rsid w:val="1ADF413A"/>
    <w:rsid w:val="1AE94FB9"/>
    <w:rsid w:val="1B1E2EB4"/>
    <w:rsid w:val="1B6A60FA"/>
    <w:rsid w:val="1B6B1F26"/>
    <w:rsid w:val="1B7D7150"/>
    <w:rsid w:val="1B83540D"/>
    <w:rsid w:val="1BAC6712"/>
    <w:rsid w:val="1BB0006D"/>
    <w:rsid w:val="1BB80369"/>
    <w:rsid w:val="1BD2353F"/>
    <w:rsid w:val="1BD82893"/>
    <w:rsid w:val="1C0025BA"/>
    <w:rsid w:val="1C010E4B"/>
    <w:rsid w:val="1C121B47"/>
    <w:rsid w:val="1C4056FD"/>
    <w:rsid w:val="1C8C2C96"/>
    <w:rsid w:val="1CBD04AB"/>
    <w:rsid w:val="1CE7377A"/>
    <w:rsid w:val="1CEE0848"/>
    <w:rsid w:val="1CFD4D4B"/>
    <w:rsid w:val="1CFE36B2"/>
    <w:rsid w:val="1D232A04"/>
    <w:rsid w:val="1D2C01B2"/>
    <w:rsid w:val="1D337526"/>
    <w:rsid w:val="1D6A0633"/>
    <w:rsid w:val="1D7C2114"/>
    <w:rsid w:val="1DD609E7"/>
    <w:rsid w:val="1DFC5003"/>
    <w:rsid w:val="1E0068A1"/>
    <w:rsid w:val="1E126414"/>
    <w:rsid w:val="1E1C2EE0"/>
    <w:rsid w:val="1E2026ED"/>
    <w:rsid w:val="1E2D718E"/>
    <w:rsid w:val="1E390005"/>
    <w:rsid w:val="1E503F0D"/>
    <w:rsid w:val="1E551DFA"/>
    <w:rsid w:val="1E7E26C7"/>
    <w:rsid w:val="1E911BEF"/>
    <w:rsid w:val="1E9F430C"/>
    <w:rsid w:val="1F237F59"/>
    <w:rsid w:val="1F521A61"/>
    <w:rsid w:val="1F78690B"/>
    <w:rsid w:val="1F9951FF"/>
    <w:rsid w:val="1F9A2D26"/>
    <w:rsid w:val="1F9C1CE4"/>
    <w:rsid w:val="1F9F64A3"/>
    <w:rsid w:val="1F9F7EE2"/>
    <w:rsid w:val="1FAA078A"/>
    <w:rsid w:val="1FC3402A"/>
    <w:rsid w:val="1FCA3912"/>
    <w:rsid w:val="1FCB1131"/>
    <w:rsid w:val="1FE91FD7"/>
    <w:rsid w:val="1FEF76F3"/>
    <w:rsid w:val="2009453A"/>
    <w:rsid w:val="200D34F7"/>
    <w:rsid w:val="201C373B"/>
    <w:rsid w:val="209B4FA7"/>
    <w:rsid w:val="20AA51EA"/>
    <w:rsid w:val="20B00A53"/>
    <w:rsid w:val="20DB5F99"/>
    <w:rsid w:val="20F46465"/>
    <w:rsid w:val="21162880"/>
    <w:rsid w:val="211F4EDF"/>
    <w:rsid w:val="21303941"/>
    <w:rsid w:val="213A656E"/>
    <w:rsid w:val="21536A7E"/>
    <w:rsid w:val="217E237C"/>
    <w:rsid w:val="21837E47"/>
    <w:rsid w:val="21BA145D"/>
    <w:rsid w:val="21C44F74"/>
    <w:rsid w:val="21D267A7"/>
    <w:rsid w:val="21D50045"/>
    <w:rsid w:val="21E2159F"/>
    <w:rsid w:val="21E82D6C"/>
    <w:rsid w:val="220A6DFB"/>
    <w:rsid w:val="2217065D"/>
    <w:rsid w:val="221E7C3E"/>
    <w:rsid w:val="22277F6E"/>
    <w:rsid w:val="222D64D4"/>
    <w:rsid w:val="223E3E3C"/>
    <w:rsid w:val="225E628C"/>
    <w:rsid w:val="22607C42"/>
    <w:rsid w:val="2265761B"/>
    <w:rsid w:val="22715CF8"/>
    <w:rsid w:val="22815E6E"/>
    <w:rsid w:val="22873A35"/>
    <w:rsid w:val="22C02AA3"/>
    <w:rsid w:val="22C32593"/>
    <w:rsid w:val="22CF2CE6"/>
    <w:rsid w:val="22D93B65"/>
    <w:rsid w:val="22E279D3"/>
    <w:rsid w:val="22EE5862"/>
    <w:rsid w:val="22F8092A"/>
    <w:rsid w:val="23205D86"/>
    <w:rsid w:val="232F02B2"/>
    <w:rsid w:val="23512BA2"/>
    <w:rsid w:val="23786FA6"/>
    <w:rsid w:val="2383244E"/>
    <w:rsid w:val="23962431"/>
    <w:rsid w:val="239D2913"/>
    <w:rsid w:val="23AF3D36"/>
    <w:rsid w:val="23CA32C9"/>
    <w:rsid w:val="23F77EB1"/>
    <w:rsid w:val="242157C3"/>
    <w:rsid w:val="244B0A92"/>
    <w:rsid w:val="2461365F"/>
    <w:rsid w:val="24624BE9"/>
    <w:rsid w:val="247104F9"/>
    <w:rsid w:val="24822706"/>
    <w:rsid w:val="24832224"/>
    <w:rsid w:val="249A7538"/>
    <w:rsid w:val="24A67F0C"/>
    <w:rsid w:val="24AA3A0B"/>
    <w:rsid w:val="24C0322E"/>
    <w:rsid w:val="24C22B02"/>
    <w:rsid w:val="24D9026A"/>
    <w:rsid w:val="24DE1906"/>
    <w:rsid w:val="250D1E87"/>
    <w:rsid w:val="25136A12"/>
    <w:rsid w:val="25315EDA"/>
    <w:rsid w:val="25804696"/>
    <w:rsid w:val="25861D82"/>
    <w:rsid w:val="258C3110"/>
    <w:rsid w:val="25960A46"/>
    <w:rsid w:val="25960B87"/>
    <w:rsid w:val="259A3A7F"/>
    <w:rsid w:val="25CC70D1"/>
    <w:rsid w:val="25E64333"/>
    <w:rsid w:val="25F75BAD"/>
    <w:rsid w:val="2630419C"/>
    <w:rsid w:val="265359DC"/>
    <w:rsid w:val="2657503E"/>
    <w:rsid w:val="265E186B"/>
    <w:rsid w:val="267011E6"/>
    <w:rsid w:val="267333AF"/>
    <w:rsid w:val="26812549"/>
    <w:rsid w:val="268F7C62"/>
    <w:rsid w:val="26AF67AF"/>
    <w:rsid w:val="26CE04BC"/>
    <w:rsid w:val="26DB434F"/>
    <w:rsid w:val="26FD42C6"/>
    <w:rsid w:val="27247AA4"/>
    <w:rsid w:val="273967E4"/>
    <w:rsid w:val="27637EA1"/>
    <w:rsid w:val="27650140"/>
    <w:rsid w:val="276A496A"/>
    <w:rsid w:val="277E0E67"/>
    <w:rsid w:val="27A350EA"/>
    <w:rsid w:val="27C21152"/>
    <w:rsid w:val="27DC26F2"/>
    <w:rsid w:val="27DF19ED"/>
    <w:rsid w:val="280A3719"/>
    <w:rsid w:val="281318C7"/>
    <w:rsid w:val="28143D90"/>
    <w:rsid w:val="28333D17"/>
    <w:rsid w:val="28396AC9"/>
    <w:rsid w:val="285A49A9"/>
    <w:rsid w:val="286E6AFD"/>
    <w:rsid w:val="288F719F"/>
    <w:rsid w:val="289E5D1B"/>
    <w:rsid w:val="28B70805"/>
    <w:rsid w:val="28CF7770"/>
    <w:rsid w:val="28F17E5A"/>
    <w:rsid w:val="28F96D0F"/>
    <w:rsid w:val="28FB65E3"/>
    <w:rsid w:val="29134911"/>
    <w:rsid w:val="2920004A"/>
    <w:rsid w:val="292D34F1"/>
    <w:rsid w:val="29341AF5"/>
    <w:rsid w:val="29423E8B"/>
    <w:rsid w:val="29962107"/>
    <w:rsid w:val="29AE5E3B"/>
    <w:rsid w:val="29DF4157"/>
    <w:rsid w:val="29EC061C"/>
    <w:rsid w:val="29F85218"/>
    <w:rsid w:val="2A261D85"/>
    <w:rsid w:val="2A291FC9"/>
    <w:rsid w:val="2A314E4B"/>
    <w:rsid w:val="2A417FDC"/>
    <w:rsid w:val="2A664DE6"/>
    <w:rsid w:val="2A80572B"/>
    <w:rsid w:val="2A9410B6"/>
    <w:rsid w:val="2A992557"/>
    <w:rsid w:val="2ABA0FFB"/>
    <w:rsid w:val="2AC94D8A"/>
    <w:rsid w:val="2AE5579D"/>
    <w:rsid w:val="2AE82D10"/>
    <w:rsid w:val="2AEF03C9"/>
    <w:rsid w:val="2B2A31B0"/>
    <w:rsid w:val="2B2D0EF2"/>
    <w:rsid w:val="2B3F4BA4"/>
    <w:rsid w:val="2B493687"/>
    <w:rsid w:val="2B6C5576"/>
    <w:rsid w:val="2BAA42F0"/>
    <w:rsid w:val="2BE0761E"/>
    <w:rsid w:val="2BE138DB"/>
    <w:rsid w:val="2BF05131"/>
    <w:rsid w:val="2C0A1914"/>
    <w:rsid w:val="2C491D5B"/>
    <w:rsid w:val="2C6F54FE"/>
    <w:rsid w:val="2C7A1F15"/>
    <w:rsid w:val="2C8B2BC2"/>
    <w:rsid w:val="2CB150E4"/>
    <w:rsid w:val="2CC77032"/>
    <w:rsid w:val="2CD71115"/>
    <w:rsid w:val="2D1660E1"/>
    <w:rsid w:val="2D1827B2"/>
    <w:rsid w:val="2D460049"/>
    <w:rsid w:val="2D5874E9"/>
    <w:rsid w:val="2DA336ED"/>
    <w:rsid w:val="2DBE4083"/>
    <w:rsid w:val="2DDF1555"/>
    <w:rsid w:val="2E0103AF"/>
    <w:rsid w:val="2E78615A"/>
    <w:rsid w:val="2EA339A5"/>
    <w:rsid w:val="2ECC4C73"/>
    <w:rsid w:val="2EE10029"/>
    <w:rsid w:val="2EEB6709"/>
    <w:rsid w:val="2EED2E72"/>
    <w:rsid w:val="2EFB7018"/>
    <w:rsid w:val="2F09602F"/>
    <w:rsid w:val="2F375E6B"/>
    <w:rsid w:val="2F416D1A"/>
    <w:rsid w:val="2F484C45"/>
    <w:rsid w:val="2F557F65"/>
    <w:rsid w:val="2F7010F8"/>
    <w:rsid w:val="2FAC6889"/>
    <w:rsid w:val="2FAE1590"/>
    <w:rsid w:val="2FEC4291"/>
    <w:rsid w:val="2FF8145D"/>
    <w:rsid w:val="2FF95CBC"/>
    <w:rsid w:val="30090215"/>
    <w:rsid w:val="301C03DC"/>
    <w:rsid w:val="30446AC1"/>
    <w:rsid w:val="304F36B8"/>
    <w:rsid w:val="307355F9"/>
    <w:rsid w:val="307B0895"/>
    <w:rsid w:val="30872E52"/>
    <w:rsid w:val="30DA1C03"/>
    <w:rsid w:val="30DC3F4B"/>
    <w:rsid w:val="310444A3"/>
    <w:rsid w:val="31143681"/>
    <w:rsid w:val="31202994"/>
    <w:rsid w:val="312F2DFF"/>
    <w:rsid w:val="315E0057"/>
    <w:rsid w:val="318A4203"/>
    <w:rsid w:val="319C082B"/>
    <w:rsid w:val="31CB2F97"/>
    <w:rsid w:val="31CE5E3B"/>
    <w:rsid w:val="31D200FD"/>
    <w:rsid w:val="31D528AF"/>
    <w:rsid w:val="31F12C79"/>
    <w:rsid w:val="31F369F1"/>
    <w:rsid w:val="31F6203D"/>
    <w:rsid w:val="321A0AA2"/>
    <w:rsid w:val="322873F3"/>
    <w:rsid w:val="325E7BE3"/>
    <w:rsid w:val="32954FA2"/>
    <w:rsid w:val="32BD2B5B"/>
    <w:rsid w:val="33291417"/>
    <w:rsid w:val="335F5E6C"/>
    <w:rsid w:val="33612954"/>
    <w:rsid w:val="33854A63"/>
    <w:rsid w:val="33C64AD9"/>
    <w:rsid w:val="33EE5634"/>
    <w:rsid w:val="34337579"/>
    <w:rsid w:val="343E7EEC"/>
    <w:rsid w:val="344C23E9"/>
    <w:rsid w:val="34594B8C"/>
    <w:rsid w:val="34654056"/>
    <w:rsid w:val="34A1686F"/>
    <w:rsid w:val="34B30631"/>
    <w:rsid w:val="34C46423"/>
    <w:rsid w:val="34D73DF5"/>
    <w:rsid w:val="34E23003"/>
    <w:rsid w:val="34F32864"/>
    <w:rsid w:val="35496928"/>
    <w:rsid w:val="355C665B"/>
    <w:rsid w:val="355D5454"/>
    <w:rsid w:val="35680A5B"/>
    <w:rsid w:val="35812566"/>
    <w:rsid w:val="358F297C"/>
    <w:rsid w:val="35DD6DAF"/>
    <w:rsid w:val="35F1149A"/>
    <w:rsid w:val="362C714A"/>
    <w:rsid w:val="36420B37"/>
    <w:rsid w:val="364C005C"/>
    <w:rsid w:val="364D57E9"/>
    <w:rsid w:val="365E6AB0"/>
    <w:rsid w:val="36BF4266"/>
    <w:rsid w:val="36D84D32"/>
    <w:rsid w:val="37042FAF"/>
    <w:rsid w:val="3710696F"/>
    <w:rsid w:val="37637359"/>
    <w:rsid w:val="37A147F9"/>
    <w:rsid w:val="37BA1D13"/>
    <w:rsid w:val="37E013FA"/>
    <w:rsid w:val="37E62054"/>
    <w:rsid w:val="37E636B4"/>
    <w:rsid w:val="37E83018"/>
    <w:rsid w:val="3814146F"/>
    <w:rsid w:val="382B0567"/>
    <w:rsid w:val="382E4460"/>
    <w:rsid w:val="383279FC"/>
    <w:rsid w:val="3857135C"/>
    <w:rsid w:val="38651CCB"/>
    <w:rsid w:val="38B714FF"/>
    <w:rsid w:val="38BD38B5"/>
    <w:rsid w:val="38CF088C"/>
    <w:rsid w:val="38D64977"/>
    <w:rsid w:val="38E31511"/>
    <w:rsid w:val="39004832"/>
    <w:rsid w:val="3933325D"/>
    <w:rsid w:val="394538AA"/>
    <w:rsid w:val="39512EA8"/>
    <w:rsid w:val="39535FC7"/>
    <w:rsid w:val="3971216F"/>
    <w:rsid w:val="39932868"/>
    <w:rsid w:val="399A3BF6"/>
    <w:rsid w:val="39B24ECF"/>
    <w:rsid w:val="39B27192"/>
    <w:rsid w:val="39BF540B"/>
    <w:rsid w:val="39C46EC5"/>
    <w:rsid w:val="39D569DC"/>
    <w:rsid w:val="39DF4E9C"/>
    <w:rsid w:val="39EC03D3"/>
    <w:rsid w:val="3A045513"/>
    <w:rsid w:val="3A0E5A49"/>
    <w:rsid w:val="3A12378C"/>
    <w:rsid w:val="3A1B194A"/>
    <w:rsid w:val="3A2962D3"/>
    <w:rsid w:val="3A305784"/>
    <w:rsid w:val="3A35391F"/>
    <w:rsid w:val="3A4F6E02"/>
    <w:rsid w:val="3A5679A8"/>
    <w:rsid w:val="3A8C79E3"/>
    <w:rsid w:val="3AA27206"/>
    <w:rsid w:val="3AA33E94"/>
    <w:rsid w:val="3B215059"/>
    <w:rsid w:val="3B451940"/>
    <w:rsid w:val="3B4B19FF"/>
    <w:rsid w:val="3B4D642A"/>
    <w:rsid w:val="3B75543E"/>
    <w:rsid w:val="3B787F67"/>
    <w:rsid w:val="3B8B5A4A"/>
    <w:rsid w:val="3BA2533D"/>
    <w:rsid w:val="3BB46716"/>
    <w:rsid w:val="3BDF3B42"/>
    <w:rsid w:val="3BEC625F"/>
    <w:rsid w:val="3BED3712"/>
    <w:rsid w:val="3BF15392"/>
    <w:rsid w:val="3C137C90"/>
    <w:rsid w:val="3C266C7D"/>
    <w:rsid w:val="3C505361"/>
    <w:rsid w:val="3C536552"/>
    <w:rsid w:val="3CAB7EC8"/>
    <w:rsid w:val="3CFD7849"/>
    <w:rsid w:val="3D0B1E90"/>
    <w:rsid w:val="3D3D6D72"/>
    <w:rsid w:val="3D450D14"/>
    <w:rsid w:val="3D541442"/>
    <w:rsid w:val="3DBD6779"/>
    <w:rsid w:val="3DC254CA"/>
    <w:rsid w:val="3DD1570D"/>
    <w:rsid w:val="3DE73182"/>
    <w:rsid w:val="3E0B50C2"/>
    <w:rsid w:val="3E126736"/>
    <w:rsid w:val="3E2152F1"/>
    <w:rsid w:val="3E37297D"/>
    <w:rsid w:val="3E5F540E"/>
    <w:rsid w:val="3EA66B99"/>
    <w:rsid w:val="3ECA2721"/>
    <w:rsid w:val="3ED71449"/>
    <w:rsid w:val="3EDA33A8"/>
    <w:rsid w:val="3EE721A4"/>
    <w:rsid w:val="3EEC4EF4"/>
    <w:rsid w:val="3EF72C14"/>
    <w:rsid w:val="3EFC7144"/>
    <w:rsid w:val="3EFE4C27"/>
    <w:rsid w:val="3F06588A"/>
    <w:rsid w:val="3F1246D0"/>
    <w:rsid w:val="3F4D4DFB"/>
    <w:rsid w:val="3F6F1681"/>
    <w:rsid w:val="3F6F44DC"/>
    <w:rsid w:val="3F9A5EB8"/>
    <w:rsid w:val="3FA52951"/>
    <w:rsid w:val="3FB452E6"/>
    <w:rsid w:val="3FB7388A"/>
    <w:rsid w:val="3FBE0E8C"/>
    <w:rsid w:val="3FC5064E"/>
    <w:rsid w:val="3FE70617"/>
    <w:rsid w:val="3FFD4EDF"/>
    <w:rsid w:val="401376C2"/>
    <w:rsid w:val="404E573A"/>
    <w:rsid w:val="406311E6"/>
    <w:rsid w:val="4089252E"/>
    <w:rsid w:val="409163A5"/>
    <w:rsid w:val="409262C6"/>
    <w:rsid w:val="40AD2461"/>
    <w:rsid w:val="40CC2102"/>
    <w:rsid w:val="40D774DE"/>
    <w:rsid w:val="40E7153F"/>
    <w:rsid w:val="40EC6619"/>
    <w:rsid w:val="41126768"/>
    <w:rsid w:val="41160359"/>
    <w:rsid w:val="413555A6"/>
    <w:rsid w:val="41524DB6"/>
    <w:rsid w:val="41601281"/>
    <w:rsid w:val="417D62D7"/>
    <w:rsid w:val="41841772"/>
    <w:rsid w:val="41870F04"/>
    <w:rsid w:val="41AC140F"/>
    <w:rsid w:val="41AD7743"/>
    <w:rsid w:val="41F01861"/>
    <w:rsid w:val="41F30347"/>
    <w:rsid w:val="42442951"/>
    <w:rsid w:val="424A7D66"/>
    <w:rsid w:val="4277622B"/>
    <w:rsid w:val="42886E4E"/>
    <w:rsid w:val="42905B96"/>
    <w:rsid w:val="429E2FDE"/>
    <w:rsid w:val="429F7E96"/>
    <w:rsid w:val="42B20202"/>
    <w:rsid w:val="42BA091A"/>
    <w:rsid w:val="42BC4BDD"/>
    <w:rsid w:val="42CA08BC"/>
    <w:rsid w:val="42E348E7"/>
    <w:rsid w:val="42F92708"/>
    <w:rsid w:val="43000443"/>
    <w:rsid w:val="430640AA"/>
    <w:rsid w:val="43133472"/>
    <w:rsid w:val="433724B6"/>
    <w:rsid w:val="439B0C97"/>
    <w:rsid w:val="43A46F5D"/>
    <w:rsid w:val="43AA0EDA"/>
    <w:rsid w:val="43AC2EA4"/>
    <w:rsid w:val="443B1BA5"/>
    <w:rsid w:val="44953313"/>
    <w:rsid w:val="44BF2763"/>
    <w:rsid w:val="44D206E8"/>
    <w:rsid w:val="44D4228E"/>
    <w:rsid w:val="44DD798D"/>
    <w:rsid w:val="44EE129A"/>
    <w:rsid w:val="44F119A0"/>
    <w:rsid w:val="44F75E6A"/>
    <w:rsid w:val="451E04DF"/>
    <w:rsid w:val="451E56DB"/>
    <w:rsid w:val="453E3EEA"/>
    <w:rsid w:val="453F5F31"/>
    <w:rsid w:val="456B6261"/>
    <w:rsid w:val="457C0654"/>
    <w:rsid w:val="45A952B4"/>
    <w:rsid w:val="45CF7C8A"/>
    <w:rsid w:val="45D644FA"/>
    <w:rsid w:val="45ED740E"/>
    <w:rsid w:val="461C1F98"/>
    <w:rsid w:val="46220F5F"/>
    <w:rsid w:val="46266C74"/>
    <w:rsid w:val="46366A55"/>
    <w:rsid w:val="463C6FBB"/>
    <w:rsid w:val="463F38C2"/>
    <w:rsid w:val="46843C64"/>
    <w:rsid w:val="46946A17"/>
    <w:rsid w:val="46A423CD"/>
    <w:rsid w:val="46A52D35"/>
    <w:rsid w:val="46B671E1"/>
    <w:rsid w:val="46B8390E"/>
    <w:rsid w:val="46D80DDB"/>
    <w:rsid w:val="46F37018"/>
    <w:rsid w:val="470B7EE1"/>
    <w:rsid w:val="4729323E"/>
    <w:rsid w:val="47460F19"/>
    <w:rsid w:val="474F4272"/>
    <w:rsid w:val="477345AF"/>
    <w:rsid w:val="47834245"/>
    <w:rsid w:val="47B11952"/>
    <w:rsid w:val="47B24801"/>
    <w:rsid w:val="47B9793D"/>
    <w:rsid w:val="47CD163B"/>
    <w:rsid w:val="47DE37DF"/>
    <w:rsid w:val="47EA3F9B"/>
    <w:rsid w:val="47F6649C"/>
    <w:rsid w:val="48152DDA"/>
    <w:rsid w:val="481C0FB9"/>
    <w:rsid w:val="48217291"/>
    <w:rsid w:val="48242D3C"/>
    <w:rsid w:val="483E7E42"/>
    <w:rsid w:val="484216E1"/>
    <w:rsid w:val="48641319"/>
    <w:rsid w:val="488726F9"/>
    <w:rsid w:val="48951C3A"/>
    <w:rsid w:val="48A759E8"/>
    <w:rsid w:val="48CD2F48"/>
    <w:rsid w:val="48DA45E1"/>
    <w:rsid w:val="48EB41D1"/>
    <w:rsid w:val="48EC61C7"/>
    <w:rsid w:val="48F02A7C"/>
    <w:rsid w:val="48FA020D"/>
    <w:rsid w:val="493F03A6"/>
    <w:rsid w:val="49641B2B"/>
    <w:rsid w:val="498D790E"/>
    <w:rsid w:val="499B4168"/>
    <w:rsid w:val="49C8030C"/>
    <w:rsid w:val="49F32C6E"/>
    <w:rsid w:val="4A1D47BD"/>
    <w:rsid w:val="4A1F6D79"/>
    <w:rsid w:val="4A225C6E"/>
    <w:rsid w:val="4A2E724F"/>
    <w:rsid w:val="4A2F4DA6"/>
    <w:rsid w:val="4A346D01"/>
    <w:rsid w:val="4A3571B5"/>
    <w:rsid w:val="4A6B379A"/>
    <w:rsid w:val="4A7E7D57"/>
    <w:rsid w:val="4AB03279"/>
    <w:rsid w:val="4AB41FFC"/>
    <w:rsid w:val="4AD350DF"/>
    <w:rsid w:val="4ADF76BB"/>
    <w:rsid w:val="4AEF0708"/>
    <w:rsid w:val="4AF057F4"/>
    <w:rsid w:val="4AF35E84"/>
    <w:rsid w:val="4AFD0C3F"/>
    <w:rsid w:val="4B01564D"/>
    <w:rsid w:val="4B1C4E3C"/>
    <w:rsid w:val="4B2923E0"/>
    <w:rsid w:val="4B3043BA"/>
    <w:rsid w:val="4B517C5D"/>
    <w:rsid w:val="4B533C05"/>
    <w:rsid w:val="4B64002A"/>
    <w:rsid w:val="4B67503C"/>
    <w:rsid w:val="4B6928EF"/>
    <w:rsid w:val="4B8E5703"/>
    <w:rsid w:val="4B96734D"/>
    <w:rsid w:val="4B9B775B"/>
    <w:rsid w:val="4BB672A6"/>
    <w:rsid w:val="4BBC00F3"/>
    <w:rsid w:val="4C1B4AE3"/>
    <w:rsid w:val="4C461CE3"/>
    <w:rsid w:val="4C5530E5"/>
    <w:rsid w:val="4C6267F5"/>
    <w:rsid w:val="4C96324A"/>
    <w:rsid w:val="4C9953A9"/>
    <w:rsid w:val="4C9F2E01"/>
    <w:rsid w:val="4CA00932"/>
    <w:rsid w:val="4CAE04B3"/>
    <w:rsid w:val="4CE03BBE"/>
    <w:rsid w:val="4CE258DD"/>
    <w:rsid w:val="4CF3280B"/>
    <w:rsid w:val="4D023B34"/>
    <w:rsid w:val="4D451792"/>
    <w:rsid w:val="4D482286"/>
    <w:rsid w:val="4D5264D6"/>
    <w:rsid w:val="4D64659D"/>
    <w:rsid w:val="4D695962"/>
    <w:rsid w:val="4D8A6D95"/>
    <w:rsid w:val="4DA61F88"/>
    <w:rsid w:val="4DB844B7"/>
    <w:rsid w:val="4DC26064"/>
    <w:rsid w:val="4DC74685"/>
    <w:rsid w:val="4DEF314D"/>
    <w:rsid w:val="4E297FD3"/>
    <w:rsid w:val="4E62649A"/>
    <w:rsid w:val="4E8C7B5A"/>
    <w:rsid w:val="4ED7702B"/>
    <w:rsid w:val="4EF61477"/>
    <w:rsid w:val="4F381BDA"/>
    <w:rsid w:val="4F3B50DC"/>
    <w:rsid w:val="4F501D26"/>
    <w:rsid w:val="4F8D0A94"/>
    <w:rsid w:val="4FEF2861"/>
    <w:rsid w:val="4FF43F30"/>
    <w:rsid w:val="4FF8102F"/>
    <w:rsid w:val="4FFD3C93"/>
    <w:rsid w:val="501651D3"/>
    <w:rsid w:val="5019541D"/>
    <w:rsid w:val="501F0F5E"/>
    <w:rsid w:val="503254B6"/>
    <w:rsid w:val="50413516"/>
    <w:rsid w:val="504D49B4"/>
    <w:rsid w:val="5051469D"/>
    <w:rsid w:val="50AD2009"/>
    <w:rsid w:val="50AD59A2"/>
    <w:rsid w:val="50AE3986"/>
    <w:rsid w:val="50B9275C"/>
    <w:rsid w:val="50BF504F"/>
    <w:rsid w:val="50D74B6F"/>
    <w:rsid w:val="51121E6C"/>
    <w:rsid w:val="51122FEA"/>
    <w:rsid w:val="5113060E"/>
    <w:rsid w:val="511E3D1B"/>
    <w:rsid w:val="51290EFC"/>
    <w:rsid w:val="513121BD"/>
    <w:rsid w:val="51450494"/>
    <w:rsid w:val="516923D4"/>
    <w:rsid w:val="51B0561D"/>
    <w:rsid w:val="51B64EEE"/>
    <w:rsid w:val="51B7313F"/>
    <w:rsid w:val="51C5417A"/>
    <w:rsid w:val="51D96FAA"/>
    <w:rsid w:val="51FC6DA4"/>
    <w:rsid w:val="520A2326"/>
    <w:rsid w:val="52195BA8"/>
    <w:rsid w:val="52324DF2"/>
    <w:rsid w:val="52405713"/>
    <w:rsid w:val="5243281F"/>
    <w:rsid w:val="524E3378"/>
    <w:rsid w:val="52505342"/>
    <w:rsid w:val="52914A9E"/>
    <w:rsid w:val="529A65BD"/>
    <w:rsid w:val="52D41ACF"/>
    <w:rsid w:val="53415089"/>
    <w:rsid w:val="535C6817"/>
    <w:rsid w:val="535D1AC5"/>
    <w:rsid w:val="53672993"/>
    <w:rsid w:val="537938ED"/>
    <w:rsid w:val="5382012B"/>
    <w:rsid w:val="53CD3436"/>
    <w:rsid w:val="5404133F"/>
    <w:rsid w:val="54085ED4"/>
    <w:rsid w:val="540B32CF"/>
    <w:rsid w:val="541A79B6"/>
    <w:rsid w:val="54277B0C"/>
    <w:rsid w:val="54370568"/>
    <w:rsid w:val="54467194"/>
    <w:rsid w:val="545C1D7C"/>
    <w:rsid w:val="54681F80"/>
    <w:rsid w:val="54693D4B"/>
    <w:rsid w:val="54806D26"/>
    <w:rsid w:val="54A92AE8"/>
    <w:rsid w:val="54D93004"/>
    <w:rsid w:val="54DE0C8F"/>
    <w:rsid w:val="54E75F75"/>
    <w:rsid w:val="54F93A6F"/>
    <w:rsid w:val="54FE4BE1"/>
    <w:rsid w:val="552C79A0"/>
    <w:rsid w:val="55310341"/>
    <w:rsid w:val="555057DB"/>
    <w:rsid w:val="55733E3B"/>
    <w:rsid w:val="558275C0"/>
    <w:rsid w:val="55845138"/>
    <w:rsid w:val="558A4BAA"/>
    <w:rsid w:val="55970BB6"/>
    <w:rsid w:val="55AC0589"/>
    <w:rsid w:val="55BC1BF5"/>
    <w:rsid w:val="55D34F5E"/>
    <w:rsid w:val="55E7031F"/>
    <w:rsid w:val="55EE10FA"/>
    <w:rsid w:val="55F66200"/>
    <w:rsid w:val="563D798B"/>
    <w:rsid w:val="565B6DA6"/>
    <w:rsid w:val="566E223B"/>
    <w:rsid w:val="56725887"/>
    <w:rsid w:val="56847368"/>
    <w:rsid w:val="569021B1"/>
    <w:rsid w:val="56926074"/>
    <w:rsid w:val="56A93273"/>
    <w:rsid w:val="56AA127A"/>
    <w:rsid w:val="56F444EE"/>
    <w:rsid w:val="570A5ABF"/>
    <w:rsid w:val="571A7A8C"/>
    <w:rsid w:val="571B6D4D"/>
    <w:rsid w:val="57276BAE"/>
    <w:rsid w:val="574B7E86"/>
    <w:rsid w:val="577128DB"/>
    <w:rsid w:val="577C44E3"/>
    <w:rsid w:val="577E64AD"/>
    <w:rsid w:val="578B41F1"/>
    <w:rsid w:val="578C0965"/>
    <w:rsid w:val="579932E7"/>
    <w:rsid w:val="583A2309"/>
    <w:rsid w:val="586631C9"/>
    <w:rsid w:val="5890733F"/>
    <w:rsid w:val="58AF76AF"/>
    <w:rsid w:val="58B14A34"/>
    <w:rsid w:val="59372AC7"/>
    <w:rsid w:val="59625009"/>
    <w:rsid w:val="596A2BEE"/>
    <w:rsid w:val="596F04FF"/>
    <w:rsid w:val="59AA4364"/>
    <w:rsid w:val="59C75A20"/>
    <w:rsid w:val="59ED5C6E"/>
    <w:rsid w:val="5A0617E3"/>
    <w:rsid w:val="5A116935"/>
    <w:rsid w:val="5A366BCB"/>
    <w:rsid w:val="5A4D51B1"/>
    <w:rsid w:val="5A6C5F1D"/>
    <w:rsid w:val="5A6F4908"/>
    <w:rsid w:val="5A820063"/>
    <w:rsid w:val="5AA02300"/>
    <w:rsid w:val="5AAE63DD"/>
    <w:rsid w:val="5AB346C0"/>
    <w:rsid w:val="5ABF3065"/>
    <w:rsid w:val="5ACC7530"/>
    <w:rsid w:val="5AF32D0E"/>
    <w:rsid w:val="5B0311A3"/>
    <w:rsid w:val="5B2F1F99"/>
    <w:rsid w:val="5B331769"/>
    <w:rsid w:val="5B597015"/>
    <w:rsid w:val="5B6C7E8E"/>
    <w:rsid w:val="5B792EE8"/>
    <w:rsid w:val="5B7C0F56"/>
    <w:rsid w:val="5B9A0263"/>
    <w:rsid w:val="5BB176CB"/>
    <w:rsid w:val="5BB3525D"/>
    <w:rsid w:val="5BC831BF"/>
    <w:rsid w:val="5BD448EE"/>
    <w:rsid w:val="5BF85B63"/>
    <w:rsid w:val="5C235097"/>
    <w:rsid w:val="5CF039A9"/>
    <w:rsid w:val="5D4D4958"/>
    <w:rsid w:val="5D606B34"/>
    <w:rsid w:val="5D663C6C"/>
    <w:rsid w:val="5D6B74D4"/>
    <w:rsid w:val="5D972077"/>
    <w:rsid w:val="5DA622BA"/>
    <w:rsid w:val="5DA9161B"/>
    <w:rsid w:val="5DB22A0D"/>
    <w:rsid w:val="5DB5176B"/>
    <w:rsid w:val="5DDE4634"/>
    <w:rsid w:val="5DE83338"/>
    <w:rsid w:val="5DE94671"/>
    <w:rsid w:val="5DFE20F6"/>
    <w:rsid w:val="5E07729E"/>
    <w:rsid w:val="5E0B21C9"/>
    <w:rsid w:val="5E106FE8"/>
    <w:rsid w:val="5E111E29"/>
    <w:rsid w:val="5E394EDC"/>
    <w:rsid w:val="5E5076DB"/>
    <w:rsid w:val="5E566A23"/>
    <w:rsid w:val="5E5B30A5"/>
    <w:rsid w:val="5E763B28"/>
    <w:rsid w:val="5E7C6E12"/>
    <w:rsid w:val="5EA507C4"/>
    <w:rsid w:val="5EA900EE"/>
    <w:rsid w:val="5EBA7DA6"/>
    <w:rsid w:val="5EC40C4A"/>
    <w:rsid w:val="5ECF0026"/>
    <w:rsid w:val="5ED35331"/>
    <w:rsid w:val="5EE55F22"/>
    <w:rsid w:val="5F093789"/>
    <w:rsid w:val="5F1871E8"/>
    <w:rsid w:val="5F21622C"/>
    <w:rsid w:val="5F3E2B94"/>
    <w:rsid w:val="5F4E641B"/>
    <w:rsid w:val="5F697A43"/>
    <w:rsid w:val="5F815228"/>
    <w:rsid w:val="5F897C43"/>
    <w:rsid w:val="5F8F0D79"/>
    <w:rsid w:val="5F9173C8"/>
    <w:rsid w:val="5F9B6D78"/>
    <w:rsid w:val="5FE86BBA"/>
    <w:rsid w:val="5FF6379A"/>
    <w:rsid w:val="60326B2D"/>
    <w:rsid w:val="60563B24"/>
    <w:rsid w:val="60A2735E"/>
    <w:rsid w:val="60A84B59"/>
    <w:rsid w:val="60C02526"/>
    <w:rsid w:val="60CE4002"/>
    <w:rsid w:val="60CF4739"/>
    <w:rsid w:val="61204131"/>
    <w:rsid w:val="61204699"/>
    <w:rsid w:val="613C71BD"/>
    <w:rsid w:val="613F6380"/>
    <w:rsid w:val="61587D6F"/>
    <w:rsid w:val="61594D39"/>
    <w:rsid w:val="61774699"/>
    <w:rsid w:val="617839D3"/>
    <w:rsid w:val="618943CD"/>
    <w:rsid w:val="618B2914"/>
    <w:rsid w:val="6198016C"/>
    <w:rsid w:val="619863BE"/>
    <w:rsid w:val="619C5535"/>
    <w:rsid w:val="61A62889"/>
    <w:rsid w:val="61B8543B"/>
    <w:rsid w:val="61BB5801"/>
    <w:rsid w:val="61D27B22"/>
    <w:rsid w:val="61F611C4"/>
    <w:rsid w:val="623205C0"/>
    <w:rsid w:val="62361E5F"/>
    <w:rsid w:val="62540D47"/>
    <w:rsid w:val="627B3800"/>
    <w:rsid w:val="62C43069"/>
    <w:rsid w:val="62D82F16"/>
    <w:rsid w:val="62E11C40"/>
    <w:rsid w:val="6301497A"/>
    <w:rsid w:val="630F26B0"/>
    <w:rsid w:val="63182269"/>
    <w:rsid w:val="632E1DAF"/>
    <w:rsid w:val="632E6FDA"/>
    <w:rsid w:val="63556314"/>
    <w:rsid w:val="63614687"/>
    <w:rsid w:val="636628BD"/>
    <w:rsid w:val="636649C5"/>
    <w:rsid w:val="63676048"/>
    <w:rsid w:val="63764817"/>
    <w:rsid w:val="63780255"/>
    <w:rsid w:val="63844B2D"/>
    <w:rsid w:val="639B14F1"/>
    <w:rsid w:val="63AB687C"/>
    <w:rsid w:val="63AE1EC8"/>
    <w:rsid w:val="63AE2192"/>
    <w:rsid w:val="63ED479F"/>
    <w:rsid w:val="63FF3903"/>
    <w:rsid w:val="64203D44"/>
    <w:rsid w:val="642B2E0C"/>
    <w:rsid w:val="6435673D"/>
    <w:rsid w:val="645547A0"/>
    <w:rsid w:val="64560870"/>
    <w:rsid w:val="645A3CC7"/>
    <w:rsid w:val="64633A6B"/>
    <w:rsid w:val="646B6CC3"/>
    <w:rsid w:val="648161FA"/>
    <w:rsid w:val="64832ABE"/>
    <w:rsid w:val="64965770"/>
    <w:rsid w:val="64A6031D"/>
    <w:rsid w:val="64D911C7"/>
    <w:rsid w:val="64E01D20"/>
    <w:rsid w:val="64F30BE6"/>
    <w:rsid w:val="64F953C5"/>
    <w:rsid w:val="650B4248"/>
    <w:rsid w:val="650C50F9"/>
    <w:rsid w:val="650E1C57"/>
    <w:rsid w:val="651144BD"/>
    <w:rsid w:val="65132446"/>
    <w:rsid w:val="6514390C"/>
    <w:rsid w:val="65302FA5"/>
    <w:rsid w:val="653321D5"/>
    <w:rsid w:val="65441196"/>
    <w:rsid w:val="65487318"/>
    <w:rsid w:val="65896749"/>
    <w:rsid w:val="6593581A"/>
    <w:rsid w:val="659C0A1C"/>
    <w:rsid w:val="65AC4A3A"/>
    <w:rsid w:val="65BD12A3"/>
    <w:rsid w:val="65C634F9"/>
    <w:rsid w:val="65D250F3"/>
    <w:rsid w:val="65D379C4"/>
    <w:rsid w:val="660404C6"/>
    <w:rsid w:val="66393AC7"/>
    <w:rsid w:val="66474E49"/>
    <w:rsid w:val="66BA451C"/>
    <w:rsid w:val="66D95088"/>
    <w:rsid w:val="670F3CD5"/>
    <w:rsid w:val="67153C4F"/>
    <w:rsid w:val="671F55B7"/>
    <w:rsid w:val="67204E8B"/>
    <w:rsid w:val="674C5E1C"/>
    <w:rsid w:val="67957627"/>
    <w:rsid w:val="67D77C40"/>
    <w:rsid w:val="67E42DE3"/>
    <w:rsid w:val="680E1AEF"/>
    <w:rsid w:val="680F35AD"/>
    <w:rsid w:val="681B47DD"/>
    <w:rsid w:val="68686AEA"/>
    <w:rsid w:val="68743063"/>
    <w:rsid w:val="68746D29"/>
    <w:rsid w:val="68BA6245"/>
    <w:rsid w:val="68CD4BF1"/>
    <w:rsid w:val="694133B6"/>
    <w:rsid w:val="6945663E"/>
    <w:rsid w:val="69513A22"/>
    <w:rsid w:val="695E5625"/>
    <w:rsid w:val="69605A13"/>
    <w:rsid w:val="696C27A1"/>
    <w:rsid w:val="696E1320"/>
    <w:rsid w:val="69823CED"/>
    <w:rsid w:val="69A27DD9"/>
    <w:rsid w:val="69B227A4"/>
    <w:rsid w:val="69B8584F"/>
    <w:rsid w:val="69B87C37"/>
    <w:rsid w:val="69BB33CD"/>
    <w:rsid w:val="69BF6567"/>
    <w:rsid w:val="69C32790"/>
    <w:rsid w:val="69CD4A5E"/>
    <w:rsid w:val="69DA7573"/>
    <w:rsid w:val="69FB330B"/>
    <w:rsid w:val="6A2B7DCF"/>
    <w:rsid w:val="6A440D73"/>
    <w:rsid w:val="6A48088C"/>
    <w:rsid w:val="6A62713F"/>
    <w:rsid w:val="6A66623D"/>
    <w:rsid w:val="6A916D3D"/>
    <w:rsid w:val="6AA96C71"/>
    <w:rsid w:val="6ADE6F27"/>
    <w:rsid w:val="6AE62CF1"/>
    <w:rsid w:val="6AFB18D2"/>
    <w:rsid w:val="6AFB4205"/>
    <w:rsid w:val="6B052831"/>
    <w:rsid w:val="6B2A452A"/>
    <w:rsid w:val="6B3D425E"/>
    <w:rsid w:val="6B5775E2"/>
    <w:rsid w:val="6B8062E7"/>
    <w:rsid w:val="6B966DE0"/>
    <w:rsid w:val="6BAD287B"/>
    <w:rsid w:val="6C070C78"/>
    <w:rsid w:val="6C0B3780"/>
    <w:rsid w:val="6C1E52DC"/>
    <w:rsid w:val="6C24541E"/>
    <w:rsid w:val="6C510124"/>
    <w:rsid w:val="6C63376F"/>
    <w:rsid w:val="6CCB443B"/>
    <w:rsid w:val="6CCE0EE6"/>
    <w:rsid w:val="6CCE3FB2"/>
    <w:rsid w:val="6CD03FF3"/>
    <w:rsid w:val="6CD13A76"/>
    <w:rsid w:val="6CD24E7A"/>
    <w:rsid w:val="6CD75FEC"/>
    <w:rsid w:val="6CE61656"/>
    <w:rsid w:val="6CE61BEB"/>
    <w:rsid w:val="6D050DAB"/>
    <w:rsid w:val="6D143528"/>
    <w:rsid w:val="6D171791"/>
    <w:rsid w:val="6D2A0812"/>
    <w:rsid w:val="6D2F2197"/>
    <w:rsid w:val="6D394EF9"/>
    <w:rsid w:val="6D6B3A4A"/>
    <w:rsid w:val="6D7F1566"/>
    <w:rsid w:val="6D8A305E"/>
    <w:rsid w:val="6DA02882"/>
    <w:rsid w:val="6DAB3296"/>
    <w:rsid w:val="6DB50664"/>
    <w:rsid w:val="6DBE53FE"/>
    <w:rsid w:val="6DBF3470"/>
    <w:rsid w:val="6DEB37CE"/>
    <w:rsid w:val="6E0539CA"/>
    <w:rsid w:val="6E1B027F"/>
    <w:rsid w:val="6E474F30"/>
    <w:rsid w:val="6E4B5A6B"/>
    <w:rsid w:val="6E717AD1"/>
    <w:rsid w:val="6E867CCA"/>
    <w:rsid w:val="6E8A49FF"/>
    <w:rsid w:val="6E8E3627"/>
    <w:rsid w:val="6EAB5982"/>
    <w:rsid w:val="6EBB2453"/>
    <w:rsid w:val="6EC72DAF"/>
    <w:rsid w:val="6ED058F5"/>
    <w:rsid w:val="6ED8429D"/>
    <w:rsid w:val="6EF70BC7"/>
    <w:rsid w:val="6F0B7373"/>
    <w:rsid w:val="6F11155D"/>
    <w:rsid w:val="6F5002D8"/>
    <w:rsid w:val="6F573414"/>
    <w:rsid w:val="6F767D3E"/>
    <w:rsid w:val="6F771D08"/>
    <w:rsid w:val="6F795D04"/>
    <w:rsid w:val="6F806E0F"/>
    <w:rsid w:val="6FB92D17"/>
    <w:rsid w:val="6FBA36B9"/>
    <w:rsid w:val="6FBA67EB"/>
    <w:rsid w:val="6FFE5F86"/>
    <w:rsid w:val="700C6B99"/>
    <w:rsid w:val="700D41B0"/>
    <w:rsid w:val="702C2AF3"/>
    <w:rsid w:val="703F45D4"/>
    <w:rsid w:val="70457711"/>
    <w:rsid w:val="7058021D"/>
    <w:rsid w:val="70937D86"/>
    <w:rsid w:val="709D754D"/>
    <w:rsid w:val="70A26911"/>
    <w:rsid w:val="70BC3E77"/>
    <w:rsid w:val="70C0691F"/>
    <w:rsid w:val="70D533D8"/>
    <w:rsid w:val="70DF29A1"/>
    <w:rsid w:val="70F20AE9"/>
    <w:rsid w:val="70F42D96"/>
    <w:rsid w:val="70F536C8"/>
    <w:rsid w:val="71081B8B"/>
    <w:rsid w:val="7109098D"/>
    <w:rsid w:val="711841BB"/>
    <w:rsid w:val="712150B6"/>
    <w:rsid w:val="71254132"/>
    <w:rsid w:val="71600CA6"/>
    <w:rsid w:val="71767ADD"/>
    <w:rsid w:val="71A87F57"/>
    <w:rsid w:val="71AE6E4F"/>
    <w:rsid w:val="71B96608"/>
    <w:rsid w:val="71F238C8"/>
    <w:rsid w:val="71F47640"/>
    <w:rsid w:val="71F87130"/>
    <w:rsid w:val="720D24B0"/>
    <w:rsid w:val="72116CCE"/>
    <w:rsid w:val="725956F5"/>
    <w:rsid w:val="72714C98"/>
    <w:rsid w:val="72736772"/>
    <w:rsid w:val="72872262"/>
    <w:rsid w:val="72A76461"/>
    <w:rsid w:val="72B04752"/>
    <w:rsid w:val="72B4536B"/>
    <w:rsid w:val="72C1247E"/>
    <w:rsid w:val="72D24BA3"/>
    <w:rsid w:val="72E2393D"/>
    <w:rsid w:val="73335F46"/>
    <w:rsid w:val="733A15F7"/>
    <w:rsid w:val="73B21561"/>
    <w:rsid w:val="73B52DFF"/>
    <w:rsid w:val="73BB0416"/>
    <w:rsid w:val="73CB43E9"/>
    <w:rsid w:val="73D16770"/>
    <w:rsid w:val="73F73418"/>
    <w:rsid w:val="743772C5"/>
    <w:rsid w:val="7449604D"/>
    <w:rsid w:val="74566752"/>
    <w:rsid w:val="74624413"/>
    <w:rsid w:val="74886964"/>
    <w:rsid w:val="749E5641"/>
    <w:rsid w:val="74B22400"/>
    <w:rsid w:val="74C070A7"/>
    <w:rsid w:val="74DA2B1D"/>
    <w:rsid w:val="75721DF1"/>
    <w:rsid w:val="75A751E0"/>
    <w:rsid w:val="75B44349"/>
    <w:rsid w:val="75D41399"/>
    <w:rsid w:val="75E11C8A"/>
    <w:rsid w:val="75E91CE8"/>
    <w:rsid w:val="763931DE"/>
    <w:rsid w:val="76393874"/>
    <w:rsid w:val="76571F4C"/>
    <w:rsid w:val="7671679B"/>
    <w:rsid w:val="76716B5F"/>
    <w:rsid w:val="76760BD8"/>
    <w:rsid w:val="767C384F"/>
    <w:rsid w:val="767F3227"/>
    <w:rsid w:val="76AD23E7"/>
    <w:rsid w:val="76C07AF1"/>
    <w:rsid w:val="76C90347"/>
    <w:rsid w:val="76E27503"/>
    <w:rsid w:val="771432D8"/>
    <w:rsid w:val="771B3737"/>
    <w:rsid w:val="773120E2"/>
    <w:rsid w:val="77316C41"/>
    <w:rsid w:val="773E2058"/>
    <w:rsid w:val="773E6738"/>
    <w:rsid w:val="774553B7"/>
    <w:rsid w:val="774A3B12"/>
    <w:rsid w:val="7763759B"/>
    <w:rsid w:val="777C4360"/>
    <w:rsid w:val="77A2369A"/>
    <w:rsid w:val="77AF7427"/>
    <w:rsid w:val="77DC568A"/>
    <w:rsid w:val="77E3618D"/>
    <w:rsid w:val="77E7676A"/>
    <w:rsid w:val="7808185B"/>
    <w:rsid w:val="780B7492"/>
    <w:rsid w:val="78324A1E"/>
    <w:rsid w:val="78392496"/>
    <w:rsid w:val="78765F72"/>
    <w:rsid w:val="78857244"/>
    <w:rsid w:val="789B123B"/>
    <w:rsid w:val="78AB6FE1"/>
    <w:rsid w:val="78AF0701"/>
    <w:rsid w:val="78B26DFF"/>
    <w:rsid w:val="78BD69DE"/>
    <w:rsid w:val="78C35748"/>
    <w:rsid w:val="78C943A2"/>
    <w:rsid w:val="7921264D"/>
    <w:rsid w:val="79273E57"/>
    <w:rsid w:val="792E168A"/>
    <w:rsid w:val="79535359"/>
    <w:rsid w:val="799123FF"/>
    <w:rsid w:val="79A635CD"/>
    <w:rsid w:val="79B07DDC"/>
    <w:rsid w:val="79B7167F"/>
    <w:rsid w:val="79BF0534"/>
    <w:rsid w:val="79D7762B"/>
    <w:rsid w:val="79E461EC"/>
    <w:rsid w:val="7A074A44"/>
    <w:rsid w:val="7A282F39"/>
    <w:rsid w:val="7A343531"/>
    <w:rsid w:val="7A9725D4"/>
    <w:rsid w:val="7AA04369"/>
    <w:rsid w:val="7AA72A1C"/>
    <w:rsid w:val="7AAC4588"/>
    <w:rsid w:val="7AD047E5"/>
    <w:rsid w:val="7ADB139D"/>
    <w:rsid w:val="7AE91D0C"/>
    <w:rsid w:val="7AED1F94"/>
    <w:rsid w:val="7AF30C33"/>
    <w:rsid w:val="7AFE6E3A"/>
    <w:rsid w:val="7AFF2092"/>
    <w:rsid w:val="7B0D52CF"/>
    <w:rsid w:val="7B1277B8"/>
    <w:rsid w:val="7B134203"/>
    <w:rsid w:val="7B2E771F"/>
    <w:rsid w:val="7B494559"/>
    <w:rsid w:val="7B4D4962"/>
    <w:rsid w:val="7B62561B"/>
    <w:rsid w:val="7B893410"/>
    <w:rsid w:val="7B9C3965"/>
    <w:rsid w:val="7BA944C5"/>
    <w:rsid w:val="7BC36624"/>
    <w:rsid w:val="7BC538AF"/>
    <w:rsid w:val="7BE30826"/>
    <w:rsid w:val="7C09257B"/>
    <w:rsid w:val="7C2154D6"/>
    <w:rsid w:val="7C305719"/>
    <w:rsid w:val="7C701FB9"/>
    <w:rsid w:val="7C7A19AF"/>
    <w:rsid w:val="7C7A6994"/>
    <w:rsid w:val="7C814C9E"/>
    <w:rsid w:val="7CC7607D"/>
    <w:rsid w:val="7CCA41E8"/>
    <w:rsid w:val="7CE21D5D"/>
    <w:rsid w:val="7D2059F0"/>
    <w:rsid w:val="7D23702C"/>
    <w:rsid w:val="7D75093D"/>
    <w:rsid w:val="7DAE7CF4"/>
    <w:rsid w:val="7DC105E8"/>
    <w:rsid w:val="7DCB089E"/>
    <w:rsid w:val="7DD16DBF"/>
    <w:rsid w:val="7DD373D3"/>
    <w:rsid w:val="7DE44A0D"/>
    <w:rsid w:val="7DF10ED8"/>
    <w:rsid w:val="7E2748F9"/>
    <w:rsid w:val="7E27682C"/>
    <w:rsid w:val="7E2D0162"/>
    <w:rsid w:val="7E3241A4"/>
    <w:rsid w:val="7E451F4C"/>
    <w:rsid w:val="7E631DD5"/>
    <w:rsid w:val="7E724D5A"/>
    <w:rsid w:val="7E7E276B"/>
    <w:rsid w:val="7EAC722A"/>
    <w:rsid w:val="7EBE525E"/>
    <w:rsid w:val="7ED06D3F"/>
    <w:rsid w:val="7ED93E46"/>
    <w:rsid w:val="7EF90044"/>
    <w:rsid w:val="7F0F3B31"/>
    <w:rsid w:val="7F1B6B79"/>
    <w:rsid w:val="7F442685"/>
    <w:rsid w:val="7FC9210C"/>
    <w:rsid w:val="7FD553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2"/>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62"/>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3">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widowControl/>
      <w:spacing w:before="120"/>
      <w:ind w:firstLine="3584"/>
    </w:pPr>
  </w:style>
  <w:style w:type="paragraph" w:styleId="8">
    <w:name w:val="toc 7"/>
    <w:basedOn w:val="1"/>
    <w:next w:val="1"/>
    <w:qFormat/>
    <w:uiPriority w:val="0"/>
    <w:pPr>
      <w:ind w:left="2520" w:leftChars="1200"/>
    </w:pPr>
  </w:style>
  <w:style w:type="paragraph" w:styleId="9">
    <w:name w:val="Document Map"/>
    <w:basedOn w:val="1"/>
    <w:link w:val="112"/>
    <w:semiHidden/>
    <w:unhideWhenUsed/>
    <w:qFormat/>
    <w:uiPriority w:val="99"/>
    <w:rPr>
      <w:rFonts w:ascii="宋体"/>
      <w:sz w:val="18"/>
      <w:szCs w:val="18"/>
    </w:rPr>
  </w:style>
  <w:style w:type="paragraph" w:styleId="10">
    <w:name w:val="annotation text"/>
    <w:basedOn w:val="1"/>
    <w:link w:val="82"/>
    <w:unhideWhenUsed/>
    <w:qFormat/>
    <w:uiPriority w:val="0"/>
    <w:pPr>
      <w:jc w:val="left"/>
    </w:pPr>
  </w:style>
  <w:style w:type="paragraph" w:styleId="11">
    <w:name w:val="Body Text"/>
    <w:basedOn w:val="1"/>
    <w:next w:val="12"/>
    <w:link w:val="69"/>
    <w:qFormat/>
    <w:uiPriority w:val="0"/>
    <w:pPr>
      <w:tabs>
        <w:tab w:val="left" w:pos="567"/>
      </w:tabs>
      <w:spacing w:before="120" w:line="22" w:lineRule="atLeast"/>
    </w:pPr>
    <w:rPr>
      <w:rFonts w:ascii="宋体" w:hAnsi="宋体"/>
      <w:sz w:val="24"/>
    </w:rPr>
  </w:style>
  <w:style w:type="paragraph" w:styleId="12">
    <w:name w:val="Body Text 2"/>
    <w:basedOn w:val="1"/>
    <w:qFormat/>
    <w:uiPriority w:val="0"/>
    <w:pPr>
      <w:spacing w:after="120" w:line="480" w:lineRule="auto"/>
    </w:pPr>
    <w:rPr>
      <w:rFonts w:ascii="Arial" w:hAnsi="Arial"/>
      <w:sz w:val="24"/>
    </w:rPr>
  </w:style>
  <w:style w:type="paragraph" w:styleId="13">
    <w:name w:val="Body Text Indent"/>
    <w:basedOn w:val="1"/>
    <w:link w:val="87"/>
    <w:qFormat/>
    <w:uiPriority w:val="0"/>
    <w:pPr>
      <w:spacing w:line="360" w:lineRule="auto"/>
      <w:ind w:firstLine="570"/>
    </w:pPr>
    <w:rPr>
      <w:sz w:val="24"/>
    </w:r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81"/>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65"/>
    <w:qFormat/>
    <w:uiPriority w:val="0"/>
    <w:pPr>
      <w:ind w:left="100" w:leftChars="2500"/>
    </w:pPr>
    <w:rPr>
      <w:rFonts w:ascii="仿宋_GB2312" w:hAnsi="宋体" w:eastAsia="仿宋_GB2312"/>
      <w:color w:val="000000"/>
      <w:sz w:val="24"/>
    </w:rPr>
  </w:style>
  <w:style w:type="paragraph" w:styleId="19">
    <w:name w:val="Body Text Indent 2"/>
    <w:basedOn w:val="1"/>
    <w:link w:val="88"/>
    <w:qFormat/>
    <w:uiPriority w:val="0"/>
    <w:pPr>
      <w:ind w:firstLine="480" w:firstLineChars="200"/>
    </w:pPr>
    <w:rPr>
      <w:rFonts w:ascii="仿宋_GB2312" w:eastAsia="仿宋_GB2312"/>
      <w:sz w:val="24"/>
    </w:rPr>
  </w:style>
  <w:style w:type="paragraph" w:styleId="20">
    <w:name w:val="Balloon Text"/>
    <w:basedOn w:val="1"/>
    <w:link w:val="67"/>
    <w:qFormat/>
    <w:uiPriority w:val="0"/>
    <w:rPr>
      <w:sz w:val="18"/>
      <w:szCs w:val="18"/>
    </w:rPr>
  </w:style>
  <w:style w:type="paragraph" w:styleId="21">
    <w:name w:val="footer"/>
    <w:basedOn w:val="1"/>
    <w:link w:val="68"/>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footnote text"/>
    <w:basedOn w:val="1"/>
    <w:link w:val="85"/>
    <w:qFormat/>
    <w:uiPriority w:val="0"/>
    <w:pPr>
      <w:snapToGrid w:val="0"/>
      <w:jc w:val="left"/>
    </w:pPr>
    <w:rPr>
      <w:sz w:val="18"/>
    </w:rPr>
  </w:style>
  <w:style w:type="paragraph" w:styleId="26">
    <w:name w:val="toc 6"/>
    <w:basedOn w:val="1"/>
    <w:next w:val="1"/>
    <w:qFormat/>
    <w:uiPriority w:val="0"/>
    <w:pPr>
      <w:ind w:left="2100" w:leftChars="1000"/>
    </w:pPr>
  </w:style>
  <w:style w:type="paragraph" w:styleId="27">
    <w:name w:val="Body Text Indent 3"/>
    <w:basedOn w:val="1"/>
    <w:link w:val="8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0"/>
    <w:pPr>
      <w:ind w:left="420" w:leftChars="200"/>
    </w:pPr>
  </w:style>
  <w:style w:type="paragraph" w:styleId="29">
    <w:name w:val="toc 9"/>
    <w:basedOn w:val="1"/>
    <w:next w:val="1"/>
    <w:qFormat/>
    <w:uiPriority w:val="0"/>
    <w:pPr>
      <w:ind w:left="3360" w:leftChars="1600"/>
    </w:pPr>
  </w:style>
  <w:style w:type="paragraph" w:styleId="30">
    <w:name w:val="Normal (Web)"/>
    <w:basedOn w:val="1"/>
    <w:next w:val="31"/>
    <w:qFormat/>
    <w:uiPriority w:val="0"/>
    <w:pPr>
      <w:widowControl/>
      <w:spacing w:before="100" w:beforeAutospacing="1" w:after="100" w:afterAutospacing="1"/>
      <w:jc w:val="left"/>
    </w:pPr>
    <w:rPr>
      <w:rFonts w:ascii="宋体" w:hAnsi="宋体" w:cs="宋体"/>
      <w:kern w:val="0"/>
      <w:sz w:val="24"/>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2">
    <w:name w:val="index 1"/>
    <w:basedOn w:val="1"/>
    <w:next w:val="1"/>
    <w:qFormat/>
    <w:uiPriority w:val="0"/>
    <w:rPr>
      <w:szCs w:val="20"/>
    </w:rPr>
  </w:style>
  <w:style w:type="paragraph" w:styleId="33">
    <w:name w:val="annotation subject"/>
    <w:basedOn w:val="10"/>
    <w:next w:val="10"/>
    <w:link w:val="77"/>
    <w:qFormat/>
    <w:uiPriority w:val="0"/>
    <w:rPr>
      <w:b/>
      <w:bCs/>
    </w:rPr>
  </w:style>
  <w:style w:type="paragraph" w:styleId="34">
    <w:name w:val="Body Text First Indent 2"/>
    <w:basedOn w:val="13"/>
    <w:next w:val="1"/>
    <w:link w:val="96"/>
    <w:qFormat/>
    <w:uiPriority w:val="0"/>
    <w:pPr>
      <w:ind w:firstLine="420" w:firstLineChars="200"/>
    </w:pPr>
  </w:style>
  <w:style w:type="table" w:styleId="36">
    <w:name w:val="Table Grid"/>
    <w:basedOn w:val="3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Medium Grid 3 Accent 1"/>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8">
    <w:name w:val="Medium Grid 3 Accent 2"/>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9">
    <w:name w:val="Medium Grid 3 Accent 3"/>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0">
    <w:name w:val="Medium Grid 3 Accent 4"/>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1">
    <w:name w:val="Medium Grid 3 Accent 5"/>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2">
    <w:name w:val="Medium Grid 3 Accent 6"/>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4">
    <w:name w:val="Strong"/>
    <w:qFormat/>
    <w:uiPriority w:val="0"/>
    <w:rPr>
      <w:b/>
      <w:bCs/>
      <w:szCs w:val="21"/>
    </w:rPr>
  </w:style>
  <w:style w:type="character" w:styleId="45">
    <w:name w:val="page number"/>
    <w:basedOn w:val="43"/>
    <w:qFormat/>
    <w:uiPriority w:val="0"/>
    <w:rPr>
      <w:rFonts w:ascii="Times New Roman" w:hAnsi="Times New Roman" w:eastAsia="宋体" w:cs="Times New Roman"/>
    </w:rPr>
  </w:style>
  <w:style w:type="character" w:styleId="46">
    <w:name w:val="FollowedHyperlink"/>
    <w:basedOn w:val="43"/>
    <w:semiHidden/>
    <w:unhideWhenUsed/>
    <w:qFormat/>
    <w:uiPriority w:val="99"/>
    <w:rPr>
      <w:color w:val="2DB7F5"/>
      <w:u w:val="none"/>
    </w:rPr>
  </w:style>
  <w:style w:type="character" w:styleId="47">
    <w:name w:val="Emphasis"/>
    <w:basedOn w:val="43"/>
    <w:qFormat/>
    <w:uiPriority w:val="20"/>
    <w:rPr>
      <w:sz w:val="24"/>
      <w:szCs w:val="24"/>
    </w:rPr>
  </w:style>
  <w:style w:type="character" w:styleId="48">
    <w:name w:val="HTML Definition"/>
    <w:basedOn w:val="43"/>
    <w:semiHidden/>
    <w:unhideWhenUsed/>
    <w:qFormat/>
    <w:uiPriority w:val="99"/>
    <w:rPr>
      <w:sz w:val="24"/>
      <w:szCs w:val="24"/>
    </w:rPr>
  </w:style>
  <w:style w:type="character" w:styleId="49">
    <w:name w:val="HTML Typewriter"/>
    <w:basedOn w:val="43"/>
    <w:semiHidden/>
    <w:unhideWhenUsed/>
    <w:qFormat/>
    <w:uiPriority w:val="99"/>
    <w:rPr>
      <w:rFonts w:hint="default" w:ascii="Consolas" w:hAnsi="Consolas" w:eastAsia="Consolas" w:cs="Consolas"/>
      <w:sz w:val="20"/>
    </w:rPr>
  </w:style>
  <w:style w:type="character" w:styleId="50">
    <w:name w:val="HTML Variable"/>
    <w:basedOn w:val="43"/>
    <w:semiHidden/>
    <w:unhideWhenUsed/>
    <w:qFormat/>
    <w:uiPriority w:val="99"/>
    <w:rPr>
      <w:sz w:val="24"/>
      <w:szCs w:val="24"/>
    </w:rPr>
  </w:style>
  <w:style w:type="character" w:styleId="51">
    <w:name w:val="Hyperlink"/>
    <w:qFormat/>
    <w:uiPriority w:val="0"/>
    <w:rPr>
      <w:rFonts w:ascii="Times New Roman" w:hAnsi="Times New Roman" w:eastAsia="宋体" w:cs="Times New Roman"/>
      <w:color w:val="0000FF"/>
      <w:u w:val="single"/>
    </w:rPr>
  </w:style>
  <w:style w:type="character" w:styleId="52">
    <w:name w:val="HTML Code"/>
    <w:basedOn w:val="43"/>
    <w:semiHidden/>
    <w:unhideWhenUsed/>
    <w:qFormat/>
    <w:uiPriority w:val="99"/>
    <w:rPr>
      <w:rFonts w:ascii="Consolas" w:hAnsi="Consolas" w:eastAsia="Consolas" w:cs="Consolas"/>
      <w:sz w:val="24"/>
      <w:szCs w:val="24"/>
    </w:rPr>
  </w:style>
  <w:style w:type="character" w:styleId="53">
    <w:name w:val="annotation reference"/>
    <w:qFormat/>
    <w:uiPriority w:val="0"/>
    <w:rPr>
      <w:rFonts w:ascii="Times New Roman" w:hAnsi="Times New Roman" w:eastAsia="宋体" w:cs="Times New Roman"/>
      <w:sz w:val="21"/>
      <w:szCs w:val="21"/>
    </w:rPr>
  </w:style>
  <w:style w:type="character" w:styleId="54">
    <w:name w:val="HTML Cite"/>
    <w:basedOn w:val="43"/>
    <w:semiHidden/>
    <w:unhideWhenUsed/>
    <w:qFormat/>
    <w:uiPriority w:val="99"/>
    <w:rPr>
      <w:color w:val="999999"/>
      <w:sz w:val="24"/>
      <w:szCs w:val="24"/>
    </w:rPr>
  </w:style>
  <w:style w:type="character" w:styleId="55">
    <w:name w:val="HTML Keyboard"/>
    <w:basedOn w:val="43"/>
    <w:semiHidden/>
    <w:unhideWhenUsed/>
    <w:qFormat/>
    <w:uiPriority w:val="99"/>
    <w:rPr>
      <w:rFonts w:hint="default" w:ascii="Consolas" w:hAnsi="Consolas" w:eastAsia="Consolas" w:cs="Consolas"/>
      <w:sz w:val="21"/>
      <w:szCs w:val="21"/>
    </w:rPr>
  </w:style>
  <w:style w:type="character" w:styleId="56">
    <w:name w:val="HTML Sample"/>
    <w:basedOn w:val="43"/>
    <w:semiHidden/>
    <w:unhideWhenUsed/>
    <w:qFormat/>
    <w:uiPriority w:val="99"/>
    <w:rPr>
      <w:rFonts w:hint="default" w:ascii="Consolas" w:hAnsi="Consolas" w:eastAsia="Consolas" w:cs="Consolas"/>
      <w:sz w:val="21"/>
      <w:szCs w:val="21"/>
    </w:rPr>
  </w:style>
  <w:style w:type="paragraph" w:customStyle="1" w:styleId="57">
    <w:name w:val="Default"/>
    <w:next w:val="58"/>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8">
    <w:name w:val="大标题"/>
    <w:basedOn w:val="1"/>
    <w:next w:val="34"/>
    <w:qFormat/>
    <w:uiPriority w:val="0"/>
    <w:pPr>
      <w:jc w:val="center"/>
    </w:pPr>
    <w:rPr>
      <w:rFonts w:ascii="Arial" w:hAnsi="Arial"/>
      <w:b/>
      <w:sz w:val="28"/>
    </w:rPr>
  </w:style>
  <w:style w:type="paragraph" w:customStyle="1" w:styleId="59">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标题 1 Char"/>
    <w:basedOn w:val="43"/>
    <w:link w:val="4"/>
    <w:qFormat/>
    <w:uiPriority w:val="0"/>
    <w:rPr>
      <w:rFonts w:ascii="宋体" w:hAnsi="Times New Roman" w:eastAsia="宋体" w:cs="Times New Roman"/>
      <w:b/>
      <w:kern w:val="44"/>
      <w:sz w:val="32"/>
      <w:szCs w:val="20"/>
    </w:rPr>
  </w:style>
  <w:style w:type="character" w:customStyle="1" w:styleId="61">
    <w:name w:val="标题 2 Char"/>
    <w:basedOn w:val="43"/>
    <w:link w:val="5"/>
    <w:qFormat/>
    <w:uiPriority w:val="0"/>
    <w:rPr>
      <w:rFonts w:ascii="Arial" w:hAnsi="Arial" w:eastAsia="黑体" w:cs="Times New Roman"/>
      <w:b/>
      <w:kern w:val="0"/>
      <w:sz w:val="30"/>
      <w:szCs w:val="20"/>
    </w:rPr>
  </w:style>
  <w:style w:type="character" w:customStyle="1" w:styleId="62">
    <w:name w:val="标题 3 Char"/>
    <w:basedOn w:val="43"/>
    <w:link w:val="6"/>
    <w:qFormat/>
    <w:uiPriority w:val="0"/>
    <w:rPr>
      <w:rFonts w:ascii="宋体" w:hAnsi="Times New Roman" w:eastAsia="宋体" w:cs="Times New Roman"/>
      <w:b/>
      <w:kern w:val="0"/>
      <w:sz w:val="24"/>
      <w:szCs w:val="20"/>
      <w:u w:val="single"/>
    </w:rPr>
  </w:style>
  <w:style w:type="character" w:customStyle="1" w:styleId="63">
    <w:name w:val="font01"/>
    <w:qFormat/>
    <w:uiPriority w:val="0"/>
    <w:rPr>
      <w:rFonts w:hint="eastAsia" w:ascii="宋体" w:hAnsi="宋体" w:eastAsia="宋体" w:cs="宋体"/>
      <w:color w:val="000000"/>
      <w:sz w:val="24"/>
      <w:szCs w:val="24"/>
      <w:u w:val="none"/>
    </w:rPr>
  </w:style>
  <w:style w:type="character" w:customStyle="1" w:styleId="64">
    <w:name w:val="批注文字 Char1"/>
    <w:qFormat/>
    <w:uiPriority w:val="0"/>
    <w:rPr>
      <w:rFonts w:ascii="Times New Roman" w:hAnsi="Times New Roman" w:eastAsia="宋体" w:cs="Times New Roman"/>
      <w:kern w:val="2"/>
      <w:sz w:val="21"/>
      <w:szCs w:val="24"/>
    </w:rPr>
  </w:style>
  <w:style w:type="character" w:customStyle="1" w:styleId="65">
    <w:name w:val="日期 Char"/>
    <w:link w:val="18"/>
    <w:qFormat/>
    <w:uiPriority w:val="0"/>
    <w:rPr>
      <w:rFonts w:ascii="仿宋_GB2312" w:hAnsi="宋体" w:eastAsia="仿宋_GB2312" w:cs="Times New Roman"/>
      <w:color w:val="000000"/>
      <w:sz w:val="24"/>
      <w:szCs w:val="24"/>
    </w:rPr>
  </w:style>
  <w:style w:type="character" w:customStyle="1" w:styleId="66">
    <w:name w:val="font31"/>
    <w:qFormat/>
    <w:uiPriority w:val="0"/>
    <w:rPr>
      <w:rFonts w:hint="default" w:ascii="Times New Roman" w:hAnsi="Times New Roman" w:cs="Times New Roman"/>
      <w:color w:val="000000"/>
      <w:sz w:val="20"/>
      <w:szCs w:val="20"/>
      <w:u w:val="none"/>
    </w:rPr>
  </w:style>
  <w:style w:type="character" w:customStyle="1" w:styleId="67">
    <w:name w:val="批注框文本 Char"/>
    <w:link w:val="20"/>
    <w:qFormat/>
    <w:uiPriority w:val="0"/>
    <w:rPr>
      <w:rFonts w:ascii="Times New Roman" w:hAnsi="Times New Roman" w:eastAsia="宋体" w:cs="Times New Roman"/>
      <w:sz w:val="18"/>
      <w:szCs w:val="18"/>
    </w:rPr>
  </w:style>
  <w:style w:type="character" w:customStyle="1" w:styleId="68">
    <w:name w:val="页脚 Char"/>
    <w:link w:val="21"/>
    <w:qFormat/>
    <w:uiPriority w:val="0"/>
    <w:rPr>
      <w:rFonts w:ascii="宋体" w:hAnsi="Times New Roman" w:eastAsia="宋体" w:cs="Times New Roman"/>
      <w:sz w:val="18"/>
    </w:rPr>
  </w:style>
  <w:style w:type="character" w:customStyle="1" w:styleId="69">
    <w:name w:val="正文文本 Char"/>
    <w:link w:val="11"/>
    <w:qFormat/>
    <w:uiPriority w:val="0"/>
    <w:rPr>
      <w:rFonts w:ascii="宋体" w:hAnsi="宋体" w:eastAsia="宋体" w:cs="Times New Roman"/>
      <w:sz w:val="24"/>
      <w:szCs w:val="24"/>
    </w:rPr>
  </w:style>
  <w:style w:type="character" w:customStyle="1" w:styleId="70">
    <w:name w:val="正文缩进 Char1"/>
    <w:link w:val="71"/>
    <w:qFormat/>
    <w:uiPriority w:val="0"/>
    <w:rPr>
      <w:rFonts w:ascii="宋体" w:hAnsi="Times New Roman" w:eastAsia="宋体" w:cs="Times New Roman"/>
      <w:sz w:val="24"/>
    </w:rPr>
  </w:style>
  <w:style w:type="paragraph" w:customStyle="1" w:styleId="71">
    <w:name w:val="正文缩进1"/>
    <w:basedOn w:val="1"/>
    <w:link w:val="70"/>
    <w:qFormat/>
    <w:uiPriority w:val="0"/>
    <w:pPr>
      <w:autoSpaceDE w:val="0"/>
      <w:autoSpaceDN w:val="0"/>
      <w:adjustRightInd w:val="0"/>
      <w:ind w:firstLine="420"/>
      <w:jc w:val="left"/>
    </w:pPr>
    <w:rPr>
      <w:rFonts w:ascii="宋体"/>
      <w:sz w:val="24"/>
      <w:szCs w:val="22"/>
    </w:rPr>
  </w:style>
  <w:style w:type="character" w:customStyle="1" w:styleId="72">
    <w:name w:val="批注文字 Char"/>
    <w:qFormat/>
    <w:uiPriority w:val="0"/>
    <w:rPr>
      <w:rFonts w:ascii="Times New Roman" w:hAnsi="Times New Roman" w:eastAsia="宋体" w:cs="Times New Roman"/>
      <w:kern w:val="2"/>
      <w:sz w:val="21"/>
      <w:szCs w:val="24"/>
    </w:rPr>
  </w:style>
  <w:style w:type="character" w:customStyle="1" w:styleId="73">
    <w:name w:val="font41"/>
    <w:qFormat/>
    <w:uiPriority w:val="0"/>
    <w:rPr>
      <w:rFonts w:hint="eastAsia" w:ascii="宋体" w:hAnsi="宋体" w:eastAsia="宋体"/>
      <w:color w:val="000000"/>
      <w:sz w:val="20"/>
      <w:szCs w:val="20"/>
      <w:u w:val="none"/>
    </w:rPr>
  </w:style>
  <w:style w:type="character" w:customStyle="1" w:styleId="74">
    <w:name w:val="批注框文本 Char1"/>
    <w:qFormat/>
    <w:uiPriority w:val="0"/>
    <w:rPr>
      <w:rFonts w:ascii="Times New Roman" w:hAnsi="Times New Roman" w:eastAsia="宋体" w:cs="Times New Roman"/>
      <w:kern w:val="2"/>
      <w:sz w:val="18"/>
      <w:szCs w:val="18"/>
    </w:rPr>
  </w:style>
  <w:style w:type="character" w:customStyle="1" w:styleId="75">
    <w:name w:val="页眉 Char"/>
    <w:link w:val="22"/>
    <w:qFormat/>
    <w:uiPriority w:val="0"/>
    <w:rPr>
      <w:rFonts w:ascii="Times New Roman" w:hAnsi="Times New Roman" w:eastAsia="宋体" w:cs="Times New Roman"/>
      <w:sz w:val="18"/>
      <w:szCs w:val="18"/>
    </w:rPr>
  </w:style>
  <w:style w:type="character" w:customStyle="1" w:styleId="76">
    <w:name w:val="页眉 Char1"/>
    <w:qFormat/>
    <w:uiPriority w:val="0"/>
    <w:rPr>
      <w:rFonts w:ascii="Times New Roman" w:hAnsi="Times New Roman" w:eastAsia="宋体" w:cs="Times New Roman"/>
      <w:kern w:val="2"/>
      <w:sz w:val="18"/>
      <w:szCs w:val="18"/>
    </w:rPr>
  </w:style>
  <w:style w:type="character" w:customStyle="1" w:styleId="77">
    <w:name w:val="批注主题 Char"/>
    <w:link w:val="33"/>
    <w:qFormat/>
    <w:uiPriority w:val="0"/>
    <w:rPr>
      <w:rFonts w:ascii="Times New Roman" w:hAnsi="Times New Roman" w:eastAsia="宋体" w:cs="Times New Roman"/>
      <w:b/>
      <w:bCs/>
      <w:szCs w:val="24"/>
    </w:rPr>
  </w:style>
  <w:style w:type="character" w:customStyle="1" w:styleId="78">
    <w:name w:val="纯文本 Char1"/>
    <w:link w:val="79"/>
    <w:qFormat/>
    <w:uiPriority w:val="99"/>
    <w:rPr>
      <w:rFonts w:ascii="宋体" w:hAnsi="Courier New" w:eastAsia="宋体" w:cs="Times New Roman"/>
    </w:rPr>
  </w:style>
  <w:style w:type="paragraph" w:customStyle="1" w:styleId="79">
    <w:name w:val="纯文本1"/>
    <w:basedOn w:val="1"/>
    <w:link w:val="78"/>
    <w:qFormat/>
    <w:uiPriority w:val="99"/>
    <w:rPr>
      <w:rFonts w:ascii="宋体" w:hAnsi="Courier New"/>
      <w:szCs w:val="22"/>
    </w:rPr>
  </w:style>
  <w:style w:type="character" w:customStyle="1" w:styleId="80">
    <w:name w:val="批注主题 Char1"/>
    <w:qFormat/>
    <w:uiPriority w:val="0"/>
    <w:rPr>
      <w:rFonts w:ascii="Times New Roman" w:hAnsi="Times New Roman" w:eastAsia="宋体" w:cs="Times New Roman"/>
      <w:b/>
      <w:bCs/>
      <w:kern w:val="2"/>
      <w:sz w:val="21"/>
      <w:szCs w:val="24"/>
    </w:rPr>
  </w:style>
  <w:style w:type="character" w:customStyle="1" w:styleId="81">
    <w:name w:val="纯文本 Char"/>
    <w:link w:val="16"/>
    <w:qFormat/>
    <w:uiPriority w:val="0"/>
    <w:rPr>
      <w:rFonts w:ascii="宋体" w:hAnsi="Courier New" w:eastAsia="宋体" w:cs="Times New Roman"/>
    </w:rPr>
  </w:style>
  <w:style w:type="character" w:customStyle="1" w:styleId="82">
    <w:name w:val="批注文字 Char2"/>
    <w:basedOn w:val="43"/>
    <w:link w:val="10"/>
    <w:semiHidden/>
    <w:qFormat/>
    <w:uiPriority w:val="99"/>
    <w:rPr>
      <w:rFonts w:ascii="Times New Roman" w:hAnsi="Times New Roman" w:eastAsia="宋体" w:cs="Times New Roman"/>
      <w:szCs w:val="24"/>
    </w:rPr>
  </w:style>
  <w:style w:type="character" w:customStyle="1" w:styleId="83">
    <w:name w:val="批注主题 Char2"/>
    <w:basedOn w:val="82"/>
    <w:semiHidden/>
    <w:qFormat/>
    <w:uiPriority w:val="99"/>
    <w:rPr>
      <w:rFonts w:ascii="Times New Roman" w:hAnsi="Times New Roman" w:eastAsia="宋体" w:cs="Times New Roman"/>
      <w:b/>
      <w:bCs/>
      <w:szCs w:val="24"/>
    </w:rPr>
  </w:style>
  <w:style w:type="character" w:customStyle="1" w:styleId="84">
    <w:name w:val="纯文本 Char2"/>
    <w:basedOn w:val="43"/>
    <w:semiHidden/>
    <w:qFormat/>
    <w:uiPriority w:val="99"/>
    <w:rPr>
      <w:rFonts w:ascii="宋体" w:hAnsi="Courier New" w:eastAsia="宋体" w:cs="Courier New"/>
      <w:szCs w:val="21"/>
    </w:rPr>
  </w:style>
  <w:style w:type="character" w:customStyle="1" w:styleId="85">
    <w:name w:val="脚注文本 Char"/>
    <w:basedOn w:val="43"/>
    <w:link w:val="25"/>
    <w:qFormat/>
    <w:uiPriority w:val="0"/>
    <w:rPr>
      <w:rFonts w:ascii="Times New Roman" w:hAnsi="Times New Roman" w:eastAsia="宋体" w:cs="Times New Roman"/>
      <w:sz w:val="18"/>
      <w:szCs w:val="24"/>
    </w:rPr>
  </w:style>
  <w:style w:type="character" w:customStyle="1" w:styleId="86">
    <w:name w:val="正文文本 Char1"/>
    <w:basedOn w:val="43"/>
    <w:semiHidden/>
    <w:qFormat/>
    <w:uiPriority w:val="99"/>
    <w:rPr>
      <w:rFonts w:ascii="Times New Roman" w:hAnsi="Times New Roman" w:eastAsia="宋体" w:cs="Times New Roman"/>
      <w:szCs w:val="24"/>
    </w:rPr>
  </w:style>
  <w:style w:type="character" w:customStyle="1" w:styleId="87">
    <w:name w:val="正文文本缩进 Char"/>
    <w:basedOn w:val="43"/>
    <w:link w:val="13"/>
    <w:qFormat/>
    <w:uiPriority w:val="0"/>
    <w:rPr>
      <w:rFonts w:ascii="Times New Roman" w:hAnsi="Times New Roman" w:eastAsia="宋体" w:cs="Times New Roman"/>
      <w:sz w:val="24"/>
      <w:szCs w:val="24"/>
    </w:rPr>
  </w:style>
  <w:style w:type="character" w:customStyle="1" w:styleId="88">
    <w:name w:val="正文文本缩进 2 Char"/>
    <w:basedOn w:val="43"/>
    <w:link w:val="19"/>
    <w:qFormat/>
    <w:uiPriority w:val="0"/>
    <w:rPr>
      <w:rFonts w:ascii="仿宋_GB2312" w:hAnsi="Times New Roman" w:eastAsia="仿宋_GB2312" w:cs="Times New Roman"/>
      <w:sz w:val="24"/>
      <w:szCs w:val="24"/>
    </w:rPr>
  </w:style>
  <w:style w:type="character" w:customStyle="1" w:styleId="89">
    <w:name w:val="正文文本缩进 3 Char"/>
    <w:basedOn w:val="43"/>
    <w:link w:val="27"/>
    <w:qFormat/>
    <w:uiPriority w:val="0"/>
    <w:rPr>
      <w:rFonts w:ascii="宋体" w:hAnsi="Times New Roman" w:eastAsia="宋体" w:cs="Times New Roman"/>
      <w:kern w:val="0"/>
      <w:sz w:val="24"/>
      <w:szCs w:val="20"/>
    </w:rPr>
  </w:style>
  <w:style w:type="character" w:customStyle="1" w:styleId="90">
    <w:name w:val="日期 Char1"/>
    <w:basedOn w:val="43"/>
    <w:semiHidden/>
    <w:qFormat/>
    <w:uiPriority w:val="99"/>
    <w:rPr>
      <w:rFonts w:ascii="Times New Roman" w:hAnsi="Times New Roman" w:eastAsia="宋体" w:cs="Times New Roman"/>
      <w:szCs w:val="24"/>
    </w:rPr>
  </w:style>
  <w:style w:type="character" w:customStyle="1" w:styleId="91">
    <w:name w:val="批注框文本 Char2"/>
    <w:basedOn w:val="43"/>
    <w:semiHidden/>
    <w:qFormat/>
    <w:uiPriority w:val="99"/>
    <w:rPr>
      <w:rFonts w:ascii="Times New Roman" w:hAnsi="Times New Roman" w:eastAsia="宋体" w:cs="Times New Roman"/>
      <w:sz w:val="18"/>
      <w:szCs w:val="18"/>
    </w:rPr>
  </w:style>
  <w:style w:type="character" w:customStyle="1" w:styleId="92">
    <w:name w:val="页脚 Char1"/>
    <w:basedOn w:val="43"/>
    <w:semiHidden/>
    <w:qFormat/>
    <w:uiPriority w:val="99"/>
    <w:rPr>
      <w:rFonts w:ascii="Times New Roman" w:hAnsi="Times New Roman" w:eastAsia="宋体" w:cs="Times New Roman"/>
      <w:sz w:val="18"/>
      <w:szCs w:val="18"/>
    </w:rPr>
  </w:style>
  <w:style w:type="character" w:customStyle="1" w:styleId="93">
    <w:name w:val="页眉 Char2"/>
    <w:basedOn w:val="43"/>
    <w:semiHidden/>
    <w:qFormat/>
    <w:uiPriority w:val="99"/>
    <w:rPr>
      <w:rFonts w:ascii="Times New Roman" w:hAnsi="Times New Roman" w:eastAsia="宋体" w:cs="Times New Roman"/>
      <w:sz w:val="18"/>
      <w:szCs w:val="18"/>
    </w:rPr>
  </w:style>
  <w:style w:type="paragraph" w:styleId="9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自定义正文"/>
    <w:basedOn w:val="1"/>
    <w:qFormat/>
    <w:uiPriority w:val="0"/>
    <w:pPr>
      <w:spacing w:afterLines="50"/>
      <w:ind w:firstLine="200" w:firstLineChars="200"/>
    </w:pPr>
    <w:rPr>
      <w:rFonts w:ascii="Calibri" w:hAnsi="Calibri"/>
    </w:rPr>
  </w:style>
  <w:style w:type="character" w:customStyle="1" w:styleId="96">
    <w:name w:val="正文首行缩进 2 Char"/>
    <w:basedOn w:val="87"/>
    <w:link w:val="34"/>
    <w:qFormat/>
    <w:uiPriority w:val="0"/>
    <w:rPr>
      <w:rFonts w:ascii="Times New Roman" w:hAnsi="Times New Roman" w:eastAsia="宋体" w:cs="Times New Roman"/>
      <w:sz w:val="24"/>
      <w:szCs w:val="24"/>
    </w:rPr>
  </w:style>
  <w:style w:type="paragraph" w:customStyle="1" w:styleId="9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8">
    <w:name w:val="图例"/>
    <w:basedOn w:val="1"/>
    <w:qFormat/>
    <w:uiPriority w:val="0"/>
    <w:pPr>
      <w:spacing w:before="120" w:after="120"/>
      <w:jc w:val="center"/>
    </w:pPr>
    <w:rPr>
      <w:rFonts w:eastAsia="仿宋_GB2312"/>
      <w:b/>
      <w:szCs w:val="20"/>
    </w:rPr>
  </w:style>
  <w:style w:type="paragraph" w:customStyle="1" w:styleId="99">
    <w:name w:val="_Style 3"/>
    <w:basedOn w:val="1"/>
    <w:qFormat/>
    <w:uiPriority w:val="0"/>
    <w:pPr>
      <w:ind w:firstLine="420" w:firstLineChars="200"/>
    </w:pPr>
    <w:rPr>
      <w:rFonts w:ascii="Calibri" w:hAnsi="Calibri"/>
      <w:szCs w:val="22"/>
    </w:rPr>
  </w:style>
  <w:style w:type="paragraph" w:customStyle="1" w:styleId="100">
    <w:name w:val="WPSOffice手动目录 1"/>
    <w:qFormat/>
    <w:uiPriority w:val="0"/>
    <w:rPr>
      <w:rFonts w:ascii="Times New Roman" w:hAnsi="Times New Roman" w:eastAsia="宋体" w:cs="Times New Roman"/>
      <w:lang w:val="en-US" w:eastAsia="zh-CN" w:bidi="ar-SA"/>
    </w:rPr>
  </w:style>
  <w:style w:type="paragraph" w:customStyle="1" w:styleId="101">
    <w:name w:val="索引 11"/>
    <w:basedOn w:val="1"/>
    <w:next w:val="1"/>
    <w:qFormat/>
    <w:uiPriority w:val="0"/>
    <w:pPr>
      <w:spacing w:line="360" w:lineRule="auto"/>
    </w:pPr>
    <w:rPr>
      <w:rFonts w:ascii="仿宋_GB2312" w:eastAsia="仿宋_GB2312"/>
      <w:sz w:val="24"/>
      <w:szCs w:val="20"/>
    </w:rPr>
  </w:style>
  <w:style w:type="paragraph" w:customStyle="1" w:styleId="102">
    <w:name w:val="Char Char Char Char"/>
    <w:basedOn w:val="1"/>
    <w:qFormat/>
    <w:uiPriority w:val="0"/>
    <w:pPr>
      <w:tabs>
        <w:tab w:val="left" w:pos="360"/>
      </w:tabs>
      <w:ind w:firstLine="420" w:firstLineChars="150"/>
    </w:pPr>
  </w:style>
  <w:style w:type="paragraph" w:styleId="103">
    <w:name w:val="List Paragraph"/>
    <w:basedOn w:val="1"/>
    <w:qFormat/>
    <w:uiPriority w:val="0"/>
    <w:pPr>
      <w:widowControl/>
      <w:ind w:firstLine="420" w:firstLineChars="200"/>
      <w:jc w:val="left"/>
    </w:pPr>
    <w:rPr>
      <w:kern w:val="0"/>
      <w:sz w:val="24"/>
    </w:rPr>
  </w:style>
  <w:style w:type="paragraph" w:customStyle="1" w:styleId="104">
    <w:name w:val="Char"/>
    <w:basedOn w:val="1"/>
    <w:qFormat/>
    <w:uiPriority w:val="0"/>
    <w:pPr>
      <w:tabs>
        <w:tab w:val="left" w:pos="360"/>
      </w:tabs>
    </w:pPr>
    <w:rPr>
      <w:sz w:val="24"/>
    </w:rPr>
  </w:style>
  <w:style w:type="paragraph" w:customStyle="1" w:styleId="105">
    <w:name w:val="列出段落1"/>
    <w:basedOn w:val="1"/>
    <w:qFormat/>
    <w:uiPriority w:val="0"/>
    <w:pPr>
      <w:ind w:firstLine="420" w:firstLineChars="200"/>
    </w:pPr>
    <w:rPr>
      <w:rFonts w:ascii="Calibri" w:hAnsi="Calibri"/>
      <w:szCs w:val="22"/>
    </w:rPr>
  </w:style>
  <w:style w:type="table" w:customStyle="1" w:styleId="106">
    <w:name w:val="中等深浅网格 31"/>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10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0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09">
    <w:name w:val="font51"/>
    <w:basedOn w:val="43"/>
    <w:qFormat/>
    <w:uiPriority w:val="0"/>
    <w:rPr>
      <w:rFonts w:hint="eastAsia" w:ascii="宋体" w:hAnsi="宋体" w:eastAsia="宋体" w:cs="宋体"/>
      <w:color w:val="FF0000"/>
      <w:sz w:val="18"/>
      <w:szCs w:val="18"/>
      <w:u w:val="none"/>
    </w:rPr>
  </w:style>
  <w:style w:type="paragraph" w:customStyle="1" w:styleId="11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样式 标题 6 + 黑色"/>
    <w:basedOn w:val="7"/>
    <w:qFormat/>
    <w:uiPriority w:val="0"/>
    <w:pPr>
      <w:spacing w:before="120" w:after="60"/>
    </w:pPr>
    <w:rPr>
      <w:color w:val="000000"/>
      <w:sz w:val="28"/>
    </w:rPr>
  </w:style>
  <w:style w:type="character" w:customStyle="1" w:styleId="112">
    <w:name w:val="文档结构图 Char"/>
    <w:basedOn w:val="43"/>
    <w:link w:val="9"/>
    <w:semiHidden/>
    <w:qFormat/>
    <w:uiPriority w:val="99"/>
    <w:rPr>
      <w:rFonts w:ascii="宋体" w:hAnsi="Times New Roman"/>
      <w:kern w:val="2"/>
      <w:sz w:val="18"/>
      <w:szCs w:val="18"/>
    </w:rPr>
  </w:style>
  <w:style w:type="paragraph" w:customStyle="1" w:styleId="113">
    <w:name w:val="Normal"/>
    <w:qFormat/>
    <w:uiPriority w:val="0"/>
    <w:rPr>
      <w:rFonts w:ascii="Times New Roman" w:hAnsi="Times New Roman" w:eastAsia="Times New Roman" w:cs="Times New Roman"/>
      <w:sz w:val="24"/>
      <w:szCs w:val="24"/>
      <w:lang w:bidi="ar-SA"/>
    </w:rPr>
  </w:style>
  <w:style w:type="table" w:customStyle="1" w:styleId="114">
    <w:name w:val="Table Normal"/>
    <w:semiHidden/>
    <w:unhideWhenUsed/>
    <w:qFormat/>
    <w:uiPriority w:val="0"/>
    <w:tblPr>
      <w:tblCellMar>
        <w:top w:w="0" w:type="dxa"/>
        <w:left w:w="0" w:type="dxa"/>
        <w:bottom w:w="0" w:type="dxa"/>
        <w:right w:w="0" w:type="dxa"/>
      </w:tblCellMar>
    </w:tblPr>
  </w:style>
  <w:style w:type="character" w:customStyle="1" w:styleId="115">
    <w:name w:val="font21"/>
    <w:basedOn w:val="43"/>
    <w:qFormat/>
    <w:uiPriority w:val="0"/>
    <w:rPr>
      <w:rFonts w:hint="eastAsia" w:ascii="宋体" w:hAnsi="宋体" w:eastAsia="宋体" w:cs="宋体"/>
      <w:color w:val="000000"/>
      <w:sz w:val="20"/>
      <w:szCs w:val="20"/>
      <w:u w:val="none"/>
    </w:rPr>
  </w:style>
  <w:style w:type="character" w:customStyle="1" w:styleId="116">
    <w:name w:val="ant-tree-iconele"/>
    <w:basedOn w:val="43"/>
    <w:qFormat/>
    <w:uiPriority w:val="0"/>
  </w:style>
  <w:style w:type="character" w:customStyle="1" w:styleId="117">
    <w:name w:val="rc-tree-select-tree-iconele"/>
    <w:basedOn w:val="43"/>
    <w:qFormat/>
    <w:uiPriority w:val="0"/>
  </w:style>
  <w:style w:type="character" w:customStyle="1" w:styleId="118">
    <w:name w:val="rc-tree-select-tree-switcher_close"/>
    <w:basedOn w:val="43"/>
    <w:qFormat/>
    <w:uiPriority w:val="0"/>
  </w:style>
  <w:style w:type="character" w:customStyle="1" w:styleId="119">
    <w:name w:val="rc-tree-select-tree-checkbox-indeterminate"/>
    <w:basedOn w:val="43"/>
    <w:qFormat/>
    <w:uiPriority w:val="0"/>
  </w:style>
  <w:style w:type="character" w:customStyle="1" w:styleId="120">
    <w:name w:val="ant-tree-switcher-noop"/>
    <w:basedOn w:val="43"/>
    <w:qFormat/>
    <w:uiPriority w:val="0"/>
  </w:style>
  <w:style w:type="character" w:customStyle="1" w:styleId="121">
    <w:name w:val="rc-tree-select-tree-checkbox-checked"/>
    <w:basedOn w:val="43"/>
    <w:qFormat/>
    <w:uiPriority w:val="0"/>
  </w:style>
  <w:style w:type="character" w:customStyle="1" w:styleId="122">
    <w:name w:val="ant-tree-checkbox"/>
    <w:basedOn w:val="43"/>
    <w:qFormat/>
    <w:uiPriority w:val="0"/>
  </w:style>
  <w:style w:type="character" w:customStyle="1" w:styleId="123">
    <w:name w:val="rc-tree-select-tree-switcher-noop"/>
    <w:basedOn w:val="43"/>
    <w:qFormat/>
    <w:uiPriority w:val="0"/>
  </w:style>
  <w:style w:type="character" w:customStyle="1" w:styleId="124">
    <w:name w:val="ant-tree-switcher-disabled"/>
    <w:basedOn w:val="43"/>
    <w:qFormat/>
    <w:uiPriority w:val="0"/>
    <w:rPr>
      <w:shd w:val="clear" w:fill="FFFFFF"/>
    </w:rPr>
  </w:style>
  <w:style w:type="character" w:customStyle="1" w:styleId="125">
    <w:name w:val="ant-tree-switcher"/>
    <w:basedOn w:val="43"/>
    <w:qFormat/>
    <w:uiPriority w:val="0"/>
  </w:style>
  <w:style w:type="character" w:customStyle="1" w:styleId="126">
    <w:name w:val="rc-tree-select-tree-switcher_open"/>
    <w:basedOn w:val="43"/>
    <w:qFormat/>
    <w:uiPriority w:val="0"/>
  </w:style>
  <w:style w:type="character" w:customStyle="1" w:styleId="127">
    <w:name w:val="rc-tree-select-tree-switcher"/>
    <w:basedOn w:val="43"/>
    <w:qFormat/>
    <w:uiPriority w:val="0"/>
  </w:style>
  <w:style w:type="character" w:customStyle="1" w:styleId="128">
    <w:name w:val="rc-tree-select-tree-checkbox"/>
    <w:basedOn w:val="43"/>
    <w:qFormat/>
    <w:uiPriority w:val="0"/>
  </w:style>
  <w:style w:type="character" w:customStyle="1" w:styleId="129">
    <w:name w:val="rc-tree-select-tree-icon_loading"/>
    <w:basedOn w:val="43"/>
    <w:qFormat/>
    <w:uiPriority w:val="0"/>
  </w:style>
  <w:style w:type="character" w:customStyle="1" w:styleId="130">
    <w:name w:val="rc-tree-select-tree-checkbox-disabled"/>
    <w:basedOn w:val="43"/>
    <w:qFormat/>
    <w:uiPriority w:val="0"/>
  </w:style>
  <w:style w:type="character" w:customStyle="1" w:styleId="131">
    <w:name w:val="ant-breadcrumb-link1"/>
    <w:basedOn w:val="43"/>
    <w:qFormat/>
    <w:uiPriority w:val="0"/>
    <w:rPr>
      <w:sz w:val="21"/>
      <w:szCs w:val="21"/>
      <w:shd w:val="clear" w:fill="FFFFFF"/>
    </w:rPr>
  </w:style>
  <w:style w:type="character" w:customStyle="1" w:styleId="132">
    <w:name w:val="font71"/>
    <w:basedOn w:val="43"/>
    <w:qFormat/>
    <w:uiPriority w:val="0"/>
    <w:rPr>
      <w:rFonts w:hint="eastAsia" w:ascii="宋体" w:hAnsi="宋体" w:eastAsia="宋体" w:cs="宋体"/>
      <w:color w:val="000000"/>
      <w:sz w:val="24"/>
      <w:szCs w:val="24"/>
      <w:u w:val="none"/>
    </w:rPr>
  </w:style>
  <w:style w:type="character" w:customStyle="1" w:styleId="133">
    <w:name w:val="font81"/>
    <w:basedOn w:val="43"/>
    <w:qFormat/>
    <w:uiPriority w:val="0"/>
    <w:rPr>
      <w:rFonts w:hint="eastAsia" w:ascii="宋体" w:hAnsi="宋体" w:eastAsia="宋体" w:cs="宋体"/>
      <w:color w:val="000000"/>
      <w:sz w:val="24"/>
      <w:szCs w:val="24"/>
      <w:u w:val="none"/>
      <w:vertAlign w:val="superscript"/>
    </w:rPr>
  </w:style>
  <w:style w:type="character" w:customStyle="1" w:styleId="134">
    <w:name w:val="NormalCharacter"/>
    <w:link w:val="135"/>
    <w:qFormat/>
    <w:uiPriority w:val="0"/>
  </w:style>
  <w:style w:type="paragraph" w:customStyle="1" w:styleId="135">
    <w:name w:val="UserStyle_17"/>
    <w:basedOn w:val="1"/>
    <w:link w:val="134"/>
    <w:qFormat/>
    <w:uiPriority w:val="0"/>
    <w:pPr>
      <w:snapToGrid w:val="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39467</Words>
  <Characters>42046</Characters>
  <Lines>311</Lines>
  <Paragraphs>87</Paragraphs>
  <TotalTime>0</TotalTime>
  <ScaleCrop>false</ScaleCrop>
  <LinksUpToDate>false</LinksUpToDate>
  <CharactersWithSpaces>43188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ぉ兲眼淚ぉ◕ ̯͡◕</cp:lastModifiedBy>
  <cp:lastPrinted>2020-06-04T08:47:00Z</cp:lastPrinted>
  <dcterms:modified xsi:type="dcterms:W3CDTF">2022-06-16T10:52:30Z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EFE87D4A108B45448B4E4243C95BBE32</vt:lpwstr>
  </property>
</Properties>
</file>