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宋体" w:hAnsi="宋体" w:eastAsia="宋体" w:cs="宋体"/>
          <w:color w:val="000000" w:themeColor="text1"/>
          <w14:textFill>
            <w14:solidFill>
              <w14:schemeClr w14:val="tx1"/>
            </w14:solidFill>
          </w14:textFill>
        </w:rPr>
      </w:pPr>
    </w:p>
    <w:p>
      <w:pPr>
        <w:ind w:firstLine="1440" w:firstLineChars="200"/>
        <w:rPr>
          <w:rFonts w:hint="eastAsia" w:ascii="宋体" w:hAnsi="宋体" w:eastAsia="宋体" w:cs="宋体"/>
          <w:sz w:val="72"/>
          <w:szCs w:val="72"/>
        </w:rPr>
      </w:pPr>
    </w:p>
    <w:p>
      <w:pPr>
        <w:jc w:val="center"/>
        <w:rPr>
          <w:rFonts w:hint="eastAsia" w:ascii="宋体" w:hAnsi="宋体" w:eastAsia="宋体" w:cs="宋体"/>
          <w:b/>
          <w:bCs/>
          <w:sz w:val="84"/>
          <w:szCs w:val="84"/>
        </w:rPr>
      </w:pPr>
      <w:r>
        <w:rPr>
          <w:rFonts w:hint="eastAsia" w:ascii="宋体" w:hAnsi="宋体" w:eastAsia="宋体" w:cs="宋体"/>
          <w:b/>
          <w:bCs/>
          <w:sz w:val="84"/>
          <w:szCs w:val="84"/>
        </w:rPr>
        <w:t>招 标 文 件</w:t>
      </w:r>
    </w:p>
    <w:p>
      <w:pPr>
        <w:rPr>
          <w:rFonts w:hint="eastAsia" w:ascii="宋体" w:hAnsi="宋体" w:eastAsia="宋体" w:cs="宋体"/>
          <w:sz w:val="72"/>
          <w:szCs w:val="72"/>
        </w:rPr>
      </w:pPr>
    </w:p>
    <w:p>
      <w:pPr>
        <w:spacing w:line="660" w:lineRule="auto"/>
        <w:rPr>
          <w:rFonts w:hint="eastAsia" w:ascii="宋体" w:hAnsi="宋体" w:eastAsia="宋体" w:cs="宋体"/>
          <w:sz w:val="36"/>
          <w:szCs w:val="36"/>
        </w:rPr>
      </w:pPr>
    </w:p>
    <w:p>
      <w:pPr>
        <w:spacing w:line="660" w:lineRule="auto"/>
        <w:ind w:left="638" w:leftChars="290" w:firstLine="0" w:firstLineChars="0"/>
        <w:rPr>
          <w:rFonts w:hint="eastAsia" w:ascii="宋体" w:hAnsi="宋体" w:eastAsia="宋体" w:cs="宋体"/>
          <w:b/>
          <w:bCs/>
          <w:sz w:val="32"/>
          <w:szCs w:val="32"/>
          <w:lang w:eastAsia="zh-CN"/>
        </w:rPr>
      </w:pPr>
      <w:r>
        <w:rPr>
          <w:rFonts w:hint="eastAsia" w:ascii="宋体" w:hAnsi="宋体" w:eastAsia="宋体" w:cs="宋体"/>
          <w:b/>
          <w:bCs/>
          <w:sz w:val="32"/>
          <w:szCs w:val="32"/>
        </w:rPr>
        <w:t>项目名称：</w:t>
      </w:r>
      <w:r>
        <w:rPr>
          <w:rFonts w:hint="eastAsia" w:ascii="宋体" w:hAnsi="宋体" w:eastAsia="宋体" w:cs="宋体"/>
          <w:b/>
          <w:bCs/>
          <w:sz w:val="32"/>
          <w:szCs w:val="32"/>
          <w:lang w:eastAsia="zh-CN"/>
        </w:rPr>
        <w:t>“中华民族共同体历史哈密史证研究”项目</w:t>
      </w:r>
    </w:p>
    <w:p>
      <w:pPr>
        <w:spacing w:line="660" w:lineRule="auto"/>
        <w:ind w:left="638" w:leftChars="290" w:firstLine="0" w:firstLineChars="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项目编码</w:t>
      </w:r>
      <w:r>
        <w:rPr>
          <w:rFonts w:hint="eastAsia" w:ascii="宋体" w:hAnsi="宋体" w:eastAsia="宋体" w:cs="宋体"/>
          <w:b/>
          <w:bCs/>
          <w:sz w:val="32"/>
          <w:szCs w:val="32"/>
        </w:rPr>
        <w:t>：</w:t>
      </w:r>
      <w:r>
        <w:rPr>
          <w:rFonts w:hint="eastAsia" w:ascii="宋体" w:hAnsi="宋体" w:eastAsia="宋体" w:cs="宋体"/>
          <w:b/>
          <w:bCs/>
          <w:sz w:val="32"/>
          <w:szCs w:val="32"/>
          <w:lang w:eastAsia="zh-CN"/>
        </w:rPr>
        <w:t>HMFYZFCG-2022-012</w:t>
      </w:r>
    </w:p>
    <w:p>
      <w:pPr>
        <w:spacing w:line="660" w:lineRule="auto"/>
        <w:ind w:firstLine="643" w:firstLineChars="200"/>
        <w:rPr>
          <w:rFonts w:hint="eastAsia" w:ascii="宋体" w:hAnsi="宋体" w:eastAsia="宋体" w:cs="宋体"/>
          <w:b/>
          <w:bCs/>
          <w:sz w:val="32"/>
          <w:szCs w:val="32"/>
          <w:lang w:eastAsia="zh-CN"/>
        </w:rPr>
      </w:pPr>
      <w:r>
        <w:rPr>
          <w:rFonts w:hint="eastAsia" w:ascii="宋体" w:hAnsi="宋体" w:eastAsia="宋体" w:cs="宋体"/>
          <w:b/>
          <w:bCs/>
          <w:sz w:val="32"/>
          <w:szCs w:val="32"/>
        </w:rPr>
        <w:t>采购人：</w:t>
      </w:r>
      <w:r>
        <w:rPr>
          <w:rFonts w:hint="eastAsia" w:ascii="宋体" w:hAnsi="宋体" w:eastAsia="宋体" w:cs="宋体"/>
          <w:b/>
          <w:bCs/>
          <w:sz w:val="32"/>
          <w:szCs w:val="32"/>
          <w:lang w:eastAsia="zh-CN"/>
        </w:rPr>
        <w:t>中国人民政治协商会议哈密市委员会办公室</w:t>
      </w:r>
    </w:p>
    <w:p>
      <w:pPr>
        <w:spacing w:line="660" w:lineRule="auto"/>
        <w:jc w:val="center"/>
        <w:rPr>
          <w:rFonts w:hint="eastAsia" w:ascii="宋体" w:hAnsi="宋体" w:eastAsia="宋体" w:cs="宋体"/>
          <w:sz w:val="32"/>
          <w:szCs w:val="32"/>
        </w:rPr>
      </w:pPr>
    </w:p>
    <w:p>
      <w:pPr>
        <w:pStyle w:val="5"/>
        <w:spacing w:line="551" w:lineRule="exact"/>
        <w:ind w:right="554"/>
        <w:jc w:val="center"/>
        <w:rPr>
          <w:rFonts w:hint="eastAsia" w:ascii="宋体" w:hAnsi="宋体" w:eastAsia="宋体" w:cs="宋体"/>
          <w:lang w:val="en-US"/>
        </w:rPr>
      </w:pPr>
    </w:p>
    <w:p>
      <w:pPr>
        <w:pStyle w:val="5"/>
        <w:spacing w:line="551" w:lineRule="exact"/>
        <w:ind w:right="554"/>
        <w:jc w:val="center"/>
        <w:rPr>
          <w:rFonts w:hint="eastAsia" w:ascii="宋体" w:hAnsi="宋体" w:eastAsia="宋体" w:cs="宋体"/>
          <w:lang w:val="en-US"/>
        </w:rPr>
      </w:pPr>
    </w:p>
    <w:p>
      <w:pPr>
        <w:pStyle w:val="5"/>
        <w:spacing w:line="551" w:lineRule="exact"/>
        <w:ind w:right="554"/>
        <w:jc w:val="center"/>
        <w:rPr>
          <w:rFonts w:hint="eastAsia" w:ascii="宋体" w:hAnsi="宋体" w:eastAsia="宋体" w:cs="宋体"/>
          <w:b/>
          <w:color w:val="000000" w:themeColor="text1"/>
          <w:sz w:val="36"/>
          <w:szCs w:val="36"/>
          <w14:textFill>
            <w14:solidFill>
              <w14:schemeClr w14:val="tx1"/>
            </w14:solidFill>
          </w14:textFill>
        </w:rPr>
        <w:sectPr>
          <w:headerReference r:id="rId3" w:type="default"/>
          <w:footerReference r:id="rId4" w:type="default"/>
          <w:pgSz w:w="11910" w:h="16850"/>
          <w:pgMar w:top="1440" w:right="1587" w:bottom="1440" w:left="1253" w:header="877" w:footer="1068" w:gutter="0"/>
          <w:pgNumType w:fmt="decimal"/>
          <w:cols w:space="720" w:num="1"/>
        </w:sectPr>
      </w:pPr>
      <w:bookmarkStart w:id="0" w:name="_Toc27652"/>
      <w:r>
        <w:rPr>
          <w:rFonts w:hint="eastAsia" w:ascii="宋体" w:hAnsi="宋体" w:eastAsia="宋体" w:cs="宋体"/>
          <w:lang w:val="en-US" w:eastAsia="zh-CN"/>
        </w:rPr>
        <w:t xml:space="preserve"> </w:t>
      </w:r>
      <w:bookmarkStart w:id="1" w:name="_Toc11923"/>
      <w:r>
        <w:rPr>
          <w:rFonts w:hint="eastAsia" w:ascii="宋体" w:hAnsi="宋体" w:eastAsia="宋体" w:cs="宋体"/>
          <w:lang w:val="en-US"/>
        </w:rPr>
        <w:t>202</w:t>
      </w:r>
      <w:r>
        <w:rPr>
          <w:rFonts w:hint="eastAsia" w:ascii="宋体" w:hAnsi="宋体" w:eastAsia="宋体" w:cs="宋体"/>
          <w:lang w:val="en-US" w:eastAsia="zh-CN"/>
        </w:rPr>
        <w:t>2</w:t>
      </w:r>
      <w:r>
        <w:rPr>
          <w:rFonts w:hint="eastAsia" w:ascii="宋体" w:hAnsi="宋体" w:eastAsia="宋体" w:cs="宋体"/>
        </w:rPr>
        <w:t>年</w:t>
      </w:r>
      <w:r>
        <w:rPr>
          <w:rFonts w:hint="eastAsia" w:ascii="宋体" w:hAnsi="宋体" w:eastAsia="宋体" w:cs="宋体"/>
          <w:lang w:val="en-US"/>
        </w:rPr>
        <w:t>0</w:t>
      </w:r>
      <w:r>
        <w:rPr>
          <w:rFonts w:hint="eastAsia" w:ascii="宋体" w:hAnsi="宋体" w:eastAsia="宋体" w:cs="宋体"/>
          <w:lang w:val="en-US" w:eastAsia="zh-CN"/>
        </w:rPr>
        <w:t>5</w:t>
      </w:r>
      <w:r>
        <w:rPr>
          <w:rFonts w:hint="eastAsia" w:ascii="宋体" w:hAnsi="宋体" w:eastAsia="宋体" w:cs="宋体"/>
        </w:rPr>
        <w:t>月</w:t>
      </w:r>
      <w:bookmarkEnd w:id="0"/>
      <w:bookmarkEnd w:id="1"/>
    </w:p>
    <w:sdt>
      <w:sdtPr>
        <w:rPr>
          <w:rFonts w:hint="eastAsia" w:ascii="宋体" w:hAnsi="宋体" w:eastAsia="宋体" w:cs="宋体"/>
          <w:sz w:val="21"/>
        </w:rPr>
        <w:id w:val="147458080"/>
        <w:docPartObj>
          <w:docPartGallery w:val="Table of Contents"/>
          <w:docPartUnique/>
        </w:docPartObj>
      </w:sdtPr>
      <w:sdtEndPr>
        <w:rPr>
          <w:rFonts w:hint="eastAsia" w:ascii="宋体" w:hAnsi="宋体" w:eastAsia="宋体" w:cs="宋体"/>
          <w:color w:val="000000" w:themeColor="text1"/>
          <w:sz w:val="32"/>
          <w:szCs w:val="32"/>
          <w14:textFill>
            <w14:solidFill>
              <w14:schemeClr w14:val="tx1"/>
            </w14:solidFill>
          </w14:textFill>
        </w:rPr>
      </w:sdtEndPr>
      <w:sdtContent>
        <w:p>
          <w:pPr>
            <w:jc w:val="center"/>
            <w:rPr>
              <w:rFonts w:hint="eastAsia" w:ascii="宋体" w:hAnsi="宋体" w:eastAsia="宋体" w:cs="宋体"/>
              <w:b/>
              <w:bCs/>
              <w:sz w:val="36"/>
              <w:szCs w:val="36"/>
            </w:rPr>
          </w:pPr>
          <w:bookmarkStart w:id="2" w:name="_bookmark0"/>
          <w:bookmarkEnd w:id="2"/>
          <w:bookmarkStart w:id="3" w:name="第一章_投标邀请（招标公告）"/>
          <w:bookmarkEnd w:id="3"/>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16"/>
            <w:tabs>
              <w:tab w:val="right" w:leader="dot" w:pos="8736"/>
            </w:tabs>
          </w:pPr>
          <w:r>
            <w:rPr>
              <w:rFonts w:hint="eastAsia" w:ascii="宋体" w:hAnsi="宋体" w:eastAsia="宋体" w:cs="宋体"/>
              <w:b/>
              <w:color w:val="000000" w:themeColor="text1"/>
              <w14:textFill>
                <w14:solidFill>
                  <w14:schemeClr w14:val="tx1"/>
                </w14:solidFill>
              </w14:textFill>
            </w:rPr>
            <w:fldChar w:fldCharType="begin"/>
          </w:r>
          <w:r>
            <w:rPr>
              <w:rFonts w:hint="eastAsia" w:ascii="宋体" w:hAnsi="宋体" w:eastAsia="宋体" w:cs="宋体"/>
              <w:b/>
              <w:color w:val="000000" w:themeColor="text1"/>
              <w14:textFill>
                <w14:solidFill>
                  <w14:schemeClr w14:val="tx1"/>
                </w14:solidFill>
              </w14:textFill>
            </w:rPr>
            <w:instrText xml:space="preserve">TOC \o "1-1" \h \u </w:instrText>
          </w:r>
          <w:r>
            <w:rPr>
              <w:rFonts w:hint="eastAsia" w:ascii="宋体" w:hAnsi="宋体" w:eastAsia="宋体" w:cs="宋体"/>
              <w:b/>
              <w:color w:val="000000" w:themeColor="text1"/>
              <w14:textFill>
                <w14:solidFill>
                  <w14:schemeClr w14:val="tx1"/>
                </w14:solidFill>
              </w14:textFill>
            </w:rPr>
            <w:fldChar w:fldCharType="separate"/>
          </w:r>
        </w:p>
        <w:p>
          <w:pPr>
            <w:pStyle w:val="16"/>
            <w:tabs>
              <w:tab w:val="right" w:leader="dot" w:pos="873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_Toc1330 </w:instrText>
          </w:r>
          <w:r>
            <w:rPr>
              <w:rFonts w:hint="eastAsia" w:ascii="宋体" w:hAnsi="宋体" w:eastAsia="宋体" w:cs="宋体"/>
            </w:rPr>
            <w:fldChar w:fldCharType="separate"/>
          </w:r>
          <w:r>
            <w:rPr>
              <w:rFonts w:hint="default" w:ascii="宋体" w:hAnsi="宋体" w:eastAsia="Noto Sans Mono CJK JP Regular" w:cs="宋体"/>
            </w:rPr>
            <w:t xml:space="preserve">第一章 </w:t>
          </w:r>
          <w:r>
            <w:rPr>
              <w:rFonts w:hint="eastAsia" w:ascii="宋体" w:hAnsi="宋体" w:eastAsia="宋体" w:cs="宋体"/>
            </w:rPr>
            <w:t>招标公告</w:t>
          </w:r>
          <w:r>
            <w:tab/>
          </w:r>
          <w:r>
            <w:fldChar w:fldCharType="begin"/>
          </w:r>
          <w:r>
            <w:instrText xml:space="preserve"> PAGEREF _Toc1330 \h </w:instrText>
          </w:r>
          <w:r>
            <w:fldChar w:fldCharType="separate"/>
          </w:r>
          <w:r>
            <w:t>2</w:t>
          </w:r>
          <w:r>
            <w:fldChar w:fldCharType="end"/>
          </w:r>
          <w:r>
            <w:rPr>
              <w:rFonts w:hint="eastAsia" w:ascii="宋体" w:hAnsi="宋体" w:eastAsia="宋体" w:cs="宋体"/>
              <w:color w:val="000000" w:themeColor="text1"/>
              <w14:textFill>
                <w14:solidFill>
                  <w14:schemeClr w14:val="tx1"/>
                </w14:solidFill>
              </w14:textFill>
            </w:rPr>
            <w:fldChar w:fldCharType="end"/>
          </w:r>
        </w:p>
        <w:p>
          <w:pPr>
            <w:pStyle w:val="16"/>
            <w:tabs>
              <w:tab w:val="right" w:leader="dot" w:pos="873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_Toc20498 </w:instrText>
          </w:r>
          <w:r>
            <w:rPr>
              <w:rFonts w:hint="eastAsia" w:ascii="宋体" w:hAnsi="宋体" w:eastAsia="宋体" w:cs="宋体"/>
            </w:rPr>
            <w:fldChar w:fldCharType="separate"/>
          </w:r>
          <w:r>
            <w:rPr>
              <w:rFonts w:hint="eastAsia" w:ascii="宋体" w:hAnsi="宋体" w:eastAsia="宋体" w:cs="宋体"/>
            </w:rPr>
            <w:t>第二章 投标供应商须知前附表</w:t>
          </w:r>
          <w:r>
            <w:tab/>
          </w:r>
          <w:r>
            <w:fldChar w:fldCharType="begin"/>
          </w:r>
          <w:r>
            <w:instrText xml:space="preserve"> PAGEREF _Toc20498 \h </w:instrText>
          </w:r>
          <w:r>
            <w:fldChar w:fldCharType="separate"/>
          </w:r>
          <w:r>
            <w:t>4</w:t>
          </w:r>
          <w:r>
            <w:fldChar w:fldCharType="end"/>
          </w:r>
          <w:r>
            <w:rPr>
              <w:rFonts w:hint="eastAsia" w:ascii="宋体" w:hAnsi="宋体" w:eastAsia="宋体" w:cs="宋体"/>
              <w:color w:val="000000" w:themeColor="text1"/>
              <w14:textFill>
                <w14:solidFill>
                  <w14:schemeClr w14:val="tx1"/>
                </w14:solidFill>
              </w14:textFill>
            </w:rPr>
            <w:fldChar w:fldCharType="end"/>
          </w:r>
        </w:p>
        <w:p>
          <w:pPr>
            <w:pStyle w:val="16"/>
            <w:tabs>
              <w:tab w:val="right" w:leader="dot" w:pos="873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_Toc8165 </w:instrText>
          </w:r>
          <w:r>
            <w:rPr>
              <w:rFonts w:hint="eastAsia" w:ascii="宋体" w:hAnsi="宋体" w:eastAsia="宋体" w:cs="宋体"/>
            </w:rPr>
            <w:fldChar w:fldCharType="separate"/>
          </w:r>
          <w:r>
            <w:rPr>
              <w:rFonts w:hint="eastAsia" w:ascii="宋体" w:hAnsi="宋体" w:eastAsia="宋体" w:cs="宋体"/>
            </w:rPr>
            <w:t>第三章 投标供应商须知</w:t>
          </w:r>
          <w:r>
            <w:tab/>
          </w:r>
          <w:r>
            <w:fldChar w:fldCharType="begin"/>
          </w:r>
          <w:r>
            <w:instrText xml:space="preserve"> PAGEREF _Toc8165 \h </w:instrText>
          </w:r>
          <w:r>
            <w:fldChar w:fldCharType="separate"/>
          </w:r>
          <w:r>
            <w:t>10</w:t>
          </w:r>
          <w:r>
            <w:fldChar w:fldCharType="end"/>
          </w:r>
          <w:r>
            <w:rPr>
              <w:rFonts w:hint="eastAsia" w:ascii="宋体" w:hAnsi="宋体" w:eastAsia="宋体" w:cs="宋体"/>
              <w:color w:val="000000" w:themeColor="text1"/>
              <w14:textFill>
                <w14:solidFill>
                  <w14:schemeClr w14:val="tx1"/>
                </w14:solidFill>
              </w14:textFill>
            </w:rPr>
            <w:fldChar w:fldCharType="end"/>
          </w:r>
        </w:p>
        <w:p>
          <w:pPr>
            <w:pStyle w:val="16"/>
            <w:tabs>
              <w:tab w:val="right" w:leader="dot" w:pos="873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_Toc2311 </w:instrText>
          </w:r>
          <w:r>
            <w:rPr>
              <w:rFonts w:hint="eastAsia" w:ascii="宋体" w:hAnsi="宋体" w:eastAsia="宋体" w:cs="宋体"/>
            </w:rPr>
            <w:fldChar w:fldCharType="separate"/>
          </w:r>
          <w:r>
            <w:rPr>
              <w:rFonts w:hint="eastAsia" w:ascii="宋体" w:hAnsi="宋体" w:eastAsia="宋体" w:cs="宋体"/>
            </w:rPr>
            <w:t>第四章 评标办法</w:t>
          </w:r>
          <w:r>
            <w:tab/>
          </w:r>
          <w:r>
            <w:fldChar w:fldCharType="begin"/>
          </w:r>
          <w:r>
            <w:instrText xml:space="preserve"> PAGEREF _Toc2311 \h </w:instrText>
          </w:r>
          <w:r>
            <w:fldChar w:fldCharType="separate"/>
          </w:r>
          <w:r>
            <w:t>27</w:t>
          </w:r>
          <w:r>
            <w:fldChar w:fldCharType="end"/>
          </w:r>
          <w:r>
            <w:rPr>
              <w:rFonts w:hint="eastAsia" w:ascii="宋体" w:hAnsi="宋体" w:eastAsia="宋体" w:cs="宋体"/>
              <w:color w:val="000000" w:themeColor="text1"/>
              <w14:textFill>
                <w14:solidFill>
                  <w14:schemeClr w14:val="tx1"/>
                </w14:solidFill>
              </w14:textFill>
            </w:rPr>
            <w:fldChar w:fldCharType="end"/>
          </w:r>
        </w:p>
        <w:p>
          <w:pPr>
            <w:pStyle w:val="16"/>
            <w:tabs>
              <w:tab w:val="right" w:leader="dot" w:pos="873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_Toc17921 </w:instrText>
          </w:r>
          <w:r>
            <w:rPr>
              <w:rFonts w:hint="eastAsia" w:ascii="宋体" w:hAnsi="宋体" w:eastAsia="宋体" w:cs="宋体"/>
            </w:rPr>
            <w:fldChar w:fldCharType="separate"/>
          </w:r>
          <w:r>
            <w:rPr>
              <w:rFonts w:hint="eastAsia" w:ascii="宋体" w:hAnsi="宋体" w:eastAsia="宋体" w:cs="宋体"/>
            </w:rPr>
            <w:t>第五章</w:t>
          </w:r>
          <w:r>
            <w:rPr>
              <w:rFonts w:hint="eastAsia" w:ascii="宋体" w:hAnsi="宋体" w:eastAsia="宋体" w:cs="宋体"/>
              <w:lang w:val="en-US" w:eastAsia="zh-CN"/>
            </w:rPr>
            <w:t xml:space="preserve"> </w:t>
          </w:r>
          <w:r>
            <w:rPr>
              <w:rFonts w:hint="eastAsia" w:ascii="宋体" w:hAnsi="宋体" w:eastAsia="宋体" w:cs="宋体"/>
            </w:rPr>
            <w:t>采购合同</w:t>
          </w:r>
          <w:r>
            <w:tab/>
          </w:r>
          <w:r>
            <w:fldChar w:fldCharType="begin"/>
          </w:r>
          <w:r>
            <w:instrText xml:space="preserve"> PAGEREF _Toc17921 \h </w:instrText>
          </w:r>
          <w:r>
            <w:fldChar w:fldCharType="separate"/>
          </w:r>
          <w:r>
            <w:t>34</w:t>
          </w:r>
          <w:r>
            <w:fldChar w:fldCharType="end"/>
          </w:r>
          <w:r>
            <w:rPr>
              <w:rFonts w:hint="eastAsia" w:ascii="宋体" w:hAnsi="宋体" w:eastAsia="宋体" w:cs="宋体"/>
              <w:color w:val="000000" w:themeColor="text1"/>
              <w14:textFill>
                <w14:solidFill>
                  <w14:schemeClr w14:val="tx1"/>
                </w14:solidFill>
              </w14:textFill>
            </w:rPr>
            <w:fldChar w:fldCharType="end"/>
          </w:r>
        </w:p>
        <w:p>
          <w:pPr>
            <w:pStyle w:val="16"/>
            <w:tabs>
              <w:tab w:val="right" w:leader="dot" w:pos="873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_Toc24421 </w:instrText>
          </w:r>
          <w:r>
            <w:rPr>
              <w:rFonts w:hint="eastAsia" w:ascii="宋体" w:hAnsi="宋体" w:eastAsia="宋体" w:cs="宋体"/>
            </w:rPr>
            <w:fldChar w:fldCharType="separate"/>
          </w:r>
          <w:r>
            <w:rPr>
              <w:rFonts w:hint="eastAsia" w:ascii="宋体" w:hAnsi="宋体" w:eastAsia="宋体" w:cs="宋体"/>
              <w:bCs/>
            </w:rPr>
            <w:t xml:space="preserve">第六章 </w:t>
          </w:r>
          <w:r>
            <w:rPr>
              <w:rFonts w:hint="eastAsia" w:ascii="宋体" w:hAnsi="宋体" w:eastAsia="宋体" w:cs="宋体"/>
              <w:bCs/>
              <w:lang w:eastAsia="zh-CN"/>
            </w:rPr>
            <w:t>采购需求</w:t>
          </w:r>
          <w:r>
            <w:tab/>
          </w:r>
          <w:r>
            <w:fldChar w:fldCharType="begin"/>
          </w:r>
          <w:r>
            <w:instrText xml:space="preserve"> PAGEREF _Toc24421 \h </w:instrText>
          </w:r>
          <w:r>
            <w:fldChar w:fldCharType="separate"/>
          </w:r>
          <w:r>
            <w:t>36</w:t>
          </w:r>
          <w:r>
            <w:fldChar w:fldCharType="end"/>
          </w:r>
          <w:r>
            <w:rPr>
              <w:rFonts w:hint="eastAsia" w:ascii="宋体" w:hAnsi="宋体" w:eastAsia="宋体" w:cs="宋体"/>
              <w:color w:val="000000" w:themeColor="text1"/>
              <w14:textFill>
                <w14:solidFill>
                  <w14:schemeClr w14:val="tx1"/>
                </w14:solidFill>
              </w14:textFill>
            </w:rPr>
            <w:fldChar w:fldCharType="end"/>
          </w:r>
        </w:p>
        <w:p>
          <w:pPr>
            <w:pStyle w:val="16"/>
            <w:tabs>
              <w:tab w:val="right" w:leader="dot" w:pos="8736"/>
            </w:tabs>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rPr>
            <w:instrText xml:space="preserve"> HYPERLINK \l _Toc13813 </w:instrText>
          </w:r>
          <w:r>
            <w:rPr>
              <w:rFonts w:hint="eastAsia" w:ascii="宋体" w:hAnsi="宋体" w:eastAsia="宋体" w:cs="宋体"/>
            </w:rPr>
            <w:fldChar w:fldCharType="separate"/>
          </w:r>
          <w:r>
            <w:rPr>
              <w:rFonts w:hint="eastAsia" w:ascii="宋体" w:hAnsi="宋体" w:eastAsia="宋体" w:cs="宋体"/>
            </w:rPr>
            <w:t>第七章 投标文件格式</w:t>
          </w:r>
          <w:r>
            <w:tab/>
          </w:r>
          <w:r>
            <w:fldChar w:fldCharType="begin"/>
          </w:r>
          <w:r>
            <w:instrText xml:space="preserve"> PAGEREF _Toc13813 \h </w:instrText>
          </w:r>
          <w:r>
            <w:fldChar w:fldCharType="separate"/>
          </w:r>
          <w:r>
            <w:t>40</w:t>
          </w:r>
          <w:r>
            <w:fldChar w:fldCharType="end"/>
          </w:r>
          <w:r>
            <w:rPr>
              <w:rFonts w:hint="eastAsia" w:ascii="宋体" w:hAnsi="宋体" w:eastAsia="宋体" w:cs="宋体"/>
              <w:color w:val="000000" w:themeColor="text1"/>
              <w14:textFill>
                <w14:solidFill>
                  <w14:schemeClr w14:val="tx1"/>
                </w14:solidFill>
              </w14:textFill>
            </w:rPr>
            <w:fldChar w:fldCharType="end"/>
          </w:r>
        </w:p>
        <w:p>
          <w:pPr>
            <w:pStyle w:val="16"/>
            <w:tabs>
              <w:tab w:val="right" w:leader="dot" w:pos="8736"/>
            </w:tabs>
          </w:pPr>
        </w:p>
        <w:p>
          <w:pPr>
            <w:pStyle w:val="5"/>
            <w:ind w:right="416" w:rightChars="189"/>
            <w:rPr>
              <w:rFonts w:hint="eastAsia" w:ascii="宋体" w:hAnsi="宋体" w:eastAsia="宋体" w:cs="宋体"/>
              <w:b/>
              <w:color w:val="000000" w:themeColor="text1"/>
              <w14:textFill>
                <w14:solidFill>
                  <w14:schemeClr w14:val="tx1"/>
                </w14:solidFill>
              </w14:textFill>
            </w:rPr>
            <w:sectPr>
              <w:footerReference r:id="rId5" w:type="default"/>
              <w:pgSz w:w="11910" w:h="16850"/>
              <w:pgMar w:top="1440" w:right="1587" w:bottom="1440" w:left="1587" w:header="879" w:footer="1066" w:gutter="0"/>
              <w:pgNumType w:fmt="decimal" w:start="1"/>
              <w:cols w:space="720" w:num="1"/>
            </w:sectPr>
          </w:pPr>
          <w:r>
            <w:rPr>
              <w:rFonts w:hint="eastAsia" w:ascii="宋体" w:hAnsi="宋体" w:eastAsia="宋体" w:cs="宋体"/>
              <w:color w:val="000000" w:themeColor="text1"/>
              <w14:textFill>
                <w14:solidFill>
                  <w14:schemeClr w14:val="tx1"/>
                </w14:solidFill>
              </w14:textFill>
            </w:rPr>
            <w:fldChar w:fldCharType="end"/>
          </w:r>
        </w:p>
      </w:sdtContent>
    </w:sdt>
    <w:p>
      <w:pPr>
        <w:pStyle w:val="5"/>
        <w:numPr>
          <w:ilvl w:val="0"/>
          <w:numId w:val="1"/>
        </w:numPr>
        <w:ind w:right="416" w:rightChars="189"/>
        <w:jc w:val="both"/>
        <w:rPr>
          <w:rFonts w:hint="eastAsia" w:ascii="宋体" w:hAnsi="宋体" w:eastAsia="宋体" w:cs="宋体"/>
          <w:b/>
          <w:color w:val="000000" w:themeColor="text1"/>
          <w14:textFill>
            <w14:solidFill>
              <w14:schemeClr w14:val="tx1"/>
            </w14:solidFill>
          </w14:textFill>
        </w:rPr>
      </w:pPr>
      <w:bookmarkStart w:id="4" w:name="_Toc1330"/>
      <w:r>
        <w:rPr>
          <w:rFonts w:hint="eastAsia" w:ascii="宋体" w:hAnsi="宋体" w:eastAsia="宋体" w:cs="宋体"/>
          <w:b/>
          <w:color w:val="000000" w:themeColor="text1"/>
          <w14:textFill>
            <w14:solidFill>
              <w14:schemeClr w14:val="tx1"/>
            </w14:solidFill>
          </w14:textFill>
        </w:rPr>
        <w:t>招标公告</w:t>
      </w:r>
      <w:bookmarkEnd w:id="4"/>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哈密丰远造价咨询有限责任公司</w:t>
      </w: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b/>
          <w:bCs/>
          <w:sz w:val="24"/>
          <w:szCs w:val="24"/>
          <w:lang w:eastAsia="zh-CN"/>
        </w:rPr>
        <w:t>中国人民政治协商会议哈密市委员会办公室</w:t>
      </w:r>
      <w:r>
        <w:rPr>
          <w:rFonts w:hint="eastAsia" w:ascii="宋体" w:hAnsi="宋体" w:eastAsia="宋体" w:cs="宋体"/>
          <w:color w:val="000000" w:themeColor="text1"/>
          <w:sz w:val="24"/>
          <w:szCs w:val="24"/>
          <w14:textFill>
            <w14:solidFill>
              <w14:schemeClr w14:val="tx1"/>
            </w14:solidFill>
          </w14:textFill>
        </w:rPr>
        <w:t>委托，对</w:t>
      </w:r>
      <w:r>
        <w:rPr>
          <w:rFonts w:hint="eastAsia" w:ascii="宋体" w:hAnsi="宋体" w:eastAsia="宋体" w:cs="宋体"/>
          <w:b/>
          <w:bCs/>
          <w:sz w:val="24"/>
          <w:szCs w:val="24"/>
          <w:lang w:eastAsia="zh-CN"/>
        </w:rPr>
        <w:t>“中华民族共同体历史哈密史证研究”项目</w:t>
      </w:r>
      <w:r>
        <w:rPr>
          <w:rFonts w:hint="eastAsia" w:ascii="宋体" w:hAnsi="宋体" w:eastAsia="宋体" w:cs="宋体"/>
          <w:color w:val="000000" w:themeColor="text1"/>
          <w:sz w:val="24"/>
          <w:szCs w:val="24"/>
          <w14:textFill>
            <w14:solidFill>
              <w14:schemeClr w14:val="tx1"/>
            </w14:solidFill>
          </w14:textFill>
        </w:rPr>
        <w:t>进行国内公开招标采购，现邀请合格的投标人参加本项目投标。</w:t>
      </w:r>
    </w:p>
    <w:p>
      <w:pPr>
        <w:keepNext w:val="0"/>
        <w:keepLines w:val="0"/>
        <w:pageBreakBefore w:val="0"/>
        <w:widowControl/>
        <w:numPr>
          <w:ilvl w:val="0"/>
          <w:numId w:val="0"/>
        </w:numPr>
        <w:kinsoku/>
        <w:wordWrap/>
        <w:overflowPunct/>
        <w:topLinePunct w:val="0"/>
        <w:autoSpaceDE w:val="0"/>
        <w:autoSpaceDN w:val="0"/>
        <w:bidi w:val="0"/>
        <w:adjustRightInd/>
        <w:snapToGrid/>
        <w:spacing w:line="460" w:lineRule="exact"/>
        <w:ind w:right="565" w:rightChars="257" w:firstLine="482"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项目基本情况</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1、项目名称：</w:t>
      </w:r>
      <w:r>
        <w:rPr>
          <w:rFonts w:hint="eastAsia" w:ascii="宋体" w:hAnsi="宋体" w:eastAsia="宋体" w:cs="宋体"/>
          <w:color w:val="000000" w:themeColor="text1"/>
          <w:sz w:val="24"/>
          <w:szCs w:val="24"/>
          <w:lang w:eastAsia="zh-CN"/>
          <w14:textFill>
            <w14:solidFill>
              <w14:schemeClr w14:val="tx1"/>
            </w14:solidFill>
          </w14:textFill>
        </w:rPr>
        <w:t>“中华民族共同体历史哈密史证研究”项目</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2、项目编号：</w:t>
      </w:r>
      <w:r>
        <w:rPr>
          <w:rFonts w:hint="eastAsia" w:ascii="宋体" w:hAnsi="宋体" w:eastAsia="宋体" w:cs="宋体"/>
          <w:color w:val="000000" w:themeColor="text1"/>
          <w:sz w:val="24"/>
          <w:szCs w:val="24"/>
          <w:lang w:eastAsia="zh-CN"/>
          <w14:textFill>
            <w14:solidFill>
              <w14:schemeClr w14:val="tx1"/>
            </w14:solidFill>
          </w14:textFill>
        </w:rPr>
        <w:t>HMFYZFCG-2022-012</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3、采购单位：</w:t>
      </w:r>
      <w:r>
        <w:rPr>
          <w:rFonts w:hint="eastAsia" w:ascii="宋体" w:hAnsi="宋体" w:eastAsia="宋体" w:cs="宋体"/>
          <w:color w:val="000000" w:themeColor="text1"/>
          <w:sz w:val="24"/>
          <w:szCs w:val="24"/>
          <w:lang w:eastAsia="zh-CN"/>
          <w14:textFill>
            <w14:solidFill>
              <w14:schemeClr w14:val="tx1"/>
            </w14:solidFill>
          </w14:textFill>
        </w:rPr>
        <w:t>中国人民政治协商会议哈密市委员会办公室</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both"/>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4、代理机构：</w:t>
      </w:r>
      <w:r>
        <w:rPr>
          <w:rFonts w:hint="eastAsia" w:ascii="宋体" w:hAnsi="宋体" w:eastAsia="宋体" w:cs="宋体"/>
          <w:color w:val="000000" w:themeColor="text1"/>
          <w:sz w:val="24"/>
          <w:szCs w:val="24"/>
          <w:lang w:eastAsia="zh-CN"/>
          <w14:textFill>
            <w14:solidFill>
              <w14:schemeClr w14:val="tx1"/>
            </w14:solidFill>
          </w14:textFill>
        </w:rPr>
        <w:t>哈密丰远造价咨询有限责任公司</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5、采购内容：</w:t>
      </w:r>
      <w:r>
        <w:rPr>
          <w:rFonts w:hint="eastAsia" w:ascii="宋体" w:hAnsi="宋体" w:eastAsia="宋体" w:cs="宋体"/>
          <w:color w:val="000000" w:themeColor="text1"/>
          <w:sz w:val="24"/>
          <w:szCs w:val="24"/>
          <w:lang w:val="en-US"/>
          <w14:textFill>
            <w14:solidFill>
              <w14:schemeClr w14:val="tx1"/>
            </w14:solidFill>
          </w14:textFill>
        </w:rPr>
        <w:t>哈密河流域历史文化文献整理项目；哈密爱国</w:t>
      </w:r>
      <w:r>
        <w:rPr>
          <w:rFonts w:hint="eastAsia" w:ascii="宋体" w:hAnsi="宋体" w:eastAsia="宋体" w:cs="宋体"/>
          <w:color w:val="000000" w:themeColor="text1"/>
          <w:sz w:val="24"/>
          <w:szCs w:val="24"/>
          <w:lang w:val="en-US" w:eastAsia="zh-CN"/>
          <w14:textFill>
            <w14:solidFill>
              <w14:schemeClr w14:val="tx1"/>
            </w14:solidFill>
          </w14:textFill>
        </w:rPr>
        <w:t>主</w:t>
      </w:r>
      <w:r>
        <w:rPr>
          <w:rFonts w:hint="eastAsia" w:ascii="宋体" w:hAnsi="宋体" w:eastAsia="宋体" w:cs="宋体"/>
          <w:color w:val="000000" w:themeColor="text1"/>
          <w:sz w:val="24"/>
          <w:szCs w:val="24"/>
          <w:lang w:val="en-US"/>
          <w14:textFill>
            <w14:solidFill>
              <w14:schemeClr w14:val="tx1"/>
            </w14:solidFill>
          </w14:textFill>
        </w:rPr>
        <w:t>义教育红色文化研究；研究成果展示、传播的规划、方案和建议；哈密河流域和星星峡、大南湖、七角井区域等不可移动文物为重点的全市域文化遗产田野调查及普查。</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6、供货地点：采购单位指定地点；</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both"/>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7、预算金额：</w:t>
      </w:r>
      <w:r>
        <w:rPr>
          <w:rFonts w:hint="eastAsia" w:ascii="宋体" w:hAnsi="宋体" w:eastAsia="宋体" w:cs="宋体"/>
          <w:color w:val="000000" w:themeColor="text1"/>
          <w:sz w:val="24"/>
          <w:szCs w:val="24"/>
          <w:lang w:val="en-US" w:eastAsia="zh-CN"/>
          <w14:textFill>
            <w14:solidFill>
              <w14:schemeClr w14:val="tx1"/>
            </w14:solidFill>
          </w14:textFill>
        </w:rPr>
        <w:t>2200000.00</w:t>
      </w:r>
      <w:r>
        <w:rPr>
          <w:rFonts w:hint="eastAsia" w:ascii="宋体" w:hAnsi="宋体" w:eastAsia="宋体" w:cs="宋体"/>
          <w:color w:val="000000" w:themeColor="text1"/>
          <w:sz w:val="24"/>
          <w:szCs w:val="24"/>
          <w:lang w:val="en-US"/>
          <w14:textFill>
            <w14:solidFill>
              <w14:schemeClr w14:val="tx1"/>
            </w14:solidFill>
          </w14:textFill>
        </w:rPr>
        <w:t>元</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C00000"/>
          <w:sz w:val="24"/>
          <w:szCs w:val="24"/>
        </w:rPr>
        <w:t>资金来源：</w:t>
      </w:r>
      <w:r>
        <w:rPr>
          <w:rFonts w:hint="eastAsia" w:ascii="宋体" w:hAnsi="宋体" w:eastAsia="宋体" w:cs="宋体"/>
          <w:color w:val="C00000"/>
          <w:sz w:val="24"/>
          <w:szCs w:val="24"/>
          <w:lang w:eastAsia="zh-CN"/>
        </w:rPr>
        <w:t>河南援疆资金和其他资金</w:t>
      </w:r>
      <w:r>
        <w:rPr>
          <w:rFonts w:hint="eastAsia" w:ascii="宋体" w:hAnsi="宋体" w:eastAsia="宋体" w:cs="宋体"/>
          <w:color w:val="C00000"/>
          <w:sz w:val="24"/>
          <w:szCs w:val="24"/>
        </w:rPr>
        <w:t>。</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2"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二、投标人资格要求</w:t>
      </w:r>
    </w:p>
    <w:p>
      <w:pPr>
        <w:keepNext w:val="0"/>
        <w:keepLines w:val="0"/>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投标人准备的投标资格证明文件应按下列顺序提供</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000000" w:themeColor="text1"/>
          <w:spacing w:val="0"/>
          <w:kern w:val="0"/>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1、合格有效的三证合一的营业执照（三证合一）副本（原件）</w:t>
      </w:r>
      <w:r>
        <w:rPr>
          <w:rFonts w:hint="eastAsia" w:ascii="宋体" w:hAnsi="宋体" w:eastAsia="宋体" w:cs="宋体"/>
          <w:sz w:val="24"/>
          <w:szCs w:val="24"/>
          <w:lang w:val="en-US" w:eastAsia="zh-CN"/>
        </w:rPr>
        <w:t>或事业单位法人证书（原件）或</w:t>
      </w:r>
      <w:r>
        <w:rPr>
          <w:rFonts w:hint="eastAsia" w:ascii="宋体" w:hAnsi="宋体" w:eastAsia="宋体" w:cs="宋体"/>
          <w:color w:val="000000" w:themeColor="text1"/>
          <w:sz w:val="24"/>
          <w:szCs w:val="24"/>
          <w:lang w:val="en-US"/>
          <w14:textFill>
            <w14:solidFill>
              <w14:schemeClr w14:val="tx1"/>
            </w14:solidFill>
          </w14:textFill>
        </w:rPr>
        <w:t>同等法律效力的证明文件（发证机关或公证机关出具的证明材料原件）；投标人必须满足《中华人民共和国政府采购法》第二十二条要求，法定代表人（或企业负责人）授权书（见投标文件格式二，自</w:t>
      </w:r>
      <w:r>
        <w:rPr>
          <w:rFonts w:hint="eastAsia" w:ascii="宋体" w:hAnsi="宋体" w:eastAsia="宋体" w:cs="宋体"/>
          <w:color w:val="000000" w:themeColor="text1"/>
          <w:spacing w:val="0"/>
          <w:kern w:val="0"/>
          <w:sz w:val="24"/>
          <w:szCs w:val="24"/>
          <w:lang w:val="en-US" w:eastAsia="zh-CN" w:bidi="zh-CN"/>
          <w14:textFill>
            <w14:solidFill>
              <w14:schemeClr w14:val="tx1"/>
            </w14:solidFill>
          </w14:textFill>
        </w:rPr>
        <w:t>然人投标的无需提供）；</w:t>
      </w:r>
    </w:p>
    <w:p>
      <w:pPr>
        <w:keepNext w:val="0"/>
        <w:keepLines w:val="0"/>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000000" w:themeColor="text1"/>
          <w:spacing w:val="0"/>
          <w:kern w:val="0"/>
          <w:sz w:val="24"/>
          <w:szCs w:val="24"/>
          <w:lang w:val="en-US" w:eastAsia="zh-CN" w:bidi="zh-CN"/>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zh-CN"/>
          <w14:textFill>
            <w14:solidFill>
              <w14:schemeClr w14:val="tx1"/>
            </w14:solidFill>
          </w14:textFill>
        </w:rPr>
        <w:t>2、法人（或企业负责人）代表资格证明书或法人（或企业负责人）授权委托书原件及其人员有效证件（如身份证原件）；</w:t>
      </w:r>
    </w:p>
    <w:p>
      <w:pPr>
        <w:keepNext w:val="0"/>
        <w:keepLines w:val="0"/>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14:textFill>
            <w14:solidFill>
              <w14:schemeClr w14:val="tx1"/>
            </w14:solidFill>
          </w14:textFill>
        </w:rPr>
        <w:t>人员组成：参加人员及项目负责人须经验丰富，必须从事文史研究工作5年以上。其中项目负责人必须为正高级职称，团队成员博士或高级职称以上人员不低于5人（</w:t>
      </w:r>
      <w:r>
        <w:rPr>
          <w:rFonts w:hint="eastAsia"/>
          <w:lang w:val="en-US"/>
        </w:rPr>
        <w:t>含</w:t>
      </w:r>
      <w:bookmarkStart w:id="127" w:name="_GoBack"/>
      <w:bookmarkEnd w:id="127"/>
      <w:r>
        <w:rPr>
          <w:rFonts w:hint="eastAsia"/>
          <w:lang w:val="en-US"/>
        </w:rPr>
        <w:t>外聘</w:t>
      </w:r>
      <w:r>
        <w:rPr>
          <w:rFonts w:hint="eastAsia"/>
          <w:lang w:val="en-US" w:eastAsia="zh-CN"/>
        </w:rPr>
        <w:t>证明材料</w:t>
      </w:r>
      <w:r>
        <w:rPr>
          <w:rFonts w:hint="eastAsia" w:ascii="宋体" w:hAnsi="宋体" w:eastAsia="宋体" w:cs="宋体"/>
          <w:color w:val="000000" w:themeColor="text1"/>
          <w:sz w:val="24"/>
          <w:szCs w:val="24"/>
          <w:lang w:val="en-US"/>
          <w14:textFill>
            <w14:solidFill>
              <w14:schemeClr w14:val="tx1"/>
            </w14:solidFill>
          </w14:textFill>
        </w:rPr>
        <w:t>）。须提供相应资质原件及负责过项目的印证资料原件或复印件加盖公章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14:textFill>
            <w14:solidFill>
              <w14:schemeClr w14:val="tx1"/>
            </w14:solidFill>
          </w14:textFill>
        </w:rPr>
        <w:t>、须有依法缴纳税收的证明（税务部门出具的完税凭证或缴税证明或银行出具的“银行电子缴税付款凭证”）</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（原件、复印件、影印件均可）</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14:textFill>
            <w14:solidFill>
              <w14:schemeClr w14:val="tx1"/>
            </w14:solidFill>
          </w14:textFill>
        </w:rPr>
        <w:t>、最近（202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14:textFill>
            <w14:solidFill>
              <w14:schemeClr w14:val="tx1"/>
            </w14:solidFill>
          </w14:textFill>
        </w:rPr>
        <w:t>月以来）连续三个月依法缴纳社会保障金的缴费证明；（原件、复印件、影印件均可）</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0" w:firstLineChars="200"/>
        <w:jc w:val="both"/>
        <w:textAlignment w:val="auto"/>
        <w:rPr>
          <w:rFonts w:hint="default" w:ascii="宋体" w:hAnsi="宋体" w:eastAsia="宋体" w:cs="宋体"/>
          <w:color w:val="000000" w:themeColor="text1"/>
          <w:sz w:val="24"/>
          <w:szCs w:val="24"/>
          <w:lang w:val="en-US"/>
          <w14:textFill>
            <w14:gradFill>
              <w14:gsLst>
                <w14:gs w14:pos="0">
                  <w14:srgbClr w14:val="E30000"/>
                </w14:gs>
                <w14:gs w14:pos="100000">
                  <w14:srgbClr w14:val="760303"/>
                </w14:gs>
              </w14:gsLst>
              <w14:lin w14:scaled="0"/>
            </w14:gra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14:textFill>
            <w14:solidFill>
              <w14:schemeClr w14:val="tx1"/>
            </w14:solidFill>
          </w14:textFill>
        </w:rPr>
        <w:t>、良好的商业信誉和健全的财务会计制度证明材料（会计师事务所出具的20</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val="en-US"/>
          <w14:textFill>
            <w14:solidFill>
              <w14:schemeClr w14:val="tx1"/>
            </w14:solidFill>
          </w14:textFill>
        </w:rPr>
        <w:t>年的年度财务审计报告书</w:t>
      </w:r>
      <w:r>
        <w:rPr>
          <w:rFonts w:hint="eastAsia" w:ascii="宋体" w:hAnsi="宋体" w:eastAsia="宋体" w:cs="宋体"/>
          <w:color w:val="000000" w:themeColor="text1"/>
          <w:sz w:val="24"/>
          <w:szCs w:val="24"/>
          <w:lang w:val="en-US" w:eastAsia="zh-CN"/>
          <w14:textFill>
            <w14:solidFill>
              <w14:schemeClr w14:val="tx1"/>
            </w14:solidFill>
          </w14:textFill>
        </w:rPr>
        <w:t>或财务报表的</w:t>
      </w:r>
      <w:r>
        <w:rPr>
          <w:rFonts w:hint="eastAsia" w:ascii="宋体" w:hAnsi="宋体" w:eastAsia="宋体" w:cs="宋体"/>
          <w:color w:val="000000" w:themeColor="text1"/>
          <w:sz w:val="24"/>
          <w:szCs w:val="24"/>
          <w:lang w:val="en-US"/>
          <w14:textFill>
            <w14:solidFill>
              <w14:schemeClr w14:val="tx1"/>
            </w14:solidFill>
          </w14:textFill>
        </w:rPr>
        <w:t>原件或影印件</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在“信用中国”网站（www.creditchina.gov.cn）、中国政府采购网（www.ccgp.gov.cn）没有被列入失信被执行人、重大税收违法案件当事人名单、政府采购严重违法失信行为记录名单及其他不符合规定条件的申请人（提供查询结果（网页截图并加盖供应商公章）。</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供应商需在国家发改委、自治区发改委及哈密市发改委备案通过的信用服务机构中任意一级备案，并有相关机构出具近期有效的信用评级报告都认可（事业单位无需提供信用评级报告）。出具信用评级报告的机构名单公示在：“信用哈密”网站-信用公示栏目-信用服务机构公示。网址：</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"http://xyhami.creditxj.gov.cn/。"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http://xyhami.creditxj.gov.cn/。</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2"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三、投标报名时间及地点</w:t>
      </w:r>
    </w:p>
    <w:p>
      <w:pPr>
        <w:keepNext w:val="0"/>
        <w:keepLines w:val="0"/>
        <w:pageBreakBefore w:val="0"/>
        <w:widowControl/>
        <w:kinsoku/>
        <w:wordWrap/>
        <w:overflowPunct/>
        <w:topLinePunct w:val="0"/>
        <w:autoSpaceDE w:val="0"/>
        <w:autoSpaceDN w:val="0"/>
        <w:bidi w:val="0"/>
        <w:adjustRightInd/>
        <w:snapToGrid/>
        <w:spacing w:line="460" w:lineRule="exact"/>
        <w:ind w:left="565" w:leftChars="257" w:right="565" w:rightChars="257" w:firstLine="436" w:firstLineChars="182"/>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1、报名及购买招标文件时间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 xml:space="preserve">至2022年6月13日 </w:t>
      </w:r>
      <w:r>
        <w:rPr>
          <w:rFonts w:hint="eastAsia" w:ascii="宋体" w:hAnsi="宋体" w:eastAsia="宋体" w:cs="宋体"/>
          <w:color w:val="000000" w:themeColor="text1"/>
          <w:sz w:val="24"/>
          <w:szCs w:val="24"/>
          <w:lang w:val="en-US"/>
          <w14:textFill>
            <w14:solidFill>
              <w14:schemeClr w14:val="tx1"/>
            </w14:solidFill>
          </w14:textFill>
        </w:rPr>
        <w:t>（北京时间）</w:t>
      </w:r>
    </w:p>
    <w:p>
      <w:pPr>
        <w:keepNext w:val="0"/>
        <w:keepLines w:val="0"/>
        <w:pageBreakBefore w:val="0"/>
        <w:widowControl/>
        <w:kinsoku/>
        <w:wordWrap/>
        <w:overflowPunct/>
        <w:topLinePunct w:val="0"/>
        <w:autoSpaceDE w:val="0"/>
        <w:autoSpaceDN w:val="0"/>
        <w:bidi w:val="0"/>
        <w:adjustRightInd/>
        <w:snapToGrid/>
        <w:spacing w:line="460" w:lineRule="exact"/>
        <w:ind w:left="565" w:leftChars="257" w:right="565" w:rightChars="257" w:firstLine="436" w:firstLineChars="182"/>
        <w:jc w:val="both"/>
        <w:textAlignment w:val="auto"/>
        <w:rPr>
          <w:rFonts w:hint="eastAsia" w:ascii="宋体" w:hAnsi="宋体" w:eastAsia="宋体" w:cs="宋体"/>
          <w:color w:val="FF0000"/>
          <w:sz w:val="24"/>
          <w:szCs w:val="24"/>
          <w:lang w:val="en-US"/>
        </w:rPr>
      </w:pPr>
      <w:r>
        <w:rPr>
          <w:rFonts w:hint="eastAsia" w:ascii="宋体" w:hAnsi="宋体" w:eastAsia="宋体" w:cs="宋体"/>
          <w:color w:val="000000" w:themeColor="text1"/>
          <w:sz w:val="24"/>
          <w:szCs w:val="24"/>
          <w14:textFill>
            <w14:solidFill>
              <w14:schemeClr w14:val="tx1"/>
            </w14:solidFill>
          </w14:textFill>
        </w:rPr>
        <w:t>2、获取招标文件地点：</w:t>
      </w:r>
      <w:r>
        <w:rPr>
          <w:rFonts w:hint="eastAsia" w:ascii="宋体" w:hAnsi="宋体" w:eastAsia="宋体" w:cs="宋体"/>
          <w:color w:val="000000" w:themeColor="text1"/>
          <w:sz w:val="24"/>
          <w:szCs w:val="24"/>
          <w:lang w:eastAsia="zh-CN"/>
          <w14:textFill>
            <w14:solidFill>
              <w14:schemeClr w14:val="tx1"/>
            </w14:solidFill>
          </w14:textFill>
        </w:rPr>
        <w:t>哈密市科苑城小区</w:t>
      </w:r>
      <w:r>
        <w:rPr>
          <w:rFonts w:hint="eastAsia" w:ascii="宋体" w:hAnsi="宋体" w:eastAsia="宋体" w:cs="宋体"/>
          <w:color w:val="000000" w:themeColor="text1"/>
          <w:sz w:val="24"/>
          <w:szCs w:val="24"/>
          <w:lang w:val="en-US" w:eastAsia="zh-CN"/>
          <w14:textFill>
            <w14:solidFill>
              <w14:schemeClr w14:val="tx1"/>
            </w14:solidFill>
          </w14:textFill>
        </w:rPr>
        <w:t>7号楼106室</w:t>
      </w:r>
    </w:p>
    <w:p>
      <w:pPr>
        <w:keepNext w:val="0"/>
        <w:keepLines w:val="0"/>
        <w:pageBreakBefore w:val="0"/>
        <w:widowControl/>
        <w:kinsoku/>
        <w:wordWrap/>
        <w:overflowPunct/>
        <w:topLinePunct w:val="0"/>
        <w:autoSpaceDE w:val="0"/>
        <w:autoSpaceDN w:val="0"/>
        <w:bidi w:val="0"/>
        <w:adjustRightInd/>
        <w:snapToGrid/>
        <w:spacing w:line="460" w:lineRule="exact"/>
        <w:ind w:left="565" w:leftChars="257" w:right="565" w:rightChars="257" w:firstLine="436" w:firstLineChars="182"/>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3、招标文件售价</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460" w:lineRule="exact"/>
        <w:ind w:left="565" w:leftChars="257" w:right="565" w:rightChars="257" w:firstLine="436" w:firstLineChars="182"/>
        <w:jc w:val="both"/>
        <w:textAlignment w:val="auto"/>
        <w:rPr>
          <w:rFonts w:hint="eastAsia" w:ascii="宋体" w:hAnsi="宋体" w:eastAsia="宋体" w:cs="宋体"/>
          <w:color w:val="FF0000"/>
          <w:sz w:val="24"/>
          <w:szCs w:val="24"/>
          <w:lang w:val="en-US"/>
        </w:rPr>
      </w:pPr>
      <w:r>
        <w:rPr>
          <w:rFonts w:hint="eastAsia" w:ascii="宋体" w:hAnsi="宋体" w:eastAsia="宋体" w:cs="宋体"/>
          <w:color w:val="000000" w:themeColor="text1"/>
          <w:sz w:val="24"/>
          <w:szCs w:val="24"/>
          <w14:textFill>
            <w14:solidFill>
              <w14:schemeClr w14:val="tx1"/>
            </w14:solidFill>
          </w14:textFill>
        </w:rPr>
        <w:t>4、投标截止时间及开标时间：</w:t>
      </w:r>
      <w:r>
        <w:rPr>
          <w:rFonts w:hint="eastAsia" w:ascii="宋体" w:hAnsi="宋体" w:eastAsia="宋体" w:cs="宋体"/>
          <w:color w:val="000000" w:themeColor="text1"/>
          <w:sz w:val="24"/>
          <w:szCs w:val="24"/>
          <w:lang w:val="en-US"/>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lang w:val="en-US"/>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10:00</w:t>
      </w:r>
      <w:r>
        <w:rPr>
          <w:rFonts w:hint="eastAsia" w:ascii="宋体" w:hAnsi="宋体" w:eastAsia="宋体" w:cs="宋体"/>
          <w:color w:val="000000" w:themeColor="text1"/>
          <w:sz w:val="24"/>
          <w:szCs w:val="24"/>
          <w:lang w:val="en-US"/>
          <w14:textFill>
            <w14:solidFill>
              <w14:schemeClr w14:val="tx1"/>
            </w14:solidFill>
          </w14:textFill>
        </w:rPr>
        <w:t>（北京时间）</w:t>
      </w:r>
    </w:p>
    <w:p>
      <w:pPr>
        <w:keepNext w:val="0"/>
        <w:keepLines w:val="0"/>
        <w:pageBreakBefore w:val="0"/>
        <w:widowControl/>
        <w:kinsoku/>
        <w:wordWrap/>
        <w:overflowPunct/>
        <w:topLinePunct w:val="0"/>
        <w:autoSpaceDE w:val="0"/>
        <w:autoSpaceDN w:val="0"/>
        <w:bidi w:val="0"/>
        <w:adjustRightInd/>
        <w:snapToGrid/>
        <w:spacing w:line="460" w:lineRule="exact"/>
        <w:ind w:left="565" w:leftChars="257" w:right="565" w:rightChars="257" w:firstLine="436" w:firstLineChars="182"/>
        <w:jc w:val="both"/>
        <w:textAlignment w:val="auto"/>
        <w:rPr>
          <w:rFonts w:hint="default" w:ascii="宋体" w:hAnsi="宋体" w:eastAsia="宋体" w:cs="宋体"/>
          <w:color w:val="FF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5、开标地点</w:t>
      </w:r>
      <w:r>
        <w:rPr>
          <w:rFonts w:hint="eastAsia" w:ascii="宋体" w:hAnsi="宋体" w:eastAsia="宋体" w:cs="宋体"/>
          <w:color w:val="000000" w:themeColor="text1"/>
          <w:sz w:val="24"/>
          <w:szCs w:val="24"/>
          <w:lang w:eastAsia="zh-CN"/>
          <w14:textFill>
            <w14:solidFill>
              <w14:schemeClr w14:val="tx1"/>
            </w14:solidFill>
          </w14:textFill>
        </w:rPr>
        <w:t>：哈密市科苑城小区</w:t>
      </w:r>
      <w:r>
        <w:rPr>
          <w:rFonts w:hint="eastAsia" w:ascii="宋体" w:hAnsi="宋体" w:eastAsia="宋体" w:cs="宋体"/>
          <w:color w:val="000000" w:themeColor="text1"/>
          <w:sz w:val="24"/>
          <w:szCs w:val="24"/>
          <w:lang w:val="en-US" w:eastAsia="zh-CN"/>
          <w14:textFill>
            <w14:solidFill>
              <w14:schemeClr w14:val="tx1"/>
            </w14:solidFill>
          </w14:textFill>
        </w:rPr>
        <w:t>7号楼106室</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firstLine="482"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、联系方式</w:t>
      </w:r>
    </w:p>
    <w:p>
      <w:pPr>
        <w:keepNext w:val="0"/>
        <w:keepLines w:val="0"/>
        <w:pageBreakBefore w:val="0"/>
        <w:widowControl/>
        <w:kinsoku/>
        <w:wordWrap/>
        <w:overflowPunct/>
        <w:topLinePunct w:val="0"/>
        <w:autoSpaceDE w:val="0"/>
        <w:autoSpaceDN w:val="0"/>
        <w:bidi w:val="0"/>
        <w:adjustRightInd/>
        <w:snapToGrid/>
        <w:spacing w:line="460" w:lineRule="exact"/>
        <w:ind w:left="565" w:leftChars="257" w:right="565" w:rightChars="257" w:firstLine="436" w:firstLineChars="1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1、采购单位：</w:t>
      </w:r>
    </w:p>
    <w:p>
      <w:pPr>
        <w:keepNext w:val="0"/>
        <w:keepLines w:val="0"/>
        <w:pageBreakBefore w:val="0"/>
        <w:widowControl/>
        <w:kinsoku/>
        <w:wordWrap/>
        <w:overflowPunct/>
        <w:topLinePunct w:val="0"/>
        <w:autoSpaceDE w:val="0"/>
        <w:autoSpaceDN w:val="0"/>
        <w:bidi w:val="0"/>
        <w:adjustRightInd/>
        <w:snapToGrid/>
        <w:spacing w:line="460" w:lineRule="exact"/>
        <w:ind w:left="565" w:leftChars="257" w:right="565" w:rightChars="257" w:firstLine="914" w:firstLineChars="381"/>
        <w:jc w:val="both"/>
        <w:textAlignment w:val="auto"/>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FF0000"/>
          <w:sz w:val="24"/>
          <w:szCs w:val="24"/>
        </w:rPr>
        <w:t> </w:t>
      </w:r>
      <w:r>
        <w:rPr>
          <w:rFonts w:hint="eastAsia" w:ascii="宋体" w:hAnsi="宋体" w:eastAsia="宋体" w:cs="宋体"/>
          <w:sz w:val="24"/>
          <w:szCs w:val="24"/>
          <w:lang w:eastAsia="zh-CN"/>
        </w:rPr>
        <w:t>姚文刚</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sz w:val="24"/>
          <w:szCs w:val="24"/>
        </w:rPr>
        <w:t>18999030789</w:t>
      </w:r>
    </w:p>
    <w:p>
      <w:pPr>
        <w:keepNext w:val="0"/>
        <w:keepLines w:val="0"/>
        <w:pageBreakBefore w:val="0"/>
        <w:widowControl/>
        <w:numPr>
          <w:ilvl w:val="0"/>
          <w:numId w:val="2"/>
        </w:numPr>
        <w:kinsoku/>
        <w:wordWrap/>
        <w:overflowPunct/>
        <w:topLinePunct w:val="0"/>
        <w:autoSpaceDE w:val="0"/>
        <w:autoSpaceDN w:val="0"/>
        <w:bidi w:val="0"/>
        <w:adjustRightInd/>
        <w:snapToGrid/>
        <w:spacing w:line="460" w:lineRule="exact"/>
        <w:ind w:left="565" w:leftChars="257" w:right="565" w:rightChars="257" w:firstLine="436" w:firstLineChars="1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w:t>
      </w:r>
    </w:p>
    <w:p>
      <w:pPr>
        <w:keepNext w:val="0"/>
        <w:keepLines w:val="0"/>
        <w:pageBreakBefore w:val="0"/>
        <w:widowControl/>
        <w:kinsoku/>
        <w:wordWrap/>
        <w:overflowPunct/>
        <w:topLinePunct w:val="0"/>
        <w:autoSpaceDE w:val="0"/>
        <w:autoSpaceDN w:val="0"/>
        <w:bidi w:val="0"/>
        <w:adjustRightInd/>
        <w:snapToGrid/>
        <w:spacing w:line="460" w:lineRule="exact"/>
        <w:ind w:left="966" w:leftChars="439" w:right="565" w:rightChars="257"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sz w:val="24"/>
          <w:szCs w:val="24"/>
        </w:rPr>
        <w:t xml:space="preserve"> </w:t>
      </w:r>
      <w:r>
        <w:rPr>
          <w:rFonts w:hint="eastAsia" w:ascii="宋体" w:hAnsi="宋体" w:eastAsia="宋体" w:cs="宋体"/>
          <w:sz w:val="24"/>
          <w:szCs w:val="24"/>
          <w:lang w:eastAsia="zh-CN"/>
        </w:rPr>
        <w:t>范林林</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15809028012</w:t>
      </w:r>
      <w:r>
        <w:rPr>
          <w:rFonts w:hint="eastAsia" w:ascii="宋体" w:hAnsi="宋体" w:eastAsia="宋体" w:cs="宋体"/>
          <w:color w:val="FF0000"/>
          <w:sz w:val="24"/>
        </w:rPr>
        <w:t> </w:t>
      </w:r>
    </w:p>
    <w:p>
      <w:pPr>
        <w:spacing w:line="511" w:lineRule="exact"/>
        <w:jc w:val="both"/>
        <w:rPr>
          <w:rFonts w:hint="eastAsia" w:ascii="宋体" w:hAnsi="宋体" w:eastAsia="宋体" w:cs="宋体"/>
          <w:color w:val="000000" w:themeColor="text1"/>
          <w:lang w:val="en-US" w:eastAsia="zh-CN"/>
          <w14:textFill>
            <w14:solidFill>
              <w14:schemeClr w14:val="tx1"/>
            </w14:solidFill>
          </w14:textFill>
        </w:rPr>
        <w:sectPr>
          <w:footerReference r:id="rId6" w:type="default"/>
          <w:pgSz w:w="11910" w:h="16850"/>
          <w:pgMar w:top="1440" w:right="1587" w:bottom="1440" w:left="1587" w:header="879" w:footer="1066" w:gutter="0"/>
          <w:pgNumType w:fmt="decimal" w:start="2"/>
          <w:cols w:space="720" w:num="1"/>
        </w:sectPr>
      </w:pPr>
      <w:r>
        <w:rPr>
          <w:rFonts w:hint="eastAsia" w:ascii="宋体" w:hAnsi="宋体" w:eastAsia="宋体" w:cs="宋体"/>
          <w:color w:val="000000" w:themeColor="text1"/>
          <w:lang w:val="en-US" w:eastAsia="zh-CN"/>
          <w14:textFill>
            <w14:solidFill>
              <w14:schemeClr w14:val="tx1"/>
            </w14:solidFill>
          </w14:textFill>
        </w:rPr>
        <w:t xml:space="preserve"> </w:t>
      </w:r>
    </w:p>
    <w:p>
      <w:pPr>
        <w:pStyle w:val="5"/>
        <w:spacing w:line="511" w:lineRule="exact"/>
        <w:ind w:firstLine="2891" w:firstLineChars="900"/>
        <w:rPr>
          <w:rFonts w:hint="eastAsia" w:ascii="宋体" w:hAnsi="宋体" w:eastAsia="宋体" w:cs="宋体"/>
          <w:color w:val="000000" w:themeColor="text1"/>
          <w:sz w:val="7"/>
          <w14:textFill>
            <w14:solidFill>
              <w14:schemeClr w14:val="tx1"/>
            </w14:solidFill>
          </w14:textFill>
        </w:rPr>
      </w:pPr>
      <w:bookmarkStart w:id="5" w:name="第二章_投标供应商须知前附表"/>
      <w:bookmarkEnd w:id="5"/>
      <w:bookmarkStart w:id="6" w:name="_bookmark1"/>
      <w:bookmarkEnd w:id="6"/>
      <w:bookmarkStart w:id="7" w:name="_Toc20498"/>
      <w:r>
        <w:rPr>
          <w:rFonts w:hint="eastAsia" w:ascii="宋体" w:hAnsi="宋体" w:eastAsia="宋体" w:cs="宋体"/>
          <w:b/>
          <w:color w:val="000000" w:themeColor="text1"/>
          <w14:textFill>
            <w14:solidFill>
              <w14:schemeClr w14:val="tx1"/>
            </w14:solidFill>
          </w14:textFill>
        </w:rPr>
        <w:t>第二章 投标供应商须知前附表</w:t>
      </w:r>
      <w:bookmarkEnd w:id="7"/>
    </w:p>
    <w:tbl>
      <w:tblPr>
        <w:tblStyle w:val="18"/>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973"/>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条款号</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条款名称</w:t>
            </w:r>
          </w:p>
        </w:tc>
        <w:tc>
          <w:tcPr>
            <w:tcW w:w="6922"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095" w:type="dxa"/>
            <w:vAlign w:val="center"/>
          </w:tcPr>
          <w:p>
            <w:pPr>
              <w:keepNext w:val="0"/>
              <w:keepLines w:val="0"/>
              <w:pageBreakBefore w:val="0"/>
              <w:kinsoku/>
              <w:wordWrap/>
              <w:topLinePunct w:val="0"/>
              <w:bidi w:val="0"/>
              <w:spacing w:line="360" w:lineRule="exact"/>
              <w:ind w:left="-2" w:leftChars="-8" w:hanging="16" w:hangingChars="7"/>
              <w:jc w:val="center"/>
              <w:textAlignment w:val="auto"/>
              <w:rPr>
                <w:rFonts w:hint="eastAsia" w:ascii="宋体" w:hAnsi="宋体" w:eastAsia="宋体" w:cs="宋体"/>
                <w:sz w:val="24"/>
              </w:rPr>
            </w:pPr>
            <w:r>
              <w:rPr>
                <w:rFonts w:hint="eastAsia" w:ascii="宋体" w:hAnsi="宋体" w:eastAsia="宋体" w:cs="宋体"/>
                <w:sz w:val="24"/>
              </w:rPr>
              <w:t>1.1.</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招标人</w:t>
            </w:r>
          </w:p>
        </w:tc>
        <w:tc>
          <w:tcPr>
            <w:tcW w:w="6922" w:type="dxa"/>
            <w:vAlign w:val="center"/>
          </w:tcPr>
          <w:p>
            <w:pPr>
              <w:keepNext w:val="0"/>
              <w:keepLines w:val="0"/>
              <w:pageBreakBefore w:val="0"/>
              <w:widowControl/>
              <w:kinsoku/>
              <w:wordWrap/>
              <w:topLinePunct w:val="0"/>
              <w:bidi w:val="0"/>
              <w:spacing w:line="360" w:lineRule="exact"/>
              <w:ind w:right="565" w:rightChars="257"/>
              <w:jc w:val="both"/>
              <w:textAlignment w:val="auto"/>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lang w:eastAsia="zh-CN"/>
              </w:rPr>
              <w:t>：中国人民政治协商会议哈密市委员会办公室</w:t>
            </w:r>
            <w:r>
              <w:rPr>
                <w:rFonts w:hint="eastAsia" w:ascii="宋体" w:hAnsi="宋体" w:eastAsia="宋体" w:cs="宋体"/>
                <w:sz w:val="24"/>
              </w:rPr>
              <w:t>；</w:t>
            </w:r>
          </w:p>
          <w:p>
            <w:pPr>
              <w:keepNext w:val="0"/>
              <w:keepLines w:val="0"/>
              <w:pageBreakBefore w:val="0"/>
              <w:widowControl/>
              <w:kinsoku/>
              <w:wordWrap/>
              <w:topLinePunct w:val="0"/>
              <w:bidi w:val="0"/>
              <w:spacing w:line="360" w:lineRule="exact"/>
              <w:ind w:right="565" w:rightChars="257"/>
              <w:jc w:val="both"/>
              <w:textAlignment w:val="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lang w:val="en-US"/>
              </w:rPr>
              <w:t>哈密市伊州区建国南路9号</w:t>
            </w:r>
            <w:r>
              <w:rPr>
                <w:rFonts w:hint="eastAsia" w:ascii="宋体" w:hAnsi="宋体" w:eastAsia="宋体" w:cs="宋体"/>
                <w:sz w:val="24"/>
              </w:rPr>
              <w:t>；</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eastAsia="zh-CN"/>
              </w:rPr>
              <w:t>姚文刚</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 xml:space="preserve">电话：  </w:t>
            </w:r>
            <w:r>
              <w:rPr>
                <w:rFonts w:hint="eastAsia" w:ascii="宋体" w:hAnsi="宋体" w:eastAsia="宋体" w:cs="宋体"/>
                <w:sz w:val="24"/>
                <w:lang w:eastAsia="zh-CN"/>
              </w:rPr>
              <w:t>18999030789</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1.2</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招标代理机构</w:t>
            </w:r>
          </w:p>
        </w:tc>
        <w:tc>
          <w:tcPr>
            <w:tcW w:w="6922" w:type="dxa"/>
            <w:vAlign w:val="center"/>
          </w:tcPr>
          <w:p>
            <w:pPr>
              <w:keepNext w:val="0"/>
              <w:keepLines w:val="0"/>
              <w:pageBreakBefore w:val="0"/>
              <w:widowControl/>
              <w:kinsoku/>
              <w:wordWrap/>
              <w:topLinePunct w:val="0"/>
              <w:bidi w:val="0"/>
              <w:spacing w:line="360" w:lineRule="exact"/>
              <w:jc w:val="both"/>
              <w:textAlignment w:val="auto"/>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lang w:eastAsia="zh-CN"/>
              </w:rPr>
              <w:t>哈密丰远造价咨询有限责任公司</w:t>
            </w:r>
          </w:p>
          <w:p>
            <w:pPr>
              <w:keepNext w:val="0"/>
              <w:keepLines w:val="0"/>
              <w:pageBreakBefore w:val="0"/>
              <w:widowControl/>
              <w:kinsoku/>
              <w:wordWrap/>
              <w:topLinePunct w:val="0"/>
              <w:bidi w:val="0"/>
              <w:spacing w:line="360" w:lineRule="exact"/>
              <w:jc w:val="both"/>
              <w:textAlignment w:val="auto"/>
              <w:rPr>
                <w:rFonts w:hint="eastAsia" w:ascii="宋体" w:hAnsi="宋体" w:eastAsia="宋体" w:cs="宋体"/>
                <w:sz w:val="24"/>
                <w:lang w:val="en-US" w:eastAsia="zh-CN"/>
              </w:rPr>
            </w:pPr>
            <w:r>
              <w:rPr>
                <w:rFonts w:hint="eastAsia" w:ascii="宋体" w:hAnsi="宋体" w:eastAsia="宋体" w:cs="宋体"/>
                <w:sz w:val="24"/>
              </w:rPr>
              <w:t>地址：</w:t>
            </w:r>
            <w:r>
              <w:rPr>
                <w:rFonts w:hint="eastAsia" w:ascii="宋体" w:hAnsi="宋体" w:eastAsia="宋体" w:cs="宋体"/>
                <w:sz w:val="24"/>
                <w:lang w:eastAsia="zh-CN"/>
              </w:rPr>
              <w:t>哈密市科苑城小区7号楼106室</w:t>
            </w:r>
          </w:p>
          <w:p>
            <w:pPr>
              <w:keepNext w:val="0"/>
              <w:keepLines w:val="0"/>
              <w:pageBreakBefore w:val="0"/>
              <w:kinsoku/>
              <w:wordWrap/>
              <w:topLinePunct w:val="0"/>
              <w:bidi w:val="0"/>
              <w:spacing w:line="360" w:lineRule="exact"/>
              <w:jc w:val="both"/>
              <w:textAlignment w:val="auto"/>
              <w:rPr>
                <w:rFonts w:hint="default" w:ascii="宋体" w:hAnsi="宋体" w:eastAsia="宋体" w:cs="宋体"/>
                <w:sz w:val="24"/>
                <w:lang w:val="en-US" w:eastAsia="zh-CN"/>
              </w:rPr>
            </w:pPr>
            <w:r>
              <w:rPr>
                <w:rFonts w:hint="eastAsia" w:ascii="宋体" w:hAnsi="宋体" w:eastAsia="宋体" w:cs="宋体"/>
                <w:sz w:val="24"/>
              </w:rPr>
              <w:t>联系人：</w:t>
            </w:r>
            <w:r>
              <w:rPr>
                <w:rFonts w:hint="eastAsia" w:ascii="宋体" w:hAnsi="宋体" w:eastAsia="宋体" w:cs="宋体"/>
                <w:sz w:val="24"/>
                <w:lang w:eastAsia="zh-CN"/>
              </w:rPr>
              <w:t>范林林</w:t>
            </w:r>
            <w:r>
              <w:rPr>
                <w:rFonts w:hint="eastAsia" w:ascii="宋体" w:hAnsi="宋体" w:eastAsia="宋体" w:cs="宋体"/>
                <w:sz w:val="24"/>
                <w:lang w:val="en-US" w:eastAsia="zh-CN"/>
              </w:rPr>
              <w:t xml:space="preserve">    </w:t>
            </w:r>
            <w:r>
              <w:rPr>
                <w:rFonts w:hint="eastAsia" w:ascii="宋体" w:hAnsi="宋体" w:eastAsia="宋体" w:cs="宋体"/>
                <w:sz w:val="24"/>
              </w:rPr>
              <w:t>联系方式：</w:t>
            </w:r>
            <w:r>
              <w:rPr>
                <w:rFonts w:hint="eastAsia" w:ascii="宋体" w:hAnsi="宋体" w:eastAsia="宋体" w:cs="宋体"/>
                <w:sz w:val="24"/>
                <w:lang w:val="en-US" w:eastAsia="zh-CN"/>
              </w:rPr>
              <w:t>0902-2396617，15809028012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1.3</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lang w:eastAsia="zh-CN"/>
              </w:rPr>
              <w:t>“中华民族共同体历史哈密史证研究”项目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1.4</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资金来源</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lang w:eastAsia="zh-CN"/>
              </w:rPr>
            </w:pPr>
            <w:r>
              <w:rPr>
                <w:rFonts w:hint="eastAsia" w:ascii="宋体" w:hAnsi="宋体" w:eastAsia="宋体" w:cs="宋体"/>
                <w:sz w:val="24"/>
                <w:lang w:eastAsia="zh-CN"/>
              </w:rPr>
              <w:t>河南援疆资金和其他资金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1.5</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lang w:eastAsia="zh-CN"/>
              </w:rPr>
              <w:t>最高限价</w:t>
            </w:r>
          </w:p>
        </w:tc>
        <w:tc>
          <w:tcPr>
            <w:tcW w:w="692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2200000.00</w:t>
            </w:r>
            <w:r>
              <w:rPr>
                <w:rFonts w:hint="eastAsia" w:ascii="宋体" w:hAnsi="宋体" w:eastAsia="宋体" w:cs="宋体"/>
                <w:sz w:val="24"/>
                <w:lang w:val="en-US"/>
              </w:rPr>
              <w:t>元</w:t>
            </w:r>
            <w:r>
              <w:rPr>
                <w:rFonts w:hint="eastAsia" w:ascii="宋体" w:hAnsi="宋体" w:eastAsia="宋体" w:cs="宋体"/>
                <w:sz w:val="24"/>
                <w:lang w:val="en-US" w:eastAsia="zh-CN"/>
              </w:rPr>
              <w:t>（1、《哈密河流域历史文化研究》项目最高限价120万元，2、哈密河流域和星星峡、大南湖、七角井区域等不可移动文物为重点的全市域文化遗产田野调查及普查最高限价100万元），投标报价不能高于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1.6</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资金落实情况</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1.7</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付款方式</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color w:val="C0504D" w:themeColor="accent2"/>
                <w:sz w:val="24"/>
                <w14:textFill>
                  <w14:solidFill>
                    <w14:schemeClr w14:val="accent2"/>
                  </w14:solidFill>
                </w14:textFill>
              </w:rPr>
              <w:t>签订合同后预付</w:t>
            </w:r>
            <w:r>
              <w:rPr>
                <w:rFonts w:hint="eastAsia" w:ascii="宋体" w:hAnsi="宋体" w:eastAsia="宋体" w:cs="宋体"/>
                <w:color w:val="C0504D" w:themeColor="accent2"/>
                <w:sz w:val="24"/>
                <w:lang w:val="en-US" w:eastAsia="zh-CN"/>
                <w14:textFill>
                  <w14:solidFill>
                    <w14:schemeClr w14:val="accent2"/>
                  </w14:solidFill>
                </w14:textFill>
              </w:rPr>
              <w:t>20</w:t>
            </w:r>
            <w:r>
              <w:rPr>
                <w:rFonts w:hint="eastAsia" w:ascii="宋体" w:hAnsi="宋体" w:eastAsia="宋体" w:cs="宋体"/>
                <w:color w:val="C0504D" w:themeColor="accent2"/>
                <w:sz w:val="24"/>
                <w14:textFill>
                  <w14:solidFill>
                    <w14:schemeClr w14:val="accent2"/>
                  </w14:solidFill>
                </w14:textFill>
              </w:rPr>
              <w:t>%，初稿编纂完成后支付</w:t>
            </w:r>
            <w:r>
              <w:rPr>
                <w:rFonts w:hint="eastAsia" w:ascii="宋体" w:hAnsi="宋体" w:eastAsia="宋体" w:cs="宋体"/>
                <w:color w:val="C0504D" w:themeColor="accent2"/>
                <w:sz w:val="24"/>
                <w:lang w:val="en-US" w:eastAsia="zh-CN"/>
                <w14:textFill>
                  <w14:solidFill>
                    <w14:schemeClr w14:val="accent2"/>
                  </w14:solidFill>
                </w14:textFill>
              </w:rPr>
              <w:t>45</w:t>
            </w:r>
            <w:r>
              <w:rPr>
                <w:rFonts w:hint="eastAsia" w:ascii="宋体" w:hAnsi="宋体" w:eastAsia="宋体" w:cs="宋体"/>
                <w:color w:val="C0504D" w:themeColor="accent2"/>
                <w:sz w:val="24"/>
                <w14:textFill>
                  <w14:solidFill>
                    <w14:schemeClr w14:val="accent2"/>
                  </w14:solidFill>
                </w14:textFill>
              </w:rPr>
              <w:t>%，验收合格后支付剩余</w:t>
            </w:r>
            <w:r>
              <w:rPr>
                <w:rFonts w:hint="eastAsia" w:ascii="宋体" w:hAnsi="宋体" w:eastAsia="宋体" w:cs="宋体"/>
                <w:color w:val="C0504D" w:themeColor="accent2"/>
                <w:sz w:val="24"/>
                <w:lang w:val="en-US" w:eastAsia="zh-CN"/>
                <w14:textFill>
                  <w14:solidFill>
                    <w14:schemeClr w14:val="accent2"/>
                  </w14:solidFill>
                </w14:textFill>
              </w:rPr>
              <w:t>35</w:t>
            </w:r>
            <w:r>
              <w:rPr>
                <w:rFonts w:hint="eastAsia" w:ascii="宋体" w:hAnsi="宋体" w:eastAsia="宋体" w:cs="宋体"/>
                <w:color w:val="C0504D" w:themeColor="accent2"/>
                <w:sz w:val="24"/>
                <w14:textFill>
                  <w14:solidFill>
                    <w14:schemeClr w14:val="accent2"/>
                  </w14:solidFill>
                </w14:textFill>
              </w:rPr>
              <w:t>%（注：需留合同价款的5%作为本项目的质保金，金额从履约保证金中扣除）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1.8</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招标范围</w:t>
            </w:r>
          </w:p>
        </w:tc>
        <w:tc>
          <w:tcPr>
            <w:tcW w:w="6922" w:type="dxa"/>
            <w:vAlign w:val="center"/>
          </w:tcPr>
          <w:p>
            <w:pPr>
              <w:keepNext w:val="0"/>
              <w:keepLines w:val="0"/>
              <w:pageBreakBefore w:val="0"/>
              <w:widowControl/>
              <w:kinsoku/>
              <w:wordWrap/>
              <w:topLinePunct w:val="0"/>
              <w:bidi w:val="0"/>
              <w:spacing w:line="36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1.9</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交货期</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highlight w:val="yellow"/>
                <w:lang w:val="en-US"/>
                <w14:textFill>
                  <w14:solidFill>
                    <w14:schemeClr w14:val="tx1"/>
                  </w14:solidFill>
                </w14:textFill>
              </w:rPr>
              <w:t>202</w:t>
            </w:r>
            <w:r>
              <w:rPr>
                <w:rFonts w:hint="eastAsia" w:ascii="宋体" w:hAnsi="宋体" w:eastAsia="宋体" w:cs="宋体"/>
                <w:b/>
                <w:color w:val="000000" w:themeColor="text1"/>
                <w:sz w:val="24"/>
                <w:highlight w:val="yellow"/>
                <w:lang w:val="en-US" w:eastAsia="zh-CN"/>
                <w14:textFill>
                  <w14:solidFill>
                    <w14:schemeClr w14:val="tx1"/>
                  </w14:solidFill>
                </w14:textFill>
              </w:rPr>
              <w:t>3</w:t>
            </w:r>
            <w:r>
              <w:rPr>
                <w:rFonts w:hint="eastAsia" w:ascii="宋体" w:hAnsi="宋体" w:eastAsia="宋体" w:cs="宋体"/>
                <w:b/>
                <w:color w:val="000000" w:themeColor="text1"/>
                <w:sz w:val="24"/>
                <w:highlight w:val="yellow"/>
                <w:lang w:val="en-US"/>
                <w14:textFill>
                  <w14:solidFill>
                    <w14:schemeClr w14:val="tx1"/>
                  </w14:solidFill>
                </w14:textFill>
              </w:rPr>
              <w:t>年12月31日前完成本项目全部内容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2.0</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交货地点</w:t>
            </w:r>
          </w:p>
        </w:tc>
        <w:tc>
          <w:tcPr>
            <w:tcW w:w="6922" w:type="dxa"/>
            <w:vAlign w:val="center"/>
          </w:tcPr>
          <w:p>
            <w:pPr>
              <w:keepNext w:val="0"/>
              <w:keepLines w:val="0"/>
              <w:pageBreakBefore w:val="0"/>
              <w:tabs>
                <w:tab w:val="left" w:pos="1344"/>
              </w:tabs>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2.1</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验收标准</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2.2</w:t>
            </w:r>
          </w:p>
        </w:tc>
        <w:tc>
          <w:tcPr>
            <w:tcW w:w="1973" w:type="dxa"/>
            <w:vAlign w:val="center"/>
          </w:tcPr>
          <w:p>
            <w:pPr>
              <w:keepNext w:val="0"/>
              <w:keepLines w:val="0"/>
              <w:pageBreakBefore w:val="0"/>
              <w:kinsoku/>
              <w:wordWrap/>
              <w:overflowPunct w:val="0"/>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售后服务</w:t>
            </w:r>
          </w:p>
        </w:tc>
        <w:tc>
          <w:tcPr>
            <w:tcW w:w="6922" w:type="dxa"/>
            <w:vAlign w:val="center"/>
          </w:tcPr>
          <w:p>
            <w:pPr>
              <w:keepNext w:val="0"/>
              <w:keepLines w:val="0"/>
              <w:pageBreakBefore w:val="0"/>
              <w:kinsoku/>
              <w:wordWrap/>
              <w:overflowPunct w:val="0"/>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8"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2.3</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投标人资格审核时必须手持所要求的资质原件，不接受二次提供，缺少任一项资格审核不合格</w:t>
            </w:r>
          </w:p>
        </w:tc>
        <w:tc>
          <w:tcPr>
            <w:tcW w:w="6922" w:type="dxa"/>
            <w:vAlign w:val="center"/>
          </w:tcPr>
          <w:p>
            <w:pPr>
              <w:keepNext w:val="0"/>
              <w:keepLines w:val="0"/>
              <w:pageBreakBefore w:val="0"/>
              <w:widowControl/>
              <w:kinsoku/>
              <w:wordWrap/>
              <w:overflowPunct/>
              <w:topLinePunct w:val="0"/>
              <w:autoSpaceDE w:val="0"/>
              <w:autoSpaceDN w:val="0"/>
              <w:bidi w:val="0"/>
              <w:adjustRightInd/>
              <w:snapToGrid/>
              <w:spacing w:line="360" w:lineRule="exact"/>
              <w:ind w:left="0" w:leftChars="0" w:right="565" w:rightChars="257"/>
              <w:jc w:val="both"/>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1、开标一览表；</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565" w:rightChars="257"/>
              <w:jc w:val="both"/>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合格有效的三证合一的营业执照（三证合一）副本（原件）或事业单位法人证书（原件）或同等法律效力的证明文件（发证机关或公证机关出具的证明材料原件）；投标人必须满足《中华人民共和国政府采购法》第二十二条要求，法定代表人（或企业负责人）授权书（见投标文件格式二，自然人投标的无需提供）；</w:t>
            </w:r>
          </w:p>
          <w:p>
            <w:pPr>
              <w:keepNext w:val="0"/>
              <w:keepLines w:val="0"/>
              <w:pageBreakBefore w:val="0"/>
              <w:widowControl/>
              <w:kinsoku/>
              <w:wordWrap/>
              <w:overflowPunct/>
              <w:topLinePunct w:val="0"/>
              <w:autoSpaceDE w:val="0"/>
              <w:autoSpaceDN w:val="0"/>
              <w:bidi w:val="0"/>
              <w:adjustRightInd/>
              <w:snapToGrid/>
              <w:spacing w:line="360" w:lineRule="exact"/>
              <w:ind w:left="0" w:leftChars="0"/>
              <w:jc w:val="both"/>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3、法人（或企业负责人）代表资格证明书或法人（或企业负责人）授权委托书原件及其人员有效证件（如身份证原件）；</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565" w:rightChars="257"/>
              <w:jc w:val="both"/>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4、</w:t>
            </w:r>
            <w:r>
              <w:rPr>
                <w:rFonts w:hint="eastAsia" w:ascii="宋体" w:hAnsi="宋体" w:eastAsia="宋体" w:cs="宋体"/>
                <w:color w:val="000000" w:themeColor="text1"/>
                <w:sz w:val="24"/>
                <w:szCs w:val="24"/>
                <w:lang w:val="en-US"/>
                <w14:textFill>
                  <w14:solidFill>
                    <w14:schemeClr w14:val="tx1"/>
                  </w14:solidFill>
                </w14:textFill>
              </w:rPr>
              <w:t>人员组成：参加人员及项目负责人须经验丰富，必须从事文史研究工作5年以上。其中项目负责人必须为正高级职称，团队成员博士或高级职称以上人员不低于5人（</w:t>
            </w:r>
            <w:r>
              <w:rPr>
                <w:rFonts w:hint="eastAsia"/>
                <w:lang w:val="en-US"/>
              </w:rPr>
              <w:t>外聘</w:t>
            </w:r>
            <w:r>
              <w:rPr>
                <w:rFonts w:hint="eastAsia" w:ascii="宋体" w:hAnsi="宋体" w:eastAsia="宋体" w:cs="宋体"/>
                <w:color w:val="000000" w:themeColor="text1"/>
                <w:sz w:val="24"/>
                <w:szCs w:val="24"/>
                <w:lang w:val="en-US"/>
                <w14:textFill>
                  <w14:solidFill>
                    <w14:schemeClr w14:val="tx1"/>
                  </w14:solidFill>
                </w14:textFill>
              </w:rPr>
              <w:t>）。须提供相应资质原件及负责过项目的印证资料原件或复印件加盖公章</w:t>
            </w:r>
            <w:r>
              <w:rPr>
                <w:rFonts w:hint="eastAsia" w:ascii="Calibri" w:hAnsi="Calibri" w:eastAsia="宋体" w:cs="Times New Roman"/>
                <w:kern w:val="2"/>
                <w:sz w:val="24"/>
                <w:szCs w:val="24"/>
                <w:lang w:val="en-US" w:eastAsia="zh-CN" w:bidi="ar-SA"/>
              </w:rPr>
              <w:t>。</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565" w:rightChars="257"/>
              <w:jc w:val="both"/>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5、须有依法缴纳税收的证明（税务部门出具的完税凭证或缴税证明或银行出具的“银行电子缴税付款凭证”）；（原件、复印件、影印件均可）;</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565" w:rightChars="257"/>
              <w:jc w:val="both"/>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6、最近（2022年1月以来）连续三个月依法缴纳社会保障金的缴费证明；（原件、复印件、影印件均可）;</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565" w:rightChars="257"/>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Calibri" w:hAnsi="Calibri" w:eastAsia="宋体" w:cs="Times New Roman"/>
                <w:kern w:val="2"/>
                <w:sz w:val="24"/>
                <w:szCs w:val="24"/>
                <w:lang w:val="en-US" w:eastAsia="zh-CN" w:bidi="ar-SA"/>
              </w:rPr>
              <w:t>7、</w:t>
            </w:r>
            <w:r>
              <w:rPr>
                <w:rFonts w:hint="eastAsia" w:ascii="宋体" w:hAnsi="宋体" w:eastAsia="宋体" w:cs="宋体"/>
                <w:color w:val="000000" w:themeColor="text1"/>
                <w:sz w:val="24"/>
                <w:szCs w:val="24"/>
                <w:lang w:val="en-US"/>
                <w14:textFill>
                  <w14:solidFill>
                    <w14:schemeClr w14:val="tx1"/>
                  </w14:solidFill>
                </w14:textFill>
              </w:rPr>
              <w:t>良好的商业信誉和健全的财务会计制度证明材料（会计师事务所出具的20</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val="en-US"/>
                <w14:textFill>
                  <w14:solidFill>
                    <w14:schemeClr w14:val="tx1"/>
                  </w14:solidFill>
                </w14:textFill>
              </w:rPr>
              <w:t>年的年度财务审计报告书</w:t>
            </w:r>
            <w:r>
              <w:rPr>
                <w:rFonts w:hint="eastAsia" w:ascii="宋体" w:hAnsi="宋体" w:eastAsia="宋体" w:cs="宋体"/>
                <w:color w:val="000000" w:themeColor="text1"/>
                <w:sz w:val="24"/>
                <w:szCs w:val="24"/>
                <w:lang w:val="en-US" w:eastAsia="zh-CN"/>
                <w14:textFill>
                  <w14:solidFill>
                    <w14:schemeClr w14:val="tx1"/>
                  </w14:solidFill>
                </w14:textFill>
              </w:rPr>
              <w:t>或财务报表的</w:t>
            </w:r>
            <w:r>
              <w:rPr>
                <w:rFonts w:hint="eastAsia" w:ascii="宋体" w:hAnsi="宋体" w:eastAsia="宋体" w:cs="宋体"/>
                <w:color w:val="000000" w:themeColor="text1"/>
                <w:sz w:val="24"/>
                <w:szCs w:val="24"/>
                <w:lang w:val="en-US"/>
                <w14:textFill>
                  <w14:solidFill>
                    <w14:schemeClr w14:val="tx1"/>
                  </w14:solidFill>
                </w14:textFill>
              </w:rPr>
              <w:t>原件或影印件</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snapToGrid/>
              <w:spacing w:line="360" w:lineRule="exact"/>
              <w:ind w:left="0" w:leftChars="0" w:right="565" w:rightChars="257"/>
              <w:jc w:val="both"/>
              <w:textAlignment w:val="auto"/>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8、缴纳投标保证金（电汇或转账）凭证复印件加盖公章;</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Calibri" w:hAnsi="Calibri" w:eastAsia="宋体" w:cs="Times New Roman"/>
                <w:kern w:val="2"/>
                <w:sz w:val="24"/>
                <w:szCs w:val="24"/>
                <w:lang w:val="en-US" w:eastAsia="zh-CN" w:bidi="ar-SA"/>
              </w:rPr>
              <w:t>9、</w:t>
            </w:r>
            <w:r>
              <w:rPr>
                <w:rFonts w:hint="eastAsia" w:ascii="宋体" w:hAnsi="宋体" w:eastAsia="宋体" w:cs="宋体"/>
                <w:color w:val="000000" w:themeColor="text1"/>
                <w:sz w:val="24"/>
                <w:szCs w:val="24"/>
                <w:lang w:val="en-US" w:eastAsia="zh-CN"/>
                <w14:textFill>
                  <w14:solidFill>
                    <w14:schemeClr w14:val="tx1"/>
                  </w14:solidFill>
                </w14:textFill>
              </w:rPr>
              <w:t>在“信用中国”网站（www.creditchina.gov.cn）、中国政府采购网（www.ccgp.gov.cn）没有被列入失信被执行人、重大税收违法案件当事人名单、政府采购严重违法失信行为记录名单及其他不符合规定条件的申请人（提供查询结果（网页截图并加盖供应商公章）。</w:t>
            </w:r>
          </w:p>
          <w:p>
            <w:pPr>
              <w:keepNext w:val="0"/>
              <w:keepLines w:val="0"/>
              <w:pageBreakBefore w:val="0"/>
              <w:widowControl/>
              <w:kinsoku/>
              <w:wordWrap/>
              <w:overflowPunct/>
              <w:topLinePunct w:val="0"/>
              <w:autoSpaceDE w:val="0"/>
              <w:autoSpaceDN w:val="0"/>
              <w:bidi w:val="0"/>
              <w:adjustRightInd/>
              <w:snapToGrid/>
              <w:spacing w:line="460" w:lineRule="exact"/>
              <w:ind w:right="565" w:rightChars="257"/>
              <w:jc w:val="both"/>
              <w:textAlignment w:val="auto"/>
              <w:rPr>
                <w:rFonts w:hint="eastAsia" w:ascii="宋体" w:hAnsi="宋体" w:eastAsia="宋体" w:cs="宋体"/>
                <w:sz w:val="24"/>
                <w:lang w:val="en-US"/>
              </w:rPr>
            </w:pPr>
            <w:r>
              <w:rPr>
                <w:rFonts w:hint="eastAsia" w:ascii="宋体" w:hAnsi="宋体" w:eastAsia="宋体" w:cs="宋体"/>
                <w:color w:val="000000" w:themeColor="text1"/>
                <w:sz w:val="24"/>
                <w:szCs w:val="24"/>
                <w:lang w:val="en-US" w:eastAsia="zh-CN"/>
                <w14:textFill>
                  <w14:solidFill>
                    <w14:schemeClr w14:val="tx1"/>
                  </w14:solidFill>
                </w14:textFill>
              </w:rPr>
              <w:t>10、供应商需在国家发改委、自治区发改委及哈密市发改委备案通过的信用服务机构中任意一级备案，并有相关机构出具近期有效的信用评级报告都认可（事业单位无需提供信用评级报告）。出具信用评级报告的机构名单公示在：“信用哈密”网站-信用公示栏目-信用服务机构公示。网址：</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"http://xyhami.creditxj.gov.cn/。"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http://xyhami.creditxj.gov.cn/。</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val="en-US"/>
              </w:rPr>
            </w:pPr>
            <w:r>
              <w:rPr>
                <w:rFonts w:hint="eastAsia" w:ascii="宋体" w:hAnsi="宋体" w:eastAsia="宋体" w:cs="宋体"/>
                <w:sz w:val="24"/>
              </w:rPr>
              <w:t>2.</w:t>
            </w:r>
            <w:r>
              <w:rPr>
                <w:rFonts w:hint="eastAsia" w:ascii="宋体" w:hAnsi="宋体" w:eastAsia="宋体" w:cs="宋体"/>
                <w:sz w:val="24"/>
                <w:lang w:val="en-US"/>
              </w:rPr>
              <w:t>4</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联合体投标</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不接受□接受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val="en-US"/>
              </w:rPr>
            </w:pPr>
            <w:r>
              <w:rPr>
                <w:rFonts w:hint="eastAsia" w:ascii="宋体" w:hAnsi="宋体" w:eastAsia="宋体" w:cs="宋体"/>
                <w:sz w:val="24"/>
              </w:rPr>
              <w:t>2.</w:t>
            </w:r>
            <w:r>
              <w:rPr>
                <w:rFonts w:hint="eastAsia" w:ascii="宋体" w:hAnsi="宋体" w:eastAsia="宋体" w:cs="宋体"/>
                <w:sz w:val="24"/>
                <w:lang w:val="en-US"/>
              </w:rPr>
              <w:t>5</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分包</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不允许□允许，分包内容要求：金额要求：资质要求：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val="en-US"/>
              </w:rPr>
            </w:pPr>
            <w:r>
              <w:rPr>
                <w:rFonts w:hint="eastAsia" w:ascii="宋体" w:hAnsi="宋体" w:eastAsia="宋体" w:cs="宋体"/>
                <w:sz w:val="24"/>
              </w:rPr>
              <w:t>2.</w:t>
            </w:r>
            <w:r>
              <w:rPr>
                <w:rFonts w:hint="eastAsia" w:ascii="宋体" w:hAnsi="宋体" w:eastAsia="宋体" w:cs="宋体"/>
                <w:sz w:val="24"/>
                <w:lang w:val="en-US"/>
              </w:rPr>
              <w:t>6</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偏差</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val="en-US"/>
              </w:rPr>
            </w:pPr>
            <w:r>
              <w:rPr>
                <w:rFonts w:hint="eastAsia" w:ascii="宋体" w:hAnsi="宋体" w:eastAsia="宋体" w:cs="宋体"/>
                <w:sz w:val="24"/>
              </w:rPr>
              <w:t>2.</w:t>
            </w:r>
            <w:r>
              <w:rPr>
                <w:rFonts w:hint="eastAsia" w:ascii="宋体" w:hAnsi="宋体" w:eastAsia="宋体" w:cs="宋体"/>
                <w:sz w:val="24"/>
                <w:lang w:val="en-US"/>
              </w:rPr>
              <w:t>7</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最高投标限价</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w:char="00FE"/>
            </w:r>
            <w:r>
              <w:rPr>
                <w:rFonts w:hint="eastAsia" w:ascii="宋体" w:hAnsi="宋体" w:eastAsia="宋体" w:cs="宋体"/>
                <w:sz w:val="24"/>
              </w:rPr>
              <w:t>有，最高投标限价：本项目预算价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3.0</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投标有效期</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lang w:val="en-US"/>
              </w:rPr>
              <w:t>6</w:t>
            </w:r>
            <w:r>
              <w:rPr>
                <w:rFonts w:hint="eastAsia" w:ascii="宋体" w:hAnsi="宋体" w:eastAsia="宋体" w:cs="宋体"/>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8"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3.1</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投标保证金</w:t>
            </w:r>
          </w:p>
        </w:tc>
        <w:tc>
          <w:tcPr>
            <w:tcW w:w="6922" w:type="dxa"/>
            <w:vAlign w:val="center"/>
          </w:tcPr>
          <w:p>
            <w:pPr>
              <w:keepNext w:val="0"/>
              <w:keepLines w:val="0"/>
              <w:pageBreakBefore w:val="0"/>
              <w:widowControl/>
              <w:numPr>
                <w:ilvl w:val="0"/>
                <w:numId w:val="0"/>
              </w:numPr>
              <w:kinsoku/>
              <w:wordWrap/>
              <w:overflowPunct/>
              <w:topLinePunct w:val="0"/>
              <w:bidi w:val="0"/>
              <w:snapToGrid/>
              <w:spacing w:line="360" w:lineRule="exact"/>
              <w:ind w:leftChars="0"/>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 xml:space="preserve">金额：¥ </w:t>
            </w:r>
            <w:r>
              <w:rPr>
                <w:rFonts w:hint="eastAsia" w:ascii="宋体" w:hAnsi="宋体" w:cs="宋体"/>
                <w:b w:val="0"/>
                <w:bCs w:val="0"/>
                <w:color w:val="auto"/>
                <w:sz w:val="24"/>
                <w:szCs w:val="24"/>
                <w:highlight w:val="none"/>
                <w:lang w:val="en-US" w:eastAsia="zh-CN"/>
              </w:rPr>
              <w:t>44000元</w:t>
            </w:r>
            <w:r>
              <w:rPr>
                <w:rFonts w:hint="eastAsia" w:ascii="宋体" w:hAnsi="宋体" w:eastAsia="宋体" w:cs="宋体"/>
                <w:b w:val="0"/>
                <w:bCs w:val="0"/>
                <w:color w:val="auto"/>
                <w:sz w:val="24"/>
                <w:szCs w:val="24"/>
                <w:highlight w:val="none"/>
              </w:rPr>
              <w:t>（人民币</w:t>
            </w:r>
            <w:r>
              <w:rPr>
                <w:rFonts w:hint="eastAsia" w:ascii="宋体" w:hAnsi="宋体" w:cs="宋体"/>
                <w:b w:val="0"/>
                <w:bCs w:val="0"/>
                <w:color w:val="auto"/>
                <w:sz w:val="24"/>
                <w:szCs w:val="24"/>
                <w:highlight w:val="none"/>
                <w:lang w:val="en-US" w:eastAsia="zh-CN"/>
              </w:rPr>
              <w:t>肆万肆仟元整</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形式：</w:t>
            </w:r>
            <w:r>
              <w:rPr>
                <w:rFonts w:hint="eastAsia" w:ascii="宋体" w:hAnsi="宋体" w:cs="宋体"/>
                <w:b w:val="0"/>
                <w:bCs w:val="0"/>
                <w:color w:val="auto"/>
                <w:sz w:val="24"/>
                <w:szCs w:val="24"/>
                <w:highlight w:val="none"/>
                <w:lang w:eastAsia="zh-CN"/>
              </w:rPr>
              <w:t>电汇或</w:t>
            </w:r>
            <w:r>
              <w:rPr>
                <w:rFonts w:hint="eastAsia" w:ascii="宋体" w:hAnsi="宋体" w:eastAsia="宋体" w:cs="宋体"/>
                <w:b w:val="0"/>
                <w:bCs w:val="0"/>
                <w:color w:val="auto"/>
                <w:sz w:val="24"/>
                <w:szCs w:val="24"/>
                <w:highlight w:val="none"/>
              </w:rPr>
              <w:t>转账等非现金形式由供应商的账户转出；</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递交时间：在投标截止时间前递交（以到账时间为准）；</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4、账户信息：</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银行户名：哈密丰远造价咨询有限责任公司</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开户行：哈密市商业银行营业部</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行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号：313884000024</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号：908010100100032843</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备注：</w:t>
            </w:r>
          </w:p>
          <w:p>
            <w:pPr>
              <w:keepNext w:val="0"/>
              <w:keepLines w:val="0"/>
              <w:pageBreakBefore w:val="0"/>
              <w:widowControl/>
              <w:numPr>
                <w:ilvl w:val="0"/>
                <w:numId w:val="0"/>
              </w:numPr>
              <w:kinsoku/>
              <w:wordWrap/>
              <w:overflowPunct/>
              <w:topLinePunct w:val="0"/>
              <w:bidi w:val="0"/>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到账截止时间：</w:t>
            </w:r>
            <w:r>
              <w:rPr>
                <w:rFonts w:hint="eastAsia" w:ascii="宋体" w:hAnsi="宋体" w:eastAsia="宋体" w:cs="宋体"/>
                <w:b w:val="0"/>
                <w:bCs w:val="0"/>
                <w:color w:val="auto"/>
                <w:sz w:val="24"/>
                <w:szCs w:val="24"/>
                <w:highlight w:val="none"/>
                <w:lang w:val="en-US" w:eastAsia="zh-CN"/>
              </w:rPr>
              <w:t>2022</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lang w:val="en-US" w:eastAsia="zh-CN"/>
              </w:rPr>
              <w:t>6月27日</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0（北京时间）投标保证金于截止日之前确认到账，若供应商</w:t>
            </w:r>
            <w:r>
              <w:rPr>
                <w:rFonts w:hint="eastAsia" w:ascii="宋体" w:hAnsi="宋体" w:eastAsia="宋体" w:cs="宋体"/>
                <w:b w:val="0"/>
                <w:bCs w:val="0"/>
                <w:color w:val="auto"/>
                <w:sz w:val="24"/>
                <w:szCs w:val="24"/>
                <w:highlight w:val="none"/>
                <w:lang w:val="zh-CN"/>
              </w:rPr>
              <w:t>未按照上述规定缴纳投标保证金，投标文件将被拒绝评审。</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汇款单上需备注项目名称（可简写）、标段号（若有）。</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b w:val="0"/>
                <w:bCs w:val="0"/>
                <w:color w:val="auto"/>
                <w:spacing w:val="0"/>
                <w:kern w:val="2"/>
                <w:sz w:val="24"/>
                <w:szCs w:val="24"/>
                <w:highlight w:val="none"/>
                <w:lang w:val="en-US" w:eastAsia="zh-CN" w:bidi="ar-SA"/>
              </w:rPr>
              <w:t>3、投标人须在投标文件递交截止时间前由单位账户一次性汇入招标文件指定账号（以到账时间为准），投标人须自行评估因异地、跨行、公休日等因素造成的投标保证金到账延迟风险，并承担相应责任。汇款成功后将汇款凭证放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3.2</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其他可以不予退还投标保证金的情形</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发生以下情况投标保证金不予退还；</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（一）供应商在提交投标文件截止时间后撤回投标文件的；</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（二）供应商在投标文件中提供虚假材料的；</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（三）除因不可抗力或招标文件、询价通知书认可的情形以外，成交供应商不与采购人签订合同的；</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（四）供应商与采购人、其他供应商或者采购代理机构恶意串通的；</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（五）采购文件规定的其他情形。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3.3</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资格审查资料的特殊要求</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无</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rPr>
              <w:t>4</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备选投标方案</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val="en-US"/>
              </w:rPr>
            </w:pPr>
            <w:r>
              <w:rPr>
                <w:rFonts w:hint="eastAsia" w:ascii="宋体" w:hAnsi="宋体" w:eastAsia="宋体" w:cs="宋体"/>
                <w:sz w:val="24"/>
              </w:rPr>
              <w:t>3.</w:t>
            </w:r>
            <w:r>
              <w:rPr>
                <w:rFonts w:hint="eastAsia" w:ascii="宋体" w:hAnsi="宋体" w:eastAsia="宋体" w:cs="宋体"/>
                <w:sz w:val="24"/>
                <w:lang w:val="en-US"/>
              </w:rPr>
              <w:t>5</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投标文件份数及其他要求</w:t>
            </w:r>
          </w:p>
        </w:tc>
        <w:tc>
          <w:tcPr>
            <w:tcW w:w="6922" w:type="dxa"/>
            <w:vAlign w:val="center"/>
          </w:tcPr>
          <w:p>
            <w:pPr>
              <w:keepNext w:val="0"/>
              <w:keepLines w:val="0"/>
              <w:pageBreakBefore w:val="0"/>
              <w:kinsoku/>
              <w:wordWrap/>
              <w:topLinePunct w:val="0"/>
              <w:bidi w:val="0"/>
              <w:spacing w:line="3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正本 1份，副本</w:t>
            </w:r>
            <w:r>
              <w:rPr>
                <w:rFonts w:hint="eastAsia" w:ascii="宋体" w:hAnsi="宋体" w:eastAsia="宋体" w:cs="宋体"/>
                <w:sz w:val="24"/>
                <w:lang w:val="en-US" w:eastAsia="zh-CN"/>
              </w:rPr>
              <w:t>3</w:t>
            </w:r>
            <w:r>
              <w:rPr>
                <w:rFonts w:hint="eastAsia" w:ascii="宋体" w:hAnsi="宋体" w:eastAsia="宋体" w:cs="宋体"/>
                <w:sz w:val="24"/>
              </w:rPr>
              <w:t>份，开标一览表一份；投标人必须按招标文件规定制作投标文件，正副本单独密封。投标人必须制作“开标一览表”并分别单独密封提交。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val="en-US"/>
              </w:rPr>
            </w:pPr>
            <w:r>
              <w:rPr>
                <w:rFonts w:hint="eastAsia" w:ascii="宋体" w:hAnsi="宋体" w:eastAsia="宋体" w:cs="宋体"/>
                <w:sz w:val="24"/>
              </w:rPr>
              <w:t>3.</w:t>
            </w:r>
            <w:r>
              <w:rPr>
                <w:rFonts w:hint="eastAsia" w:ascii="宋体" w:hAnsi="宋体" w:eastAsia="宋体" w:cs="宋体"/>
                <w:sz w:val="24"/>
                <w:lang w:val="en-US"/>
              </w:rPr>
              <w:t>6</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投标文件签字或盖章要求</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投标格式中要求法定代表人或授权人签字或盖章的，必须签字或盖章，否则为无效投标。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p>
          <w:p>
            <w:pPr>
              <w:keepNext w:val="0"/>
              <w:keepLines w:val="0"/>
              <w:pageBreakBefore w:val="0"/>
              <w:kinsoku/>
              <w:wordWrap/>
              <w:topLinePunct w:val="0"/>
              <w:bidi w:val="0"/>
              <w:spacing w:line="360" w:lineRule="exact"/>
              <w:jc w:val="center"/>
              <w:textAlignment w:val="auto"/>
              <w:rPr>
                <w:rFonts w:hint="eastAsia" w:ascii="宋体" w:hAnsi="宋体" w:eastAsia="宋体" w:cs="宋体"/>
                <w:sz w:val="24"/>
                <w:lang w:val="en-US"/>
              </w:rPr>
            </w:pPr>
            <w:r>
              <w:rPr>
                <w:rFonts w:hint="eastAsia" w:ascii="宋体" w:hAnsi="宋体" w:eastAsia="宋体" w:cs="宋体"/>
                <w:sz w:val="24"/>
              </w:rPr>
              <w:t>3.</w:t>
            </w:r>
            <w:r>
              <w:rPr>
                <w:rFonts w:hint="eastAsia" w:ascii="宋体" w:hAnsi="宋体" w:eastAsia="宋体" w:cs="宋体"/>
                <w:sz w:val="24"/>
                <w:lang w:val="en-US"/>
              </w:rPr>
              <w:t>7</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封套上应载明的信息</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招标人名称：</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（项目名称）</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 xml:space="preserve">招标项目编号：在 </w:t>
            </w:r>
            <w:r>
              <w:rPr>
                <w:rFonts w:hint="eastAsia" w:ascii="宋体" w:hAnsi="宋体" w:eastAsia="宋体" w:cs="宋体"/>
                <w:sz w:val="24"/>
                <w:lang w:val="en-US"/>
              </w:rPr>
              <w:t>202</w:t>
            </w:r>
            <w:r>
              <w:rPr>
                <w:rFonts w:hint="eastAsia" w:ascii="宋体" w:hAnsi="宋体" w:eastAsia="宋体" w:cs="宋体"/>
                <w:sz w:val="24"/>
                <w:lang w:val="en-US" w:eastAsia="zh-CN"/>
              </w:rPr>
              <w:t>2</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27</w:t>
            </w:r>
            <w:r>
              <w:rPr>
                <w:rFonts w:hint="eastAsia" w:ascii="宋体" w:hAnsi="宋体" w:eastAsia="宋体" w:cs="宋体"/>
                <w:sz w:val="24"/>
              </w:rPr>
              <w:t>日</w:t>
            </w:r>
            <w:r>
              <w:rPr>
                <w:rFonts w:hint="eastAsia" w:ascii="宋体" w:hAnsi="宋体" w:eastAsia="宋体" w:cs="宋体"/>
                <w:sz w:val="24"/>
                <w:lang w:val="en-US" w:eastAsia="zh-CN"/>
              </w:rPr>
              <w:t>10:00</w:t>
            </w:r>
            <w:r>
              <w:rPr>
                <w:rFonts w:hint="eastAsia" w:ascii="宋体" w:hAnsi="宋体" w:eastAsia="宋体" w:cs="宋体"/>
                <w:sz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3.9</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投标截止时间</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lang w:val="en-US"/>
              </w:rPr>
              <w:t>202</w:t>
            </w:r>
            <w:r>
              <w:rPr>
                <w:rFonts w:hint="eastAsia" w:ascii="宋体" w:hAnsi="宋体" w:eastAsia="宋体" w:cs="宋体"/>
                <w:sz w:val="24"/>
                <w:lang w:val="en-US" w:eastAsia="zh-CN"/>
              </w:rPr>
              <w:t>2</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27</w:t>
            </w:r>
            <w:r>
              <w:rPr>
                <w:rFonts w:hint="eastAsia" w:ascii="宋体" w:hAnsi="宋体" w:eastAsia="宋体" w:cs="宋体"/>
                <w:sz w:val="24"/>
              </w:rPr>
              <w:t>日</w:t>
            </w:r>
            <w:r>
              <w:rPr>
                <w:rFonts w:hint="eastAsia" w:ascii="宋体" w:hAnsi="宋体" w:eastAsia="宋体" w:cs="宋体"/>
                <w:sz w:val="24"/>
                <w:lang w:val="en-US" w:eastAsia="zh-CN"/>
              </w:rPr>
              <w:t>10:00</w:t>
            </w:r>
            <w:r>
              <w:rPr>
                <w:rFonts w:hint="eastAsia" w:ascii="宋体" w:hAnsi="宋体" w:eastAsia="宋体" w:cs="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4.0</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递交投标文件地点</w:t>
            </w:r>
          </w:p>
        </w:tc>
        <w:tc>
          <w:tcPr>
            <w:tcW w:w="6922" w:type="dxa"/>
            <w:vAlign w:val="center"/>
          </w:tcPr>
          <w:p>
            <w:pPr>
              <w:keepNext w:val="0"/>
              <w:keepLines w:val="0"/>
              <w:pageBreakBefore w:val="0"/>
              <w:widowControl/>
              <w:kinsoku/>
              <w:wordWrap/>
              <w:topLinePunct w:val="0"/>
              <w:bidi w:val="0"/>
              <w:spacing w:line="360" w:lineRule="exact"/>
              <w:ind w:right="565" w:rightChars="257"/>
              <w:jc w:val="both"/>
              <w:textAlignment w:val="auto"/>
              <w:rPr>
                <w:rFonts w:hint="eastAsia" w:ascii="宋体" w:hAnsi="宋体" w:eastAsia="宋体" w:cs="宋体"/>
                <w:sz w:val="24"/>
                <w:lang w:val="en-US" w:eastAsia="zh-CN"/>
              </w:rPr>
            </w:pPr>
            <w:r>
              <w:rPr>
                <w:rFonts w:hint="eastAsia" w:ascii="宋体" w:hAnsi="宋体" w:eastAsia="宋体" w:cs="宋体"/>
                <w:color w:val="000000" w:themeColor="text1"/>
                <w:sz w:val="24"/>
                <w:lang w:eastAsia="zh-CN"/>
                <w14:textFill>
                  <w14:solidFill>
                    <w14:schemeClr w14:val="tx1"/>
                  </w14:solidFill>
                </w14:textFill>
              </w:rPr>
              <w:t>哈密市科苑城小区</w:t>
            </w:r>
            <w:r>
              <w:rPr>
                <w:rFonts w:hint="eastAsia" w:ascii="宋体" w:hAnsi="宋体" w:eastAsia="宋体" w:cs="宋体"/>
                <w:color w:val="000000" w:themeColor="text1"/>
                <w:sz w:val="24"/>
                <w:lang w:val="en-US" w:eastAsia="zh-CN"/>
                <w14:textFill>
                  <w14:solidFill>
                    <w14:schemeClr w14:val="tx1"/>
                  </w14:solidFill>
                </w14:textFill>
              </w:rPr>
              <w:t>7号楼106室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4.1</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投标文件退还</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否□是，退还时间：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4.2</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开标时间和地点</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lang w:val="en-US"/>
              </w:rPr>
            </w:pPr>
            <w:r>
              <w:rPr>
                <w:rFonts w:hint="eastAsia" w:ascii="宋体" w:hAnsi="宋体" w:eastAsia="宋体" w:cs="宋体"/>
                <w:sz w:val="24"/>
              </w:rPr>
              <w:t>开标时间：</w:t>
            </w:r>
            <w:r>
              <w:rPr>
                <w:rFonts w:hint="eastAsia" w:ascii="宋体" w:hAnsi="宋体" w:eastAsia="宋体" w:cs="宋体"/>
                <w:sz w:val="24"/>
                <w:lang w:val="en-US"/>
              </w:rPr>
              <w:t>202</w:t>
            </w:r>
            <w:r>
              <w:rPr>
                <w:rFonts w:hint="eastAsia" w:ascii="宋体" w:hAnsi="宋体" w:eastAsia="宋体" w:cs="宋体"/>
                <w:sz w:val="24"/>
                <w:lang w:val="en-US" w:eastAsia="zh-CN"/>
              </w:rPr>
              <w:t>2</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27</w:t>
            </w:r>
            <w:r>
              <w:rPr>
                <w:rFonts w:hint="eastAsia" w:ascii="宋体" w:hAnsi="宋体" w:eastAsia="宋体" w:cs="宋体"/>
                <w:sz w:val="24"/>
              </w:rPr>
              <w:t>日</w:t>
            </w:r>
            <w:r>
              <w:rPr>
                <w:rFonts w:hint="eastAsia" w:ascii="宋体" w:hAnsi="宋体" w:eastAsia="宋体" w:cs="宋体"/>
                <w:sz w:val="24"/>
                <w:lang w:val="en-US" w:eastAsia="zh-CN"/>
              </w:rPr>
              <w:t>10:00</w:t>
            </w:r>
            <w:r>
              <w:rPr>
                <w:rFonts w:hint="eastAsia" w:ascii="宋体" w:hAnsi="宋体" w:eastAsia="宋体" w:cs="宋体"/>
                <w:sz w:val="24"/>
                <w:lang w:val="en-US"/>
              </w:rPr>
              <w:t>（北京时间）</w:t>
            </w:r>
          </w:p>
          <w:p>
            <w:pPr>
              <w:keepNext w:val="0"/>
              <w:keepLines w:val="0"/>
              <w:pageBreakBefore w:val="0"/>
              <w:widowControl/>
              <w:kinsoku/>
              <w:wordWrap/>
              <w:topLinePunct w:val="0"/>
              <w:bidi w:val="0"/>
              <w:spacing w:line="360" w:lineRule="exact"/>
              <w:jc w:val="both"/>
              <w:textAlignment w:val="auto"/>
              <w:rPr>
                <w:rFonts w:hint="eastAsia" w:ascii="宋体" w:hAnsi="宋体" w:eastAsia="宋体" w:cs="宋体"/>
                <w:sz w:val="24"/>
                <w:lang w:val="en-US"/>
              </w:rPr>
            </w:pPr>
            <w:r>
              <w:rPr>
                <w:rFonts w:hint="eastAsia" w:ascii="宋体" w:hAnsi="宋体" w:eastAsia="宋体" w:cs="宋体"/>
                <w:sz w:val="24"/>
              </w:rPr>
              <w:t>开标地点：</w:t>
            </w:r>
            <w:r>
              <w:rPr>
                <w:rFonts w:hint="eastAsia" w:ascii="宋体" w:hAnsi="宋体" w:eastAsia="宋体" w:cs="宋体"/>
                <w:sz w:val="24"/>
                <w:lang w:eastAsia="zh-CN"/>
              </w:rPr>
              <w:t>哈密市科苑城小区7号楼106室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4.3</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评标委员会的组建</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lang w:val="en-US"/>
              </w:rPr>
            </w:pPr>
            <w:r>
              <w:rPr>
                <w:rFonts w:hint="eastAsia" w:ascii="宋体" w:hAnsi="宋体" w:eastAsia="宋体" w:cs="宋体"/>
                <w:sz w:val="24"/>
              </w:rPr>
              <w:t>评标委员会构成：5人组成；</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评标专家确定方式：专家库随机抽取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4.4</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评标委员会推荐中标候选人人数</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4.5</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中标候选人公告媒介及期限</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公告媒介：新疆政府采购网</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公告期限：</w:t>
            </w:r>
            <w:r>
              <w:rPr>
                <w:rFonts w:hint="eastAsia" w:ascii="宋体" w:hAnsi="宋体" w:eastAsia="宋体" w:cs="宋体"/>
                <w:sz w:val="24"/>
                <w:u w:val="single"/>
              </w:rPr>
              <w:t xml:space="preserve"> </w:t>
            </w:r>
            <w:r>
              <w:rPr>
                <w:rFonts w:hint="eastAsia" w:ascii="宋体" w:hAnsi="宋体" w:eastAsia="宋体" w:cs="宋体"/>
                <w:sz w:val="24"/>
                <w:u w:val="single"/>
                <w:lang w:val="en-US"/>
              </w:rPr>
              <w:t>5</w:t>
            </w:r>
            <w:r>
              <w:rPr>
                <w:rFonts w:hint="eastAsia" w:ascii="宋体" w:hAnsi="宋体" w:eastAsia="宋体" w:cs="宋体"/>
                <w:sz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4.6</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是否授权评标委员会确定中标人</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A8"/>
            </w:r>
            <w:r>
              <w:rPr>
                <w:rFonts w:hint="eastAsia" w:ascii="宋体" w:hAnsi="宋体" w:eastAsia="宋体" w:cs="宋体"/>
                <w:sz w:val="24"/>
              </w:rPr>
              <w:t>是</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4.7</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履约保证金</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□不要求</w:t>
            </w:r>
            <w:r>
              <w:rPr>
                <w:rFonts w:hint="eastAsia" w:ascii="宋体" w:hAnsi="宋体" w:eastAsia="宋体" w:cs="宋体"/>
                <w:sz w:val="24"/>
              </w:rPr>
              <w:sym w:font="Wingdings" w:char="00FE"/>
            </w:r>
            <w:r>
              <w:rPr>
                <w:rFonts w:hint="eastAsia" w:ascii="宋体" w:hAnsi="宋体" w:eastAsia="宋体" w:cs="宋体"/>
                <w:sz w:val="24"/>
              </w:rPr>
              <w:t>要求。履约保证金的形式：</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履约保证金的金额：具体以签订合同约定（</w:t>
            </w:r>
            <w:r>
              <w:rPr>
                <w:rFonts w:hint="eastAsia" w:ascii="宋体" w:hAnsi="宋体" w:eastAsia="宋体" w:cs="宋体"/>
                <w:sz w:val="24"/>
                <w:lang w:val="en-US"/>
              </w:rPr>
              <w:t>不得超过合同总价的10%</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4.8</w:t>
            </w:r>
          </w:p>
        </w:tc>
        <w:tc>
          <w:tcPr>
            <w:tcW w:w="1973"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踏勘现场</w:t>
            </w:r>
          </w:p>
        </w:tc>
        <w:tc>
          <w:tcPr>
            <w:tcW w:w="6922" w:type="dxa"/>
            <w:vAlign w:val="center"/>
          </w:tcPr>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eastAsia="宋体" w:cs="宋体"/>
                <w:sz w:val="24"/>
              </w:rPr>
              <w:t>□组织，</w:t>
            </w:r>
            <w:r>
              <w:rPr>
                <w:rFonts w:hint="eastAsia" w:ascii="宋体" w:hAnsi="宋体" w:eastAsia="宋体" w:cs="宋体"/>
                <w:sz w:val="24"/>
              </w:rPr>
              <w:sym w:font="Wingdings" w:char="00FE"/>
            </w:r>
            <w:r>
              <w:rPr>
                <w:rFonts w:hint="eastAsia" w:ascii="宋体" w:hAnsi="宋体" w:eastAsia="宋体" w:cs="宋体"/>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p>
        </w:tc>
        <w:tc>
          <w:tcPr>
            <w:tcW w:w="1973" w:type="dxa"/>
            <w:vAlign w:val="center"/>
          </w:tcPr>
          <w:p>
            <w:pPr>
              <w:keepNext w:val="0"/>
              <w:keepLines w:val="0"/>
              <w:pageBreakBefore w:val="0"/>
              <w:kinsoku/>
              <w:wordWrap/>
              <w:topLinePunct w:val="0"/>
              <w:bidi w:val="0"/>
              <w:adjustRightInd w:val="0"/>
              <w:snapToGrid w:val="0"/>
              <w:spacing w:line="360" w:lineRule="exact"/>
              <w:jc w:val="center"/>
              <w:textAlignment w:val="auto"/>
              <w:rPr>
                <w:rFonts w:hint="eastAsia" w:ascii="宋体" w:hAnsi="宋体" w:eastAsia="宋体" w:cs="宋体"/>
                <w:sz w:val="24"/>
              </w:rPr>
            </w:pPr>
            <w:r>
              <w:rPr>
                <w:rFonts w:hint="eastAsia" w:ascii="宋体" w:hAnsi="宋体" w:eastAsia="宋体" w:cs="宋体"/>
                <w:sz w:val="24"/>
              </w:rPr>
              <w:t>中小微、监狱、残疾人企业有关政策</w:t>
            </w:r>
          </w:p>
        </w:tc>
        <w:tc>
          <w:tcPr>
            <w:tcW w:w="6922" w:type="dxa"/>
            <w:vAlign w:val="center"/>
          </w:tcPr>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根据工信部等部委发布的《关于印发中小企业划型标准规定的通知》（工信部联企业[2011]300号）规定执行；</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价格扣除幅度：</w:t>
            </w:r>
            <w:r>
              <w:rPr>
                <w:rFonts w:hint="eastAsia" w:ascii="宋体" w:hAnsi="宋体" w:cs="宋体"/>
                <w:color w:val="auto"/>
                <w:sz w:val="24"/>
                <w:szCs w:val="24"/>
                <w:highlight w:val="none"/>
                <w:lang w:eastAsia="zh-CN"/>
              </w:rPr>
              <w:t>小微企业价格扣除比例10%</w:t>
            </w:r>
            <w:r>
              <w:rPr>
                <w:rFonts w:hint="eastAsia" w:ascii="宋体" w:hAnsi="宋体" w:eastAsia="宋体" w:cs="宋体"/>
                <w:color w:val="auto"/>
                <w:sz w:val="24"/>
                <w:szCs w:val="24"/>
                <w:highlight w:val="none"/>
              </w:rPr>
              <w:t>。</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（3）依据财政部 司法部《关于政府采购支持监狱企业发展有关问题的通知》（财库[2014]68 号）的规定，监狱企业视同小型、微型企业，享受预留份额、评审中价格扣除等促进中小企业发展的政府采购政策。监狱企业应当提供由省级以上监狱管理局、戒毒管理局(含新疆生产建设兵团)出具的属于监狱企业的证明文件。依据财政部 民政部 中国残疾人联合会《关于促进残疾人就业政府采购政策的通知》（财库[2017]141 号）的规定，残疾人福利性单位视同小型、微型企业，享受预留份额、评审中价格扣除等促进中小企业发展的政府采购政策。</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（4）根据中华人民共和国财政部、中华人民共和国工业和信息化部关于印发《政府采购促进中小企业发展管理办法》（财库[2020]46号）文件的规定，属于中小企业评审优惠内容及幅度如下：</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（一）中小企业（含中型、小型、微型企业）应当同时符合以下条件：</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采购项目中，</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由中小企业制造，即</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 xml:space="preserve">由中小企业生产且使用该中小企业商号或者注册商标； </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②在工程采购项目中，工程由中小企业承建，即工程施工单位为中小企业； </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采购项目中，供应商提供的</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既有中小企业制造</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，也有大型企业制造</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的，不享受本办法规定的中小企业扶持政策。</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pPr>
              <w:pStyle w:val="39"/>
              <w:keepNext w:val="0"/>
              <w:keepLines w:val="0"/>
              <w:pageBreakBefore w:val="0"/>
              <w:kinsoku/>
              <w:wordWrap/>
              <w:overflowPunct/>
              <w:topLinePunct w:val="0"/>
              <w:bidi w:val="0"/>
              <w:snapToGrid/>
              <w:spacing w:line="360" w:lineRule="exact"/>
              <w:jc w:val="both"/>
              <w:textAlignment w:val="auto"/>
              <w:rPr>
                <w:rFonts w:hint="eastAsia" w:ascii="宋体" w:hAnsi="宋体" w:cs="Arial"/>
                <w:sz w:val="24"/>
                <w:lang w:eastAsia="zh-CN"/>
              </w:rPr>
            </w:pPr>
            <w:r>
              <w:rPr>
                <w:rFonts w:hint="eastAsia" w:ascii="宋体" w:hAnsi="宋体" w:eastAsia="宋体" w:cs="宋体"/>
                <w:color w:val="auto"/>
                <w:sz w:val="24"/>
                <w:szCs w:val="24"/>
                <w:highlight w:val="none"/>
              </w:rPr>
              <w:t>（二）中小企业适用价格扣除办法时应提供的相关资料：《中小企业声明函》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4.9</w:t>
            </w:r>
          </w:p>
        </w:tc>
        <w:tc>
          <w:tcPr>
            <w:tcW w:w="1973" w:type="dxa"/>
            <w:vAlign w:val="center"/>
          </w:tcPr>
          <w:p>
            <w:pPr>
              <w:keepNext w:val="0"/>
              <w:keepLines w:val="0"/>
              <w:pageBreakBefore w:val="0"/>
              <w:kinsoku/>
              <w:wordWrap/>
              <w:topLinePunct w:val="0"/>
              <w:bidi w:val="0"/>
              <w:adjustRightInd w:val="0"/>
              <w:snapToGrid w:val="0"/>
              <w:spacing w:line="360" w:lineRule="exact"/>
              <w:jc w:val="center"/>
              <w:textAlignment w:val="auto"/>
              <w:rPr>
                <w:rFonts w:hint="eastAsia" w:ascii="宋体" w:hAnsi="宋体" w:eastAsia="宋体" w:cs="宋体"/>
                <w:sz w:val="24"/>
              </w:rPr>
            </w:pPr>
            <w:r>
              <w:rPr>
                <w:rFonts w:hint="eastAsia" w:ascii="宋体" w:hAnsi="宋体" w:eastAsia="宋体" w:cs="宋体"/>
                <w:sz w:val="24"/>
              </w:rPr>
              <w:t>招标代理服务费</w:t>
            </w:r>
          </w:p>
        </w:tc>
        <w:tc>
          <w:tcPr>
            <w:tcW w:w="6922" w:type="dxa"/>
            <w:vAlign w:val="center"/>
          </w:tcPr>
          <w:p>
            <w:pPr>
              <w:pStyle w:val="39"/>
              <w:keepNext w:val="0"/>
              <w:keepLines w:val="0"/>
              <w:pageBreakBefore w:val="0"/>
              <w:numPr>
                <w:ilvl w:val="0"/>
                <w:numId w:val="0"/>
              </w:numPr>
              <w:kinsoku/>
              <w:wordWrap/>
              <w:overflowPunct/>
              <w:topLinePunct w:val="0"/>
              <w:bidi w:val="0"/>
              <w:snapToGrid/>
              <w:spacing w:line="360" w:lineRule="exact"/>
              <w:jc w:val="both"/>
              <w:textAlignment w:val="auto"/>
              <w:rPr>
                <w:rFonts w:hint="eastAsia" w:ascii="宋体" w:hAnsi="宋体" w:cs="Arial"/>
                <w:sz w:val="24"/>
              </w:rPr>
            </w:pPr>
            <w:r>
              <w:rPr>
                <w:rFonts w:hint="eastAsia" w:ascii="宋体" w:hAnsi="宋体"/>
                <w:bCs/>
                <w:sz w:val="24"/>
              </w:rPr>
              <w:t>成交方须向</w:t>
            </w:r>
            <w:r>
              <w:rPr>
                <w:rFonts w:hint="eastAsia" w:ascii="宋体" w:hAnsi="宋体"/>
                <w:bCs/>
                <w:sz w:val="24"/>
                <w:lang w:eastAsia="zh-CN"/>
              </w:rPr>
              <w:t>哈密丰远造价咨询有限责任公司</w:t>
            </w:r>
            <w:r>
              <w:rPr>
                <w:rFonts w:hint="eastAsia" w:ascii="宋体" w:hAnsi="宋体"/>
                <w:bCs/>
                <w:sz w:val="24"/>
              </w:rPr>
              <w:t>支付招标代理服务费</w:t>
            </w:r>
            <w:r>
              <w:rPr>
                <w:rFonts w:hint="eastAsia" w:ascii="宋体" w:hAnsi="宋体" w:cs="Arial"/>
                <w:sz w:val="24"/>
              </w:rPr>
              <w:t>。</w:t>
            </w:r>
          </w:p>
          <w:p>
            <w:pPr>
              <w:keepNext w:val="0"/>
              <w:keepLines w:val="0"/>
              <w:pageBreakBefore w:val="0"/>
              <w:kinsoku/>
              <w:wordWrap/>
              <w:topLinePunct w:val="0"/>
              <w:bidi w:val="0"/>
              <w:spacing w:line="360" w:lineRule="exact"/>
              <w:jc w:val="both"/>
              <w:textAlignment w:val="auto"/>
              <w:rPr>
                <w:rFonts w:hint="eastAsia" w:ascii="宋体" w:hAnsi="宋体" w:eastAsia="宋体" w:cs="宋体"/>
                <w:sz w:val="24"/>
              </w:rPr>
            </w:pPr>
            <w:r>
              <w:rPr>
                <w:rFonts w:hint="eastAsia" w:ascii="宋体" w:hAnsi="宋体" w:cs="Arial"/>
                <w:sz w:val="24"/>
                <w:lang w:eastAsia="zh-CN"/>
              </w:rPr>
              <w:t>《招标代理服务收费管理暂行办法》计价格[2002]1980号文和发改价格[2011]534号计算代理报酬。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095" w:type="dxa"/>
            <w:vAlign w:val="center"/>
          </w:tcPr>
          <w:p>
            <w:pPr>
              <w:keepNext w:val="0"/>
              <w:keepLines w:val="0"/>
              <w:pageBreakBefore w:val="0"/>
              <w:kinsoku/>
              <w:wordWrap/>
              <w:topLinePunct w:val="0"/>
              <w:bidi w:val="0"/>
              <w:spacing w:line="360" w:lineRule="exact"/>
              <w:jc w:val="center"/>
              <w:textAlignment w:val="auto"/>
              <w:rPr>
                <w:rFonts w:hint="eastAsia" w:ascii="宋体" w:hAnsi="宋体" w:eastAsia="宋体" w:cs="宋体"/>
                <w:sz w:val="24"/>
              </w:rPr>
            </w:pPr>
            <w:r>
              <w:rPr>
                <w:rFonts w:hint="eastAsia" w:ascii="宋体" w:hAnsi="宋体" w:eastAsia="宋体" w:cs="宋体"/>
                <w:sz w:val="24"/>
              </w:rPr>
              <w:t>5.0</w:t>
            </w:r>
          </w:p>
        </w:tc>
        <w:tc>
          <w:tcPr>
            <w:tcW w:w="1973" w:type="dxa"/>
            <w:vAlign w:val="center"/>
          </w:tcPr>
          <w:p>
            <w:pPr>
              <w:keepNext w:val="0"/>
              <w:keepLines w:val="0"/>
              <w:pageBreakBefore w:val="0"/>
              <w:kinsoku/>
              <w:wordWrap/>
              <w:topLinePunct w:val="0"/>
              <w:bidi w:val="0"/>
              <w:adjustRightInd w:val="0"/>
              <w:snapToGrid w:val="0"/>
              <w:spacing w:line="360" w:lineRule="exact"/>
              <w:jc w:val="center"/>
              <w:textAlignment w:val="auto"/>
              <w:rPr>
                <w:rFonts w:hint="eastAsia" w:ascii="宋体" w:hAnsi="宋体" w:eastAsia="宋体" w:cs="宋体"/>
                <w:sz w:val="24"/>
              </w:rPr>
            </w:pPr>
            <w:r>
              <w:rPr>
                <w:rFonts w:hint="eastAsia" w:ascii="宋体" w:hAnsi="宋体" w:eastAsia="宋体" w:cs="宋体"/>
                <w:sz w:val="24"/>
              </w:rPr>
              <w:t>答疑</w:t>
            </w:r>
          </w:p>
        </w:tc>
        <w:tc>
          <w:tcPr>
            <w:tcW w:w="6922" w:type="dxa"/>
            <w:vAlign w:val="center"/>
          </w:tcPr>
          <w:p>
            <w:pPr>
              <w:pStyle w:val="25"/>
              <w:keepNext w:val="0"/>
              <w:keepLines w:val="0"/>
              <w:pageBreakBefore w:val="0"/>
              <w:kinsoku/>
              <w:wordWrap/>
              <w:topLinePunct w:val="0"/>
              <w:bidi w:val="0"/>
              <w:spacing w:before="53" w:line="360" w:lineRule="exact"/>
              <w:ind w:left="107" w:right="94"/>
              <w:jc w:val="both"/>
              <w:textAlignment w:val="auto"/>
              <w:rPr>
                <w:rFonts w:hint="eastAsia" w:ascii="宋体" w:hAnsi="宋体" w:eastAsia="宋体" w:cs="宋体"/>
                <w:sz w:val="24"/>
              </w:rPr>
            </w:pPr>
            <w:r>
              <w:rPr>
                <w:rFonts w:hint="eastAsia" w:ascii="宋体" w:hAnsi="宋体" w:eastAsia="宋体" w:cs="宋体"/>
                <w:sz w:val="24"/>
              </w:rPr>
              <w:t>逾期不予受理，投标人对本招标文件存在疑问的，提出与答疑获取详见招标文件第三章投标供应商须知第13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0" w:type="dxa"/>
            <w:gridSpan w:val="3"/>
            <w:vAlign w:val="center"/>
          </w:tcPr>
          <w:p>
            <w:pPr>
              <w:keepNext w:val="0"/>
              <w:keepLines w:val="0"/>
              <w:pageBreakBefore w:val="0"/>
              <w:kinsoku/>
              <w:wordWrap/>
              <w:overflowPunct w:val="0"/>
              <w:topLinePunct w:val="0"/>
              <w:bidi w:val="0"/>
              <w:spacing w:line="360" w:lineRule="exact"/>
              <w:jc w:val="left"/>
              <w:textAlignment w:val="auto"/>
              <w:rPr>
                <w:rFonts w:hint="eastAsia" w:ascii="宋体" w:hAnsi="宋体" w:eastAsia="宋体" w:cs="宋体"/>
                <w:sz w:val="24"/>
              </w:rPr>
            </w:pPr>
            <w:r>
              <w:rPr>
                <w:rFonts w:hint="eastAsia" w:ascii="宋体" w:hAnsi="宋体" w:eastAsia="宋体" w:cs="宋体"/>
                <w:sz w:val="24"/>
              </w:rPr>
              <w:t>备注</w:t>
            </w:r>
          </w:p>
          <w:p>
            <w:pPr>
              <w:keepNext w:val="0"/>
              <w:keepLines w:val="0"/>
              <w:pageBreakBefore w:val="0"/>
              <w:kinsoku/>
              <w:wordWrap/>
              <w:overflowPunct w:val="0"/>
              <w:topLinePunct w:val="0"/>
              <w:bidi w:val="0"/>
              <w:spacing w:line="360" w:lineRule="exact"/>
              <w:jc w:val="left"/>
              <w:textAlignment w:val="auto"/>
              <w:rPr>
                <w:rFonts w:hint="eastAsia" w:ascii="宋体" w:hAnsi="宋体" w:eastAsia="宋体" w:cs="宋体"/>
                <w:sz w:val="24"/>
              </w:rPr>
            </w:pPr>
            <w:r>
              <w:rPr>
                <w:rFonts w:hint="eastAsia" w:ascii="宋体" w:hAnsi="宋体" w:eastAsia="宋体" w:cs="宋体"/>
                <w:sz w:val="24"/>
                <w:lang w:val="en-US"/>
              </w:rPr>
              <w:t>1</w:t>
            </w:r>
            <w:r>
              <w:rPr>
                <w:rFonts w:hint="eastAsia" w:ascii="宋体" w:hAnsi="宋体" w:eastAsia="宋体" w:cs="宋体"/>
                <w:sz w:val="24"/>
              </w:rPr>
              <w:t>、开标时投标人须提供：法人代表或其委托代理人应携带本人身份证原件及复印件，委托代理人还应携带《法人代表授权委托书》。</w:t>
            </w:r>
          </w:p>
          <w:p>
            <w:pPr>
              <w:keepNext w:val="0"/>
              <w:keepLines w:val="0"/>
              <w:pageBreakBefore w:val="0"/>
              <w:kinsoku/>
              <w:wordWrap/>
              <w:overflowPunct w:val="0"/>
              <w:topLinePunct w:val="0"/>
              <w:bidi w:val="0"/>
              <w:spacing w:line="360" w:lineRule="exact"/>
              <w:jc w:val="left"/>
              <w:textAlignment w:val="auto"/>
              <w:rPr>
                <w:rFonts w:hint="eastAsia" w:ascii="宋体" w:hAnsi="宋体" w:eastAsia="宋体" w:cs="宋体"/>
              </w:rPr>
            </w:pPr>
            <w:r>
              <w:rPr>
                <w:rFonts w:hint="eastAsia" w:ascii="宋体" w:hAnsi="宋体" w:eastAsia="宋体" w:cs="宋体"/>
                <w:sz w:val="24"/>
                <w:lang w:val="en-US"/>
              </w:rPr>
              <w:t>2</w:t>
            </w:r>
            <w:r>
              <w:rPr>
                <w:rFonts w:hint="eastAsia" w:ascii="宋体" w:hAnsi="宋体" w:eastAsia="宋体" w:cs="宋体"/>
                <w:sz w:val="24"/>
              </w:rPr>
              <w:t>、本项目不接受任何形式的公证（投标单位资质因各种原因不能到达开标地点而出示的公证处证明文件）。</w:t>
            </w:r>
          </w:p>
        </w:tc>
      </w:tr>
    </w:tbl>
    <w:p>
      <w:pPr>
        <w:spacing w:line="511" w:lineRule="exact"/>
        <w:rPr>
          <w:rFonts w:hint="eastAsia" w:ascii="宋体" w:hAnsi="宋体" w:eastAsia="宋体" w:cs="宋体"/>
          <w:sz w:val="24"/>
        </w:rPr>
        <w:sectPr>
          <w:pgSz w:w="11910" w:h="16850"/>
          <w:pgMar w:top="1440" w:right="1080" w:bottom="1440" w:left="1080" w:header="877" w:footer="1068" w:gutter="0"/>
          <w:pgNumType w:fmt="decimal"/>
          <w:cols w:space="720" w:num="1"/>
        </w:sectPr>
      </w:pPr>
    </w:p>
    <w:p>
      <w:pPr>
        <w:pStyle w:val="5"/>
        <w:spacing w:line="511" w:lineRule="exact"/>
        <w:jc w:val="center"/>
        <w:rPr>
          <w:rFonts w:hint="eastAsia" w:ascii="宋体" w:hAnsi="宋体" w:eastAsia="宋体" w:cs="宋体"/>
          <w:b/>
          <w:color w:val="000000" w:themeColor="text1"/>
          <w14:textFill>
            <w14:solidFill>
              <w14:schemeClr w14:val="tx1"/>
            </w14:solidFill>
          </w14:textFill>
        </w:rPr>
      </w:pPr>
      <w:bookmarkStart w:id="8" w:name="_bookmark2"/>
      <w:bookmarkEnd w:id="8"/>
      <w:bookmarkStart w:id="9" w:name="第三章_投标供应商须知"/>
      <w:bookmarkEnd w:id="9"/>
      <w:bookmarkStart w:id="10" w:name="_Toc8165"/>
      <w:r>
        <w:rPr>
          <w:rFonts w:hint="eastAsia" w:ascii="宋体" w:hAnsi="宋体" w:eastAsia="宋体" w:cs="宋体"/>
          <w:b/>
          <w:color w:val="000000" w:themeColor="text1"/>
          <w14:textFill>
            <w14:solidFill>
              <w14:schemeClr w14:val="tx1"/>
            </w14:solidFill>
          </w14:textFill>
        </w:rPr>
        <w:t>第三章 投标供应商须知</w:t>
      </w:r>
      <w:bookmarkEnd w:id="10"/>
    </w:p>
    <w:p>
      <w:pPr>
        <w:pStyle w:val="6"/>
        <w:tabs>
          <w:tab w:val="left" w:pos="1406"/>
        </w:tabs>
        <w:spacing w:before="139" w:line="511" w:lineRule="exact"/>
        <w:ind w:right="716"/>
        <w:rPr>
          <w:rFonts w:hint="eastAsia" w:ascii="宋体" w:hAnsi="宋体" w:eastAsia="宋体" w:cs="宋体"/>
          <w:b/>
          <w:bCs/>
          <w:color w:val="000000" w:themeColor="text1"/>
          <w:sz w:val="32"/>
          <w:szCs w:val="32"/>
          <w14:textFill>
            <w14:solidFill>
              <w14:schemeClr w14:val="tx1"/>
            </w14:solidFill>
          </w14:textFill>
        </w:rPr>
      </w:pPr>
      <w:bookmarkStart w:id="11" w:name="_bookmark3"/>
      <w:bookmarkEnd w:id="11"/>
      <w:bookmarkStart w:id="12" w:name="一．总____则"/>
      <w:bookmarkEnd w:id="12"/>
      <w:r>
        <w:rPr>
          <w:rFonts w:hint="eastAsia" w:ascii="宋体" w:hAnsi="宋体" w:eastAsia="宋体" w:cs="宋体"/>
          <w:b/>
          <w:bCs/>
          <w:color w:val="000000" w:themeColor="text1"/>
          <w:sz w:val="32"/>
          <w:szCs w:val="32"/>
          <w14:textFill>
            <w14:solidFill>
              <w14:schemeClr w14:val="tx1"/>
            </w14:solidFill>
          </w14:textFill>
        </w:rPr>
        <w:t>一．总</w:t>
      </w:r>
      <w:r>
        <w:rPr>
          <w:rFonts w:hint="eastAsia" w:ascii="宋体" w:hAnsi="宋体" w:eastAsia="宋体" w:cs="宋体"/>
          <w:b/>
          <w:bCs/>
          <w:color w:val="000000" w:themeColor="text1"/>
          <w:sz w:val="32"/>
          <w:szCs w:val="32"/>
          <w14:textFill>
            <w14:solidFill>
              <w14:schemeClr w14:val="tx1"/>
            </w14:solidFill>
          </w14:textFill>
        </w:rPr>
        <w:tab/>
      </w:r>
      <w:r>
        <w:rPr>
          <w:rFonts w:hint="eastAsia" w:ascii="宋体" w:hAnsi="宋体" w:eastAsia="宋体" w:cs="宋体"/>
          <w:b/>
          <w:bCs/>
          <w:color w:val="000000" w:themeColor="text1"/>
          <w:sz w:val="32"/>
          <w:szCs w:val="32"/>
          <w14:textFill>
            <w14:solidFill>
              <w14:schemeClr w14:val="tx1"/>
            </w14:solidFill>
          </w14:textFill>
        </w:rPr>
        <w:t>则</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before="66"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适用范围</w:t>
      </w:r>
    </w:p>
    <w:p>
      <w:pPr>
        <w:pStyle w:val="3"/>
        <w:keepNext w:val="0"/>
        <w:keepLines w:val="0"/>
        <w:pageBreakBefore w:val="0"/>
        <w:widowControl w:val="0"/>
        <w:numPr>
          <w:ilvl w:val="1"/>
          <w:numId w:val="3"/>
        </w:numPr>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本招标文件仅适用于本次公开招标所述的</w:t>
      </w:r>
      <w:r>
        <w:rPr>
          <w:rFonts w:hint="eastAsia" w:ascii="宋体" w:hAnsi="宋体" w:eastAsia="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项目采购。</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有关定义</w:t>
      </w:r>
    </w:p>
    <w:p>
      <w:pPr>
        <w:pStyle w:val="24"/>
        <w:keepNext w:val="0"/>
        <w:keepLines w:val="0"/>
        <w:pageBreakBefore w:val="0"/>
        <w:widowControl w:val="0"/>
        <w:numPr>
          <w:ilvl w:val="1"/>
          <w:numId w:val="4"/>
        </w:numPr>
        <w:tabs>
          <w:tab w:val="left" w:pos="1374"/>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政府采购监督管理部门：</w:t>
      </w:r>
    </w:p>
    <w:p>
      <w:pPr>
        <w:pStyle w:val="24"/>
        <w:keepNext w:val="0"/>
        <w:keepLines w:val="0"/>
        <w:pageBreakBefore w:val="0"/>
        <w:widowControl w:val="0"/>
        <w:numPr>
          <w:ilvl w:val="1"/>
          <w:numId w:val="4"/>
        </w:numPr>
        <w:tabs>
          <w:tab w:val="left" w:pos="1374"/>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采购人：系指本次采购项目的业主方。</w:t>
      </w:r>
    </w:p>
    <w:p>
      <w:pPr>
        <w:pStyle w:val="24"/>
        <w:keepNext w:val="0"/>
        <w:keepLines w:val="0"/>
        <w:pageBreakBefore w:val="0"/>
        <w:widowControl w:val="0"/>
        <w:numPr>
          <w:ilvl w:val="1"/>
          <w:numId w:val="4"/>
        </w:numPr>
        <w:tabs>
          <w:tab w:val="left" w:pos="1374"/>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委托人：系指本次采购项目的委托方。</w:t>
      </w:r>
    </w:p>
    <w:p>
      <w:pPr>
        <w:pStyle w:val="24"/>
        <w:keepNext w:val="0"/>
        <w:keepLines w:val="0"/>
        <w:pageBreakBefore w:val="0"/>
        <w:widowControl w:val="0"/>
        <w:numPr>
          <w:ilvl w:val="1"/>
          <w:numId w:val="4"/>
        </w:numPr>
        <w:tabs>
          <w:tab w:val="left" w:pos="1374"/>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pacing w:val="-12"/>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投标供应商：系指响应招标、参加投标竞争的法人、其他组织或自然人。分支机构不得参加政府采购活动。</w:t>
      </w:r>
    </w:p>
    <w:p>
      <w:pPr>
        <w:pStyle w:val="24"/>
        <w:keepNext w:val="0"/>
        <w:keepLines w:val="0"/>
        <w:pageBreakBefore w:val="0"/>
        <w:widowControl w:val="0"/>
        <w:numPr>
          <w:ilvl w:val="1"/>
          <w:numId w:val="4"/>
        </w:numPr>
        <w:tabs>
          <w:tab w:val="left" w:pos="1374"/>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服务：系指除</w:t>
      </w:r>
      <w:r>
        <w:rPr>
          <w:rFonts w:hint="eastAsia" w:ascii="宋体" w:hAnsi="宋体" w:eastAsia="宋体" w:cs="宋体"/>
          <w:color w:val="000000" w:themeColor="text1"/>
          <w:spacing w:val="-12"/>
          <w:sz w:val="24"/>
          <w:szCs w:val="24"/>
          <w:lang w:eastAsia="zh-CN"/>
          <w14:textFill>
            <w14:solidFill>
              <w14:schemeClr w14:val="tx1"/>
            </w14:solidFill>
          </w14:textFill>
        </w:rPr>
        <w:t>服务</w:t>
      </w:r>
      <w:r>
        <w:rPr>
          <w:rFonts w:hint="eastAsia" w:ascii="宋体" w:hAnsi="宋体" w:eastAsia="宋体" w:cs="宋体"/>
          <w:color w:val="000000" w:themeColor="text1"/>
          <w:spacing w:val="-12"/>
          <w:sz w:val="24"/>
          <w:szCs w:val="24"/>
          <w14:textFill>
            <w14:solidFill>
              <w14:schemeClr w14:val="tx1"/>
            </w14:solidFill>
          </w14:textFill>
        </w:rPr>
        <w:t>和工程以外的其他政府采购对象，包括咨询、调研、评估、规划、设计、印刷等。</w:t>
      </w:r>
    </w:p>
    <w:p>
      <w:pPr>
        <w:pStyle w:val="24"/>
        <w:keepNext w:val="0"/>
        <w:keepLines w:val="0"/>
        <w:pageBreakBefore w:val="0"/>
        <w:widowControl w:val="0"/>
        <w:numPr>
          <w:ilvl w:val="1"/>
          <w:numId w:val="4"/>
        </w:numPr>
        <w:tabs>
          <w:tab w:val="left" w:pos="1374"/>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本招标文件所要求的证书、认证、资质，均应当是有权机构颁发，且在有效期内的。</w:t>
      </w:r>
    </w:p>
    <w:p>
      <w:pPr>
        <w:pStyle w:val="24"/>
        <w:keepNext w:val="0"/>
        <w:keepLines w:val="0"/>
        <w:pageBreakBefore w:val="0"/>
        <w:widowControl w:val="0"/>
        <w:numPr>
          <w:ilvl w:val="1"/>
          <w:numId w:val="4"/>
        </w:numPr>
        <w:tabs>
          <w:tab w:val="left" w:pos="1383"/>
          <w:tab w:val="left" w:pos="1434"/>
        </w:tabs>
        <w:kinsoku/>
        <w:wordWrap/>
        <w:overflowPunct/>
        <w:topLinePunct w:val="0"/>
        <w:autoSpaceDE w:val="0"/>
        <w:autoSpaceDN w:val="0"/>
        <w:bidi w:val="0"/>
        <w:adjustRightInd/>
        <w:snapToGrid/>
        <w:spacing w:before="5" w:line="500" w:lineRule="exact"/>
        <w:ind w:right="1239" w:firstLine="480"/>
        <w:jc w:val="both"/>
        <w:textAlignment w:val="auto"/>
        <w:rPr>
          <w:rFonts w:hint="eastAsia"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w w:val="105"/>
          <w:sz w:val="24"/>
          <w:szCs w:val="24"/>
          <w14:textFill>
            <w14:solidFill>
              <w14:schemeClr w14:val="tx1"/>
            </w14:solidFill>
          </w14:textFill>
        </w:rPr>
        <w:t>时限（年份、月份等）</w:t>
      </w:r>
      <w:r>
        <w:rPr>
          <w:rFonts w:hint="eastAsia" w:ascii="宋体" w:hAnsi="宋体" w:eastAsia="宋体" w:cs="宋体"/>
          <w:color w:val="000000" w:themeColor="text1"/>
          <w:spacing w:val="1"/>
          <w:w w:val="105"/>
          <w:sz w:val="24"/>
          <w:szCs w:val="24"/>
          <w14:textFill>
            <w14:solidFill>
              <w14:schemeClr w14:val="tx1"/>
            </w14:solidFill>
          </w14:textFill>
        </w:rPr>
        <w:t>计算：系指从开标之日向前追溯</w:t>
      </w:r>
      <w:r>
        <w:rPr>
          <w:rFonts w:hint="eastAsia" w:ascii="宋体" w:hAnsi="宋体" w:eastAsia="宋体" w:cs="宋体"/>
          <w:color w:val="000000" w:themeColor="text1"/>
          <w:sz w:val="24"/>
          <w:szCs w:val="24"/>
          <w14:textFill>
            <w14:solidFill>
              <w14:schemeClr w14:val="tx1"/>
            </w14:solidFill>
          </w14:textFill>
        </w:rPr>
        <w:t>。</w:t>
      </w:r>
    </w:p>
    <w:p>
      <w:pPr>
        <w:pStyle w:val="24"/>
        <w:keepNext w:val="0"/>
        <w:keepLines w:val="0"/>
        <w:pageBreakBefore w:val="0"/>
        <w:widowControl w:val="0"/>
        <w:numPr>
          <w:ilvl w:val="1"/>
          <w:numId w:val="4"/>
        </w:numPr>
        <w:tabs>
          <w:tab w:val="left" w:pos="1383"/>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业绩：除非本招标文件另有规定，业绩系指符合本招标文件规定且已服务完毕的或与最终用户签订的合同及招标文件要求的相关证明。</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before="66"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投标费用</w:t>
      </w:r>
    </w:p>
    <w:p>
      <w:pPr>
        <w:pStyle w:val="3"/>
        <w:keepNext w:val="0"/>
        <w:keepLines w:val="0"/>
        <w:pageBreakBefore w:val="0"/>
        <w:widowControl w:val="0"/>
        <w:numPr>
          <w:ilvl w:val="1"/>
          <w:numId w:val="3"/>
        </w:numPr>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无论投标结果如何，投标供应商应自行承担其编制与递交投标文件所涉及的一切费用。</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before="66"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合格的投标供应商</w:t>
      </w:r>
    </w:p>
    <w:p>
      <w:pPr>
        <w:pStyle w:val="24"/>
        <w:keepNext w:val="0"/>
        <w:keepLines w:val="0"/>
        <w:pageBreakBefore w:val="0"/>
        <w:widowControl w:val="0"/>
        <w:numPr>
          <w:ilvl w:val="1"/>
          <w:numId w:val="3"/>
        </w:numPr>
        <w:tabs>
          <w:tab w:val="left" w:pos="1383"/>
        </w:tabs>
        <w:kinsoku/>
        <w:wordWrap/>
        <w:overflowPunct/>
        <w:topLinePunct w:val="0"/>
        <w:autoSpaceDE w:val="0"/>
        <w:autoSpaceDN w:val="0"/>
        <w:bidi w:val="0"/>
        <w:adjustRightInd/>
        <w:snapToGrid/>
        <w:spacing w:line="500" w:lineRule="exact"/>
        <w:ind w:right="220" w:right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合格的投标供应商应符合招标文件载明的投标资格。</w:t>
      </w:r>
    </w:p>
    <w:p>
      <w:pPr>
        <w:pStyle w:val="24"/>
        <w:keepNext w:val="0"/>
        <w:keepLines w:val="0"/>
        <w:pageBreakBefore w:val="0"/>
        <w:widowControl w:val="0"/>
        <w:numPr>
          <w:ilvl w:val="1"/>
          <w:numId w:val="3"/>
        </w:numPr>
        <w:tabs>
          <w:tab w:val="left" w:pos="1383"/>
        </w:tabs>
        <w:kinsoku/>
        <w:wordWrap/>
        <w:overflowPunct/>
        <w:topLinePunct w:val="0"/>
        <w:autoSpaceDE w:val="0"/>
        <w:autoSpaceDN w:val="0"/>
        <w:bidi w:val="0"/>
        <w:adjustRightInd/>
        <w:snapToGrid/>
        <w:spacing w:line="500" w:lineRule="exact"/>
        <w:ind w:right="220" w:right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本招标文件仅对投标企业主体的业绩、获得荣誉等证明材料予以认可。</w:t>
      </w:r>
    </w:p>
    <w:p>
      <w:pPr>
        <w:pStyle w:val="24"/>
        <w:keepNext w:val="0"/>
        <w:keepLines w:val="0"/>
        <w:pageBreakBefore w:val="0"/>
        <w:widowControl w:val="0"/>
        <w:numPr>
          <w:ilvl w:val="1"/>
          <w:numId w:val="3"/>
        </w:numPr>
        <w:tabs>
          <w:tab w:val="left" w:pos="1383"/>
        </w:tabs>
        <w:kinsoku/>
        <w:wordWrap/>
        <w:overflowPunct/>
        <w:topLinePunct w:val="0"/>
        <w:autoSpaceDE w:val="0"/>
        <w:autoSpaceDN w:val="0"/>
        <w:bidi w:val="0"/>
        <w:adjustRightInd/>
        <w:snapToGrid/>
        <w:spacing w:line="500" w:lineRule="exact"/>
        <w:ind w:right="220" w:right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单位负责人为同一人或者存在直接控股、管理关系的不同供应商，不得参加同一合</w:t>
      </w:r>
      <w:r>
        <w:rPr>
          <w:rFonts w:hint="eastAsia" w:ascii="宋体" w:hAnsi="宋体" w:eastAsia="宋体" w:cs="宋体"/>
          <w:color w:val="000000" w:themeColor="text1"/>
          <w:sz w:val="24"/>
          <w:szCs w:val="24"/>
          <w14:textFill>
            <w14:solidFill>
              <w14:schemeClr w14:val="tx1"/>
            </w14:solidFill>
          </w14:textFill>
        </w:rPr>
        <w:t>同项下的政府采购活动。</w:t>
      </w:r>
    </w:p>
    <w:p>
      <w:pPr>
        <w:pStyle w:val="24"/>
        <w:keepNext w:val="0"/>
        <w:keepLines w:val="0"/>
        <w:pageBreakBefore w:val="0"/>
        <w:widowControl w:val="0"/>
        <w:numPr>
          <w:ilvl w:val="1"/>
          <w:numId w:val="3"/>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2"/>
          <w:sz w:val="24"/>
          <w:szCs w:val="24"/>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勘察现场</w:t>
      </w:r>
    </w:p>
    <w:p>
      <w:pPr>
        <w:pStyle w:val="24"/>
        <w:keepNext w:val="0"/>
        <w:keepLines w:val="0"/>
        <w:pageBreakBefore w:val="0"/>
        <w:widowControl w:val="0"/>
        <w:kinsoku/>
        <w:wordWrap/>
        <w:overflowPunct/>
        <w:topLinePunct w:val="0"/>
        <w:autoSpaceDE w:val="0"/>
        <w:autoSpaceDN w:val="0"/>
        <w:bidi w:val="0"/>
        <w:adjustRightInd/>
        <w:snapToGrid/>
        <w:spacing w:line="500" w:lineRule="exact"/>
        <w:ind w:left="100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5.1 不组织现场勘查。</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知识产权</w:t>
      </w:r>
    </w:p>
    <w:p>
      <w:pPr>
        <w:pStyle w:val="24"/>
        <w:keepNext w:val="0"/>
        <w:keepLines w:val="0"/>
        <w:pageBreakBefore w:val="0"/>
        <w:widowControl w:val="0"/>
        <w:numPr>
          <w:ilvl w:val="1"/>
          <w:numId w:val="5"/>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投标供应商须保证，采购人在中华人民共和国境内使用投标</w:t>
      </w:r>
      <w:r>
        <w:rPr>
          <w:rFonts w:hint="eastAsia" w:ascii="宋体" w:hAnsi="宋体" w:eastAsia="宋体" w:cs="宋体"/>
          <w:color w:val="000000" w:themeColor="text1"/>
          <w:spacing w:val="-6"/>
          <w:sz w:val="24"/>
          <w:szCs w:val="24"/>
          <w:lang w:eastAsia="zh-CN"/>
          <w14:textFill>
            <w14:solidFill>
              <w14:schemeClr w14:val="tx1"/>
            </w14:solidFill>
          </w14:textFill>
        </w:rPr>
        <w:t>服务</w:t>
      </w:r>
      <w:r>
        <w:rPr>
          <w:rFonts w:hint="eastAsia" w:ascii="宋体" w:hAnsi="宋体" w:eastAsia="宋体" w:cs="宋体"/>
          <w:color w:val="000000" w:themeColor="text1"/>
          <w:spacing w:val="-6"/>
          <w:sz w:val="24"/>
          <w:szCs w:val="24"/>
          <w14:textFill>
            <w14:solidFill>
              <w14:schemeClr w14:val="tx1"/>
            </w14:solidFill>
          </w14:textFill>
        </w:rPr>
        <w:t>、资料、技术、服</w:t>
      </w:r>
      <w:r>
        <w:rPr>
          <w:rFonts w:hint="eastAsia" w:ascii="宋体" w:hAnsi="宋体" w:eastAsia="宋体" w:cs="宋体"/>
          <w:color w:val="000000" w:themeColor="text1"/>
          <w:spacing w:val="-11"/>
          <w:sz w:val="24"/>
          <w:szCs w:val="24"/>
          <w14:textFill>
            <w14:solidFill>
              <w14:schemeClr w14:val="tx1"/>
            </w14:solidFill>
          </w14:textFill>
        </w:rPr>
        <w:t>务或其任何一部分时，享有不受限制的无偿使用权，不会产生因第三方提出侵犯其专利权、商标权或其它知识产权而引起的法律或经济纠纷。如投标供应商不拥有相应的知识产权，</w:t>
      </w:r>
      <w:r>
        <w:rPr>
          <w:rFonts w:hint="eastAsia" w:ascii="宋体" w:hAnsi="宋体" w:eastAsia="宋体" w:cs="宋体"/>
          <w:color w:val="000000" w:themeColor="text1"/>
          <w:spacing w:val="-14"/>
          <w:sz w:val="24"/>
          <w:szCs w:val="24"/>
          <w14:textFill>
            <w14:solidFill>
              <w14:schemeClr w14:val="tx1"/>
            </w14:solidFill>
          </w14:textFill>
        </w:rPr>
        <w:t>则在投标报价中必须包括合法获取该知识产权的一切相关费用。如因此导致采购人损失的， 投标供应商须承担全部赔偿责任。</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纪律与保密</w:t>
      </w:r>
    </w:p>
    <w:p>
      <w:pPr>
        <w:pStyle w:val="24"/>
        <w:keepNext w:val="0"/>
        <w:keepLines w:val="0"/>
        <w:pageBreakBefore w:val="0"/>
        <w:widowControl w:val="0"/>
        <w:numPr>
          <w:ilvl w:val="1"/>
          <w:numId w:val="6"/>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投标供应商的投标行为应遵守中国的有关法律、法规和规章。</w:t>
      </w:r>
    </w:p>
    <w:p>
      <w:pPr>
        <w:pStyle w:val="24"/>
        <w:keepNext w:val="0"/>
        <w:keepLines w:val="0"/>
        <w:pageBreakBefore w:val="0"/>
        <w:widowControl w:val="0"/>
        <w:numPr>
          <w:ilvl w:val="1"/>
          <w:numId w:val="6"/>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投标供应商不得相互串通投标报价，不得妨碍其他投标供应商的公平竞争，不得损害采购人或其他投标供应商的合法权益，投标供应商不得以向采购人、评标委员会成员行贿或者其他不正当手段谋取中标。</w:t>
      </w:r>
    </w:p>
    <w:p>
      <w:pPr>
        <w:pStyle w:val="24"/>
        <w:keepNext w:val="0"/>
        <w:keepLines w:val="0"/>
        <w:pageBreakBefore w:val="0"/>
        <w:widowControl w:val="0"/>
        <w:numPr>
          <w:ilvl w:val="1"/>
          <w:numId w:val="6"/>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有下列情形之一的，视为投标供应商串通投标，其投标无效：</w:t>
      </w:r>
    </w:p>
    <w:p>
      <w:pPr>
        <w:pStyle w:val="24"/>
        <w:keepNext w:val="0"/>
        <w:keepLines w:val="0"/>
        <w:pageBreakBefore w:val="0"/>
        <w:widowControl w:val="0"/>
        <w:numPr>
          <w:ilvl w:val="1"/>
          <w:numId w:val="7"/>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不同投标供应商的投标文件由同一单位或者个人编制；</w:t>
      </w:r>
    </w:p>
    <w:p>
      <w:pPr>
        <w:pStyle w:val="24"/>
        <w:keepNext w:val="0"/>
        <w:keepLines w:val="0"/>
        <w:pageBreakBefore w:val="0"/>
        <w:widowControl w:val="0"/>
        <w:numPr>
          <w:ilvl w:val="1"/>
          <w:numId w:val="8"/>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不同投标供应商委托同一单位或者个人办理投标事宜；</w:t>
      </w:r>
    </w:p>
    <w:p>
      <w:pPr>
        <w:pStyle w:val="24"/>
        <w:keepNext w:val="0"/>
        <w:keepLines w:val="0"/>
        <w:pageBreakBefore w:val="0"/>
        <w:widowControl w:val="0"/>
        <w:numPr>
          <w:ilvl w:val="1"/>
          <w:numId w:val="9"/>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不同投标供应商的投标文件载明的项目管理成员或者联系人员为同一人；</w:t>
      </w:r>
    </w:p>
    <w:p>
      <w:pPr>
        <w:pStyle w:val="24"/>
        <w:keepNext w:val="0"/>
        <w:keepLines w:val="0"/>
        <w:pageBreakBefore w:val="0"/>
        <w:widowControl w:val="0"/>
        <w:numPr>
          <w:ilvl w:val="1"/>
          <w:numId w:val="10"/>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不同投标供应商的投标文件异常一致或者投标报价呈规律性差异；</w:t>
      </w:r>
    </w:p>
    <w:p>
      <w:pPr>
        <w:pStyle w:val="24"/>
        <w:keepNext w:val="0"/>
        <w:keepLines w:val="0"/>
        <w:pageBreakBefore w:val="0"/>
        <w:widowControl w:val="0"/>
        <w:numPr>
          <w:ilvl w:val="1"/>
          <w:numId w:val="11"/>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不同投标供应商的投标文件相互混装；</w:t>
      </w:r>
    </w:p>
    <w:p>
      <w:pPr>
        <w:pStyle w:val="24"/>
        <w:keepNext w:val="0"/>
        <w:keepLines w:val="0"/>
        <w:pageBreakBefore w:val="0"/>
        <w:widowControl w:val="0"/>
        <w:numPr>
          <w:ilvl w:val="1"/>
          <w:numId w:val="12"/>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不同投标供应商的投标保证金从同一单位或者个人的账户转出。</w:t>
      </w:r>
    </w:p>
    <w:p>
      <w:pPr>
        <w:pStyle w:val="24"/>
        <w:keepNext w:val="0"/>
        <w:keepLines w:val="0"/>
        <w:pageBreakBefore w:val="0"/>
        <w:widowControl w:val="0"/>
        <w:numPr>
          <w:ilvl w:val="1"/>
          <w:numId w:val="13"/>
        </w:numPr>
        <w:tabs>
          <w:tab w:val="left" w:pos="1383"/>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在确定中标供应商之前，投标供应商不得与采购人就投标价格、投标方案等实质性内容进行谈判，也不得私下接触评标委员会成员。</w:t>
      </w:r>
    </w:p>
    <w:p>
      <w:pPr>
        <w:pStyle w:val="24"/>
        <w:keepNext w:val="0"/>
        <w:keepLines w:val="0"/>
        <w:pageBreakBefore w:val="0"/>
        <w:widowControl w:val="0"/>
        <w:numPr>
          <w:ilvl w:val="1"/>
          <w:numId w:val="13"/>
        </w:numPr>
        <w:tabs>
          <w:tab w:val="left" w:pos="1383"/>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在确定中标供应商之前，投标供应商试图在投标文件审查、澄清、比较和评价时对评标委员会、采购人和招标代理机构</w:t>
      </w:r>
      <w:r>
        <w:rPr>
          <w:rFonts w:hint="eastAsia" w:ascii="宋体" w:hAnsi="宋体" w:eastAsia="宋体" w:cs="宋体"/>
          <w:color w:val="000000" w:themeColor="text1"/>
          <w:spacing w:val="-5"/>
          <w:sz w:val="24"/>
          <w14:textFill>
            <w14:solidFill>
              <w14:schemeClr w14:val="tx1"/>
            </w14:solidFill>
          </w14:textFill>
        </w:rPr>
        <w:t>施加任何影响都</w:t>
      </w:r>
      <w:r>
        <w:rPr>
          <w:rFonts w:hint="eastAsia" w:ascii="宋体" w:hAnsi="宋体" w:eastAsia="宋体" w:cs="宋体"/>
          <w:color w:val="000000" w:themeColor="text1"/>
          <w:spacing w:val="-5"/>
          <w:sz w:val="24"/>
          <w:szCs w:val="24"/>
          <w14:textFill>
            <w14:solidFill>
              <w14:schemeClr w14:val="tx1"/>
            </w14:solidFill>
          </w14:textFill>
        </w:rPr>
        <w:t>可能导致其投标无效。</w:t>
      </w:r>
    </w:p>
    <w:p>
      <w:pPr>
        <w:pStyle w:val="24"/>
        <w:keepNext w:val="0"/>
        <w:keepLines w:val="0"/>
        <w:pageBreakBefore w:val="0"/>
        <w:widowControl w:val="0"/>
        <w:numPr>
          <w:ilvl w:val="1"/>
          <w:numId w:val="13"/>
        </w:numPr>
        <w:tabs>
          <w:tab w:val="left" w:pos="1383"/>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1"/>
          <w:sz w:val="24"/>
          <w:szCs w:val="24"/>
          <w14:textFill>
            <w14:solidFill>
              <w14:schemeClr w14:val="tx1"/>
            </w14:solidFill>
          </w14:textFill>
        </w:rPr>
        <w:t>由采购人向投标供应商提供的所有资料，被视为保密资料，仅被用于它所规定的用途。除非得到采购人的同意，不能向任何第三方透露。开标结束后，应采购人要求，投标供应商应归还所有从采购人处获得的保密资料。</w:t>
      </w:r>
    </w:p>
    <w:p>
      <w:pPr>
        <w:pStyle w:val="24"/>
        <w:keepNext w:val="0"/>
        <w:keepLines w:val="0"/>
        <w:pageBreakBefore w:val="0"/>
        <w:widowControl w:val="0"/>
        <w:numPr>
          <w:ilvl w:val="0"/>
          <w:numId w:val="3"/>
        </w:numPr>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本项目不接受联合体投标</w:t>
      </w:r>
    </w:p>
    <w:p>
      <w:pPr>
        <w:pStyle w:val="24"/>
        <w:keepNext w:val="0"/>
        <w:keepLines w:val="0"/>
        <w:pageBreakBefore w:val="0"/>
        <w:widowControl w:val="0"/>
        <w:numPr>
          <w:ilvl w:val="0"/>
          <w:numId w:val="3"/>
        </w:numPr>
        <w:tabs>
          <w:tab w:val="left" w:pos="1383"/>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投标专用章的效力</w:t>
      </w:r>
    </w:p>
    <w:p>
      <w:pPr>
        <w:pStyle w:val="24"/>
        <w:keepNext w:val="0"/>
        <w:keepLines w:val="0"/>
        <w:pageBreakBefore w:val="0"/>
        <w:widowControl w:val="0"/>
        <w:numPr>
          <w:ilvl w:val="1"/>
          <w:numId w:val="14"/>
        </w:numPr>
        <w:tabs>
          <w:tab w:val="left" w:pos="1383"/>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招标文件中明确要求加盖公章</w:t>
      </w:r>
      <w:r>
        <w:rPr>
          <w:rFonts w:hint="eastAsia" w:ascii="宋体" w:hAnsi="宋体" w:eastAsia="宋体" w:cs="宋体"/>
          <w:color w:val="000000" w:themeColor="text1"/>
          <w:spacing w:val="-5"/>
          <w:sz w:val="24"/>
          <w:szCs w:val="24"/>
          <w14:textFill>
            <w14:solidFill>
              <w14:schemeClr w14:val="tx1"/>
            </w14:solidFill>
          </w14:textFill>
        </w:rPr>
        <w:t>的，投标供应商必须加盖投标供应商公章</w:t>
      </w:r>
      <w:r>
        <w:rPr>
          <w:rFonts w:hint="eastAsia" w:ascii="宋体" w:hAnsi="宋体" w:eastAsia="宋体" w:cs="宋体"/>
          <w:color w:val="000000" w:themeColor="text1"/>
          <w:sz w:val="24"/>
          <w:szCs w:val="24"/>
          <w14:textFill>
            <w14:solidFill>
              <w14:schemeClr w14:val="tx1"/>
            </w14:solidFill>
          </w14:textFill>
        </w:rPr>
        <w:t>，否则将导致投标无效。</w:t>
      </w:r>
    </w:p>
    <w:p>
      <w:pPr>
        <w:pStyle w:val="24"/>
        <w:keepNext w:val="0"/>
        <w:keepLines w:val="0"/>
        <w:pageBreakBefore w:val="0"/>
        <w:widowControl w:val="0"/>
        <w:numPr>
          <w:ilvl w:val="0"/>
          <w:numId w:val="3"/>
        </w:numPr>
        <w:tabs>
          <w:tab w:val="left" w:pos="1383"/>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合同标的转让与分包</w:t>
      </w:r>
    </w:p>
    <w:p>
      <w:pPr>
        <w:pStyle w:val="24"/>
        <w:keepNext w:val="0"/>
        <w:keepLines w:val="0"/>
        <w:pageBreakBefore w:val="0"/>
        <w:widowControl w:val="0"/>
        <w:numPr>
          <w:ilvl w:val="1"/>
          <w:numId w:val="15"/>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合同未约定或者未经采购人同意，中标供应商不得向他人转让中标项目，也不得将中标项目肢解后分别向他人转让。</w:t>
      </w:r>
    </w:p>
    <w:p>
      <w:pPr>
        <w:pStyle w:val="24"/>
        <w:keepNext w:val="0"/>
        <w:keepLines w:val="0"/>
        <w:pageBreakBefore w:val="0"/>
        <w:widowControl w:val="0"/>
        <w:tabs>
          <w:tab w:val="left" w:pos="1539"/>
        </w:tabs>
        <w:kinsoku/>
        <w:wordWrap/>
        <w:overflowPunct/>
        <w:topLinePunct w:val="0"/>
        <w:autoSpaceDE w:val="0"/>
        <w:autoSpaceDN w:val="0"/>
        <w:bidi w:val="0"/>
        <w:adjustRightInd/>
        <w:snapToGrid/>
        <w:spacing w:line="500" w:lineRule="exact"/>
        <w:ind w:left="1038" w:right="567"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中标供应商应当就分包项目向采购人负责，接受分包的人就分包项目承担连带责任。</w:t>
      </w:r>
    </w:p>
    <w:p>
      <w:pPr>
        <w:pStyle w:val="24"/>
        <w:keepNext w:val="0"/>
        <w:keepLines w:val="0"/>
        <w:pageBreakBefore w:val="0"/>
        <w:widowControl w:val="0"/>
        <w:numPr>
          <w:ilvl w:val="1"/>
          <w:numId w:val="16"/>
        </w:numPr>
        <w:tabs>
          <w:tab w:val="left" w:pos="1539"/>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采购信息的发布</w:t>
      </w:r>
    </w:p>
    <w:p>
      <w:pPr>
        <w:pStyle w:val="24"/>
        <w:keepNext w:val="0"/>
        <w:keepLines w:val="0"/>
        <w:pageBreakBefore w:val="0"/>
        <w:widowControl w:val="0"/>
        <w:numPr>
          <w:ilvl w:val="1"/>
          <w:numId w:val="17"/>
        </w:numPr>
        <w:tabs>
          <w:tab w:val="left" w:pos="1539"/>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与本次采购活动相关的信息，将在新疆政府采购网</w:t>
      </w:r>
      <w:r>
        <w:rPr>
          <w:rFonts w:hint="eastAsia" w:ascii="宋体" w:hAnsi="宋体" w:eastAsia="宋体" w:cs="宋体"/>
          <w:color w:val="000000" w:themeColor="text1"/>
          <w:w w:val="105"/>
          <w:sz w:val="24"/>
          <w:szCs w:val="24"/>
          <w14:textFill>
            <w14:solidFill>
              <w14:schemeClr w14:val="tx1"/>
            </w14:solidFill>
          </w14:textFill>
        </w:rPr>
        <w:t>发布。</w:t>
      </w:r>
    </w:p>
    <w:p>
      <w:pPr>
        <w:pStyle w:val="3"/>
        <w:spacing w:line="360" w:lineRule="auto"/>
        <w:ind w:left="0" w:leftChars="0" w:firstLine="0" w:firstLineChars="0"/>
        <w:rPr>
          <w:rFonts w:hint="eastAsia" w:ascii="宋体" w:hAnsi="宋体" w:eastAsia="宋体" w:cs="宋体"/>
          <w:color w:val="000000" w:themeColor="text1"/>
          <w:w w:val="105"/>
          <w14:textFill>
            <w14:solidFill>
              <w14:schemeClr w14:val="tx1"/>
            </w14:solidFill>
          </w14:textFill>
        </w:rPr>
      </w:pPr>
    </w:p>
    <w:p>
      <w:pPr>
        <w:pStyle w:val="6"/>
        <w:spacing w:line="360" w:lineRule="auto"/>
        <w:ind w:right="87"/>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二．招标文件</w:t>
      </w:r>
    </w:p>
    <w:p>
      <w:pPr>
        <w:pStyle w:val="24"/>
        <w:keepNext w:val="0"/>
        <w:keepLines w:val="0"/>
        <w:pageBreakBefore w:val="0"/>
        <w:widowControl w:val="0"/>
        <w:numPr>
          <w:ilvl w:val="1"/>
          <w:numId w:val="18"/>
        </w:numPr>
        <w:kinsoku/>
        <w:wordWrap/>
        <w:overflowPunct/>
        <w:topLinePunct w:val="0"/>
        <w:autoSpaceDE w:val="0"/>
        <w:autoSpaceDN w:val="0"/>
        <w:bidi w:val="0"/>
        <w:adjustRightInd/>
        <w:snapToGrid/>
        <w:spacing w:before="229"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招标文件构成</w:t>
      </w:r>
    </w:p>
    <w:p>
      <w:pPr>
        <w:pStyle w:val="24"/>
        <w:keepNext w:val="0"/>
        <w:keepLines w:val="0"/>
        <w:pageBreakBefore w:val="0"/>
        <w:widowControl w:val="0"/>
        <w:numPr>
          <w:ilvl w:val="1"/>
          <w:numId w:val="19"/>
        </w:numPr>
        <w:tabs>
          <w:tab w:val="left" w:pos="1515"/>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招标文件包括以下部分：</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第一章：招标公告；</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第二章：投标供应商须知前附表；</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第三章：投标供应商须知；</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第四章：评标办法；</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第五章：采购合同；</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第六章：</w:t>
      </w:r>
      <w:r>
        <w:rPr>
          <w:rFonts w:hint="eastAsia" w:ascii="宋体" w:hAnsi="宋体" w:eastAsia="宋体" w:cs="宋体"/>
          <w:color w:val="000000" w:themeColor="text1"/>
          <w:sz w:val="24"/>
          <w:szCs w:val="24"/>
          <w:lang w:val="en-US" w:eastAsia="zh-CN"/>
          <w14:textFill>
            <w14:solidFill>
              <w14:schemeClr w14:val="tx1"/>
            </w14:solidFill>
          </w14:textFill>
        </w:rPr>
        <w:t>采购需</w:t>
      </w:r>
      <w:r>
        <w:rPr>
          <w:rFonts w:hint="eastAsia" w:ascii="宋体" w:hAnsi="宋体" w:eastAsia="宋体" w:cs="宋体"/>
          <w:color w:val="000000" w:themeColor="text1"/>
          <w:sz w:val="24"/>
          <w:szCs w:val="24"/>
          <w:lang w:val="en-US"/>
          <w14:textFill>
            <w14:solidFill>
              <w14:schemeClr w14:val="tx1"/>
            </w14:solidFill>
          </w14:textFill>
        </w:rPr>
        <w:t>求</w:t>
      </w:r>
      <w:r>
        <w:rPr>
          <w:rFonts w:hint="eastAsia" w:ascii="宋体" w:hAnsi="宋体" w:eastAsia="宋体" w:cs="宋体"/>
          <w:color w:val="000000" w:themeColor="text1"/>
          <w:sz w:val="24"/>
          <w:szCs w:val="24"/>
          <w14:textFill>
            <w14:solidFill>
              <w14:schemeClr w14:val="tx1"/>
            </w14:solidFill>
          </w14:textFill>
        </w:rPr>
        <w:t>；</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第七章：投标文件格式；</w:t>
      </w:r>
    </w:p>
    <w:p>
      <w:pPr>
        <w:pStyle w:val="24"/>
        <w:keepNext w:val="0"/>
        <w:keepLines w:val="0"/>
        <w:pageBreakBefore w:val="0"/>
        <w:widowControl w:val="0"/>
        <w:numPr>
          <w:ilvl w:val="2"/>
          <w:numId w:val="19"/>
        </w:numPr>
        <w:tabs>
          <w:tab w:val="left" w:pos="1698"/>
        </w:tabs>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招标代理机构发布的变更内容、答疑、补遗、补充通知等。</w:t>
      </w:r>
    </w:p>
    <w:p>
      <w:pPr>
        <w:pStyle w:val="24"/>
        <w:keepNext w:val="0"/>
        <w:keepLines w:val="0"/>
        <w:pageBreakBefore w:val="0"/>
        <w:widowControl w:val="0"/>
        <w:numPr>
          <w:ilvl w:val="1"/>
          <w:numId w:val="20"/>
        </w:numPr>
        <w:tabs>
          <w:tab w:val="left" w:pos="1515"/>
        </w:tabs>
        <w:kinsoku/>
        <w:wordWrap/>
        <w:overflowPunct/>
        <w:topLinePunct w:val="0"/>
        <w:autoSpaceDE w:val="0"/>
        <w:autoSpaceDN w:val="0"/>
        <w:bidi w:val="0"/>
        <w:adjustRightInd/>
        <w:snapToGrid/>
        <w:spacing w:line="500" w:lineRule="exact"/>
        <w:ind w:left="567" w:right="567" w:firstLine="4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投标供应商应认真阅读招标文件中所有的事项、格式、条件、条款和规范等要求。</w:t>
      </w:r>
    </w:p>
    <w:p>
      <w:pPr>
        <w:pStyle w:val="24"/>
        <w:keepNext w:val="0"/>
        <w:keepLines w:val="0"/>
        <w:pageBreakBefore w:val="0"/>
        <w:widowControl w:val="0"/>
        <w:numPr>
          <w:ilvl w:val="1"/>
          <w:numId w:val="20"/>
        </w:numPr>
        <w:tabs>
          <w:tab w:val="left" w:pos="1539"/>
        </w:tabs>
        <w:kinsoku/>
        <w:wordWrap/>
        <w:overflowPunct/>
        <w:topLinePunct w:val="0"/>
        <w:autoSpaceDE w:val="0"/>
        <w:autoSpaceDN w:val="0"/>
        <w:bidi w:val="0"/>
        <w:adjustRightInd/>
        <w:snapToGrid/>
        <w:spacing w:line="500" w:lineRule="exact"/>
        <w:ind w:left="567" w:right="567" w:firstLine="4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投标供应商应当按照招标文件的要求编制投标文件。投标文件应对招标文件提出的要求和条件作出实质性响应。</w:t>
      </w:r>
    </w:p>
    <w:p>
      <w:pPr>
        <w:pStyle w:val="24"/>
        <w:keepNext w:val="0"/>
        <w:keepLines w:val="0"/>
        <w:pageBreakBefore w:val="0"/>
        <w:widowControl w:val="0"/>
        <w:numPr>
          <w:ilvl w:val="1"/>
          <w:numId w:val="20"/>
        </w:numPr>
        <w:tabs>
          <w:tab w:val="left" w:pos="1539"/>
        </w:tabs>
        <w:kinsoku/>
        <w:wordWrap/>
        <w:overflowPunct/>
        <w:topLinePunct w:val="0"/>
        <w:autoSpaceDE w:val="0"/>
        <w:autoSpaceDN w:val="0"/>
        <w:bidi w:val="0"/>
        <w:adjustRightInd/>
        <w:snapToGrid/>
        <w:spacing w:line="500" w:lineRule="exact"/>
        <w:ind w:left="567" w:right="567" w:firstLine="4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投标供应商获取招标文件后，应仔细检查招标文件的所有内容，如有残缺等问题应自获得招标文件后于答疑截止时间前向招标代理机构提出，否则，由此引起的后果由投标供应商自行承担。</w:t>
      </w:r>
    </w:p>
    <w:p>
      <w:pPr>
        <w:pStyle w:val="24"/>
        <w:keepNext w:val="0"/>
        <w:keepLines w:val="0"/>
        <w:pageBreakBefore w:val="0"/>
        <w:widowControl w:val="0"/>
        <w:numPr>
          <w:ilvl w:val="1"/>
          <w:numId w:val="21"/>
        </w:numPr>
        <w:tabs>
          <w:tab w:val="left" w:pos="1539"/>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答疑及招标文件的澄清与修改</w:t>
      </w:r>
    </w:p>
    <w:p>
      <w:pPr>
        <w:pStyle w:val="3"/>
        <w:keepNext w:val="0"/>
        <w:keepLines w:val="0"/>
        <w:pageBreakBefore w:val="0"/>
        <w:widowControl w:val="0"/>
        <w:numPr>
          <w:ilvl w:val="1"/>
          <w:numId w:val="22"/>
        </w:numPr>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投标供应商如果对招标文件、清单、控制价等招标文件的其他任何内容有相关疑问，可以于投标供应商须知前附表列明的答疑截止时间前，以书面形式向招标代理机构提出。</w:t>
      </w:r>
    </w:p>
    <w:p>
      <w:pPr>
        <w:pStyle w:val="3"/>
        <w:keepNext w:val="0"/>
        <w:keepLines w:val="0"/>
        <w:pageBreakBefore w:val="0"/>
        <w:widowControl w:val="0"/>
        <w:numPr>
          <w:ilvl w:val="1"/>
          <w:numId w:val="22"/>
        </w:numPr>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除非招标文件另有规定，否则，如招标文件、清单、服务内容之间存在不一致时，以要求严格或质量等级高的为准。</w:t>
      </w:r>
    </w:p>
    <w:p>
      <w:pPr>
        <w:pStyle w:val="3"/>
        <w:keepNext w:val="0"/>
        <w:keepLines w:val="0"/>
        <w:pageBreakBefore w:val="0"/>
        <w:widowControl w:val="0"/>
        <w:numPr>
          <w:ilvl w:val="1"/>
          <w:numId w:val="22"/>
        </w:numPr>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疑问的提出与答疑获取具体步骤：</w:t>
      </w:r>
      <w:r>
        <w:rPr>
          <w:rFonts w:hint="eastAsia" w:ascii="宋体" w:hAnsi="宋体" w:eastAsia="宋体" w:cs="宋体"/>
          <w:color w:val="000000" w:themeColor="text1"/>
          <w14:textFill>
            <w14:solidFill>
              <w14:schemeClr w14:val="tx1"/>
            </w14:solidFill>
          </w14:textFill>
        </w:rPr>
        <w:t>招标代理机构回复有质疑的供应商，招标代理机构对招标文件进行的答疑、澄清、变更或补充，将在网站上及</w:t>
      </w:r>
      <w:r>
        <w:rPr>
          <w:rFonts w:hint="eastAsia" w:ascii="宋体" w:hAnsi="宋体" w:eastAsia="宋体" w:cs="宋体"/>
          <w:color w:val="000000" w:themeColor="text1"/>
          <w:spacing w:val="-7"/>
          <w14:textFill>
            <w14:solidFill>
              <w14:schemeClr w14:val="tx1"/>
            </w14:solidFill>
          </w14:textFill>
        </w:rPr>
        <w:t>时发布，该公告内容为招标文件的组成部分，对投标供应商具有同样约束力。当招标文件、招标文件的答疑、澄清、变更或补充等在同一内容的表述上不一致时，以最后发出的书面</w:t>
      </w:r>
      <w:r>
        <w:rPr>
          <w:rFonts w:hint="eastAsia" w:ascii="宋体" w:hAnsi="宋体" w:eastAsia="宋体" w:cs="宋体"/>
          <w:color w:val="000000" w:themeColor="text1"/>
          <w:spacing w:val="-5"/>
          <w14:textFill>
            <w14:solidFill>
              <w14:schemeClr w14:val="tx1"/>
            </w14:solidFill>
          </w14:textFill>
        </w:rPr>
        <w:t>文件为准。招标代理机构不承担投标供应商未及时关注相关信息引发的相关责任。</w:t>
      </w:r>
    </w:p>
    <w:p>
      <w:pPr>
        <w:pStyle w:val="3"/>
        <w:keepNext w:val="0"/>
        <w:keepLines w:val="0"/>
        <w:pageBreakBefore w:val="0"/>
        <w:widowControl w:val="0"/>
        <w:numPr>
          <w:ilvl w:val="1"/>
          <w:numId w:val="22"/>
        </w:numPr>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5"/>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在投标截止时间前，采购人可以视采购具体情况，延长投标截止时间和开标时间，在网站上发布变更公告。并在招标文件要求提交投标文件的截止时间三日前，在网站上发布变更公告。在上述情况下，采购人和投标供应商在投标截止期方面的全部权力、责任和义务，将适用于延长后新的投标截止期。</w:t>
      </w:r>
    </w:p>
    <w:p>
      <w:pPr>
        <w:pStyle w:val="3"/>
        <w:keepNext w:val="0"/>
        <w:keepLines w:val="0"/>
        <w:pageBreakBefore w:val="0"/>
        <w:widowControl w:val="0"/>
        <w:numPr>
          <w:ilvl w:val="1"/>
          <w:numId w:val="22"/>
        </w:numPr>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招标代理机构发布答疑、澄清、变更或补充公告，澄清或修改内容不影响投标文件编制的，可不改变投标截止时间和开标时间。</w:t>
      </w:r>
      <w:bookmarkStart w:id="13" w:name="三．投标文件的编制"/>
      <w:bookmarkEnd w:id="13"/>
      <w:bookmarkStart w:id="14" w:name="_bookmark5"/>
      <w:bookmarkEnd w:id="14"/>
    </w:p>
    <w:p>
      <w:pPr>
        <w:rPr>
          <w:rFonts w:hint="eastAsia" w:ascii="宋体" w:hAnsi="宋体" w:eastAsia="宋体" w:cs="宋体"/>
        </w:rPr>
      </w:pPr>
    </w:p>
    <w:p>
      <w:pPr>
        <w:rPr>
          <w:rFonts w:hint="eastAsia" w:ascii="宋体" w:hAnsi="宋体" w:eastAsia="宋体" w:cs="宋体"/>
        </w:rPr>
        <w:sectPr>
          <w:pgSz w:w="11910" w:h="16850"/>
          <w:pgMar w:top="1440" w:right="1080" w:bottom="1440" w:left="1080" w:header="877" w:footer="1068" w:gutter="0"/>
          <w:pgNumType w:fmt="decimal"/>
          <w:cols w:space="720" w:num="1"/>
        </w:sectPr>
      </w:pPr>
    </w:p>
    <w:p>
      <w:pPr>
        <w:pStyle w:val="6"/>
        <w:spacing w:line="360" w:lineRule="auto"/>
        <w:rPr>
          <w:rFonts w:hint="eastAsia" w:ascii="宋体" w:hAnsi="宋体" w:eastAsia="宋体" w:cs="宋体"/>
          <w:b/>
          <w:bCs/>
          <w:color w:val="000000" w:themeColor="text1"/>
          <w:sz w:val="28"/>
          <w:szCs w:val="28"/>
          <w14:textFill>
            <w14:solidFill>
              <w14:schemeClr w14:val="tx1"/>
            </w14:solidFill>
          </w14:textFill>
        </w:rPr>
      </w:pPr>
      <w:bookmarkStart w:id="15" w:name="二．招标文件"/>
      <w:bookmarkEnd w:id="15"/>
      <w:bookmarkStart w:id="16" w:name="_bookmark4"/>
      <w:bookmarkEnd w:id="16"/>
      <w:r>
        <w:rPr>
          <w:rFonts w:hint="eastAsia" w:ascii="宋体" w:hAnsi="宋体" w:eastAsia="宋体" w:cs="宋体"/>
          <w:b/>
          <w:bCs/>
          <w:color w:val="000000" w:themeColor="text1"/>
          <w:sz w:val="28"/>
          <w:szCs w:val="28"/>
          <w14:textFill>
            <w14:solidFill>
              <w14:schemeClr w14:val="tx1"/>
            </w14:solidFill>
          </w14:textFill>
        </w:rPr>
        <w:t>三．投标文件的编制</w:t>
      </w:r>
    </w:p>
    <w:p>
      <w:pPr>
        <w:pStyle w:val="24"/>
        <w:keepNext w:val="0"/>
        <w:keepLines w:val="0"/>
        <w:pageBreakBefore w:val="0"/>
        <w:widowControl w:val="0"/>
        <w:numPr>
          <w:ilvl w:val="1"/>
          <w:numId w:val="23"/>
        </w:numPr>
        <w:tabs>
          <w:tab w:val="left" w:pos="1539"/>
        </w:tabs>
        <w:kinsoku/>
        <w:wordWrap/>
        <w:overflowPunct/>
        <w:topLinePunct w:val="0"/>
        <w:autoSpaceDE w:val="0"/>
        <w:autoSpaceDN w:val="0"/>
        <w:bidi w:val="0"/>
        <w:adjustRightInd/>
        <w:snapToGrid/>
        <w:spacing w:line="500" w:lineRule="exact"/>
        <w:ind w:left="567" w:right="220" w:rightChars="100" w:firstLine="50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本项目分为不分包段。 </w:t>
      </w:r>
    </w:p>
    <w:p>
      <w:pPr>
        <w:pStyle w:val="24"/>
        <w:keepNext w:val="0"/>
        <w:keepLines w:val="0"/>
        <w:pageBreakBefore w:val="0"/>
        <w:widowControl w:val="0"/>
        <w:numPr>
          <w:ilvl w:val="1"/>
          <w:numId w:val="23"/>
        </w:numPr>
        <w:tabs>
          <w:tab w:val="left" w:pos="1539"/>
        </w:tabs>
        <w:kinsoku/>
        <w:wordWrap/>
        <w:overflowPunct/>
        <w:topLinePunct w:val="0"/>
        <w:autoSpaceDE w:val="0"/>
        <w:autoSpaceDN w:val="0"/>
        <w:bidi w:val="0"/>
        <w:adjustRightInd/>
        <w:snapToGrid/>
        <w:spacing w:line="500" w:lineRule="exact"/>
        <w:ind w:left="567" w:right="567" w:firstLine="505"/>
        <w:jc w:val="both"/>
        <w:textAlignment w:val="auto"/>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投标人应当对所投分包招标文件中“服务需求”所列的所有内容进行投标，如仅响应部分内容，其该投标将被认定为投标无效。</w:t>
      </w:r>
    </w:p>
    <w:p>
      <w:pPr>
        <w:pStyle w:val="24"/>
        <w:keepNext w:val="0"/>
        <w:keepLines w:val="0"/>
        <w:pageBreakBefore w:val="0"/>
        <w:widowControl w:val="0"/>
        <w:numPr>
          <w:ilvl w:val="1"/>
          <w:numId w:val="23"/>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无论招标文件第六章</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需求一览表及技术规格中是否要求，投标人所投</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均应符合国家强制性标准。</w:t>
      </w:r>
    </w:p>
    <w:p>
      <w:pPr>
        <w:pStyle w:val="24"/>
        <w:keepNext w:val="0"/>
        <w:keepLines w:val="0"/>
        <w:pageBreakBefore w:val="0"/>
        <w:widowControl w:val="0"/>
        <w:numPr>
          <w:ilvl w:val="1"/>
          <w:numId w:val="23"/>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除招标文件中有特殊要求外，投标文件中所使用的计量单位，应采用中华人民共和国法定计量单位。</w:t>
      </w:r>
    </w:p>
    <w:p>
      <w:pPr>
        <w:pStyle w:val="24"/>
        <w:keepNext w:val="0"/>
        <w:keepLines w:val="0"/>
        <w:pageBreakBefore w:val="0"/>
        <w:widowControl w:val="0"/>
        <w:numPr>
          <w:ilvl w:val="1"/>
          <w:numId w:val="24"/>
        </w:numPr>
        <w:tabs>
          <w:tab w:val="left" w:pos="1539"/>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投标文件构成与要求</w:t>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附件一    投  标  函</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附件二    关于资格的声明函</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附件三    法人代表授权委托书</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附件四    招标响应报价表</w:t>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0" w:leftChars="0" w:right="1241" w:firstLine="1680" w:firstLineChars="70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14:textFill>
            <w14:solidFill>
              <w14:schemeClr w14:val="tx1"/>
            </w14:solidFill>
          </w14:textFill>
        </w:rPr>
        <w:t>报价表</w:t>
      </w:r>
      <w:r>
        <w:rPr>
          <w:rFonts w:hint="eastAsia" w:ascii="宋体" w:hAnsi="宋体" w:eastAsia="宋体" w:cs="宋体"/>
          <w:color w:val="000000" w:themeColor="text1"/>
          <w:sz w:val="24"/>
          <w:szCs w:val="24"/>
          <w:lang w:val="en-US" w:eastAsia="zh-CN"/>
          <w14:textFill>
            <w14:solidFill>
              <w14:schemeClr w14:val="tx1"/>
            </w14:solidFill>
          </w14:textFill>
        </w:rPr>
        <w:t>明细表</w:t>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w:t>
      </w: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val="en-US"/>
          <w14:textFill>
            <w14:solidFill>
              <w14:schemeClr w14:val="tx1"/>
            </w14:solidFill>
          </w14:textFill>
        </w:rPr>
        <w:t xml:space="preserve">    项目机构组成员表</w:t>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w:t>
      </w: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lang w:val="en-US"/>
          <w14:textFill>
            <w14:solidFill>
              <w14:schemeClr w14:val="tx1"/>
            </w14:solidFill>
          </w14:textFill>
        </w:rPr>
        <w:t xml:space="preserve">    完成的类似项目情况</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w:t>
      </w:r>
      <w:r>
        <w:rPr>
          <w:rFonts w:hint="eastAsia" w:ascii="宋体" w:hAnsi="宋体" w:eastAsia="宋体" w:cs="宋体"/>
          <w:color w:val="000000" w:themeColor="text1"/>
          <w:sz w:val="24"/>
          <w:szCs w:val="24"/>
          <w:lang w:val="en-US" w:eastAsia="zh-CN"/>
          <w14:textFill>
            <w14:solidFill>
              <w14:schemeClr w14:val="tx1"/>
            </w14:solidFill>
          </w14:textFill>
        </w:rPr>
        <w:t>八</w:t>
      </w:r>
      <w:r>
        <w:rPr>
          <w:rFonts w:hint="eastAsia" w:ascii="宋体" w:hAnsi="宋体" w:eastAsia="宋体" w:cs="宋体"/>
          <w:color w:val="000000" w:themeColor="text1"/>
          <w:sz w:val="24"/>
          <w:szCs w:val="24"/>
          <w:lang w:val="en-US"/>
          <w14:textFill>
            <w14:solidFill>
              <w14:schemeClr w14:val="tx1"/>
            </w14:solidFill>
          </w14:textFill>
        </w:rPr>
        <w:t xml:space="preserve">    技术参数偏离表</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w:t>
      </w:r>
      <w:r>
        <w:rPr>
          <w:rFonts w:hint="eastAsia" w:ascii="宋体" w:hAnsi="宋体" w:eastAsia="宋体" w:cs="宋体"/>
          <w:color w:val="000000" w:themeColor="text1"/>
          <w:sz w:val="24"/>
          <w:szCs w:val="24"/>
          <w:lang w:val="en-US" w:eastAsia="zh-CN"/>
          <w14:textFill>
            <w14:solidFill>
              <w14:schemeClr w14:val="tx1"/>
            </w14:solidFill>
          </w14:textFill>
        </w:rPr>
        <w:t>九</w:t>
      </w:r>
      <w:r>
        <w:rPr>
          <w:rFonts w:hint="eastAsia" w:ascii="宋体" w:hAnsi="宋体" w:eastAsia="宋体" w:cs="宋体"/>
          <w:color w:val="000000" w:themeColor="text1"/>
          <w:sz w:val="24"/>
          <w:szCs w:val="24"/>
          <w:lang w:val="en-US"/>
          <w14:textFill>
            <w14:solidFill>
              <w14:schemeClr w14:val="tx1"/>
            </w14:solidFill>
          </w14:textFill>
        </w:rPr>
        <w:t xml:space="preserve">    商务条款偏离表</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w:t>
      </w:r>
      <w:r>
        <w:rPr>
          <w:rFonts w:hint="eastAsia" w:ascii="宋体" w:hAnsi="宋体" w:eastAsia="宋体" w:cs="宋体"/>
          <w:color w:val="000000" w:themeColor="text1"/>
          <w:sz w:val="24"/>
          <w:szCs w:val="24"/>
          <w:lang w:val="en-US" w:eastAsia="zh-CN"/>
          <w14:textFill>
            <w14:solidFill>
              <w14:schemeClr w14:val="tx1"/>
            </w14:solidFill>
          </w14:textFill>
        </w:rPr>
        <w:t>十</w:t>
      </w:r>
      <w:r>
        <w:rPr>
          <w:rFonts w:hint="eastAsia" w:ascii="宋体" w:hAnsi="宋体" w:eastAsia="宋体" w:cs="宋体"/>
          <w:color w:val="000000" w:themeColor="text1"/>
          <w:sz w:val="24"/>
          <w:szCs w:val="24"/>
          <w:lang w:val="en-US"/>
          <w14:textFill>
            <w14:solidFill>
              <w14:schemeClr w14:val="tx1"/>
            </w14:solidFill>
          </w14:textFill>
        </w:rPr>
        <w:t xml:space="preserve">    诚信承诺书</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附件十</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14:textFill>
            <w14:solidFill>
              <w14:schemeClr w14:val="tx1"/>
            </w14:solidFill>
          </w14:textFill>
        </w:rPr>
        <w:t xml:space="preserve">  本项目</w:t>
      </w:r>
      <w:r>
        <w:rPr>
          <w:rFonts w:hint="eastAsia" w:ascii="宋体" w:hAnsi="宋体" w:eastAsia="宋体" w:cs="宋体"/>
          <w:color w:val="000000" w:themeColor="text1"/>
          <w:sz w:val="24"/>
          <w:szCs w:val="24"/>
          <w:lang w:val="en-US" w:eastAsia="zh-CN"/>
          <w14:textFill>
            <w14:solidFill>
              <w14:schemeClr w14:val="tx1"/>
            </w14:solidFill>
          </w14:textFill>
        </w:rPr>
        <w:t>实施</w:t>
      </w:r>
      <w:r>
        <w:rPr>
          <w:rFonts w:hint="eastAsia" w:ascii="宋体" w:hAnsi="宋体" w:eastAsia="宋体" w:cs="宋体"/>
          <w:color w:val="000000" w:themeColor="text1"/>
          <w:sz w:val="24"/>
          <w:szCs w:val="24"/>
          <w:lang w:val="en-US"/>
          <w14:textFill>
            <w14:solidFill>
              <w14:schemeClr w14:val="tx1"/>
            </w14:solidFill>
          </w14:textFill>
        </w:rPr>
        <w:t>方案</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附件十</w:t>
      </w: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lang w:val="en-US"/>
          <w14:textFill>
            <w14:solidFill>
              <w14:schemeClr w14:val="tx1"/>
            </w14:solidFill>
          </w14:textFill>
        </w:rPr>
        <w:t xml:space="preserve">  《反商业贿赂承诺书》</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附件十</w:t>
      </w: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14:textFill>
            <w14:solidFill>
              <w14:schemeClr w14:val="tx1"/>
            </w14:solidFill>
          </w14:textFill>
        </w:rPr>
        <w:t xml:space="preserve">  售后服务承诺书</w:t>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before="8" w:line="500" w:lineRule="exact"/>
        <w:ind w:left="1010" w:right="1241" w:firstLine="0"/>
        <w:textAlignment w:val="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 xml:space="preserve">     附件十</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lang w:val="en-US"/>
          <w14:textFill>
            <w14:solidFill>
              <w14:schemeClr w14:val="tx1"/>
            </w14:solidFill>
          </w14:textFill>
        </w:rPr>
        <w:t xml:space="preserve">  其他相关材料</w:t>
      </w:r>
      <w:r>
        <w:rPr>
          <w:rFonts w:hint="eastAsia" w:ascii="宋体" w:hAnsi="宋体" w:eastAsia="宋体" w:cs="宋体"/>
          <w:color w:val="000000" w:themeColor="text1"/>
          <w:sz w:val="24"/>
          <w:szCs w:val="24"/>
          <w:lang w:val="en-US"/>
          <w14:textFill>
            <w14:solidFill>
              <w14:schemeClr w14:val="tx1"/>
            </w14:solidFill>
          </w14:textFill>
        </w:rPr>
        <w:tab/>
      </w:r>
      <w:r>
        <w:rPr>
          <w:rFonts w:hint="eastAsia" w:ascii="宋体" w:hAnsi="宋体" w:eastAsia="宋体" w:cs="宋体"/>
          <w:color w:val="000000" w:themeColor="text1"/>
          <w:sz w:val="24"/>
          <w:szCs w:val="24"/>
          <w:lang w:val="en-US"/>
          <w14:textFill>
            <w14:solidFill>
              <w14:schemeClr w14:val="tx1"/>
            </w14:solidFill>
          </w14:textFill>
        </w:rPr>
        <w:tab/>
      </w:r>
    </w:p>
    <w:p>
      <w:pPr>
        <w:pStyle w:val="24"/>
        <w:keepNext w:val="0"/>
        <w:keepLines w:val="0"/>
        <w:pageBreakBefore w:val="0"/>
        <w:widowControl w:val="0"/>
        <w:numPr>
          <w:ilvl w:val="1"/>
          <w:numId w:val="25"/>
        </w:numPr>
        <w:tabs>
          <w:tab w:val="left" w:pos="1515"/>
        </w:tabs>
        <w:kinsoku/>
        <w:wordWrap/>
        <w:overflowPunct/>
        <w:topLinePunct w:val="0"/>
        <w:autoSpaceDE w:val="0"/>
        <w:autoSpaceDN w:val="0"/>
        <w:bidi w:val="0"/>
        <w:adjustRightInd/>
        <w:snapToGrid/>
        <w:spacing w:before="8" w:line="500" w:lineRule="exact"/>
        <w:ind w:right="1241"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投标文件是对招标文件的实质性响应及承诺文件。</w:t>
      </w:r>
    </w:p>
    <w:p>
      <w:pPr>
        <w:pStyle w:val="24"/>
        <w:keepNext w:val="0"/>
        <w:keepLines w:val="0"/>
        <w:pageBreakBefore w:val="0"/>
        <w:widowControl w:val="0"/>
        <w:numPr>
          <w:ilvl w:val="1"/>
          <w:numId w:val="25"/>
        </w:numPr>
        <w:tabs>
          <w:tab w:val="left" w:pos="1515"/>
        </w:tabs>
        <w:kinsoku/>
        <w:wordWrap/>
        <w:overflowPunct/>
        <w:topLinePunct w:val="0"/>
        <w:autoSpaceDE w:val="0"/>
        <w:autoSpaceDN w:val="0"/>
        <w:bidi w:val="0"/>
        <w:adjustRightInd/>
        <w:snapToGrid/>
        <w:spacing w:before="8" w:line="500" w:lineRule="exact"/>
        <w:ind w:right="1241" w:firstLine="48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“投标供应商可自行制作格式”，亦可使用招标文件提供的附件格式。</w:t>
      </w:r>
      <w:bookmarkStart w:id="17" w:name="_Ref467052588"/>
    </w:p>
    <w:p>
      <w:pPr>
        <w:pStyle w:val="24"/>
        <w:keepNext w:val="0"/>
        <w:keepLines w:val="0"/>
        <w:pageBreakBefore w:val="0"/>
        <w:widowControl w:val="0"/>
        <w:numPr>
          <w:ilvl w:val="1"/>
          <w:numId w:val="26"/>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投标人应完整地编写投标文件，投标文件应包括“开标一览表及电子投标文件”和“正、副本投标文件”。以上文件分别密封递交。投标人应承担封装失误产生的任何后果。</w:t>
      </w:r>
    </w:p>
    <w:p>
      <w:pPr>
        <w:pStyle w:val="24"/>
        <w:keepNext w:val="0"/>
        <w:keepLines w:val="0"/>
        <w:pageBreakBefore w:val="0"/>
        <w:widowControl w:val="0"/>
        <w:numPr>
          <w:ilvl w:val="1"/>
          <w:numId w:val="27"/>
        </w:numPr>
        <w:tabs>
          <w:tab w:val="left" w:pos="1515"/>
        </w:tabs>
        <w:kinsoku/>
        <w:wordWrap/>
        <w:overflowPunct/>
        <w:topLinePunct w:val="0"/>
        <w:autoSpaceDE w:val="0"/>
        <w:autoSpaceDN w:val="0"/>
        <w:bidi w:val="0"/>
        <w:adjustRightInd/>
        <w:snapToGrid/>
        <w:spacing w:before="8" w:line="500" w:lineRule="exact"/>
        <w:ind w:left="567" w:right="567" w:firstLine="471"/>
        <w:textAlignment w:val="auto"/>
        <w:rPr>
          <w:rFonts w:hint="eastAsia" w:ascii="宋体" w:hAnsi="宋体" w:eastAsia="宋体" w:cs="宋体"/>
          <w:color w:val="000000" w:themeColor="text1"/>
          <w:spacing w:val="-8"/>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上述文件应按照招标文件规范填写、签署和盖章</w:t>
      </w:r>
      <w:bookmarkEnd w:id="17"/>
      <w:r>
        <w:rPr>
          <w:rFonts w:hint="eastAsia" w:ascii="宋体" w:hAnsi="宋体" w:eastAsia="宋体" w:cs="宋体"/>
          <w:color w:val="000000" w:themeColor="text1"/>
          <w:spacing w:val="-8"/>
          <w:sz w:val="24"/>
          <w:szCs w:val="24"/>
          <w14:textFill>
            <w14:solidFill>
              <w14:schemeClr w14:val="tx1"/>
            </w14:solidFill>
          </w14:textFill>
        </w:rPr>
        <w:t>。</w:t>
      </w:r>
    </w:p>
    <w:p>
      <w:pPr>
        <w:pStyle w:val="24"/>
        <w:keepNext w:val="0"/>
        <w:keepLines w:val="0"/>
        <w:pageBreakBefore w:val="0"/>
        <w:widowControl w:val="0"/>
        <w:numPr>
          <w:ilvl w:val="1"/>
          <w:numId w:val="28"/>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投标供应商资质证书（或资格证明）处于年检、换证、升级、变更等期间，除非有法律法规或发证机构书面材料明确表明投标供应商资质（或资格）有效，否则一律不予认可。</w:t>
      </w:r>
    </w:p>
    <w:p>
      <w:pPr>
        <w:pStyle w:val="24"/>
        <w:keepNext w:val="0"/>
        <w:keepLines w:val="0"/>
        <w:pageBreakBefore w:val="0"/>
        <w:widowControl w:val="0"/>
        <w:numPr>
          <w:ilvl w:val="1"/>
          <w:numId w:val="29"/>
        </w:numPr>
        <w:tabs>
          <w:tab w:val="left" w:pos="1515"/>
        </w:tabs>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电报、电话、传真形式的投标概不接受。</w:t>
      </w:r>
    </w:p>
    <w:p>
      <w:pPr>
        <w:pStyle w:val="24"/>
        <w:keepNext w:val="0"/>
        <w:keepLines w:val="0"/>
        <w:pageBreakBefore w:val="0"/>
        <w:widowControl w:val="0"/>
        <w:numPr>
          <w:ilvl w:val="0"/>
          <w:numId w:val="30"/>
        </w:numPr>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证明投标的合格性和符合招标文件规定的技术文件</w:t>
      </w:r>
    </w:p>
    <w:p>
      <w:pPr>
        <w:pStyle w:val="24"/>
        <w:keepNext w:val="0"/>
        <w:keepLines w:val="0"/>
        <w:pageBreakBefore w:val="0"/>
        <w:widowControl w:val="0"/>
        <w:numPr>
          <w:ilvl w:val="1"/>
          <w:numId w:val="31"/>
        </w:numPr>
        <w:tabs>
          <w:tab w:val="left" w:pos="1539"/>
        </w:tabs>
        <w:kinsoku/>
        <w:wordWrap/>
        <w:overflowPunct/>
        <w:topLinePunct w:val="0"/>
        <w:autoSpaceDE w:val="0"/>
        <w:autoSpaceDN w:val="0"/>
        <w:bidi w:val="0"/>
        <w:adjustRightInd/>
        <w:snapToGrid/>
        <w:spacing w:before="7" w:line="500" w:lineRule="exact"/>
        <w:ind w:left="567" w:right="567" w:firstLine="48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投标人应提交证明文件，证明其投标内容符合招标文件规定。该证明文件是投标文件的一部分。</w:t>
      </w:r>
    </w:p>
    <w:p>
      <w:pPr>
        <w:pStyle w:val="24"/>
        <w:keepNext w:val="0"/>
        <w:keepLines w:val="0"/>
        <w:pageBreakBefore w:val="0"/>
        <w:widowControl w:val="0"/>
        <w:numPr>
          <w:ilvl w:val="1"/>
          <w:numId w:val="31"/>
        </w:numPr>
        <w:tabs>
          <w:tab w:val="left" w:pos="1539"/>
        </w:tabs>
        <w:kinsoku/>
        <w:wordWrap/>
        <w:overflowPunct/>
        <w:topLinePunct w:val="0"/>
        <w:autoSpaceDE w:val="0"/>
        <w:autoSpaceDN w:val="0"/>
        <w:bidi w:val="0"/>
        <w:adjustRightInd/>
        <w:snapToGrid/>
        <w:spacing w:before="7" w:line="500" w:lineRule="exact"/>
        <w:ind w:right="1243"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上款所述的证明文件，可以是文字资料、图纸和数据，它包括：</w:t>
      </w:r>
    </w:p>
    <w:p>
      <w:pPr>
        <w:pStyle w:val="24"/>
        <w:keepNext w:val="0"/>
        <w:keepLines w:val="0"/>
        <w:pageBreakBefore w:val="0"/>
        <w:widowControl w:val="0"/>
        <w:tabs>
          <w:tab w:val="left" w:pos="1539"/>
        </w:tabs>
        <w:kinsoku/>
        <w:wordWrap/>
        <w:overflowPunct/>
        <w:topLinePunct w:val="0"/>
        <w:autoSpaceDE w:val="0"/>
        <w:autoSpaceDN w:val="0"/>
        <w:bidi w:val="0"/>
        <w:adjustRightInd/>
        <w:snapToGrid/>
        <w:spacing w:line="500" w:lineRule="exact"/>
        <w:ind w:left="1038" w:right="567"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 xml:space="preserve">16.2.1 </w:t>
      </w:r>
      <w:r>
        <w:rPr>
          <w:rFonts w:hint="eastAsia" w:ascii="宋体" w:hAnsi="宋体" w:eastAsia="宋体" w:cs="宋体"/>
          <w:color w:val="000000" w:themeColor="text1"/>
          <w:sz w:val="24"/>
          <w:szCs w:val="24"/>
          <w14:textFill>
            <w14:solidFill>
              <w14:schemeClr w14:val="tx1"/>
            </w14:solidFill>
          </w14:textFill>
        </w:rPr>
        <w:t>对照招标文件技术规格，逐条说明所提供</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及伴随的工程和服务已对招标文件的技术规格做出了实质性的响应，或申明与技术规格条文的偏差和例外。</w:t>
      </w:r>
    </w:p>
    <w:p>
      <w:pPr>
        <w:pStyle w:val="24"/>
        <w:keepNext w:val="0"/>
        <w:keepLines w:val="0"/>
        <w:pageBreakBefore w:val="0"/>
        <w:widowControl w:val="0"/>
        <w:numPr>
          <w:ilvl w:val="1"/>
          <w:numId w:val="32"/>
        </w:numPr>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p>
      <w:pPr>
        <w:pStyle w:val="24"/>
        <w:keepNext w:val="0"/>
        <w:keepLines w:val="0"/>
        <w:pageBreakBefore w:val="0"/>
        <w:widowControl w:val="0"/>
        <w:numPr>
          <w:ilvl w:val="1"/>
          <w:numId w:val="33"/>
        </w:numPr>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所有投标均以人民币报价。投标人的投标报价应遵守《中华人民共和国价格法》。同时，根据《中华人民共和国政府采购法》第二条的规定，为保证公平竞争，如有</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主体部分的赠与行为，其投标将被认定为投标无效。</w:t>
      </w:r>
    </w:p>
    <w:p>
      <w:pPr>
        <w:pStyle w:val="24"/>
        <w:keepNext w:val="0"/>
        <w:keepLines w:val="0"/>
        <w:pageBreakBefore w:val="0"/>
        <w:widowControl w:val="0"/>
        <w:numPr>
          <w:ilvl w:val="1"/>
          <w:numId w:val="33"/>
        </w:numPr>
        <w:kinsoku/>
        <w:wordWrap/>
        <w:overflowPunct/>
        <w:topLinePunct w:val="0"/>
        <w:autoSpaceDE w:val="0"/>
        <w:autoSpaceDN w:val="0"/>
        <w:bidi w:val="0"/>
        <w:adjustRightInd/>
        <w:snapToGrid/>
        <w:spacing w:line="500" w:lineRule="exact"/>
        <w:ind w:left="567" w:right="220" w:rightChars="100"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投标人应在投标分项报价表上标明投标</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及相关服务的单价（如适用）和总价。</w:t>
      </w:r>
    </w:p>
    <w:p>
      <w:pPr>
        <w:pStyle w:val="24"/>
        <w:keepNext w:val="0"/>
        <w:keepLines w:val="0"/>
        <w:pageBreakBefore w:val="0"/>
        <w:widowControl w:val="0"/>
        <w:kinsoku/>
        <w:wordWrap/>
        <w:overflowPunct/>
        <w:topLinePunct w:val="0"/>
        <w:autoSpaceDE w:val="0"/>
        <w:autoSpaceDN w:val="0"/>
        <w:bidi w:val="0"/>
        <w:adjustRightInd/>
        <w:snapToGrid/>
        <w:spacing w:line="500" w:lineRule="exact"/>
        <w:ind w:left="1038" w:right="567" w:firstLine="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 xml:space="preserve">17.3 </w:t>
      </w:r>
      <w:r>
        <w:rPr>
          <w:rFonts w:hint="eastAsia" w:ascii="宋体" w:hAnsi="宋体" w:eastAsia="宋体" w:cs="宋体"/>
          <w:color w:val="000000" w:themeColor="text1"/>
          <w:sz w:val="24"/>
          <w:szCs w:val="24"/>
          <w14:textFill>
            <w14:solidFill>
              <w14:schemeClr w14:val="tx1"/>
            </w14:solidFill>
          </w14:textFill>
        </w:rPr>
        <w:t>投标人所报的各分项投标单价在合同履行过程中是固定不变的，不得以任何理由予以变更。任何包含价格调整要求的投标，其投标将被认定为投标无效。</w:t>
      </w:r>
    </w:p>
    <w:p>
      <w:pPr>
        <w:pStyle w:val="24"/>
        <w:keepNext w:val="0"/>
        <w:keepLines w:val="0"/>
        <w:pageBreakBefore w:val="0"/>
        <w:widowControl w:val="0"/>
        <w:numPr>
          <w:ilvl w:val="1"/>
          <w:numId w:val="34"/>
        </w:numPr>
        <w:kinsoku/>
        <w:wordWrap/>
        <w:overflowPunct/>
        <w:topLinePunct w:val="0"/>
        <w:autoSpaceDE w:val="0"/>
        <w:autoSpaceDN w:val="0"/>
        <w:bidi w:val="0"/>
        <w:adjustRightInd/>
        <w:snapToGrid/>
        <w:spacing w:line="50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每种</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只能有一个投标报价。采购人不接受具有附加条件的报价。</w:t>
      </w:r>
    </w:p>
    <w:p>
      <w:pPr>
        <w:pStyle w:val="24"/>
        <w:keepNext w:val="0"/>
        <w:keepLines w:val="0"/>
        <w:pageBreakBefore w:val="0"/>
        <w:widowControl w:val="0"/>
        <w:numPr>
          <w:ilvl w:val="1"/>
          <w:numId w:val="35"/>
        </w:numPr>
        <w:kinsoku/>
        <w:wordWrap/>
        <w:overflowPunct/>
        <w:topLinePunct w:val="0"/>
        <w:autoSpaceDE w:val="0"/>
        <w:autoSpaceDN w:val="0"/>
        <w:bidi w:val="0"/>
        <w:adjustRightInd/>
        <w:snapToGrid/>
        <w:spacing w:line="500" w:lineRule="exact"/>
        <w:ind w:lef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p>
    <w:p>
      <w:pPr>
        <w:pStyle w:val="24"/>
        <w:keepNext w:val="0"/>
        <w:keepLines w:val="0"/>
        <w:pageBreakBefore w:val="0"/>
        <w:widowControl w:val="0"/>
        <w:numPr>
          <w:ilvl w:val="1"/>
          <w:numId w:val="36"/>
        </w:numPr>
        <w:tabs>
          <w:tab w:val="left" w:pos="1515"/>
        </w:tabs>
        <w:kinsoku/>
        <w:wordWrap/>
        <w:overflowPunct/>
        <w:topLinePunct w:val="0"/>
        <w:autoSpaceDE w:val="0"/>
        <w:autoSpaceDN w:val="0"/>
        <w:bidi w:val="0"/>
        <w:adjustRightInd/>
        <w:snapToGrid/>
        <w:spacing w:before="8"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作为投标文件的一部分，投标保证金应当在规定时间内足额汇入招标公告指定账号。</w:t>
      </w:r>
    </w:p>
    <w:p>
      <w:pPr>
        <w:pStyle w:val="24"/>
        <w:keepNext w:val="0"/>
        <w:keepLines w:val="0"/>
        <w:pageBreakBefore w:val="0"/>
        <w:widowControl w:val="0"/>
        <w:numPr>
          <w:ilvl w:val="1"/>
          <w:numId w:val="36"/>
        </w:numPr>
        <w:tabs>
          <w:tab w:val="left" w:pos="1539"/>
        </w:tabs>
        <w:kinsoku/>
        <w:wordWrap/>
        <w:overflowPunct/>
        <w:topLinePunct w:val="0"/>
        <w:autoSpaceDE w:val="0"/>
        <w:autoSpaceDN w:val="0"/>
        <w:bidi w:val="0"/>
        <w:adjustRightInd/>
        <w:snapToGrid/>
        <w:spacing w:before="8"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可采取异地电汇；本地转帐任何一种形式；不接收以现金或汇票形式递交的投标保证金；投标保证金缴纳人名称与投标供应商名称应当一致。除非招标文件另有规定，分公司或子公司代缴投标保证金，视同名称不一致。投标保证金缴纳人名称与投标供应商名称不一致的，投标无效。</w:t>
      </w:r>
    </w:p>
    <w:p>
      <w:pPr>
        <w:pStyle w:val="24"/>
        <w:keepNext w:val="0"/>
        <w:keepLines w:val="0"/>
        <w:pageBreakBefore w:val="0"/>
        <w:widowControl w:val="0"/>
        <w:numPr>
          <w:ilvl w:val="1"/>
          <w:numId w:val="36"/>
        </w:numPr>
        <w:tabs>
          <w:tab w:val="left" w:pos="1539"/>
        </w:tabs>
        <w:kinsoku/>
        <w:wordWrap/>
        <w:overflowPunct/>
        <w:topLinePunct w:val="0"/>
        <w:autoSpaceDE w:val="0"/>
        <w:autoSpaceDN w:val="0"/>
        <w:bidi w:val="0"/>
        <w:adjustRightInd/>
        <w:snapToGrid/>
        <w:spacing w:before="8"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未按要求提交投标保证金的投标，将被视为非响应性投标而导致投标无效。</w:t>
      </w:r>
    </w:p>
    <w:p>
      <w:pPr>
        <w:pStyle w:val="24"/>
        <w:keepNext w:val="0"/>
        <w:keepLines w:val="0"/>
        <w:pageBreakBefore w:val="0"/>
        <w:widowControl w:val="0"/>
        <w:numPr>
          <w:ilvl w:val="1"/>
          <w:numId w:val="36"/>
        </w:numPr>
        <w:tabs>
          <w:tab w:val="left" w:pos="1515"/>
        </w:tabs>
        <w:kinsoku/>
        <w:wordWrap/>
        <w:overflowPunct/>
        <w:topLinePunct w:val="0"/>
        <w:autoSpaceDE w:val="0"/>
        <w:autoSpaceDN w:val="0"/>
        <w:bidi w:val="0"/>
        <w:adjustRightInd/>
        <w:snapToGrid/>
        <w:spacing w:before="8"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投标人存在下列情形的，投标保证金不予退还：</w:t>
      </w:r>
    </w:p>
    <w:p>
      <w:pPr>
        <w:pStyle w:val="24"/>
        <w:keepNext w:val="0"/>
        <w:keepLines w:val="0"/>
        <w:pageBreakBefore w:val="0"/>
        <w:widowControl w:val="0"/>
        <w:numPr>
          <w:ilvl w:val="1"/>
          <w:numId w:val="37"/>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在投标有效期内，撤销投标的；</w:t>
      </w:r>
    </w:p>
    <w:p>
      <w:pPr>
        <w:pStyle w:val="24"/>
        <w:keepNext w:val="0"/>
        <w:keepLines w:val="0"/>
        <w:pageBreakBefore w:val="0"/>
        <w:widowControl w:val="0"/>
        <w:numPr>
          <w:ilvl w:val="1"/>
          <w:numId w:val="37"/>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中标后无正当理由放弃中标资格或无正当理由不与采购人签订合同的；</w:t>
      </w:r>
    </w:p>
    <w:p>
      <w:pPr>
        <w:pStyle w:val="24"/>
        <w:keepNext w:val="0"/>
        <w:keepLines w:val="0"/>
        <w:pageBreakBefore w:val="0"/>
        <w:widowControl w:val="0"/>
        <w:numPr>
          <w:ilvl w:val="1"/>
          <w:numId w:val="37"/>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将中标项目转让给他人，或者在投标文件中未说明，且未经采购人同意，将中标项目分包给他人的；</w:t>
      </w:r>
    </w:p>
    <w:p>
      <w:pPr>
        <w:pStyle w:val="24"/>
        <w:keepNext w:val="0"/>
        <w:keepLines w:val="0"/>
        <w:pageBreakBefore w:val="0"/>
        <w:widowControl w:val="0"/>
        <w:numPr>
          <w:ilvl w:val="1"/>
          <w:numId w:val="37"/>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拒绝履行合同义务的；</w:t>
      </w:r>
    </w:p>
    <w:p>
      <w:pPr>
        <w:pStyle w:val="24"/>
        <w:keepNext w:val="0"/>
        <w:keepLines w:val="0"/>
        <w:pageBreakBefore w:val="0"/>
        <w:widowControl w:val="0"/>
        <w:numPr>
          <w:ilvl w:val="1"/>
          <w:numId w:val="37"/>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存在其他违法违规行为的；</w:t>
      </w:r>
    </w:p>
    <w:p>
      <w:pPr>
        <w:pStyle w:val="24"/>
        <w:keepNext w:val="0"/>
        <w:keepLines w:val="0"/>
        <w:pageBreakBefore w:val="0"/>
        <w:widowControl w:val="0"/>
        <w:numPr>
          <w:ilvl w:val="1"/>
          <w:numId w:val="37"/>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由于投标供应商行为导致采购人或招标代理机构损失的，相应损失由投标供应商承担，从投标保证金中扣除。投标保证金扣除后仍不足以弥补损失的，投标供应商应当对超过部分予以赔偿。</w:t>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line="500" w:lineRule="exact"/>
        <w:ind w:left="1038" w:right="567"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18.5</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联合体投标的（如允许）由联合体牵头人提交投标保证金。以一方名义提交投标保证金的，对联合体各方均具有约束力。</w:t>
      </w:r>
    </w:p>
    <w:p>
      <w:pPr>
        <w:pStyle w:val="24"/>
        <w:keepNext w:val="0"/>
        <w:keepLines w:val="0"/>
        <w:pageBreakBefore w:val="0"/>
        <w:widowControl w:val="0"/>
        <w:tabs>
          <w:tab w:val="left" w:pos="1515"/>
        </w:tabs>
        <w:kinsoku/>
        <w:wordWrap/>
        <w:overflowPunct/>
        <w:topLinePunct w:val="0"/>
        <w:autoSpaceDE w:val="0"/>
        <w:autoSpaceDN w:val="0"/>
        <w:bidi w:val="0"/>
        <w:adjustRightInd/>
        <w:snapToGrid/>
        <w:spacing w:line="500" w:lineRule="exact"/>
        <w:ind w:left="1038" w:right="567"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0"/>
          <w:szCs w:val="20"/>
          <w:lang w:val="en-US"/>
          <w14:textFill>
            <w14:solidFill>
              <w14:schemeClr w14:val="tx1"/>
            </w14:solidFill>
          </w14:textFill>
        </w:rPr>
        <w:t>18.6</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保证金的退还：中标人应在与采购人签订合同之日起5个工作日内，及时联系保证金收受机构办理投标保证金无息退还手续。未中标投标人的投标保证金将在中标通知书发出之日暨中标结果公告公布之日起5个工作日内无息退还。投标人应及时联系保证金收受机构办理退还投标保证金手续。</w:t>
      </w:r>
    </w:p>
    <w:p>
      <w:pPr>
        <w:pStyle w:val="24"/>
        <w:keepNext w:val="0"/>
        <w:keepLines w:val="0"/>
        <w:pageBreakBefore w:val="0"/>
        <w:widowControl w:val="0"/>
        <w:numPr>
          <w:ilvl w:val="1"/>
          <w:numId w:val="38"/>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政府采购投标担保函不予退回。</w:t>
      </w:r>
    </w:p>
    <w:p>
      <w:pPr>
        <w:pStyle w:val="24"/>
        <w:keepNext w:val="0"/>
        <w:keepLines w:val="0"/>
        <w:pageBreakBefore w:val="0"/>
        <w:widowControl w:val="0"/>
        <w:numPr>
          <w:ilvl w:val="1"/>
          <w:numId w:val="39"/>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因投标人自身原因导致无法及时退还的，采购人或采购代理机构将不承担相应责任。</w:t>
      </w:r>
      <w:bookmarkStart w:id="18" w:name="_Toc515647772"/>
      <w:bookmarkStart w:id="19" w:name="_Toc22901"/>
      <w:bookmarkStart w:id="20" w:name="_Toc23590"/>
      <w:bookmarkStart w:id="21" w:name="_Toc520356157"/>
      <w:bookmarkStart w:id="22" w:name="_Toc32569"/>
    </w:p>
    <w:p>
      <w:pPr>
        <w:pStyle w:val="24"/>
        <w:keepNext w:val="0"/>
        <w:keepLines w:val="0"/>
        <w:pageBreakBefore w:val="0"/>
        <w:widowControl w:val="0"/>
        <w:numPr>
          <w:ilvl w:val="1"/>
          <w:numId w:val="40"/>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bookmarkEnd w:id="18"/>
      <w:bookmarkEnd w:id="19"/>
      <w:bookmarkEnd w:id="20"/>
      <w:bookmarkEnd w:id="21"/>
      <w:bookmarkEnd w:id="22"/>
    </w:p>
    <w:p>
      <w:pPr>
        <w:pStyle w:val="24"/>
        <w:keepNext w:val="0"/>
        <w:keepLines w:val="0"/>
        <w:pageBreakBefore w:val="0"/>
        <w:widowControl w:val="0"/>
        <w:numPr>
          <w:ilvl w:val="1"/>
          <w:numId w:val="41"/>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投标应在投标人须知资料表中规定时间内保持有效。投标有效期不满足要求的投标，其投标将被认定为投标无效。</w:t>
      </w:r>
    </w:p>
    <w:p>
      <w:pPr>
        <w:pStyle w:val="24"/>
        <w:keepNext w:val="0"/>
        <w:keepLines w:val="0"/>
        <w:pageBreakBefore w:val="0"/>
        <w:widowControl w:val="0"/>
        <w:numPr>
          <w:ilvl w:val="1"/>
          <w:numId w:val="42"/>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为保证采购人有足够的时间完成评标和与中标供应商签订合同，规定投标有效期。投标有效期见投标供应商须知前附表。</w:t>
      </w:r>
    </w:p>
    <w:p>
      <w:pPr>
        <w:pStyle w:val="24"/>
        <w:keepNext w:val="0"/>
        <w:keepLines w:val="0"/>
        <w:pageBreakBefore w:val="0"/>
        <w:widowControl w:val="0"/>
        <w:numPr>
          <w:ilvl w:val="1"/>
          <w:numId w:val="43"/>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在投标有效期内，投标供应商的投标保持有效，投标供应商不得要求撤销或修改其投标文件。</w:t>
      </w:r>
    </w:p>
    <w:p>
      <w:pPr>
        <w:pStyle w:val="24"/>
        <w:keepNext w:val="0"/>
        <w:keepLines w:val="0"/>
        <w:pageBreakBefore w:val="0"/>
        <w:widowControl w:val="0"/>
        <w:numPr>
          <w:ilvl w:val="1"/>
          <w:numId w:val="44"/>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有效期从投标截止日起计算。在原定投标有效期满之前，如果出现特殊情况，采购人可以书面形式提出延长投标有效期的要求。投标供应商以书面形式予以答复，投标供应商可以拒绝这种要求而不被没收投标保证金。同意延长投标有效期的投标供应商不允许修改其投标文件的实质性内容，且需要相应地延长投标保证金的有效期。</w:t>
      </w:r>
    </w:p>
    <w:p>
      <w:pPr>
        <w:pStyle w:val="24"/>
        <w:keepNext w:val="0"/>
        <w:keepLines w:val="0"/>
        <w:pageBreakBefore w:val="0"/>
        <w:widowControl w:val="0"/>
        <w:numPr>
          <w:ilvl w:val="1"/>
          <w:numId w:val="45"/>
        </w:numPr>
        <w:tabs>
          <w:tab w:val="left" w:pos="1515"/>
        </w:tabs>
        <w:kinsoku/>
        <w:wordWrap/>
        <w:overflowPunct/>
        <w:topLinePunct w:val="0"/>
        <w:autoSpaceDE w:val="0"/>
        <w:autoSpaceDN w:val="0"/>
        <w:bidi w:val="0"/>
        <w:adjustRightInd/>
        <w:snapToGrid/>
        <w:spacing w:before="8" w:line="500" w:lineRule="exact"/>
        <w:ind w:left="567" w:right="220" w:rightChars="100" w:firstLine="471"/>
        <w:jc w:val="both"/>
        <w:textAlignment w:val="auto"/>
        <w:rPr>
          <w:rFonts w:hint="eastAsia" w:ascii="宋体" w:hAnsi="宋体" w:eastAsia="宋体" w:cs="宋体"/>
          <w:color w:val="000000" w:themeColor="text1"/>
          <w:spacing w:val="-4"/>
          <w:sz w:val="24"/>
          <w:szCs w:val="24"/>
          <w14:textFill>
            <w14:solidFill>
              <w14:schemeClr w14:val="tx1"/>
            </w14:solidFill>
          </w14:textFill>
        </w:rPr>
      </w:pPr>
      <w:bookmarkStart w:id="23" w:name="_Toc520356158"/>
      <w:bookmarkStart w:id="24" w:name="_Toc17074"/>
      <w:bookmarkStart w:id="25" w:name="_Toc493"/>
      <w:bookmarkStart w:id="26" w:name="_Toc17609"/>
      <w:bookmarkStart w:id="27" w:name="_Toc515647773"/>
      <w:r>
        <w:rPr>
          <w:rFonts w:hint="eastAsia" w:ascii="宋体" w:hAnsi="宋体" w:eastAsia="宋体" w:cs="宋体"/>
          <w:color w:val="000000" w:themeColor="text1"/>
          <w:spacing w:val="-4"/>
          <w:sz w:val="24"/>
          <w:szCs w:val="24"/>
          <w14:textFill>
            <w14:solidFill>
              <w14:schemeClr w14:val="tx1"/>
            </w14:solidFill>
          </w14:textFill>
        </w:rPr>
        <w:t>投标文件的签署</w:t>
      </w:r>
      <w:bookmarkEnd w:id="23"/>
      <w:r>
        <w:rPr>
          <w:rFonts w:hint="eastAsia" w:ascii="宋体" w:hAnsi="宋体" w:eastAsia="宋体" w:cs="宋体"/>
          <w:color w:val="000000" w:themeColor="text1"/>
          <w:spacing w:val="-4"/>
          <w:sz w:val="24"/>
          <w:szCs w:val="24"/>
          <w14:textFill>
            <w14:solidFill>
              <w14:schemeClr w14:val="tx1"/>
            </w14:solidFill>
          </w14:textFill>
        </w:rPr>
        <w:t>及规定</w:t>
      </w:r>
      <w:bookmarkEnd w:id="24"/>
      <w:bookmarkEnd w:id="25"/>
      <w:bookmarkEnd w:id="26"/>
      <w:bookmarkEnd w:id="27"/>
    </w:p>
    <w:p>
      <w:pPr>
        <w:pStyle w:val="24"/>
        <w:keepNext w:val="0"/>
        <w:keepLines w:val="0"/>
        <w:pageBreakBefore w:val="0"/>
        <w:widowControl w:val="0"/>
        <w:numPr>
          <w:ilvl w:val="1"/>
          <w:numId w:val="46"/>
        </w:numPr>
        <w:tabs>
          <w:tab w:val="left" w:pos="1515"/>
        </w:tabs>
        <w:kinsoku/>
        <w:wordWrap/>
        <w:overflowPunct/>
        <w:topLinePunct w:val="0"/>
        <w:autoSpaceDE w:val="0"/>
        <w:autoSpaceDN w:val="0"/>
        <w:bidi w:val="0"/>
        <w:adjustRightInd/>
        <w:snapToGrid/>
        <w:spacing w:before="8" w:line="500" w:lineRule="exact"/>
        <w:ind w:left="567" w:right="567" w:firstLine="471"/>
        <w:jc w:val="both"/>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投标人应按投标人须知资料表中的规定，准备和递交投标文件开标一览表、正本、副本和电子文档，每份投标文件封皮须清楚地标明“正本”或“副本”。若正本和副本不符，以正本为准。</w:t>
      </w:r>
    </w:p>
    <w:p>
      <w:pPr>
        <w:pStyle w:val="24"/>
        <w:keepNext w:val="0"/>
        <w:keepLines w:val="0"/>
        <w:pageBreakBefore w:val="0"/>
        <w:widowControl w:val="0"/>
        <w:numPr>
          <w:ilvl w:val="1"/>
          <w:numId w:val="47"/>
        </w:numPr>
        <w:tabs>
          <w:tab w:val="left" w:pos="1515"/>
        </w:tabs>
        <w:kinsoku/>
        <w:wordWrap/>
        <w:overflowPunct/>
        <w:topLinePunct w:val="0"/>
        <w:autoSpaceDE w:val="0"/>
        <w:autoSpaceDN w:val="0"/>
        <w:bidi w:val="0"/>
        <w:adjustRightInd/>
        <w:snapToGrid/>
        <w:spacing w:before="8" w:line="500" w:lineRule="exact"/>
        <w:ind w:left="567" w:right="567" w:firstLine="471"/>
        <w:jc w:val="both"/>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文件的正副本需纸张打印，并由投标人的法定代表人或经其正式委托代理人按招标文件规定在投标文件上签字并加盖单位印章。委托代理人须持有书面的“法定代表人授权委托书”，并将其附在投标文件。投标文件的副本可采用正本的复印件。</w:t>
      </w:r>
    </w:p>
    <w:p>
      <w:pPr>
        <w:pStyle w:val="24"/>
        <w:keepNext w:val="0"/>
        <w:keepLines w:val="0"/>
        <w:pageBreakBefore w:val="0"/>
        <w:widowControl w:val="0"/>
        <w:numPr>
          <w:ilvl w:val="1"/>
          <w:numId w:val="48"/>
        </w:numPr>
        <w:tabs>
          <w:tab w:val="left" w:pos="1515"/>
        </w:tabs>
        <w:kinsoku/>
        <w:wordWrap/>
        <w:overflowPunct/>
        <w:topLinePunct w:val="0"/>
        <w:autoSpaceDE w:val="0"/>
        <w:autoSpaceDN w:val="0"/>
        <w:bidi w:val="0"/>
        <w:adjustRightInd/>
        <w:snapToGrid/>
        <w:spacing w:before="8" w:line="500" w:lineRule="exact"/>
        <w:ind w:left="567" w:right="567" w:firstLine="471"/>
        <w:jc w:val="both"/>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所有投标文件采用不可拆装的胶订方式装订，否则其投标将被认定为投标无效。</w:t>
      </w:r>
    </w:p>
    <w:p>
      <w:pPr>
        <w:pStyle w:val="24"/>
        <w:keepNext w:val="0"/>
        <w:keepLines w:val="0"/>
        <w:pageBreakBefore w:val="0"/>
        <w:widowControl w:val="0"/>
        <w:numPr>
          <w:ilvl w:val="1"/>
          <w:numId w:val="49"/>
        </w:numPr>
        <w:tabs>
          <w:tab w:val="left" w:pos="1515"/>
        </w:tabs>
        <w:kinsoku/>
        <w:wordWrap/>
        <w:overflowPunct/>
        <w:topLinePunct w:val="0"/>
        <w:autoSpaceDE w:val="0"/>
        <w:autoSpaceDN w:val="0"/>
        <w:bidi w:val="0"/>
        <w:adjustRightInd/>
        <w:snapToGrid/>
        <w:spacing w:before="8" w:line="500" w:lineRule="exact"/>
        <w:ind w:left="567" w:right="220" w:rightChars="100" w:firstLine="471"/>
        <w:jc w:val="both"/>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投标文件因字迹潦草、表达不清或装订不当所引起的后果由投标人负责。</w:t>
      </w:r>
    </w:p>
    <w:p>
      <w:pPr>
        <w:pStyle w:val="24"/>
        <w:tabs>
          <w:tab w:val="left" w:pos="1515"/>
        </w:tabs>
        <w:spacing w:before="8" w:line="360" w:lineRule="auto"/>
        <w:ind w:left="0" w:right="220" w:rightChars="100" w:firstLine="0"/>
        <w:jc w:val="both"/>
        <w:rPr>
          <w:rFonts w:hint="eastAsia" w:ascii="宋体" w:hAnsi="宋体" w:eastAsia="宋体" w:cs="宋体"/>
          <w:color w:val="000000" w:themeColor="text1"/>
          <w:spacing w:val="-4"/>
          <w:sz w:val="24"/>
          <w:szCs w:val="24"/>
          <w14:textFill>
            <w14:solidFill>
              <w14:schemeClr w14:val="tx1"/>
            </w14:solidFill>
          </w14:textFill>
        </w:rPr>
      </w:pPr>
    </w:p>
    <w:p>
      <w:pPr>
        <w:pStyle w:val="6"/>
        <w:spacing w:before="118" w:line="360" w:lineRule="auto"/>
        <w:ind w:right="84"/>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四．投标文件的递交</w:t>
      </w:r>
    </w:p>
    <w:p>
      <w:pPr>
        <w:keepNext w:val="0"/>
        <w:keepLines w:val="0"/>
        <w:pageBreakBefore w:val="0"/>
        <w:widowControl w:val="0"/>
        <w:kinsoku/>
        <w:wordWrap/>
        <w:overflowPunct/>
        <w:topLinePunct w:val="0"/>
        <w:autoSpaceDE w:val="0"/>
        <w:autoSpaceDN w:val="0"/>
        <w:bidi w:val="0"/>
        <w:adjustRightInd/>
        <w:snapToGrid/>
        <w:spacing w:before="231" w:line="500" w:lineRule="exact"/>
        <w:ind w:left="100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21.投标文件的密封和标记</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投标供应商应当在招标文件要求提交投标文件的截止时间前递交，否则投标无效。</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所有包装封皮和信封上均应：注明招标公告或投标邀请书中指明的项目名称、招标编号、投标人名称和“在（开标时间）之前不得启封”的字样，或由法定代表人（或其委托代理人）签字。正本、副本投标文件、开标一览表、电子投标文件分别单独密封，否则将被拒绝接受。</w:t>
      </w:r>
    </w:p>
    <w:p>
      <w:pPr>
        <w:pStyle w:val="24"/>
        <w:keepNext w:val="0"/>
        <w:keepLines w:val="0"/>
        <w:pageBreakBefore w:val="0"/>
        <w:widowControl w:val="0"/>
        <w:numPr>
          <w:ilvl w:val="1"/>
          <w:numId w:val="50"/>
        </w:numPr>
        <w:tabs>
          <w:tab w:val="left" w:pos="1506"/>
        </w:tabs>
        <w:kinsoku/>
        <w:wordWrap/>
        <w:overflowPunct/>
        <w:topLinePunct w:val="0"/>
        <w:autoSpaceDE w:val="0"/>
        <w:autoSpaceDN w:val="0"/>
        <w:bidi w:val="0"/>
        <w:adjustRightInd/>
        <w:snapToGrid/>
        <w:spacing w:line="500" w:lineRule="exact"/>
        <w:ind w:left="1505" w:hanging="507"/>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如果投标人未按上述要求密封的，将被拒绝接收。</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资格证明文件密封装订在其他投标文件中，其投标将被认定为投标无效。</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投标人应在投标人须知资料表中规定的截止时间前，将投标文件递交到招标公告中规定的地点。</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采购人和采购代理机构有权按本须知的规定，延迟投标截止时间。在此情况下，采购人、采购代理机构和投标人受投标截止时间制约的所有权利和义务均应延长至新的截止时间。</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采购人和采购代理机构将拒绝接收在投标截止时间后送达的投标文件。</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在投标截止期之后，采购人和采购代理机构不接受投标人主动对其投标文件做任何修改。</w:t>
      </w:r>
    </w:p>
    <w:p>
      <w:pPr>
        <w:pStyle w:val="24"/>
        <w:keepNext w:val="0"/>
        <w:keepLines w:val="0"/>
        <w:pageBreakBefore w:val="0"/>
        <w:widowControl w:val="0"/>
        <w:numPr>
          <w:ilvl w:val="1"/>
          <w:numId w:val="50"/>
        </w:numPr>
        <w:tabs>
          <w:tab w:val="left" w:pos="1539"/>
        </w:tabs>
        <w:kinsoku/>
        <w:wordWrap/>
        <w:overflowPunct/>
        <w:topLinePunct w:val="0"/>
        <w:autoSpaceDE w:val="0"/>
        <w:autoSpaceDN w:val="0"/>
        <w:bidi w:val="0"/>
        <w:adjustRightInd/>
        <w:snapToGrid/>
        <w:spacing w:before="7"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采购人和采购代理机构对所接收投标文件概不退回。</w:t>
      </w:r>
    </w:p>
    <w:p>
      <w:pPr>
        <w:spacing w:line="360" w:lineRule="auto"/>
        <w:rPr>
          <w:rFonts w:hint="eastAsia" w:ascii="宋体" w:hAnsi="宋体" w:eastAsia="宋体" w:cs="宋体"/>
          <w:color w:val="000000" w:themeColor="text1"/>
          <w14:textFill>
            <w14:solidFill>
              <w14:schemeClr w14:val="tx1"/>
            </w14:solidFill>
          </w14:textFill>
        </w:rPr>
        <w:sectPr>
          <w:pgSz w:w="11910" w:h="16850"/>
          <w:pgMar w:top="1440" w:right="1080" w:bottom="1440" w:left="1080" w:header="877" w:footer="1068" w:gutter="0"/>
          <w:pgNumType w:fmt="decimal"/>
          <w:cols w:space="720" w:num="1"/>
        </w:sectPr>
      </w:pPr>
    </w:p>
    <w:p>
      <w:pPr>
        <w:pStyle w:val="6"/>
        <w:spacing w:before="205" w:line="360" w:lineRule="auto"/>
        <w:ind w:right="84"/>
        <w:rPr>
          <w:rFonts w:hint="eastAsia" w:ascii="宋体" w:hAnsi="宋体" w:eastAsia="宋体" w:cs="宋体"/>
          <w:b/>
          <w:bCs/>
          <w:color w:val="000000" w:themeColor="text1"/>
          <w:sz w:val="30"/>
          <w:szCs w:val="30"/>
          <w14:textFill>
            <w14:solidFill>
              <w14:schemeClr w14:val="tx1"/>
            </w14:solidFill>
          </w14:textFill>
        </w:rPr>
      </w:pPr>
      <w:bookmarkStart w:id="28" w:name="四．投标文件的递交"/>
      <w:bookmarkEnd w:id="28"/>
      <w:bookmarkStart w:id="29" w:name="五．开标与评标"/>
      <w:bookmarkEnd w:id="29"/>
      <w:bookmarkStart w:id="30" w:name="_bookmark6"/>
      <w:bookmarkEnd w:id="30"/>
      <w:bookmarkStart w:id="31" w:name="_bookmark7"/>
      <w:bookmarkEnd w:id="31"/>
      <w:r>
        <w:rPr>
          <w:rFonts w:hint="eastAsia" w:ascii="宋体" w:hAnsi="宋体" w:eastAsia="宋体" w:cs="宋体"/>
          <w:b/>
          <w:bCs/>
          <w:color w:val="000000" w:themeColor="text1"/>
          <w:sz w:val="30"/>
          <w:szCs w:val="30"/>
          <w14:textFill>
            <w14:solidFill>
              <w14:schemeClr w14:val="tx1"/>
            </w14:solidFill>
          </w14:textFill>
        </w:rPr>
        <w:t>五．开标与评标</w:t>
      </w:r>
    </w:p>
    <w:p>
      <w:pPr>
        <w:keepNext w:val="0"/>
        <w:keepLines w:val="0"/>
        <w:pageBreakBefore w:val="0"/>
        <w:widowControl w:val="0"/>
        <w:kinsoku/>
        <w:wordWrap/>
        <w:overflowPunct/>
        <w:topLinePunct w:val="0"/>
        <w:autoSpaceDE w:val="0"/>
        <w:autoSpaceDN w:val="0"/>
        <w:bidi w:val="0"/>
        <w:adjustRightInd/>
        <w:snapToGrid/>
        <w:spacing w:before="231" w:line="500" w:lineRule="exact"/>
        <w:ind w:left="100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22.开标</w:t>
      </w:r>
    </w:p>
    <w:p>
      <w:pPr>
        <w:pStyle w:val="24"/>
        <w:keepNext w:val="0"/>
        <w:keepLines w:val="0"/>
        <w:pageBreakBefore w:val="0"/>
        <w:widowControl w:val="0"/>
        <w:numPr>
          <w:ilvl w:val="1"/>
          <w:numId w:val="51"/>
        </w:numPr>
        <w:tabs>
          <w:tab w:val="left" w:pos="158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采购人和采购代理机构将按投标人须知资料表中规定的开标时间和地点组织公开开标并邀请所有投标人代表参加。投标不足三家的，不得开标。</w:t>
      </w:r>
    </w:p>
    <w:p>
      <w:pPr>
        <w:pStyle w:val="24"/>
        <w:keepNext w:val="0"/>
        <w:keepLines w:val="0"/>
        <w:pageBreakBefore w:val="0"/>
        <w:widowControl w:val="0"/>
        <w:numPr>
          <w:ilvl w:val="1"/>
          <w:numId w:val="51"/>
        </w:numPr>
        <w:tabs>
          <w:tab w:val="left" w:pos="158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时，由投标人或其推选的代表检查自己或所代表的投标文件的密封情况，经记录后，由采购人或采购代理机构当众拆封开标一览表及投标文件正本，宣读投标人名称、投标价格及招标文件规定的内容。对于投标人在投标截止期前递交的投标声明，在开标时当众宣读，评标时有效。未宣读投标价格、价格折扣等实质内容，评标时不予承认。</w:t>
      </w:r>
    </w:p>
    <w:p>
      <w:pPr>
        <w:pStyle w:val="24"/>
        <w:keepNext w:val="0"/>
        <w:keepLines w:val="0"/>
        <w:pageBreakBefore w:val="0"/>
        <w:widowControl w:val="0"/>
        <w:numPr>
          <w:ilvl w:val="1"/>
          <w:numId w:val="51"/>
        </w:numPr>
        <w:tabs>
          <w:tab w:val="left" w:pos="158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采购人或采购代理机构将对开标过程进行记录，由参加开标的各投标人代表和相关工作人员签字确认，并存档备查。</w:t>
      </w:r>
    </w:p>
    <w:p>
      <w:pPr>
        <w:pStyle w:val="24"/>
        <w:keepNext w:val="0"/>
        <w:keepLines w:val="0"/>
        <w:pageBreakBefore w:val="0"/>
        <w:widowControl w:val="0"/>
        <w:numPr>
          <w:ilvl w:val="1"/>
          <w:numId w:val="51"/>
        </w:numPr>
        <w:tabs>
          <w:tab w:val="left" w:pos="158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w:t>
      </w:r>
    </w:p>
    <w:p>
      <w:pPr>
        <w:pStyle w:val="24"/>
        <w:keepNext w:val="0"/>
        <w:keepLines w:val="0"/>
        <w:pageBreakBefore w:val="0"/>
        <w:widowControl w:val="0"/>
        <w:numPr>
          <w:ilvl w:val="1"/>
          <w:numId w:val="52"/>
        </w:numPr>
        <w:tabs>
          <w:tab w:val="left" w:pos="1585"/>
        </w:tabs>
        <w:kinsoku/>
        <w:wordWrap/>
        <w:overflowPunct/>
        <w:topLinePunct w:val="0"/>
        <w:autoSpaceDE w:val="0"/>
        <w:autoSpaceDN w:val="0"/>
        <w:bidi w:val="0"/>
        <w:adjustRightInd/>
        <w:snapToGrid/>
        <w:spacing w:line="500" w:lineRule="exact"/>
        <w:ind w:left="567" w:right="567" w:firstLine="505"/>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资格审查及组建评标委员会</w:t>
      </w:r>
    </w:p>
    <w:p>
      <w:pPr>
        <w:pStyle w:val="24"/>
        <w:keepNext w:val="0"/>
        <w:keepLines w:val="0"/>
        <w:pageBreakBefore w:val="0"/>
        <w:widowControl w:val="0"/>
        <w:numPr>
          <w:ilvl w:val="1"/>
          <w:numId w:val="53"/>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采购人或采购代理机构依据法律法规和招标文件中规定的内容，对投标人及其服务的资格进行审查，未通过资格审查的投标人不进入评标；通过资格审查的投标人少于不足三家的，不得评标。</w:t>
      </w:r>
    </w:p>
    <w:p>
      <w:pPr>
        <w:pStyle w:val="24"/>
        <w:keepNext w:val="0"/>
        <w:keepLines w:val="0"/>
        <w:pageBreakBefore w:val="0"/>
        <w:widowControl w:val="0"/>
        <w:numPr>
          <w:ilvl w:val="1"/>
          <w:numId w:val="53"/>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采购人或采购代理机构将在开标前1个工作日至投标截止后1小时的期间内查询投标人的信用记录。投标人存在不良信用记录的，其投标将被认定为投标无效。</w:t>
      </w:r>
    </w:p>
    <w:p>
      <w:pPr>
        <w:pStyle w:val="24"/>
        <w:keepNext w:val="0"/>
        <w:keepLines w:val="0"/>
        <w:pageBreakBefore w:val="0"/>
        <w:widowControl w:val="0"/>
        <w:numPr>
          <w:ilvl w:val="1"/>
          <w:numId w:val="53"/>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以联合体形式参加投标的，联合体任何成员存在以上不良信用记录的，联合体投标将被认定为投标无效.</w:t>
      </w:r>
    </w:p>
    <w:p>
      <w:pPr>
        <w:pStyle w:val="24"/>
        <w:keepNext w:val="0"/>
        <w:keepLines w:val="0"/>
        <w:pageBreakBefore w:val="0"/>
        <w:widowControl w:val="0"/>
        <w:numPr>
          <w:ilvl w:val="1"/>
          <w:numId w:val="53"/>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pPr>
        <w:pStyle w:val="24"/>
        <w:keepNext w:val="0"/>
        <w:keepLines w:val="0"/>
        <w:pageBreakBefore w:val="0"/>
        <w:widowControl w:val="0"/>
        <w:numPr>
          <w:ilvl w:val="1"/>
          <w:numId w:val="53"/>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按照《中华人民共和国政府采购法》、《中华人民共和国政府采购法实施条例》及本项目本级和上级财政部门的有关规定依法组建的评标委员会，负责评标工作。</w:t>
      </w:r>
    </w:p>
    <w:p>
      <w:pPr>
        <w:pStyle w:val="24"/>
        <w:keepNext w:val="0"/>
        <w:keepLines w:val="0"/>
        <w:pageBreakBefore w:val="0"/>
        <w:widowControl w:val="0"/>
        <w:numPr>
          <w:ilvl w:val="1"/>
          <w:numId w:val="54"/>
        </w:numPr>
        <w:tabs>
          <w:tab w:val="left" w:pos="1539"/>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投标文件符合性审查与澄清</w:t>
      </w:r>
    </w:p>
    <w:p>
      <w:pPr>
        <w:pStyle w:val="24"/>
        <w:keepNext w:val="0"/>
        <w:keepLines w:val="0"/>
        <w:pageBreakBefore w:val="0"/>
        <w:widowControl w:val="0"/>
        <w:numPr>
          <w:ilvl w:val="1"/>
          <w:numId w:val="55"/>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符合性审查是指依据招</w:t>
      </w:r>
      <w:r>
        <w:rPr>
          <w:rFonts w:hint="eastAsia" w:ascii="宋体" w:hAnsi="宋体" w:eastAsia="宋体" w:cs="宋体"/>
          <w:color w:val="000000" w:themeColor="text1"/>
          <w:sz w:val="24"/>
          <w14:textFill>
            <w14:solidFill>
              <w14:schemeClr w14:val="tx1"/>
            </w14:solidFill>
          </w14:textFill>
        </w:rPr>
        <w:t>标文件的规定，从投标文件的有效性和完整性对招标文件的响应程度进行审查，以确定是否对招标文件</w:t>
      </w:r>
      <w:r>
        <w:rPr>
          <w:rFonts w:hint="eastAsia" w:ascii="宋体" w:hAnsi="宋体" w:eastAsia="宋体" w:cs="宋体"/>
          <w:color w:val="000000" w:themeColor="text1"/>
          <w:sz w:val="24"/>
          <w:szCs w:val="24"/>
          <w14:textFill>
            <w14:solidFill>
              <w14:schemeClr w14:val="tx1"/>
            </w14:solidFill>
          </w14:textFill>
        </w:rPr>
        <w:t>的实质性要求做出响应。</w:t>
      </w:r>
    </w:p>
    <w:p>
      <w:pPr>
        <w:pStyle w:val="24"/>
        <w:keepNext w:val="0"/>
        <w:keepLines w:val="0"/>
        <w:pageBreakBefore w:val="0"/>
        <w:widowControl w:val="0"/>
        <w:numPr>
          <w:ilvl w:val="1"/>
          <w:numId w:val="56"/>
        </w:numPr>
        <w:tabs>
          <w:tab w:val="left" w:pos="1515"/>
        </w:tabs>
        <w:kinsoku/>
        <w:wordWrap/>
        <w:overflowPunct/>
        <w:topLinePunct w:val="0"/>
        <w:autoSpaceDE w:val="0"/>
        <w:autoSpaceDN w:val="0"/>
        <w:bidi w:val="0"/>
        <w:adjustRightInd/>
        <w:snapToGrid/>
        <w:spacing w:line="500" w:lineRule="exact"/>
        <w:ind w:hanging="506"/>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投标文件的澄清：</w:t>
      </w:r>
    </w:p>
    <w:p>
      <w:pPr>
        <w:pStyle w:val="24"/>
        <w:keepNext w:val="0"/>
        <w:keepLines w:val="0"/>
        <w:pageBreakBefore w:val="0"/>
        <w:widowControl w:val="0"/>
        <w:numPr>
          <w:ilvl w:val="1"/>
          <w:numId w:val="57"/>
        </w:numPr>
        <w:tabs>
          <w:tab w:val="left" w:pos="1515"/>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允许下，并在规定的时间内以书面方式进行，并不得超出投标文件范围或者改变投标文件的实质性内容。</w:t>
      </w:r>
    </w:p>
    <w:p>
      <w:pPr>
        <w:pStyle w:val="24"/>
        <w:keepNext w:val="0"/>
        <w:keepLines w:val="0"/>
        <w:pageBreakBefore w:val="0"/>
        <w:widowControl w:val="0"/>
        <w:numPr>
          <w:ilvl w:val="2"/>
          <w:numId w:val="58"/>
        </w:numPr>
        <w:tabs>
          <w:tab w:val="left" w:pos="1698"/>
        </w:tabs>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投标人的的澄清、说明或补正将作为投标文件的一部分。</w:t>
      </w:r>
    </w:p>
    <w:p>
      <w:pPr>
        <w:pStyle w:val="24"/>
        <w:keepNext w:val="0"/>
        <w:keepLines w:val="0"/>
        <w:pageBreakBefore w:val="0"/>
        <w:widowControl w:val="0"/>
        <w:numPr>
          <w:ilvl w:val="2"/>
          <w:numId w:val="59"/>
        </w:numPr>
        <w:tabs>
          <w:tab w:val="left" w:pos="1698"/>
        </w:tabs>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color w:val="000000" w:themeColor="text1"/>
          <w:spacing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投标文件报价出现前后不一致的，按照下列规定修正</w:t>
      </w:r>
      <w:r>
        <w:rPr>
          <w:rFonts w:hint="eastAsia" w:ascii="宋体" w:hAnsi="宋体" w:eastAsia="宋体" w:cs="宋体"/>
          <w:color w:val="000000" w:themeColor="text1"/>
          <w:spacing w:val="-2"/>
          <w:sz w:val="24"/>
          <w:szCs w:val="24"/>
          <w14:textFill>
            <w14:solidFill>
              <w14:schemeClr w14:val="tx1"/>
            </w14:solidFill>
          </w14:textFill>
        </w:rPr>
        <w:t>：</w:t>
      </w:r>
    </w:p>
    <w:p>
      <w:pPr>
        <w:pStyle w:val="24"/>
        <w:keepNext w:val="0"/>
        <w:keepLines w:val="0"/>
        <w:pageBreakBefore w:val="0"/>
        <w:widowControl w:val="0"/>
        <w:numPr>
          <w:ilvl w:val="2"/>
          <w:numId w:val="60"/>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投标文件中开标一览表（报价表）内容与投标文件中相应内容不一致的，以正本（报价表）为准；</w:t>
      </w:r>
    </w:p>
    <w:p>
      <w:pPr>
        <w:pStyle w:val="24"/>
        <w:keepNext w:val="0"/>
        <w:keepLines w:val="0"/>
        <w:pageBreakBefore w:val="0"/>
        <w:widowControl w:val="0"/>
        <w:numPr>
          <w:ilvl w:val="2"/>
          <w:numId w:val="61"/>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大写金额和小写金额不一致的，以大写金额为准；</w:t>
      </w:r>
    </w:p>
    <w:p>
      <w:pPr>
        <w:pStyle w:val="24"/>
        <w:keepNext w:val="0"/>
        <w:keepLines w:val="0"/>
        <w:pageBreakBefore w:val="0"/>
        <w:widowControl w:val="0"/>
        <w:numPr>
          <w:ilvl w:val="2"/>
          <w:numId w:val="62"/>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单价金额小数点或者百分比有明显错位的，以正本总价为准，并修改单价；</w:t>
      </w:r>
    </w:p>
    <w:p>
      <w:pPr>
        <w:pStyle w:val="24"/>
        <w:keepNext w:val="0"/>
        <w:keepLines w:val="0"/>
        <w:pageBreakBefore w:val="0"/>
        <w:widowControl w:val="0"/>
        <w:numPr>
          <w:ilvl w:val="2"/>
          <w:numId w:val="63"/>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总价金额与按单价汇总金额不一致的，以单价金额计算结果为准。同时出现两种以上不一致的，按照前款规定的顺序修正。修正后的报价经投标人确认后产生约束力，投标人不确认的，其投标将被认定为投标无效。对不同文字文本投标文件的解释发生异议的，以中文文本为准。</w:t>
      </w:r>
    </w:p>
    <w:p>
      <w:pPr>
        <w:pStyle w:val="24"/>
        <w:keepNext w:val="0"/>
        <w:keepLines w:val="0"/>
        <w:pageBreakBefore w:val="0"/>
        <w:widowControl w:val="0"/>
        <w:numPr>
          <w:ilvl w:val="2"/>
          <w:numId w:val="64"/>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如一个分包内只有一种产品，不同投标人所投产品为同一品牌的，按如下方式处理：</w:t>
      </w:r>
    </w:p>
    <w:p>
      <w:pPr>
        <w:pStyle w:val="24"/>
        <w:keepNext w:val="0"/>
        <w:keepLines w:val="0"/>
        <w:pageBreakBefore w:val="0"/>
        <w:widowControl w:val="0"/>
        <w:numPr>
          <w:ilvl w:val="2"/>
          <w:numId w:val="65"/>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pPr>
        <w:pStyle w:val="24"/>
        <w:keepNext w:val="0"/>
        <w:keepLines w:val="0"/>
        <w:pageBreakBefore w:val="0"/>
        <w:widowControl w:val="0"/>
        <w:tabs>
          <w:tab w:val="left" w:pos="1698"/>
        </w:tabs>
        <w:kinsoku/>
        <w:wordWrap/>
        <w:overflowPunct/>
        <w:topLinePunct w:val="0"/>
        <w:autoSpaceDE w:val="0"/>
        <w:autoSpaceDN w:val="0"/>
        <w:bidi w:val="0"/>
        <w:adjustRightInd/>
        <w:snapToGrid/>
        <w:spacing w:line="500" w:lineRule="exact"/>
        <w:ind w:left="1038" w:right="567" w:firstLine="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0"/>
          <w:szCs w:val="18"/>
          <w:lang w:val="en-US"/>
          <w14:textFill>
            <w14:solidFill>
              <w14:schemeClr w14:val="tx1"/>
            </w14:solidFill>
          </w14:textFill>
        </w:rPr>
        <w:t>24.2</w:t>
      </w:r>
      <w:r>
        <w:rPr>
          <w:rFonts w:hint="eastAsia" w:ascii="宋体" w:hAnsi="宋体" w:eastAsia="宋体" w:cs="宋体"/>
          <w:color w:val="000000" w:themeColor="text1"/>
          <w:spacing w:val="-2"/>
          <w:sz w:val="24"/>
          <w:lang w:val="en-US"/>
          <w14:textFill>
            <w14:solidFill>
              <w14:schemeClr w14:val="tx1"/>
            </w14:solidFill>
          </w14:textFill>
        </w:rPr>
        <w:t xml:space="preserve"> </w:t>
      </w:r>
      <w:r>
        <w:rPr>
          <w:rFonts w:hint="eastAsia" w:ascii="宋体" w:hAnsi="宋体" w:eastAsia="宋体" w:cs="宋体"/>
          <w:color w:val="000000" w:themeColor="text1"/>
          <w:spacing w:val="-2"/>
          <w:sz w:val="24"/>
          <w14:textFill>
            <w14:solidFill>
              <w14:schemeClr w14:val="tx1"/>
            </w14:solidFill>
          </w14:textFill>
        </w:rPr>
        <w:t>投标人所投产品如被列入财政部与国家主管部门颁发的节能产品目录或环境标志产品目录或无线局域网产品目录，应提供相关证明，在评标时予以优先采购，具体优先采购办法见第四章评标方法和标准。如采购人所采购产品为政府强制采购的节能产品，投标人所投产品的品牌及型号必须为清单中有效期内产品并提供证明文件，否则其投标将被认定为投标无效。</w:t>
      </w:r>
      <w:bookmarkStart w:id="32" w:name="_Toc515647782"/>
      <w:bookmarkStart w:id="33" w:name="_Toc6364"/>
      <w:bookmarkStart w:id="34" w:name="_Toc18529"/>
      <w:bookmarkStart w:id="35" w:name="_Toc9469"/>
    </w:p>
    <w:p>
      <w:pPr>
        <w:pStyle w:val="24"/>
        <w:keepNext w:val="0"/>
        <w:keepLines w:val="0"/>
        <w:pageBreakBefore w:val="0"/>
        <w:widowControl w:val="0"/>
        <w:numPr>
          <w:ilvl w:val="2"/>
          <w:numId w:val="66"/>
        </w:numPr>
        <w:tabs>
          <w:tab w:val="left" w:pos="1698"/>
        </w:tabs>
        <w:kinsoku/>
        <w:wordWrap/>
        <w:overflowPunct/>
        <w:topLinePunct w:val="0"/>
        <w:autoSpaceDE w:val="0"/>
        <w:autoSpaceDN w:val="0"/>
        <w:bidi w:val="0"/>
        <w:adjustRightInd/>
        <w:snapToGrid/>
        <w:spacing w:line="500" w:lineRule="exact"/>
        <w:ind w:left="567" w:right="567" w:firstLine="471"/>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投标偏离</w:t>
      </w:r>
      <w:bookmarkEnd w:id="32"/>
      <w:bookmarkEnd w:id="33"/>
      <w:bookmarkEnd w:id="34"/>
      <w:bookmarkEnd w:id="35"/>
    </w:p>
    <w:p>
      <w:pPr>
        <w:keepNext w:val="0"/>
        <w:keepLines w:val="0"/>
        <w:pageBreakBefore w:val="0"/>
        <w:widowControl w:val="0"/>
        <w:kinsoku/>
        <w:wordWrap/>
        <w:overflowPunct/>
        <w:topLinePunct w:val="0"/>
        <w:autoSpaceDE w:val="0"/>
        <w:autoSpaceDN w:val="0"/>
        <w:bidi w:val="0"/>
        <w:adjustRightInd/>
        <w:snapToGrid/>
        <w:spacing w:line="500" w:lineRule="exact"/>
        <w:ind w:left="852" w:leftChars="208" w:hanging="394" w:hangingChars="167"/>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评标委员会不接受投标文件中实质性偏离的不正规或不一致内容。</w:t>
      </w:r>
      <w:bookmarkStart w:id="36" w:name="_Toc515647783"/>
      <w:bookmarkStart w:id="37" w:name="_Toc23936"/>
      <w:bookmarkStart w:id="38" w:name="_Toc4950"/>
      <w:bookmarkStart w:id="39" w:name="_Toc6092"/>
    </w:p>
    <w:p>
      <w:pPr>
        <w:pStyle w:val="24"/>
        <w:keepNext w:val="0"/>
        <w:keepLines w:val="0"/>
        <w:pageBreakBefore w:val="0"/>
        <w:widowControl w:val="0"/>
        <w:numPr>
          <w:ilvl w:val="2"/>
          <w:numId w:val="67"/>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w:t>
      </w:r>
      <w:bookmarkEnd w:id="36"/>
      <w:r>
        <w:rPr>
          <w:rFonts w:hint="eastAsia" w:ascii="宋体" w:hAnsi="宋体" w:eastAsia="宋体" w:cs="宋体"/>
          <w:color w:val="000000" w:themeColor="text1"/>
          <w:sz w:val="24"/>
          <w14:textFill>
            <w14:solidFill>
              <w14:schemeClr w14:val="tx1"/>
            </w14:solidFill>
          </w14:textFill>
        </w:rPr>
        <w:t>无效</w:t>
      </w:r>
      <w:bookmarkEnd w:id="37"/>
      <w:bookmarkEnd w:id="38"/>
      <w:bookmarkEnd w:id="39"/>
    </w:p>
    <w:p>
      <w:pPr>
        <w:pStyle w:val="24"/>
        <w:keepNext w:val="0"/>
        <w:keepLines w:val="0"/>
        <w:pageBreakBefore w:val="0"/>
        <w:widowControl w:val="0"/>
        <w:numPr>
          <w:ilvl w:val="2"/>
          <w:numId w:val="68"/>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w:t>
      </w:r>
    </w:p>
    <w:p>
      <w:pPr>
        <w:pStyle w:val="24"/>
        <w:keepNext w:val="0"/>
        <w:keepLines w:val="0"/>
        <w:pageBreakBefore w:val="0"/>
        <w:widowControl w:val="0"/>
        <w:numPr>
          <w:ilvl w:val="2"/>
          <w:numId w:val="69"/>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评标委员会决定投标的响应性只根据招标文件要求、投标文件内容及财政主管部门指定相关信息发布媒体。</w:t>
      </w:r>
    </w:p>
    <w:p>
      <w:pPr>
        <w:pStyle w:val="24"/>
        <w:keepNext w:val="0"/>
        <w:keepLines w:val="0"/>
        <w:pageBreakBefore w:val="0"/>
        <w:widowControl w:val="0"/>
        <w:numPr>
          <w:ilvl w:val="2"/>
          <w:numId w:val="70"/>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如发现下列情况之一的，其投标将被认定为投标无效：（以下情形应当在招标文件中规定，并以醒目的方式标明）</w:t>
      </w:r>
    </w:p>
    <w:p>
      <w:pPr>
        <w:pStyle w:val="24"/>
        <w:keepNext w:val="0"/>
        <w:keepLines w:val="0"/>
        <w:pageBreakBefore w:val="0"/>
        <w:widowControl w:val="0"/>
        <w:numPr>
          <w:ilvl w:val="2"/>
          <w:numId w:val="71"/>
        </w:numPr>
        <w:tabs>
          <w:tab w:val="left" w:pos="1698"/>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未按招标文件规定的形式和金额提交投标保证金的；</w:t>
      </w:r>
    </w:p>
    <w:p>
      <w:pPr>
        <w:pStyle w:val="24"/>
        <w:keepNext w:val="0"/>
        <w:keepLines w:val="0"/>
        <w:pageBreakBefore w:val="0"/>
        <w:widowControl w:val="0"/>
        <w:numPr>
          <w:ilvl w:val="2"/>
          <w:numId w:val="72"/>
        </w:numPr>
        <w:tabs>
          <w:tab w:val="left" w:pos="1698"/>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未按照招标文件规定要求签署、盖章的；</w:t>
      </w:r>
    </w:p>
    <w:p>
      <w:pPr>
        <w:pStyle w:val="24"/>
        <w:keepNext w:val="0"/>
        <w:keepLines w:val="0"/>
        <w:pageBreakBefore w:val="0"/>
        <w:widowControl w:val="0"/>
        <w:numPr>
          <w:ilvl w:val="2"/>
          <w:numId w:val="73"/>
        </w:numPr>
        <w:tabs>
          <w:tab w:val="left" w:pos="1698"/>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未满足招标文件中技术条款的实质性要求；</w:t>
      </w:r>
    </w:p>
    <w:p>
      <w:pPr>
        <w:pStyle w:val="24"/>
        <w:keepNext w:val="0"/>
        <w:keepLines w:val="0"/>
        <w:pageBreakBefore w:val="0"/>
        <w:widowControl w:val="0"/>
        <w:numPr>
          <w:ilvl w:val="2"/>
          <w:numId w:val="74"/>
        </w:numPr>
        <w:tabs>
          <w:tab w:val="left" w:pos="1698"/>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与其他投标人串通投标，或者与招标人串通投标；</w:t>
      </w:r>
    </w:p>
    <w:p>
      <w:pPr>
        <w:pStyle w:val="24"/>
        <w:keepNext w:val="0"/>
        <w:keepLines w:val="0"/>
        <w:pageBreakBefore w:val="0"/>
        <w:widowControl w:val="0"/>
        <w:numPr>
          <w:ilvl w:val="2"/>
          <w:numId w:val="75"/>
        </w:numPr>
        <w:tabs>
          <w:tab w:val="left" w:pos="1698"/>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属</w:t>
      </w:r>
      <w:r>
        <w:rPr>
          <w:rFonts w:hint="eastAsia" w:ascii="宋体" w:hAnsi="宋体" w:eastAsia="宋体" w:cs="宋体"/>
          <w:color w:val="000000" w:themeColor="text1"/>
          <w:spacing w:val="-2"/>
          <w:sz w:val="24"/>
          <w14:textFill>
            <w14:solidFill>
              <w14:schemeClr w14:val="tx1"/>
            </w14:solidFill>
          </w14:textFill>
        </w:rPr>
        <w:t>于招标文件规定的其他投标无效情形；</w:t>
      </w:r>
    </w:p>
    <w:p>
      <w:pPr>
        <w:pStyle w:val="24"/>
        <w:keepNext w:val="0"/>
        <w:keepLines w:val="0"/>
        <w:pageBreakBefore w:val="0"/>
        <w:widowControl w:val="0"/>
        <w:numPr>
          <w:ilvl w:val="2"/>
          <w:numId w:val="76"/>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评标委员会认为投标人的报价明显低于其他通过符合性检查投标人的报价，有可能影响履约的，且投标人未按照规定证明其报价合理性的；</w:t>
      </w:r>
    </w:p>
    <w:p>
      <w:pPr>
        <w:pStyle w:val="24"/>
        <w:keepNext w:val="0"/>
        <w:keepLines w:val="0"/>
        <w:pageBreakBefore w:val="0"/>
        <w:widowControl w:val="0"/>
        <w:numPr>
          <w:ilvl w:val="2"/>
          <w:numId w:val="77"/>
        </w:numPr>
        <w:tabs>
          <w:tab w:val="left" w:pos="1698"/>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投标文件含有采购人不能接受的附加条件的；</w:t>
      </w:r>
    </w:p>
    <w:p>
      <w:pPr>
        <w:pStyle w:val="24"/>
        <w:keepNext w:val="0"/>
        <w:keepLines w:val="0"/>
        <w:pageBreakBefore w:val="0"/>
        <w:widowControl w:val="0"/>
        <w:numPr>
          <w:ilvl w:val="2"/>
          <w:numId w:val="78"/>
        </w:numPr>
        <w:tabs>
          <w:tab w:val="left" w:pos="1698"/>
        </w:tabs>
        <w:kinsoku/>
        <w:wordWrap/>
        <w:overflowPunct/>
        <w:topLinePunct w:val="0"/>
        <w:autoSpaceDE w:val="0"/>
        <w:autoSpaceDN w:val="0"/>
        <w:bidi w:val="0"/>
        <w:adjustRightInd/>
        <w:snapToGrid/>
        <w:spacing w:line="500" w:lineRule="exact"/>
        <w:ind w:left="567" w:right="220" w:rightChars="100"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不符合法规和招标文件中规定的其他实质性要求的。</w:t>
      </w:r>
      <w:bookmarkStart w:id="40" w:name="_Toc515647784"/>
      <w:bookmarkStart w:id="41" w:name="_Toc8521"/>
      <w:bookmarkStart w:id="42" w:name="_Toc13652"/>
      <w:bookmarkStart w:id="43" w:name="_Toc22941"/>
    </w:p>
    <w:p>
      <w:pPr>
        <w:pStyle w:val="24"/>
        <w:keepNext w:val="0"/>
        <w:keepLines w:val="0"/>
        <w:pageBreakBefore w:val="0"/>
        <w:widowControl w:val="0"/>
        <w:numPr>
          <w:ilvl w:val="2"/>
          <w:numId w:val="79"/>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比较与评价</w:t>
      </w:r>
      <w:bookmarkEnd w:id="40"/>
      <w:bookmarkEnd w:id="41"/>
      <w:bookmarkEnd w:id="42"/>
      <w:bookmarkEnd w:id="43"/>
    </w:p>
    <w:p>
      <w:pPr>
        <w:pStyle w:val="24"/>
        <w:keepNext w:val="0"/>
        <w:keepLines w:val="0"/>
        <w:pageBreakBefore w:val="0"/>
        <w:widowControl w:val="0"/>
        <w:numPr>
          <w:ilvl w:val="2"/>
          <w:numId w:val="80"/>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经符合性审查合格的投标文件，评标委员会将根据招标文件确定的评标方法和标准，对其技术部分和商务部分作进一步的比较和评价。</w:t>
      </w:r>
    </w:p>
    <w:p>
      <w:pPr>
        <w:pStyle w:val="24"/>
        <w:keepNext w:val="0"/>
        <w:keepLines w:val="0"/>
        <w:pageBreakBefore w:val="0"/>
        <w:widowControl w:val="0"/>
        <w:numPr>
          <w:ilvl w:val="2"/>
          <w:numId w:val="81"/>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评标严格按照招标文件的要求和条件进行。根据实际情况，在投标人须知资料表中规定采用下列一种评标方法，详细评标标准见招标文件第四章：</w:t>
      </w:r>
    </w:p>
    <w:p>
      <w:pPr>
        <w:pStyle w:val="24"/>
        <w:keepNext w:val="0"/>
        <w:keepLines w:val="0"/>
        <w:pageBreakBefore w:val="0"/>
        <w:widowControl w:val="0"/>
        <w:numPr>
          <w:ilvl w:val="2"/>
          <w:numId w:val="82"/>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最低评标价法，是指投标文件满足招标文件全部实质性要求，且投标报价最低的投标人为中标候选人的评标方法。</w:t>
      </w:r>
    </w:p>
    <w:p>
      <w:pPr>
        <w:pStyle w:val="24"/>
        <w:keepNext w:val="0"/>
        <w:keepLines w:val="0"/>
        <w:pageBreakBefore w:val="0"/>
        <w:widowControl w:val="0"/>
        <w:numPr>
          <w:ilvl w:val="2"/>
          <w:numId w:val="83"/>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综合评分法，是指投标文件满足招标文件全部实质性要求，且按照评审因素的量化指标评审得分最高的投标人为中标候选人的评标方法。</w:t>
      </w:r>
    </w:p>
    <w:p>
      <w:pPr>
        <w:pStyle w:val="24"/>
        <w:keepNext w:val="0"/>
        <w:keepLines w:val="0"/>
        <w:pageBreakBefore w:val="0"/>
        <w:widowControl w:val="0"/>
        <w:numPr>
          <w:ilvl w:val="2"/>
          <w:numId w:val="84"/>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根据《政府采购促进中小企业发展暂行办法》（财库[2011]181号）、《财政部司法部关于政府采购支持监狱企业发展有关问题的通知》（财库〔2014〕68号）和《三部门联合发布关于促进残疾人就业政府采购政策的通知》（</w:t>
      </w:r>
      <w:bookmarkStart w:id="44" w:name="sendNo"/>
      <w:r>
        <w:rPr>
          <w:rFonts w:hint="eastAsia" w:ascii="宋体" w:hAnsi="宋体" w:eastAsia="宋体" w:cs="宋体"/>
          <w:color w:val="000000" w:themeColor="text1"/>
          <w:spacing w:val="-2"/>
          <w:sz w:val="24"/>
          <w14:textFill>
            <w14:solidFill>
              <w14:schemeClr w14:val="tx1"/>
            </w14:solidFill>
          </w14:textFill>
        </w:rPr>
        <w:t>财库〔</w:t>
      </w:r>
      <w:bookmarkEnd w:id="44"/>
      <w:r>
        <w:rPr>
          <w:rFonts w:hint="eastAsia" w:ascii="宋体" w:hAnsi="宋体" w:eastAsia="宋体" w:cs="宋体"/>
          <w:color w:val="000000" w:themeColor="text1"/>
          <w:spacing w:val="-2"/>
          <w:sz w:val="24"/>
          <w14:textFill>
            <w14:solidFill>
              <w14:schemeClr w14:val="tx1"/>
            </w14:solidFill>
          </w14:textFill>
        </w:rPr>
        <w:t>2017〕141号）的规定，对满足价格扣除条件且在投标文件中提交了《投标人企业类型声明函》或省级以上监狱管理局、戒毒管理局（含新疆生产建设兵团）出具的属于监狱企业的证明文件的投标人，其投标报价扣除6-10%后参与评审。</w:t>
      </w:r>
      <w:bookmarkStart w:id="45" w:name="_Toc31728"/>
      <w:bookmarkStart w:id="46" w:name="_Toc9378"/>
      <w:bookmarkStart w:id="47" w:name="_Toc515647785"/>
      <w:bookmarkStart w:id="48" w:name="_Toc20227"/>
    </w:p>
    <w:p>
      <w:pPr>
        <w:pStyle w:val="24"/>
        <w:keepNext w:val="0"/>
        <w:keepLines w:val="0"/>
        <w:pageBreakBefore w:val="0"/>
        <w:widowControl w:val="0"/>
        <w:numPr>
          <w:ilvl w:val="2"/>
          <w:numId w:val="85"/>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废标</w:t>
      </w:r>
      <w:bookmarkEnd w:id="45"/>
      <w:bookmarkEnd w:id="46"/>
      <w:bookmarkEnd w:id="47"/>
      <w:bookmarkEnd w:id="48"/>
    </w:p>
    <w:p>
      <w:pPr>
        <w:pStyle w:val="24"/>
        <w:keepNext w:val="0"/>
        <w:keepLines w:val="0"/>
        <w:pageBreakBefore w:val="0"/>
        <w:widowControl w:val="0"/>
        <w:numPr>
          <w:ilvl w:val="2"/>
          <w:numId w:val="86"/>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出现</w:t>
      </w:r>
      <w:r>
        <w:rPr>
          <w:rFonts w:hint="eastAsia" w:ascii="宋体" w:hAnsi="宋体" w:eastAsia="宋体" w:cs="宋体"/>
          <w:color w:val="000000" w:themeColor="text1"/>
          <w14:textFill>
            <w14:solidFill>
              <w14:schemeClr w14:val="tx1"/>
            </w14:solidFill>
          </w14:textFill>
        </w:rPr>
        <w:t>下列</w:t>
      </w:r>
      <w:r>
        <w:rPr>
          <w:rFonts w:hint="eastAsia" w:ascii="宋体" w:hAnsi="宋体" w:eastAsia="宋体" w:cs="宋体"/>
          <w:color w:val="000000" w:themeColor="text1"/>
          <w:spacing w:val="-2"/>
          <w:sz w:val="24"/>
          <w14:textFill>
            <w14:solidFill>
              <w14:schemeClr w14:val="tx1"/>
            </w14:solidFill>
          </w14:textFill>
        </w:rPr>
        <w:t>情形之一，将导致项目废标：</w:t>
      </w:r>
    </w:p>
    <w:p>
      <w:pPr>
        <w:pStyle w:val="24"/>
        <w:keepNext w:val="0"/>
        <w:keepLines w:val="0"/>
        <w:pageBreakBefore w:val="0"/>
        <w:widowControl w:val="0"/>
        <w:numPr>
          <w:ilvl w:val="2"/>
          <w:numId w:val="87"/>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符合专业条件的供应商或者对招标文件做实质性响应的供应商不足三家；</w:t>
      </w:r>
    </w:p>
    <w:p>
      <w:pPr>
        <w:pStyle w:val="24"/>
        <w:keepNext w:val="0"/>
        <w:keepLines w:val="0"/>
        <w:pageBreakBefore w:val="0"/>
        <w:widowControl w:val="0"/>
        <w:numPr>
          <w:ilvl w:val="2"/>
          <w:numId w:val="88"/>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出现影响采购公正的违法、违规行为的；</w:t>
      </w:r>
    </w:p>
    <w:p>
      <w:pPr>
        <w:pStyle w:val="24"/>
        <w:keepNext w:val="0"/>
        <w:keepLines w:val="0"/>
        <w:pageBreakBefore w:val="0"/>
        <w:widowControl w:val="0"/>
        <w:numPr>
          <w:ilvl w:val="2"/>
          <w:numId w:val="89"/>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投标人的报价均超过了采购预算，采购人不能支付的；</w:t>
      </w:r>
    </w:p>
    <w:p>
      <w:pPr>
        <w:pStyle w:val="24"/>
        <w:keepNext w:val="0"/>
        <w:keepLines w:val="0"/>
        <w:pageBreakBefore w:val="0"/>
        <w:widowControl w:val="0"/>
        <w:numPr>
          <w:ilvl w:val="2"/>
          <w:numId w:val="90"/>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因重大变故，采购任务取消的。</w:t>
      </w:r>
      <w:bookmarkStart w:id="49" w:name="_Toc515647786"/>
      <w:bookmarkStart w:id="50" w:name="_Toc11175"/>
      <w:bookmarkStart w:id="51" w:name="_Toc24972"/>
      <w:bookmarkStart w:id="52" w:name="_Toc31289"/>
    </w:p>
    <w:p>
      <w:pPr>
        <w:pStyle w:val="24"/>
        <w:keepNext w:val="0"/>
        <w:keepLines w:val="0"/>
        <w:pageBreakBefore w:val="0"/>
        <w:widowControl w:val="0"/>
        <w:numPr>
          <w:ilvl w:val="2"/>
          <w:numId w:val="91"/>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保密原则</w:t>
      </w:r>
      <w:bookmarkEnd w:id="49"/>
      <w:bookmarkEnd w:id="50"/>
      <w:bookmarkEnd w:id="51"/>
      <w:bookmarkEnd w:id="52"/>
    </w:p>
    <w:p>
      <w:pPr>
        <w:pStyle w:val="24"/>
        <w:keepNext w:val="0"/>
        <w:keepLines w:val="0"/>
        <w:pageBreakBefore w:val="0"/>
        <w:widowControl w:val="0"/>
        <w:numPr>
          <w:ilvl w:val="2"/>
          <w:numId w:val="92"/>
        </w:numPr>
        <w:tabs>
          <w:tab w:val="left" w:pos="1698"/>
        </w:tabs>
        <w:kinsoku/>
        <w:wordWrap/>
        <w:overflowPunct/>
        <w:topLinePunct w:val="0"/>
        <w:autoSpaceDE w:val="0"/>
        <w:autoSpaceDN w:val="0"/>
        <w:bidi w:val="0"/>
        <w:adjustRightInd/>
        <w:snapToGrid/>
        <w:spacing w:line="500" w:lineRule="exact"/>
        <w:ind w:right="220" w:rightChars="100"/>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评标将在严格保密的情况下进行。</w:t>
      </w:r>
    </w:p>
    <w:p>
      <w:pPr>
        <w:pStyle w:val="24"/>
        <w:keepNext w:val="0"/>
        <w:keepLines w:val="0"/>
        <w:pageBreakBefore w:val="0"/>
        <w:widowControl w:val="0"/>
        <w:numPr>
          <w:ilvl w:val="2"/>
          <w:numId w:val="93"/>
        </w:numPr>
        <w:tabs>
          <w:tab w:val="left" w:pos="1698"/>
        </w:tabs>
        <w:kinsoku/>
        <w:wordWrap/>
        <w:overflowPunct/>
        <w:topLinePunct w:val="0"/>
        <w:autoSpaceDE w:val="0"/>
        <w:autoSpaceDN w:val="0"/>
        <w:bidi w:val="0"/>
        <w:adjustRightInd/>
        <w:snapToGrid/>
        <w:spacing w:line="500" w:lineRule="exact"/>
        <w:ind w:left="567" w:right="567" w:firstLine="471"/>
        <w:jc w:val="both"/>
        <w:textAlignment w:val="auto"/>
        <w:rPr>
          <w:rFonts w:hint="eastAsia" w:ascii="宋体" w:hAnsi="宋体" w:eastAsia="宋体" w:cs="宋体"/>
          <w:color w:val="000000" w:themeColor="text1"/>
          <w:spacing w:val="-2"/>
          <w:sz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政府采购评审专家应当遵守评审工作纪律，不得泄露评审文件、评审情况和评审中获悉的商业秘密。</w:t>
      </w:r>
    </w:p>
    <w:p>
      <w:pPr>
        <w:pStyle w:val="6"/>
        <w:spacing w:before="203" w:line="360" w:lineRule="auto"/>
        <w:ind w:right="84"/>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六．定标与签订合同</w:t>
      </w:r>
    </w:p>
    <w:p>
      <w:pPr>
        <w:keepNext w:val="0"/>
        <w:keepLines w:val="0"/>
        <w:pageBreakBefore w:val="0"/>
        <w:widowControl w:val="0"/>
        <w:kinsoku/>
        <w:wordWrap/>
        <w:overflowPunct/>
        <w:topLinePunct w:val="0"/>
        <w:autoSpaceDE w:val="0"/>
        <w:autoSpaceDN w:val="0"/>
        <w:bidi w:val="0"/>
        <w:adjustRightInd/>
        <w:snapToGrid/>
        <w:spacing w:before="231" w:line="480" w:lineRule="exact"/>
        <w:ind w:left="100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30.定标</w:t>
      </w:r>
    </w:p>
    <w:p>
      <w:pPr>
        <w:pStyle w:val="24"/>
        <w:keepNext w:val="0"/>
        <w:keepLines w:val="0"/>
        <w:pageBreakBefore w:val="0"/>
        <w:widowControl w:val="0"/>
        <w:numPr>
          <w:ilvl w:val="1"/>
          <w:numId w:val="94"/>
        </w:numPr>
        <w:tabs>
          <w:tab w:val="left" w:pos="1539"/>
        </w:tabs>
        <w:kinsoku/>
        <w:wordWrap/>
        <w:overflowPunct/>
        <w:topLinePunct w:val="0"/>
        <w:autoSpaceDE w:val="0"/>
        <w:autoSpaceDN w:val="0"/>
        <w:bidi w:val="0"/>
        <w:adjustRightInd/>
        <w:snapToGrid/>
        <w:spacing w:before="7" w:line="48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投标有效性评审后，评标委员会应当按招标文件规定的标准和方法提出独立评审意见，推荐中标候选供应商。</w:t>
      </w:r>
    </w:p>
    <w:p>
      <w:pPr>
        <w:pStyle w:val="24"/>
        <w:keepNext w:val="0"/>
        <w:keepLines w:val="0"/>
        <w:pageBreakBefore w:val="0"/>
        <w:widowControl w:val="0"/>
        <w:numPr>
          <w:ilvl w:val="1"/>
          <w:numId w:val="95"/>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如评标委员会认为有必要，首先对中标候选供应商就投标文件所提供的内容是否符合招标文件的要求进行资格后审。资格后审视为本项目采购活动的延续，以书面报告作为最终审查的结果。</w:t>
      </w:r>
    </w:p>
    <w:p>
      <w:pPr>
        <w:pStyle w:val="24"/>
        <w:keepNext w:val="0"/>
        <w:keepLines w:val="0"/>
        <w:pageBreakBefore w:val="0"/>
        <w:widowControl w:val="0"/>
        <w:numPr>
          <w:ilvl w:val="1"/>
          <w:numId w:val="96"/>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如果确定中标候选供应商无法履行合同，将按排名依次对其余中标候选供应商进</w:t>
      </w:r>
      <w:r>
        <w:rPr>
          <w:rFonts w:hint="eastAsia" w:ascii="宋体" w:hAnsi="宋体" w:eastAsia="宋体" w:cs="宋体"/>
          <w:color w:val="000000" w:themeColor="text1"/>
          <w:sz w:val="24"/>
          <w:szCs w:val="24"/>
          <w14:textFill>
            <w14:solidFill>
              <w14:schemeClr w14:val="tx1"/>
            </w14:solidFill>
          </w14:textFill>
        </w:rPr>
        <w:t>行类似的审查。</w:t>
      </w:r>
    </w:p>
    <w:p>
      <w:pPr>
        <w:pStyle w:val="24"/>
        <w:keepNext w:val="0"/>
        <w:keepLines w:val="0"/>
        <w:pageBreakBefore w:val="0"/>
        <w:widowControl w:val="0"/>
        <w:numPr>
          <w:ilvl w:val="1"/>
          <w:numId w:val="97"/>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中标供应商放弃中标、因不可抗力不能履行合同、不按照招标文件要求提交履约保证</w:t>
      </w:r>
      <w:bookmarkStart w:id="53" w:name="_bookmark8"/>
      <w:bookmarkEnd w:id="53"/>
      <w:bookmarkStart w:id="54" w:name="六．定标与签订合同"/>
      <w:bookmarkEnd w:id="54"/>
      <w:r>
        <w:rPr>
          <w:rFonts w:hint="eastAsia" w:ascii="宋体" w:hAnsi="宋体" w:eastAsia="宋体" w:cs="宋体"/>
          <w:color w:val="000000" w:themeColor="text1"/>
          <w:sz w:val="24"/>
          <w:szCs w:val="24"/>
          <w14:textFill>
            <w14:solidFill>
              <w14:schemeClr w14:val="tx1"/>
            </w14:solidFill>
          </w14:textFill>
        </w:rPr>
        <w:t>金，或者被查实存在影响中标结果的违法行为等情形，不符合中标条件的，采购人可以按照评标委员会提出的中标候选供应商名单排序依次确定其他中标候选供应商为中标供应商，也可以重新招标。</w:t>
      </w:r>
    </w:p>
    <w:p>
      <w:pPr>
        <w:pStyle w:val="24"/>
        <w:keepNext w:val="0"/>
        <w:keepLines w:val="0"/>
        <w:pageBreakBefore w:val="0"/>
        <w:widowControl w:val="0"/>
        <w:numPr>
          <w:ilvl w:val="1"/>
          <w:numId w:val="98"/>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对采购过程、中标结果提出质疑，质疑成立且影响或者可能影响中标结果的，合格投标供应商符合法定数量时，可以从合格的中标候选供应商中另行确定中标供应商的，应当依法另行确定中标供应商；否则应当重新招标。</w:t>
      </w:r>
    </w:p>
    <w:p>
      <w:pPr>
        <w:pStyle w:val="24"/>
        <w:keepNext w:val="0"/>
        <w:keepLines w:val="0"/>
        <w:pageBreakBefore w:val="0"/>
        <w:widowControl w:val="0"/>
        <w:numPr>
          <w:ilvl w:val="1"/>
          <w:numId w:val="99"/>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原则上把合同授予实质上响应招标文件要求的排名最前的中标候选供应商或通过资格审查的中标候选供应商。</w:t>
      </w:r>
    </w:p>
    <w:p>
      <w:pPr>
        <w:pStyle w:val="24"/>
        <w:keepNext w:val="0"/>
        <w:keepLines w:val="0"/>
        <w:pageBreakBefore w:val="0"/>
        <w:widowControl w:val="0"/>
        <w:numPr>
          <w:ilvl w:val="1"/>
          <w:numId w:val="100"/>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最低报价并不是被授予合同的保证。</w:t>
      </w:r>
    </w:p>
    <w:p>
      <w:pPr>
        <w:pStyle w:val="24"/>
        <w:keepNext w:val="0"/>
        <w:keepLines w:val="0"/>
        <w:pageBreakBefore w:val="0"/>
        <w:widowControl w:val="0"/>
        <w:numPr>
          <w:ilvl w:val="1"/>
          <w:numId w:val="101"/>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凡发现中标候选供应商有下列行为之一的，其中标无效，并移交监督管理部门依法处理：</w:t>
      </w:r>
    </w:p>
    <w:p>
      <w:pPr>
        <w:pStyle w:val="24"/>
        <w:keepNext w:val="0"/>
        <w:keepLines w:val="0"/>
        <w:pageBreakBefore w:val="0"/>
        <w:widowControl w:val="0"/>
        <w:numPr>
          <w:ilvl w:val="1"/>
          <w:numId w:val="102"/>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以他人名义投标或提供虚假材料弄虚作假谋取中标的；</w:t>
      </w:r>
    </w:p>
    <w:p>
      <w:pPr>
        <w:pStyle w:val="24"/>
        <w:keepNext w:val="0"/>
        <w:keepLines w:val="0"/>
        <w:pageBreakBefore w:val="0"/>
        <w:widowControl w:val="0"/>
        <w:numPr>
          <w:ilvl w:val="1"/>
          <w:numId w:val="103"/>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sz w:val="24"/>
          <w14:textFill>
            <w14:solidFill>
              <w14:schemeClr w14:val="tx1"/>
            </w14:solidFill>
          </w14:textFill>
        </w:rPr>
        <w:t>以他人名义投标，是指使用通过受让或者租借等方式获取的资格、资质证书投</w:t>
      </w:r>
      <w:r>
        <w:rPr>
          <w:rFonts w:hint="eastAsia" w:ascii="宋体" w:hAnsi="宋体" w:eastAsia="宋体" w:cs="宋体"/>
          <w:color w:val="000000" w:themeColor="text1"/>
          <w14:textFill>
            <w14:solidFill>
              <w14:schemeClr w14:val="tx1"/>
            </w14:solidFill>
          </w14:textFill>
        </w:rPr>
        <w:t>标。</w:t>
      </w:r>
    </w:p>
    <w:p>
      <w:pPr>
        <w:pStyle w:val="24"/>
        <w:keepNext w:val="0"/>
        <w:keepLines w:val="0"/>
        <w:pageBreakBefore w:val="0"/>
        <w:widowControl w:val="0"/>
        <w:numPr>
          <w:ilvl w:val="1"/>
          <w:numId w:val="104"/>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投标供应商有下列情形之一的，属于提供虚假材料的行为：</w:t>
      </w:r>
    </w:p>
    <w:p>
      <w:pPr>
        <w:pStyle w:val="24"/>
        <w:keepNext w:val="0"/>
        <w:keepLines w:val="0"/>
        <w:pageBreakBefore w:val="0"/>
        <w:widowControl w:val="0"/>
        <w:numPr>
          <w:ilvl w:val="1"/>
          <w:numId w:val="105"/>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使用伪造、变造的许可证件；</w:t>
      </w:r>
    </w:p>
    <w:p>
      <w:pPr>
        <w:pStyle w:val="24"/>
        <w:keepNext w:val="0"/>
        <w:keepLines w:val="0"/>
        <w:pageBreakBefore w:val="0"/>
        <w:widowControl w:val="0"/>
        <w:numPr>
          <w:ilvl w:val="1"/>
          <w:numId w:val="106"/>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提供虚假的财务状况或者业绩；</w:t>
      </w:r>
    </w:p>
    <w:p>
      <w:pPr>
        <w:pStyle w:val="24"/>
        <w:keepNext w:val="0"/>
        <w:keepLines w:val="0"/>
        <w:pageBreakBefore w:val="0"/>
        <w:widowControl w:val="0"/>
        <w:numPr>
          <w:ilvl w:val="1"/>
          <w:numId w:val="107"/>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提供虚假的项目负责人或者主要技术人员简历、劳动关系证明；</w:t>
      </w:r>
    </w:p>
    <w:p>
      <w:pPr>
        <w:pStyle w:val="24"/>
        <w:keepNext w:val="0"/>
        <w:keepLines w:val="0"/>
        <w:pageBreakBefore w:val="0"/>
        <w:widowControl w:val="0"/>
        <w:numPr>
          <w:ilvl w:val="1"/>
          <w:numId w:val="108"/>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提供虚假的信用状况；</w:t>
      </w:r>
    </w:p>
    <w:p>
      <w:pPr>
        <w:pStyle w:val="24"/>
        <w:keepNext w:val="0"/>
        <w:keepLines w:val="0"/>
        <w:pageBreakBefore w:val="0"/>
        <w:widowControl w:val="0"/>
        <w:numPr>
          <w:ilvl w:val="1"/>
          <w:numId w:val="109"/>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其他弄虚作假的行为；</w:t>
      </w:r>
    </w:p>
    <w:p>
      <w:pPr>
        <w:pStyle w:val="24"/>
        <w:keepNext w:val="0"/>
        <w:keepLines w:val="0"/>
        <w:pageBreakBefore w:val="0"/>
        <w:widowControl w:val="0"/>
        <w:numPr>
          <w:ilvl w:val="1"/>
          <w:numId w:val="110"/>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与采购人、其他供应商或者招标代理机构工作人员恶意串通的；</w:t>
      </w:r>
    </w:p>
    <w:p>
      <w:pPr>
        <w:pStyle w:val="24"/>
        <w:keepNext w:val="0"/>
        <w:keepLines w:val="0"/>
        <w:pageBreakBefore w:val="0"/>
        <w:widowControl w:val="0"/>
        <w:numPr>
          <w:ilvl w:val="1"/>
          <w:numId w:val="111"/>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向采购人、评审专家、招标代理机构工作人员行贿或者提供其他不正当</w:t>
      </w:r>
      <w:r>
        <w:rPr>
          <w:rFonts w:hint="eastAsia" w:ascii="宋体" w:hAnsi="宋体" w:eastAsia="宋体" w:cs="宋体"/>
          <w:color w:val="000000" w:themeColor="text1"/>
          <w14:textFill>
            <w14:solidFill>
              <w14:schemeClr w14:val="tx1"/>
            </w14:solidFill>
          </w14:textFill>
        </w:rPr>
        <w:t>利益的；</w:t>
      </w:r>
    </w:p>
    <w:p>
      <w:pPr>
        <w:pStyle w:val="24"/>
        <w:keepNext w:val="0"/>
        <w:keepLines w:val="0"/>
        <w:pageBreakBefore w:val="0"/>
        <w:widowControl w:val="0"/>
        <w:numPr>
          <w:ilvl w:val="1"/>
          <w:numId w:val="112"/>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有法律、法规规定的其他损害采购人利益和社会公共利益情形的；</w:t>
      </w:r>
    </w:p>
    <w:p>
      <w:pPr>
        <w:pStyle w:val="24"/>
        <w:keepNext w:val="0"/>
        <w:keepLines w:val="0"/>
        <w:pageBreakBefore w:val="0"/>
        <w:widowControl w:val="0"/>
        <w:numPr>
          <w:ilvl w:val="1"/>
          <w:numId w:val="113"/>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其他违反政府采购法律、法规和规章强制性规定的行为。</w:t>
      </w:r>
    </w:p>
    <w:p>
      <w:pPr>
        <w:pStyle w:val="24"/>
        <w:keepNext w:val="0"/>
        <w:keepLines w:val="0"/>
        <w:pageBreakBefore w:val="0"/>
        <w:widowControl w:val="0"/>
        <w:numPr>
          <w:ilvl w:val="1"/>
          <w:numId w:val="114"/>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中标通知书</w:t>
      </w:r>
    </w:p>
    <w:p>
      <w:pPr>
        <w:pStyle w:val="24"/>
        <w:keepNext w:val="0"/>
        <w:keepLines w:val="0"/>
        <w:pageBreakBefore w:val="0"/>
        <w:widowControl w:val="0"/>
        <w:numPr>
          <w:ilvl w:val="1"/>
          <w:numId w:val="115"/>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供应商确定后,招标代理机构将在刊登本次招标公告的媒体上发布中标公告，同时以书面形式向中标供应商发出中标通知书。中标供应商应委派专人凭介绍信或公司授权书（须携带身份证明）到我公司领取中标通知书。中标通知书对采购人和中标供应商具有同等法律效力。中标通知书发出以后，采购人改变中标结果或者中标供应商放弃中标，应当承担相应的法律责任。</w:t>
      </w:r>
    </w:p>
    <w:p>
      <w:pPr>
        <w:pStyle w:val="24"/>
        <w:keepNext w:val="0"/>
        <w:keepLines w:val="0"/>
        <w:pageBreakBefore w:val="0"/>
        <w:widowControl w:val="0"/>
        <w:numPr>
          <w:ilvl w:val="1"/>
          <w:numId w:val="116"/>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招标代理机构对未中标的投标供应商不做未中标原因的解释。</w:t>
      </w:r>
    </w:p>
    <w:p>
      <w:pPr>
        <w:pStyle w:val="24"/>
        <w:keepNext w:val="0"/>
        <w:keepLines w:val="0"/>
        <w:pageBreakBefore w:val="0"/>
        <w:widowControl w:val="0"/>
        <w:numPr>
          <w:ilvl w:val="1"/>
          <w:numId w:val="117"/>
        </w:numPr>
        <w:tabs>
          <w:tab w:val="left" w:pos="1539"/>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中标服务费</w:t>
      </w:r>
    </w:p>
    <w:p>
      <w:pPr>
        <w:pStyle w:val="24"/>
        <w:keepNext w:val="0"/>
        <w:keepLines w:val="0"/>
        <w:pageBreakBefore w:val="0"/>
        <w:widowControl w:val="0"/>
        <w:numPr>
          <w:ilvl w:val="1"/>
          <w:numId w:val="118"/>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在领取中标通知书时向招标代理机构一次性交纳中标服务费。中标服务费的收取采用差额定率累进计费方式，具体收费标准参照国家计委关于印发《招标代理服务费管理暂行办法》的通知（计价格[2002]1980 号）文件规定收取。</w:t>
      </w:r>
    </w:p>
    <w:p>
      <w:pPr>
        <w:pStyle w:val="24"/>
        <w:keepNext w:val="0"/>
        <w:keepLines w:val="0"/>
        <w:pageBreakBefore w:val="0"/>
        <w:widowControl w:val="0"/>
        <w:numPr>
          <w:ilvl w:val="1"/>
          <w:numId w:val="119"/>
        </w:numPr>
        <w:tabs>
          <w:tab w:val="left" w:pos="1506"/>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3"/>
          <w:sz w:val="24"/>
          <w14:textFill>
            <w14:solidFill>
              <w14:schemeClr w14:val="tx1"/>
            </w14:solidFill>
          </w14:textFill>
        </w:rPr>
        <w:t>投标供应商须知前附表约定收取定额中标服务费或免收中标服务费的，从其规定。</w:t>
      </w:r>
    </w:p>
    <w:p>
      <w:pPr>
        <w:pStyle w:val="24"/>
        <w:keepNext w:val="0"/>
        <w:keepLines w:val="0"/>
        <w:pageBreakBefore w:val="0"/>
        <w:widowControl w:val="0"/>
        <w:numPr>
          <w:ilvl w:val="1"/>
          <w:numId w:val="120"/>
        </w:numPr>
        <w:tabs>
          <w:tab w:val="left" w:pos="1506"/>
        </w:tabs>
        <w:kinsoku/>
        <w:wordWrap/>
        <w:overflowPunct/>
        <w:topLinePunct w:val="0"/>
        <w:autoSpaceDE w:val="0"/>
        <w:autoSpaceDN w:val="0"/>
        <w:bidi w:val="0"/>
        <w:adjustRightInd/>
        <w:snapToGrid/>
        <w:spacing w:line="480" w:lineRule="exact"/>
        <w:ind w:left="567" w:right="220" w:rightChars="100"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履约保证金</w:t>
      </w:r>
    </w:p>
    <w:p>
      <w:pPr>
        <w:pStyle w:val="24"/>
        <w:keepNext w:val="0"/>
        <w:keepLines w:val="0"/>
        <w:pageBreakBefore w:val="0"/>
        <w:widowControl w:val="0"/>
        <w:tabs>
          <w:tab w:val="left" w:pos="1506"/>
        </w:tabs>
        <w:kinsoku/>
        <w:wordWrap/>
        <w:overflowPunct/>
        <w:topLinePunct w:val="0"/>
        <w:autoSpaceDE w:val="0"/>
        <w:autoSpaceDN w:val="0"/>
        <w:bidi w:val="0"/>
        <w:adjustRightInd/>
        <w:snapToGrid/>
        <w:spacing w:line="480" w:lineRule="exact"/>
        <w:ind w:left="0" w:right="220" w:rightChars="10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具体以签订合同</w:t>
      </w:r>
      <w:r>
        <w:rPr>
          <w:rFonts w:hint="eastAsia" w:ascii="宋体" w:hAnsi="宋体" w:eastAsia="宋体" w:cs="宋体"/>
          <w:color w:val="000000" w:themeColor="text1"/>
          <w:sz w:val="24"/>
          <w:lang w:val="en-US"/>
          <w14:textFill>
            <w14:solidFill>
              <w14:schemeClr w14:val="tx1"/>
            </w14:solidFill>
          </w14:textFill>
        </w:rPr>
        <w:t>约定</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14:textFill>
            <w14:solidFill>
              <w14:schemeClr w14:val="tx1"/>
            </w14:solidFill>
          </w14:textFill>
        </w:rPr>
        <w:t>不得超过合同总价的10%</w:t>
      </w:r>
      <w:r>
        <w:rPr>
          <w:rFonts w:hint="eastAsia" w:ascii="宋体" w:hAnsi="宋体" w:eastAsia="宋体" w:cs="宋体"/>
          <w:color w:val="000000" w:themeColor="text1"/>
          <w:sz w:val="24"/>
          <w14:textFill>
            <w14:solidFill>
              <w14:schemeClr w14:val="tx1"/>
            </w14:solidFill>
          </w14:textFill>
        </w:rPr>
        <w:t>）。</w:t>
      </w:r>
    </w:p>
    <w:p>
      <w:pPr>
        <w:pStyle w:val="24"/>
        <w:keepNext w:val="0"/>
        <w:keepLines w:val="0"/>
        <w:pageBreakBefore w:val="0"/>
        <w:widowControl w:val="0"/>
        <w:numPr>
          <w:ilvl w:val="1"/>
          <w:numId w:val="121"/>
        </w:numPr>
        <w:tabs>
          <w:tab w:val="left" w:pos="1506"/>
        </w:tabs>
        <w:kinsoku/>
        <w:wordWrap/>
        <w:overflowPunct/>
        <w:topLinePunct w:val="0"/>
        <w:autoSpaceDE w:val="0"/>
        <w:autoSpaceDN w:val="0"/>
        <w:bidi w:val="0"/>
        <w:adjustRightInd/>
        <w:snapToGrid/>
        <w:spacing w:line="480" w:lineRule="exact"/>
        <w:ind w:left="567" w:right="220" w:rightChars="100"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签订合同</w:t>
      </w:r>
    </w:p>
    <w:p>
      <w:pPr>
        <w:pStyle w:val="24"/>
        <w:keepNext w:val="0"/>
        <w:keepLines w:val="0"/>
        <w:pageBreakBefore w:val="0"/>
        <w:widowControl w:val="0"/>
        <w:numPr>
          <w:ilvl w:val="1"/>
          <w:numId w:val="122"/>
        </w:numPr>
        <w:tabs>
          <w:tab w:val="left" w:pos="1506"/>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中标供应商应在中标通知书发出之日起三十日内与采购人签订合同。招标文件、中标供应商的投标文件及澄清文件等，均作为合同的附件。合同签订前中标供应商应向业主方出示履约保证金缴纳证明。</w:t>
      </w:r>
    </w:p>
    <w:p>
      <w:pPr>
        <w:pStyle w:val="24"/>
        <w:keepNext w:val="0"/>
        <w:keepLines w:val="0"/>
        <w:pageBreakBefore w:val="0"/>
        <w:widowControl w:val="0"/>
        <w:numPr>
          <w:ilvl w:val="1"/>
          <w:numId w:val="123"/>
        </w:numPr>
        <w:tabs>
          <w:tab w:val="left" w:pos="1575"/>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14:textFill>
            <w14:solidFill>
              <w14:schemeClr w14:val="tx1"/>
            </w14:solidFill>
          </w14:textFill>
        </w:rPr>
        <w:t>采购双方必须严格按照招标文件、投标文件及有关承诺签订采购合同，不得擅自变更。合同的标的、价款、质量、履行期限等主要条款应当与招标文件和中标供应商的投标文件的内容一致，采购人和中标供应商不得再行订立背离合同实质性内容的其他协议。对任何因双方擅自变更合同引起的问题招标代理机构概</w:t>
      </w:r>
      <w:r>
        <w:rPr>
          <w:rFonts w:hint="eastAsia" w:ascii="宋体" w:hAnsi="宋体" w:eastAsia="宋体" w:cs="宋体"/>
          <w:color w:val="000000" w:themeColor="text1"/>
          <w:spacing w:val="-3"/>
          <w:sz w:val="24"/>
          <w:szCs w:val="24"/>
          <w14:textFill>
            <w14:solidFill>
              <w14:schemeClr w14:val="tx1"/>
            </w14:solidFill>
          </w14:textFill>
        </w:rPr>
        <w:t>不负责，合同风险由双方自行承担。</w:t>
      </w:r>
    </w:p>
    <w:p>
      <w:pPr>
        <w:pStyle w:val="24"/>
        <w:keepNext w:val="0"/>
        <w:keepLines w:val="0"/>
        <w:pageBreakBefore w:val="0"/>
        <w:widowControl w:val="0"/>
        <w:numPr>
          <w:ilvl w:val="1"/>
          <w:numId w:val="124"/>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采购人保留以书面形式要求合同的卖方对其所投</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的装运方式、交货地点及服务细则等作适当调整的权利。</w:t>
      </w:r>
    </w:p>
    <w:p>
      <w:pPr>
        <w:pStyle w:val="24"/>
        <w:keepNext w:val="0"/>
        <w:keepLines w:val="0"/>
        <w:pageBreakBefore w:val="0"/>
        <w:widowControl w:val="0"/>
        <w:numPr>
          <w:ilvl w:val="1"/>
          <w:numId w:val="125"/>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论基于何种原因，各项本应作拒绝处理的情形即便未被及时发现而使该投标供应商进入评审或其它后续程序，包括已经签约的情形，一旦在任何时间被发现，招标代理机构均有权决定取消该投标供应商此前评议的结果或对该报价予以拒绝，并有权采取相应的补救或纠正措施。一旦该投标供应商被拒绝或被取消此前评议结果，其现有的位置将被其他投标供应商依序替代或重新组织采购，相关的一切损失均由该投标供应商自行承担。</w:t>
      </w:r>
    </w:p>
    <w:p>
      <w:pPr>
        <w:pStyle w:val="24"/>
        <w:keepNext w:val="0"/>
        <w:keepLines w:val="0"/>
        <w:pageBreakBefore w:val="0"/>
        <w:widowControl w:val="0"/>
        <w:numPr>
          <w:ilvl w:val="1"/>
          <w:numId w:val="126"/>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w:t>
      </w:r>
    </w:p>
    <w:p>
      <w:pPr>
        <w:pStyle w:val="24"/>
        <w:keepNext w:val="0"/>
        <w:keepLines w:val="0"/>
        <w:pageBreakBefore w:val="0"/>
        <w:widowControl w:val="0"/>
        <w:numPr>
          <w:ilvl w:val="1"/>
          <w:numId w:val="127"/>
        </w:numPr>
        <w:tabs>
          <w:tab w:val="left" w:pos="1506"/>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采购人为政府采购项目履约验收的责任主体，负责政府采购项目的履约验收工作。</w:t>
      </w:r>
      <w:r>
        <w:rPr>
          <w:rFonts w:hint="eastAsia" w:ascii="宋体" w:hAnsi="宋体" w:eastAsia="宋体" w:cs="宋体"/>
          <w:color w:val="000000" w:themeColor="text1"/>
          <w:sz w:val="24"/>
          <w:szCs w:val="24"/>
          <w14:textFill>
            <w14:solidFill>
              <w14:schemeClr w14:val="tx1"/>
            </w14:solidFill>
          </w14:textFill>
        </w:rPr>
        <w:t>采购人与中标供应商应当根据合同法的约定依法履行合同义务。采购合同的履行、违约责任和解决争议的方式等适用《中华人民共和国合同法》。 采购人应当加强对中标供应商的履约管理，并按照采购合同约定，及时向中标供应商支付采购资金。对于中标供应商违反采购合同约定的行为，采购人应该及时处理，依法追究其违约责任。</w:t>
      </w:r>
    </w:p>
    <w:p>
      <w:pPr>
        <w:pStyle w:val="24"/>
        <w:keepNext w:val="0"/>
        <w:keepLines w:val="0"/>
        <w:pageBreakBefore w:val="0"/>
        <w:widowControl w:val="0"/>
        <w:numPr>
          <w:ilvl w:val="1"/>
          <w:numId w:val="128"/>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志书的验收，在清样完成后，由新疆维吾尔自治区地方志编纂委员经过专业评审通过</w:t>
      </w:r>
      <w:r>
        <w:rPr>
          <w:rFonts w:hint="eastAsia" w:ascii="宋体" w:hAnsi="宋体" w:eastAsia="宋体" w:cs="宋体"/>
          <w:color w:val="000000" w:themeColor="text1"/>
          <w:sz w:val="24"/>
          <w:szCs w:val="24"/>
          <w:lang w:val="en-US"/>
          <w14:textFill>
            <w14:solidFill>
              <w14:schemeClr w14:val="tx1"/>
            </w14:solidFill>
          </w14:textFill>
        </w:rPr>
        <w:t>验收</w:t>
      </w:r>
      <w:r>
        <w:rPr>
          <w:rFonts w:hint="eastAsia" w:ascii="宋体" w:hAnsi="宋体" w:eastAsia="宋体" w:cs="宋体"/>
          <w:color w:val="000000" w:themeColor="text1"/>
          <w:sz w:val="24"/>
          <w:szCs w:val="24"/>
          <w14:textFill>
            <w14:solidFill>
              <w14:schemeClr w14:val="tx1"/>
            </w14:solidFill>
          </w14:textFill>
        </w:rPr>
        <w:t>。待书籍出版前是由新闻出版局来完成三校一通读，出具合格验收报告才可发放刊号印刷。</w:t>
      </w:r>
    </w:p>
    <w:p>
      <w:pPr>
        <w:pStyle w:val="24"/>
        <w:keepNext w:val="0"/>
        <w:keepLines w:val="0"/>
        <w:pageBreakBefore w:val="0"/>
        <w:widowControl w:val="0"/>
        <w:numPr>
          <w:ilvl w:val="1"/>
          <w:numId w:val="129"/>
        </w:numPr>
        <w:tabs>
          <w:tab w:val="left" w:pos="1539"/>
        </w:tabs>
        <w:kinsoku/>
        <w:wordWrap/>
        <w:overflowPunct/>
        <w:topLinePunct w:val="0"/>
        <w:autoSpaceDE w:val="0"/>
        <w:autoSpaceDN w:val="0"/>
        <w:bidi w:val="0"/>
        <w:adjustRightInd/>
        <w:snapToGrid/>
        <w:spacing w:line="480" w:lineRule="exact"/>
        <w:ind w:left="567" w:right="220" w:rightChars="100"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w:t>
      </w:r>
    </w:p>
    <w:p>
      <w:pPr>
        <w:pStyle w:val="24"/>
        <w:keepNext w:val="0"/>
        <w:keepLines w:val="0"/>
        <w:pageBreakBefore w:val="0"/>
        <w:widowControl w:val="0"/>
        <w:numPr>
          <w:ilvl w:val="1"/>
          <w:numId w:val="130"/>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质疑人认为招标文件、采购过程、中标结果使自己的权益受到损害的，可以在知</w:t>
      </w:r>
      <w:r>
        <w:rPr>
          <w:rFonts w:hint="eastAsia" w:ascii="宋体" w:hAnsi="宋体" w:eastAsia="宋体" w:cs="宋体"/>
          <w:color w:val="000000" w:themeColor="text1"/>
          <w:spacing w:val="-3"/>
          <w:sz w:val="24"/>
          <w:szCs w:val="24"/>
          <w14:textFill>
            <w14:solidFill>
              <w14:schemeClr w14:val="tx1"/>
            </w14:solidFill>
          </w14:textFill>
        </w:rPr>
        <w:t>道或者应知其权益受到损害之日起即</w:t>
      </w:r>
      <w:r>
        <w:rPr>
          <w:rFonts w:hint="eastAsia" w:ascii="宋体" w:hAnsi="宋体" w:eastAsia="宋体" w:cs="宋体"/>
          <w:color w:val="000000" w:themeColor="text1"/>
          <w:sz w:val="24"/>
          <w:szCs w:val="24"/>
          <w14:textFill>
            <w14:solidFill>
              <w14:schemeClr w14:val="tx1"/>
            </w14:solidFill>
          </w14:textFill>
        </w:rPr>
        <w:t>法定质疑期内，向采购人、招标代理机构提出质</w:t>
      </w:r>
      <w:r>
        <w:rPr>
          <w:rFonts w:hint="eastAsia" w:ascii="宋体" w:hAnsi="宋体" w:eastAsia="宋体" w:cs="宋体"/>
          <w:color w:val="000000" w:themeColor="text1"/>
          <w:spacing w:val="-6"/>
          <w:sz w:val="24"/>
          <w:szCs w:val="24"/>
          <w14:textFill>
            <w14:solidFill>
              <w14:schemeClr w14:val="tx1"/>
            </w14:solidFill>
          </w14:textFill>
        </w:rPr>
        <w:t>疑。质疑材料递交方式：书面形式。</w:t>
      </w:r>
    </w:p>
    <w:p>
      <w:pPr>
        <w:pStyle w:val="24"/>
        <w:keepNext w:val="0"/>
        <w:keepLines w:val="0"/>
        <w:pageBreakBefore w:val="0"/>
        <w:widowControl w:val="0"/>
        <w:numPr>
          <w:ilvl w:val="1"/>
          <w:numId w:val="131"/>
        </w:numPr>
        <w:tabs>
          <w:tab w:val="left" w:pos="1539"/>
        </w:tabs>
        <w:kinsoku/>
        <w:wordWrap/>
        <w:overflowPunct/>
        <w:topLinePunct w:val="0"/>
        <w:autoSpaceDE w:val="0"/>
        <w:autoSpaceDN w:val="0"/>
        <w:bidi w:val="0"/>
        <w:adjustRightInd/>
        <w:snapToGrid/>
        <w:spacing w:before="8"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质疑实行实名制，应当有具体的事项及根据，不得进行虚假、恶意质疑，扰乱公共资源交易活动的正常工作秩序。</w:t>
      </w:r>
    </w:p>
    <w:p>
      <w:pPr>
        <w:pStyle w:val="24"/>
        <w:keepNext w:val="0"/>
        <w:keepLines w:val="0"/>
        <w:pageBreakBefore w:val="0"/>
        <w:widowControl w:val="0"/>
        <w:numPr>
          <w:ilvl w:val="1"/>
          <w:numId w:val="132"/>
        </w:numPr>
        <w:tabs>
          <w:tab w:val="left" w:pos="1539"/>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质疑人对招标文件、采购过程、中标结果的质疑，应当在法定质疑期内一次性提出针对同一采购程序环节的质疑。 </w:t>
      </w:r>
    </w:p>
    <w:p>
      <w:pPr>
        <w:pStyle w:val="24"/>
        <w:keepNext w:val="0"/>
        <w:keepLines w:val="0"/>
        <w:pageBreakBefore w:val="0"/>
        <w:widowControl w:val="0"/>
        <w:numPr>
          <w:ilvl w:val="1"/>
          <w:numId w:val="133"/>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质疑应以书面形式实名提出，书面质疑材料应当包括以下内容：</w:t>
      </w:r>
    </w:p>
    <w:p>
      <w:pPr>
        <w:pStyle w:val="24"/>
        <w:keepNext w:val="0"/>
        <w:keepLines w:val="0"/>
        <w:pageBreakBefore w:val="0"/>
        <w:widowControl w:val="0"/>
        <w:numPr>
          <w:ilvl w:val="1"/>
          <w:numId w:val="134"/>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质疑人的姓名或者名称、地址、邮编、联系人及联系电话； </w:t>
      </w:r>
    </w:p>
    <w:p>
      <w:pPr>
        <w:pStyle w:val="24"/>
        <w:keepNext w:val="0"/>
        <w:keepLines w:val="0"/>
        <w:pageBreakBefore w:val="0"/>
        <w:widowControl w:val="0"/>
        <w:numPr>
          <w:ilvl w:val="1"/>
          <w:numId w:val="135"/>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质疑项目的名称、编号，包别号（如有）；</w:t>
      </w:r>
    </w:p>
    <w:p>
      <w:pPr>
        <w:pStyle w:val="24"/>
        <w:keepNext w:val="0"/>
        <w:keepLines w:val="0"/>
        <w:pageBreakBefore w:val="0"/>
        <w:widowControl w:val="0"/>
        <w:numPr>
          <w:ilvl w:val="1"/>
          <w:numId w:val="136"/>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具体、明确的质疑事项和与质疑事项相关的请求；</w:t>
      </w:r>
    </w:p>
    <w:p>
      <w:pPr>
        <w:pStyle w:val="24"/>
        <w:keepNext w:val="0"/>
        <w:keepLines w:val="0"/>
        <w:pageBreakBefore w:val="0"/>
        <w:widowControl w:val="0"/>
        <w:numPr>
          <w:ilvl w:val="1"/>
          <w:numId w:val="137"/>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事实依据；</w:t>
      </w:r>
    </w:p>
    <w:p>
      <w:pPr>
        <w:pStyle w:val="24"/>
        <w:keepNext w:val="0"/>
        <w:keepLines w:val="0"/>
        <w:pageBreakBefore w:val="0"/>
        <w:widowControl w:val="0"/>
        <w:numPr>
          <w:ilvl w:val="1"/>
          <w:numId w:val="138"/>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必要的法律依据；</w:t>
      </w:r>
    </w:p>
    <w:p>
      <w:pPr>
        <w:pStyle w:val="24"/>
        <w:keepNext w:val="0"/>
        <w:keepLines w:val="0"/>
        <w:pageBreakBefore w:val="0"/>
        <w:widowControl w:val="0"/>
        <w:numPr>
          <w:ilvl w:val="1"/>
          <w:numId w:val="139"/>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提出质疑的日期。</w:t>
      </w:r>
    </w:p>
    <w:p>
      <w:pPr>
        <w:pStyle w:val="24"/>
        <w:keepNext w:val="0"/>
        <w:keepLines w:val="0"/>
        <w:pageBreakBefore w:val="0"/>
        <w:widowControl w:val="0"/>
        <w:numPr>
          <w:ilvl w:val="1"/>
          <w:numId w:val="140"/>
        </w:numPr>
        <w:tabs>
          <w:tab w:val="left" w:pos="1515"/>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质疑人为自然人的，应当由本人签字；质疑人为法人或者其他组织的，应当由法定代表人、主要负责人，或者其授权代表签字或者盖章，并加盖公章。</w:t>
      </w:r>
    </w:p>
    <w:p>
      <w:pPr>
        <w:pStyle w:val="24"/>
        <w:keepNext w:val="0"/>
        <w:keepLines w:val="0"/>
        <w:pageBreakBefore w:val="0"/>
        <w:widowControl w:val="0"/>
        <w:numPr>
          <w:ilvl w:val="1"/>
          <w:numId w:val="141"/>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有下列情形之一的，不予受理：</w:t>
      </w:r>
    </w:p>
    <w:p>
      <w:pPr>
        <w:pStyle w:val="24"/>
        <w:keepNext w:val="0"/>
        <w:keepLines w:val="0"/>
        <w:pageBreakBefore w:val="0"/>
        <w:widowControl w:val="0"/>
        <w:numPr>
          <w:ilvl w:val="1"/>
          <w:numId w:val="142"/>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提起质疑的主体不是参与该政府采购项目活动的供应商；</w:t>
      </w:r>
    </w:p>
    <w:p>
      <w:pPr>
        <w:pStyle w:val="24"/>
        <w:keepNext w:val="0"/>
        <w:keepLines w:val="0"/>
        <w:pageBreakBefore w:val="0"/>
        <w:widowControl w:val="0"/>
        <w:numPr>
          <w:ilvl w:val="1"/>
          <w:numId w:val="143"/>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提起质疑的时间超过规定时限的；</w:t>
      </w:r>
    </w:p>
    <w:p>
      <w:pPr>
        <w:pStyle w:val="24"/>
        <w:keepNext w:val="0"/>
        <w:keepLines w:val="0"/>
        <w:pageBreakBefore w:val="0"/>
        <w:widowControl w:val="0"/>
        <w:numPr>
          <w:ilvl w:val="1"/>
          <w:numId w:val="144"/>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质疑材料不完整的；</w:t>
      </w:r>
    </w:p>
    <w:p>
      <w:pPr>
        <w:pStyle w:val="24"/>
        <w:keepNext w:val="0"/>
        <w:keepLines w:val="0"/>
        <w:pageBreakBefore w:val="0"/>
        <w:widowControl w:val="0"/>
        <w:numPr>
          <w:ilvl w:val="1"/>
          <w:numId w:val="145"/>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质疑事项含有主观猜测等内容且未提供有效线索、难以查证的；</w:t>
      </w:r>
    </w:p>
    <w:p>
      <w:pPr>
        <w:pStyle w:val="24"/>
        <w:keepNext w:val="0"/>
        <w:keepLines w:val="0"/>
        <w:pageBreakBefore w:val="0"/>
        <w:widowControl w:val="0"/>
        <w:numPr>
          <w:ilvl w:val="1"/>
          <w:numId w:val="146"/>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对其他投标供应商的投标文件详细内容质疑，无法提供合法来源渠道的；</w:t>
      </w:r>
    </w:p>
    <w:p>
      <w:pPr>
        <w:pStyle w:val="24"/>
        <w:keepNext w:val="0"/>
        <w:keepLines w:val="0"/>
        <w:pageBreakBefore w:val="0"/>
        <w:widowControl w:val="0"/>
        <w:numPr>
          <w:ilvl w:val="1"/>
          <w:numId w:val="147"/>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质疑事项已进入投诉处理、行政复议或行政诉讼程序的。</w:t>
      </w:r>
    </w:p>
    <w:p>
      <w:pPr>
        <w:pStyle w:val="24"/>
        <w:keepNext w:val="0"/>
        <w:keepLines w:val="0"/>
        <w:pageBreakBefore w:val="0"/>
        <w:widowControl w:val="0"/>
        <w:numPr>
          <w:ilvl w:val="1"/>
          <w:numId w:val="148"/>
        </w:numPr>
        <w:tabs>
          <w:tab w:val="left" w:pos="1515"/>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经审查符合质疑条件的，自收到质疑之日起即为受理。招标代理机构将在</w:t>
      </w:r>
      <w:r>
        <w:rPr>
          <w:rFonts w:hint="eastAsia" w:ascii="宋体" w:hAnsi="宋体" w:eastAsia="宋体" w:cs="宋体"/>
          <w:color w:val="000000" w:themeColor="text1"/>
          <w:spacing w:val="-9"/>
          <w:sz w:val="24"/>
          <w14:textFill>
            <w14:solidFill>
              <w14:schemeClr w14:val="tx1"/>
            </w14:solidFill>
          </w14:textFill>
        </w:rPr>
        <w:t>质疑受理后</w:t>
      </w:r>
      <w:r>
        <w:rPr>
          <w:rFonts w:hint="eastAsia"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spacing w:val="-2"/>
          <w:sz w:val="24"/>
          <w14:textFill>
            <w14:solidFill>
              <w14:schemeClr w14:val="tx1"/>
            </w14:solidFill>
          </w14:textFill>
        </w:rPr>
        <w:t>个工作日内作出答复或相关处理决定</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pacing w:val="-8"/>
          <w:sz w:val="24"/>
          <w14:textFill>
            <w14:solidFill>
              <w14:schemeClr w14:val="tx1"/>
            </w14:solidFill>
          </w14:textFill>
        </w:rPr>
        <w:t>需要检验、检测、鉴定、专家评审的，所需时间不计算在内），并以书面形式通知质疑人，答复的内容不得涉及商业秘密。</w:t>
      </w:r>
    </w:p>
    <w:p>
      <w:pPr>
        <w:pStyle w:val="24"/>
        <w:keepNext w:val="0"/>
        <w:keepLines w:val="0"/>
        <w:pageBreakBefore w:val="0"/>
        <w:widowControl w:val="0"/>
        <w:numPr>
          <w:ilvl w:val="1"/>
          <w:numId w:val="149"/>
        </w:numPr>
        <w:tabs>
          <w:tab w:val="left" w:pos="1515"/>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质疑人在答复期满前撤回质疑的，应由法定代表人或授权代表人签字确认</w:t>
      </w:r>
      <w:r>
        <w:rPr>
          <w:rFonts w:hint="eastAsia" w:ascii="宋体" w:hAnsi="宋体" w:eastAsia="宋体" w:cs="宋体"/>
          <w:color w:val="000000" w:themeColor="text1"/>
          <w:sz w:val="24"/>
          <w:szCs w:val="24"/>
          <w14:textFill>
            <w14:solidFill>
              <w14:schemeClr w14:val="tx1"/>
            </w14:solidFill>
          </w14:textFill>
        </w:rPr>
        <w:t>，招标代理机构即终止质疑处理程序。质疑人不得以同一理由再次提出质疑。</w:t>
      </w:r>
    </w:p>
    <w:p>
      <w:pPr>
        <w:pStyle w:val="24"/>
        <w:keepNext w:val="0"/>
        <w:keepLines w:val="0"/>
        <w:pageBreakBefore w:val="0"/>
        <w:widowControl w:val="0"/>
        <w:numPr>
          <w:ilvl w:val="1"/>
          <w:numId w:val="150"/>
        </w:numPr>
        <w:tabs>
          <w:tab w:val="left" w:pos="1515"/>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质疑人对质疑答复不满意或招标代理机构未在规定时间内做出答复的，可以在规定期限内向监督管理部门提起投诉。质疑人应在答复期满后十五个工作日内提起投诉。</w:t>
      </w:r>
    </w:p>
    <w:p>
      <w:pPr>
        <w:pStyle w:val="24"/>
        <w:keepNext w:val="0"/>
        <w:keepLines w:val="0"/>
        <w:pageBreakBefore w:val="0"/>
        <w:widowControl w:val="0"/>
        <w:numPr>
          <w:ilvl w:val="1"/>
          <w:numId w:val="151"/>
        </w:numPr>
        <w:tabs>
          <w:tab w:val="left" w:pos="1515"/>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质疑人有下列情形之一的，属于虚假、恶意质疑，招标代理机构将报监督管理部门予以处理。</w:t>
      </w:r>
    </w:p>
    <w:p>
      <w:pPr>
        <w:pStyle w:val="24"/>
        <w:keepNext w:val="0"/>
        <w:keepLines w:val="0"/>
        <w:pageBreakBefore w:val="0"/>
        <w:widowControl w:val="0"/>
        <w:numPr>
          <w:ilvl w:val="1"/>
          <w:numId w:val="152"/>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一年内三次以上质疑均查无实据的；</w:t>
      </w:r>
    </w:p>
    <w:p>
      <w:pPr>
        <w:pStyle w:val="24"/>
        <w:keepNext w:val="0"/>
        <w:keepLines w:val="0"/>
        <w:pageBreakBefore w:val="0"/>
        <w:widowControl w:val="0"/>
        <w:numPr>
          <w:ilvl w:val="1"/>
          <w:numId w:val="153"/>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捏造事实；</w:t>
      </w:r>
    </w:p>
    <w:p>
      <w:pPr>
        <w:pStyle w:val="24"/>
        <w:keepNext w:val="0"/>
        <w:keepLines w:val="0"/>
        <w:pageBreakBefore w:val="0"/>
        <w:widowControl w:val="0"/>
        <w:numPr>
          <w:ilvl w:val="1"/>
          <w:numId w:val="154"/>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提供虚假材料；</w:t>
      </w:r>
    </w:p>
    <w:p>
      <w:pPr>
        <w:pStyle w:val="24"/>
        <w:keepNext w:val="0"/>
        <w:keepLines w:val="0"/>
        <w:pageBreakBefore w:val="0"/>
        <w:widowControl w:val="0"/>
        <w:numPr>
          <w:ilvl w:val="1"/>
          <w:numId w:val="155"/>
        </w:numPr>
        <w:tabs>
          <w:tab w:val="left" w:pos="1515"/>
        </w:tabs>
        <w:kinsoku/>
        <w:wordWrap/>
        <w:overflowPunct/>
        <w:topLinePunct w:val="0"/>
        <w:autoSpaceDE w:val="0"/>
        <w:autoSpaceDN w:val="0"/>
        <w:bidi w:val="0"/>
        <w:adjustRightInd/>
        <w:snapToGrid/>
        <w:spacing w:line="480" w:lineRule="exact"/>
        <w:ind w:left="567" w:right="567" w:firstLine="47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14:textFill>
            <w14:solidFill>
              <w14:schemeClr w14:val="tx1"/>
            </w14:solidFill>
          </w14:textFill>
        </w:rPr>
        <w:t>以非法手段取得证明材料。证据来源的合法性存在明显疑问，投诉人无法</w:t>
      </w:r>
      <w:r>
        <w:rPr>
          <w:rFonts w:hint="eastAsia" w:ascii="宋体" w:hAnsi="宋体" w:eastAsia="宋体" w:cs="宋体"/>
          <w:color w:val="000000" w:themeColor="text1"/>
          <w:spacing w:val="-2"/>
          <w:sz w:val="24"/>
          <w:szCs w:val="24"/>
          <w14:textFill>
            <w14:solidFill>
              <w14:schemeClr w14:val="tx1"/>
            </w14:solidFill>
          </w14:textFill>
        </w:rPr>
        <w:t>证明其取得方式合法的，视为以非法手段取得证明材料。</w:t>
      </w:r>
    </w:p>
    <w:p>
      <w:pPr>
        <w:pStyle w:val="24"/>
        <w:keepNext w:val="0"/>
        <w:keepLines w:val="0"/>
        <w:pageBreakBefore w:val="0"/>
        <w:widowControl w:val="0"/>
        <w:numPr>
          <w:ilvl w:val="1"/>
          <w:numId w:val="156"/>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未尽事宜</w:t>
      </w:r>
    </w:p>
    <w:p>
      <w:pPr>
        <w:pStyle w:val="24"/>
        <w:keepNext w:val="0"/>
        <w:keepLines w:val="0"/>
        <w:pageBreakBefore w:val="0"/>
        <w:widowControl w:val="0"/>
        <w:numPr>
          <w:ilvl w:val="1"/>
          <w:numId w:val="157"/>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w w:val="105"/>
          <w:sz w:val="24"/>
          <w:szCs w:val="24"/>
          <w14:textFill>
            <w14:solidFill>
              <w14:schemeClr w14:val="tx1"/>
            </w14:solidFill>
          </w14:textFill>
        </w:rPr>
        <w:t>按政府采购法律法规的规定执行。</w:t>
      </w:r>
    </w:p>
    <w:p>
      <w:pPr>
        <w:pStyle w:val="24"/>
        <w:keepNext w:val="0"/>
        <w:keepLines w:val="0"/>
        <w:pageBreakBefore w:val="0"/>
        <w:widowControl w:val="0"/>
        <w:numPr>
          <w:ilvl w:val="1"/>
          <w:numId w:val="158"/>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解释权</w:t>
      </w:r>
    </w:p>
    <w:p>
      <w:pPr>
        <w:pStyle w:val="24"/>
        <w:keepNext w:val="0"/>
        <w:keepLines w:val="0"/>
        <w:pageBreakBefore w:val="0"/>
        <w:widowControl w:val="0"/>
        <w:numPr>
          <w:ilvl w:val="1"/>
          <w:numId w:val="159"/>
        </w:numPr>
        <w:tabs>
          <w:tab w:val="left" w:pos="1515"/>
        </w:tabs>
        <w:kinsoku/>
        <w:wordWrap/>
        <w:overflowPunct/>
        <w:topLinePunct w:val="0"/>
        <w:autoSpaceDE w:val="0"/>
        <w:autoSpaceDN w:val="0"/>
        <w:bidi w:val="0"/>
        <w:adjustRightInd/>
        <w:snapToGrid/>
        <w:spacing w:line="480" w:lineRule="exact"/>
        <w:ind w:left="567" w:right="567" w:firstLine="4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本招标文件的解释权属于</w:t>
      </w:r>
      <w:r>
        <w:rPr>
          <w:rFonts w:hint="eastAsia" w:ascii="宋体" w:hAnsi="宋体" w:eastAsia="宋体" w:cs="宋体"/>
          <w:color w:val="000000" w:themeColor="text1"/>
          <w:sz w:val="24"/>
          <w:szCs w:val="24"/>
          <w:lang w:eastAsia="zh-CN"/>
          <w14:textFill>
            <w14:solidFill>
              <w14:schemeClr w14:val="tx1"/>
            </w14:solidFill>
          </w14:textFill>
        </w:rPr>
        <w:t>哈密丰远造价咨询有限责任公司</w:t>
      </w:r>
      <w:r>
        <w:rPr>
          <w:rFonts w:hint="eastAsia" w:ascii="宋体" w:hAnsi="宋体" w:eastAsia="宋体" w:cs="宋体"/>
          <w:color w:val="000000" w:themeColor="text1"/>
          <w:sz w:val="24"/>
          <w:szCs w:val="24"/>
          <w14:textFill>
            <w14:solidFill>
              <w14:schemeClr w14:val="tx1"/>
            </w14:solidFill>
          </w14:textFill>
        </w:rPr>
        <w:t>。</w:t>
      </w:r>
    </w:p>
    <w:p>
      <w:pPr>
        <w:pStyle w:val="24"/>
        <w:widowControl w:val="0"/>
        <w:numPr>
          <w:ilvl w:val="0"/>
          <w:numId w:val="0"/>
        </w:numPr>
        <w:tabs>
          <w:tab w:val="left" w:pos="1515"/>
        </w:tabs>
        <w:autoSpaceDE w:val="0"/>
        <w:autoSpaceDN w:val="0"/>
        <w:spacing w:line="360" w:lineRule="auto"/>
        <w:ind w:right="567" w:rightChars="0"/>
        <w:rPr>
          <w:rFonts w:hint="eastAsia" w:ascii="宋体" w:hAnsi="宋体" w:eastAsia="宋体" w:cs="宋体"/>
          <w:color w:val="000000" w:themeColor="text1"/>
          <w:sz w:val="24"/>
          <w:szCs w:val="24"/>
          <w14:textFill>
            <w14:solidFill>
              <w14:schemeClr w14:val="tx1"/>
            </w14:solidFill>
          </w14:textFill>
        </w:rPr>
      </w:pPr>
    </w:p>
    <w:p>
      <w:pPr>
        <w:pStyle w:val="24"/>
        <w:widowControl w:val="0"/>
        <w:numPr>
          <w:ilvl w:val="0"/>
          <w:numId w:val="0"/>
        </w:numPr>
        <w:tabs>
          <w:tab w:val="left" w:pos="1515"/>
        </w:tabs>
        <w:autoSpaceDE w:val="0"/>
        <w:autoSpaceDN w:val="0"/>
        <w:spacing w:line="360" w:lineRule="auto"/>
        <w:ind w:right="567" w:rightChars="0"/>
        <w:rPr>
          <w:rFonts w:hint="eastAsia" w:ascii="宋体" w:hAnsi="宋体" w:eastAsia="宋体" w:cs="宋体"/>
          <w:color w:val="000000" w:themeColor="text1"/>
          <w:sz w:val="24"/>
          <w:szCs w:val="24"/>
          <w14:textFill>
            <w14:solidFill>
              <w14:schemeClr w14:val="tx1"/>
            </w14:solidFill>
          </w14:textFill>
        </w:rPr>
      </w:pPr>
    </w:p>
    <w:p>
      <w:pPr>
        <w:pStyle w:val="5"/>
        <w:spacing w:line="511" w:lineRule="exact"/>
        <w:ind w:right="82"/>
        <w:jc w:val="center"/>
        <w:rPr>
          <w:rFonts w:hint="eastAsia" w:ascii="宋体" w:hAnsi="宋体" w:eastAsia="宋体" w:cs="宋体"/>
          <w:b/>
          <w:color w:val="000000" w:themeColor="text1"/>
          <w14:textFill>
            <w14:solidFill>
              <w14:schemeClr w14:val="tx1"/>
            </w14:solidFill>
          </w14:textFill>
        </w:rPr>
      </w:pPr>
      <w:bookmarkStart w:id="55" w:name="_Toc2311"/>
      <w:r>
        <w:rPr>
          <w:rFonts w:hint="eastAsia" w:ascii="宋体" w:hAnsi="宋体" w:eastAsia="宋体" w:cs="宋体"/>
          <w:b/>
          <w:color w:val="000000" w:themeColor="text1"/>
          <w14:textFill>
            <w14:solidFill>
              <w14:schemeClr w14:val="tx1"/>
            </w14:solidFill>
          </w14:textFill>
        </w:rPr>
        <w:t>第四章 评标办法</w:t>
      </w:r>
      <w:bookmarkEnd w:id="55"/>
    </w:p>
    <w:p>
      <w:pPr>
        <w:pStyle w:val="5"/>
        <w:spacing w:line="511" w:lineRule="exact"/>
        <w:ind w:right="82"/>
        <w:jc w:val="center"/>
        <w:rPr>
          <w:rFonts w:hint="eastAsia" w:ascii="宋体" w:hAnsi="宋体" w:eastAsia="宋体" w:cs="宋体"/>
          <w:b/>
          <w:color w:val="000000" w:themeColor="text1"/>
          <w14:textFill>
            <w14:solidFill>
              <w14:schemeClr w14:val="tx1"/>
            </w14:solidFill>
          </w14:textFill>
        </w:rPr>
      </w:pPr>
    </w:p>
    <w:p>
      <w:pPr>
        <w:pStyle w:val="3"/>
        <w:tabs>
          <w:tab w:val="left" w:pos="967"/>
          <w:tab w:val="left" w:pos="1447"/>
        </w:tabs>
        <w:spacing w:before="37" w:line="360" w:lineRule="auto"/>
        <w:ind w:left="0" w:right="336"/>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总</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则</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第一条 为了做好</w:t>
      </w:r>
      <w:r>
        <w:rPr>
          <w:rFonts w:hint="eastAsia" w:ascii="宋体" w:hAnsi="宋体" w:eastAsia="宋体" w:cs="宋体"/>
          <w:b/>
          <w:bCs/>
          <w:u w:val="single"/>
          <w:lang w:eastAsia="zh-CN"/>
        </w:rPr>
        <w:t>“中华民族共同体历史哈密史证研究”项目</w:t>
      </w:r>
      <w:r>
        <w:rPr>
          <w:rFonts w:hint="eastAsia" w:ascii="宋体" w:hAnsi="宋体" w:eastAsia="宋体" w:cs="宋体"/>
          <w:color w:val="000000" w:themeColor="text1"/>
          <w14:textFill>
            <w14:solidFill>
              <w14:schemeClr w14:val="tx1"/>
            </w14:solidFill>
          </w14:textFill>
        </w:rPr>
        <w:t>的招标评标工作，保证项目评审工作的正常有序进行，维护采购人、投标供应商的合法权益，依据政府采购法律法规，本着公开、公平、公正的原则，制定本评标办法。</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第二条 本项目评标办法采用综合评分法。</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第三条 本项目将依法组建不少于</w:t>
      </w:r>
      <w:r>
        <w:rPr>
          <w:rFonts w:hint="eastAsia" w:ascii="宋体" w:hAnsi="宋体" w:eastAsia="宋体" w:cs="宋体"/>
          <w:u w:val="single"/>
        </w:rPr>
        <w:t xml:space="preserve"> 5 人组成</w:t>
      </w:r>
      <w:r>
        <w:rPr>
          <w:rFonts w:hint="eastAsia" w:ascii="宋体" w:hAnsi="宋体" w:eastAsia="宋体" w:cs="宋体"/>
          <w:color w:val="000000" w:themeColor="text1"/>
          <w14:textFill>
            <w14:solidFill>
              <w14:schemeClr w14:val="tx1"/>
            </w14:solidFill>
          </w14:textFill>
        </w:rPr>
        <w:t>的评标委员会，负责本项目的评标工作。</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第四条 评标委员会按照“公平、公正、科学、择优”的原则，评价参加本次招标的投标供应商所提供的产品价格、质量、服务及其投标文件的符合性及响应性。</w:t>
      </w:r>
    </w:p>
    <w:p>
      <w:pPr>
        <w:pStyle w:val="3"/>
        <w:spacing w:before="7" w:line="360" w:lineRule="auto"/>
        <w:ind w:left="567" w:right="567" w:firstLine="471"/>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二．评标程序及评审细则</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第五条 评标工作于开标后进行。评标委员会应认真研究招标文件，至少应了解和熟悉以下内容：</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（一）招标的目的；</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（二）招标项目的范围和性质；</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（三）招标文件中规定的主要技术要求、标准和商务条款；</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（四）招标文件规定的评标标准、评标方法和在评标过程中考虑的相关因素。第六条 有效投标应符合以下原则：</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（一）满足招标文件的实质性要求；</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（二）无重大偏离、保留或采购人不能接受的附加条件；</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（三）通过投标有效性评审；</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（四）评标委员会依据招标文件认定的其他原则。</w:t>
      </w:r>
    </w:p>
    <w:p>
      <w:pPr>
        <w:pStyle w:val="3"/>
        <w:spacing w:before="7" w:line="360" w:lineRule="auto"/>
        <w:ind w:left="567" w:right="567" w:firstLine="471"/>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第七条 评标委员会遵循公开、公平、公正和科学诚信的原则，按照招标文件规定的评标办法对投标文件采用相同程序和标准独立进行评定。</w:t>
      </w:r>
    </w:p>
    <w:p>
      <w:pPr>
        <w:pStyle w:val="3"/>
        <w:spacing w:before="7" w:line="360" w:lineRule="auto"/>
        <w:ind w:left="567" w:right="567" w:firstLine="471"/>
        <w:jc w:val="both"/>
        <w:rPr>
          <w:rFonts w:hint="eastAsia" w:ascii="宋体" w:hAnsi="宋体" w:eastAsia="宋体" w:cs="宋体"/>
          <w:color w:val="000000" w:themeColor="text1"/>
          <w:lang w:val="en-US"/>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第八条 综合评分法，是指投标文件满足招标文件全部实质性要求且按照评审因素的量化指标评审得分最高的供应商为中标候选供应商的评标方法。综合评分法的主要因素：投标文件中的技术、</w:t>
      </w:r>
      <w:r>
        <w:rPr>
          <w:rFonts w:hint="eastAsia" w:ascii="宋体" w:hAnsi="宋体" w:eastAsia="宋体" w:cs="宋体"/>
          <w:color w:val="000000" w:themeColor="text1"/>
          <w:lang w:val="en-US"/>
          <w14:textFill>
            <w14:solidFill>
              <w14:schemeClr w14:val="tx1"/>
            </w14:solidFill>
          </w14:textFill>
        </w:rPr>
        <w:t>商务</w:t>
      </w:r>
      <w:r>
        <w:rPr>
          <w:rFonts w:hint="eastAsia" w:ascii="宋体" w:hAnsi="宋体" w:eastAsia="宋体" w:cs="宋体"/>
          <w:color w:val="000000" w:themeColor="text1"/>
          <w14:textFill>
            <w14:solidFill>
              <w14:schemeClr w14:val="tx1"/>
            </w14:solidFill>
          </w14:textFill>
        </w:rPr>
        <w:t>、价格及相应的分值权重。</w:t>
      </w:r>
    </w:p>
    <w:p>
      <w:pPr>
        <w:pStyle w:val="3"/>
        <w:tabs>
          <w:tab w:val="left" w:pos="8742"/>
          <w:tab w:val="left" w:pos="9222"/>
          <w:tab w:val="left" w:pos="9702"/>
        </w:tabs>
        <w:spacing w:line="220" w:lineRule="auto"/>
        <w:ind w:left="0" w:right="1121" w:firstLine="1200" w:firstLineChars="500"/>
        <w:rPr>
          <w:rFonts w:hint="eastAsia" w:ascii="宋体" w:hAnsi="宋体" w:eastAsia="宋体" w:cs="宋体"/>
          <w:color w:val="000000" w:themeColor="text1"/>
          <w14:textFill>
            <w14:solidFill>
              <w14:schemeClr w14:val="tx1"/>
            </w14:solidFill>
          </w14:textFill>
        </w:rPr>
        <w:sectPr>
          <w:pgSz w:w="11910" w:h="16850"/>
          <w:pgMar w:top="1134" w:right="1134" w:bottom="1134" w:left="1134" w:header="877" w:footer="1066" w:gutter="0"/>
          <w:pgNumType w:fmt="decimal"/>
          <w:cols w:space="0" w:num="1"/>
          <w:rtlGutter w:val="0"/>
          <w:docGrid w:linePitch="0" w:charSpace="0"/>
        </w:sectPr>
      </w:pPr>
      <w:r>
        <w:rPr>
          <w:rFonts w:hint="eastAsia" w:ascii="宋体" w:hAnsi="宋体" w:eastAsia="宋体" w:cs="宋体"/>
          <w:color w:val="000000" w:themeColor="text1"/>
          <w14:textFill>
            <w14:solidFill>
              <w14:schemeClr w14:val="tx1"/>
            </w14:solidFill>
          </w14:textFill>
        </w:rPr>
        <w:t>评分标准如下（满分为 100 分）：</w:t>
      </w:r>
    </w:p>
    <w:p>
      <w:pPr>
        <w:rPr>
          <w:rFonts w:hint="eastAsia" w:ascii="宋体" w:hAnsi="宋体" w:eastAsia="宋体" w:cs="宋体"/>
        </w:rPr>
      </w:pPr>
    </w:p>
    <w:tbl>
      <w:tblPr>
        <w:tblStyle w:val="18"/>
        <w:tblpPr w:leftFromText="180" w:rightFromText="180" w:vertAnchor="page" w:horzAnchor="margin" w:tblpXSpec="center" w:tblpY="1194"/>
        <w:tblW w:w="9670" w:type="dxa"/>
        <w:jc w:val="center"/>
        <w:tblLayout w:type="autofit"/>
        <w:tblCellMar>
          <w:top w:w="0" w:type="dxa"/>
          <w:left w:w="108" w:type="dxa"/>
          <w:bottom w:w="0" w:type="dxa"/>
          <w:right w:w="108" w:type="dxa"/>
        </w:tblCellMar>
      </w:tblPr>
      <w:tblGrid>
        <w:gridCol w:w="746"/>
        <w:gridCol w:w="1233"/>
        <w:gridCol w:w="804"/>
        <w:gridCol w:w="6887"/>
      </w:tblGrid>
      <w:tr>
        <w:tblPrEx>
          <w:tblCellMar>
            <w:top w:w="0" w:type="dxa"/>
            <w:left w:w="108" w:type="dxa"/>
            <w:bottom w:w="0" w:type="dxa"/>
            <w:right w:w="108" w:type="dxa"/>
          </w:tblCellMar>
        </w:tblPrEx>
        <w:trPr>
          <w:trHeight w:val="731" w:hRule="atLeast"/>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bookmarkStart w:id="56" w:name="RANGE!A1"/>
            <w:r>
              <w:rPr>
                <w:rFonts w:hint="eastAsia" w:ascii="宋体" w:hAnsi="宋体" w:eastAsia="宋体" w:cs="宋体"/>
                <w:b/>
                <w:bCs/>
                <w:color w:val="000000"/>
                <w:spacing w:val="-20"/>
                <w:sz w:val="24"/>
                <w:szCs w:val="24"/>
              </w:rPr>
              <w:t>评标项目</w:t>
            </w:r>
            <w:bookmarkEnd w:id="56"/>
          </w:p>
        </w:tc>
        <w:tc>
          <w:tcPr>
            <w:tcW w:w="804"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分值</w:t>
            </w:r>
          </w:p>
        </w:tc>
        <w:tc>
          <w:tcPr>
            <w:tcW w:w="688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指</w:t>
            </w:r>
            <w:r>
              <w:rPr>
                <w:rFonts w:hint="eastAsia" w:ascii="宋体" w:hAnsi="宋体" w:eastAsia="宋体" w:cs="宋体"/>
                <w:b/>
                <w:bCs/>
                <w:color w:val="000000"/>
                <w:spacing w:val="-20"/>
                <w:sz w:val="24"/>
                <w:szCs w:val="24"/>
                <w:lang w:val="en-US"/>
              </w:rPr>
              <w:t xml:space="preserve">   </w:t>
            </w:r>
            <w:r>
              <w:rPr>
                <w:rFonts w:hint="eastAsia" w:ascii="宋体" w:hAnsi="宋体" w:eastAsia="宋体" w:cs="宋体"/>
                <w:b/>
                <w:bCs/>
                <w:color w:val="000000"/>
                <w:spacing w:val="-20"/>
                <w:sz w:val="24"/>
                <w:szCs w:val="24"/>
              </w:rPr>
              <w:t>标</w:t>
            </w:r>
            <w:r>
              <w:rPr>
                <w:rFonts w:hint="eastAsia" w:ascii="宋体" w:hAnsi="宋体" w:eastAsia="宋体" w:cs="宋体"/>
                <w:b/>
                <w:bCs/>
                <w:color w:val="000000"/>
                <w:spacing w:val="-20"/>
                <w:sz w:val="24"/>
                <w:szCs w:val="24"/>
                <w:lang w:val="en-US"/>
              </w:rPr>
              <w:t xml:space="preserve">   </w:t>
            </w:r>
            <w:r>
              <w:rPr>
                <w:rFonts w:hint="eastAsia" w:ascii="宋体" w:hAnsi="宋体" w:eastAsia="宋体" w:cs="宋体"/>
                <w:b/>
                <w:bCs/>
                <w:color w:val="000000"/>
                <w:spacing w:val="-20"/>
                <w:sz w:val="24"/>
                <w:szCs w:val="24"/>
              </w:rPr>
              <w:t>解</w:t>
            </w:r>
            <w:r>
              <w:rPr>
                <w:rFonts w:hint="eastAsia" w:ascii="宋体" w:hAnsi="宋体" w:eastAsia="宋体" w:cs="宋体"/>
                <w:b/>
                <w:bCs/>
                <w:color w:val="000000"/>
                <w:spacing w:val="-20"/>
                <w:sz w:val="24"/>
                <w:szCs w:val="24"/>
                <w:lang w:val="en-US"/>
              </w:rPr>
              <w:t xml:space="preserve">   </w:t>
            </w:r>
            <w:r>
              <w:rPr>
                <w:rFonts w:hint="eastAsia" w:ascii="宋体" w:hAnsi="宋体" w:eastAsia="宋体" w:cs="宋体"/>
                <w:b/>
                <w:bCs/>
                <w:color w:val="000000"/>
                <w:spacing w:val="-20"/>
                <w:sz w:val="24"/>
                <w:szCs w:val="24"/>
              </w:rPr>
              <w:t>释</w:t>
            </w:r>
          </w:p>
        </w:tc>
      </w:tr>
      <w:tr>
        <w:tblPrEx>
          <w:tblCellMar>
            <w:top w:w="0" w:type="dxa"/>
            <w:left w:w="108" w:type="dxa"/>
            <w:bottom w:w="0" w:type="dxa"/>
            <w:right w:w="108" w:type="dxa"/>
          </w:tblCellMar>
        </w:tblPrEx>
        <w:trPr>
          <w:trHeight w:val="1731" w:hRule="atLeast"/>
          <w:jc w:val="center"/>
        </w:trPr>
        <w:tc>
          <w:tcPr>
            <w:tcW w:w="746"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报价</w:t>
            </w:r>
            <w:r>
              <w:rPr>
                <w:rFonts w:hint="eastAsia" w:ascii="宋体" w:hAnsi="宋体" w:eastAsia="宋体" w:cs="宋体"/>
                <w:b/>
                <w:bCs/>
                <w:color w:val="000000"/>
                <w:spacing w:val="-20"/>
                <w:sz w:val="24"/>
                <w:szCs w:val="24"/>
                <w:lang w:val="en-US" w:eastAsia="zh-CN"/>
              </w:rPr>
              <w:t>20</w:t>
            </w:r>
            <w:r>
              <w:rPr>
                <w:rFonts w:hint="eastAsia" w:ascii="宋体" w:hAnsi="宋体" w:eastAsia="宋体" w:cs="宋体"/>
                <w:b/>
                <w:bCs/>
                <w:color w:val="000000"/>
                <w:spacing w:val="-20"/>
                <w:sz w:val="24"/>
                <w:szCs w:val="24"/>
              </w:rPr>
              <w:t>分</w:t>
            </w:r>
          </w:p>
        </w:tc>
        <w:tc>
          <w:tcPr>
            <w:tcW w:w="1233"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报价</w:t>
            </w:r>
          </w:p>
        </w:tc>
        <w:tc>
          <w:tcPr>
            <w:tcW w:w="80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eastAsia="zh-CN"/>
              </w:rPr>
            </w:pPr>
            <w:r>
              <w:rPr>
                <w:rFonts w:hint="eastAsia" w:ascii="宋体" w:hAnsi="宋体" w:eastAsia="宋体" w:cs="宋体"/>
                <w:b/>
                <w:bCs/>
                <w:color w:val="000000"/>
                <w:spacing w:val="-20"/>
                <w:sz w:val="24"/>
                <w:szCs w:val="24"/>
                <w:lang w:val="en-US" w:eastAsia="zh-CN"/>
              </w:rPr>
              <w:t>20</w:t>
            </w:r>
          </w:p>
        </w:tc>
        <w:tc>
          <w:tcPr>
            <w:tcW w:w="6887" w:type="dxa"/>
            <w:tcBorders>
              <w:top w:val="nil"/>
              <w:left w:val="nil"/>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满足招标文件要求且最后报价最低的供应商的价格为基准价，其价格分为满分（</w:t>
            </w:r>
            <w:r>
              <w:rPr>
                <w:rFonts w:hint="eastAsia" w:ascii="宋体" w:hAnsi="宋体" w:eastAsia="宋体" w:cs="宋体"/>
                <w:color w:val="000000"/>
                <w:spacing w:val="-20"/>
                <w:sz w:val="24"/>
                <w:szCs w:val="24"/>
                <w:lang w:val="en-US" w:eastAsia="zh-CN"/>
              </w:rPr>
              <w:t>20</w:t>
            </w:r>
            <w:r>
              <w:rPr>
                <w:rFonts w:hint="eastAsia" w:ascii="宋体" w:hAnsi="宋体" w:eastAsia="宋体" w:cs="宋体"/>
                <w:color w:val="000000"/>
                <w:spacing w:val="-20"/>
                <w:sz w:val="24"/>
                <w:szCs w:val="24"/>
              </w:rPr>
              <w:t>分）。其他供应商的价格分统一按照下列公式计算：报价得分＝（基准价／最后报价）×</w:t>
            </w:r>
            <w:r>
              <w:rPr>
                <w:rFonts w:hint="eastAsia" w:ascii="宋体" w:hAnsi="宋体" w:eastAsia="宋体" w:cs="宋体"/>
                <w:color w:val="000000"/>
                <w:spacing w:val="-20"/>
                <w:sz w:val="24"/>
                <w:szCs w:val="24"/>
                <w:lang w:val="en-US" w:eastAsia="zh-CN"/>
              </w:rPr>
              <w:t>20</w:t>
            </w:r>
            <w:r>
              <w:rPr>
                <w:rFonts w:hint="eastAsia" w:ascii="宋体" w:hAnsi="宋体" w:eastAsia="宋体" w:cs="宋体"/>
                <w:color w:val="000000"/>
                <w:spacing w:val="-20"/>
                <w:sz w:val="24"/>
                <w:szCs w:val="24"/>
              </w:rPr>
              <w:t>。 若供应商报价高于采购预算的，作为无效投标处理。</w:t>
            </w:r>
          </w:p>
        </w:tc>
      </w:tr>
      <w:tr>
        <w:tblPrEx>
          <w:tblCellMar>
            <w:top w:w="0" w:type="dxa"/>
            <w:left w:w="108" w:type="dxa"/>
            <w:bottom w:w="0" w:type="dxa"/>
            <w:right w:w="108" w:type="dxa"/>
          </w:tblCellMar>
        </w:tblPrEx>
        <w:trPr>
          <w:trHeight w:val="2472" w:hRule="atLeast"/>
          <w:jc w:val="center"/>
        </w:trPr>
        <w:tc>
          <w:tcPr>
            <w:tcW w:w="746" w:type="dxa"/>
            <w:vMerge w:val="restart"/>
            <w:tcBorders>
              <w:top w:val="nil"/>
              <w:left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技术部分</w:t>
            </w:r>
            <w:r>
              <w:rPr>
                <w:rFonts w:hint="eastAsia" w:ascii="宋体" w:hAnsi="宋体" w:eastAsia="宋体" w:cs="宋体"/>
                <w:b/>
                <w:bCs/>
                <w:color w:val="000000"/>
                <w:spacing w:val="-20"/>
                <w:sz w:val="24"/>
                <w:szCs w:val="24"/>
                <w:lang w:val="en-US" w:eastAsia="zh-CN"/>
              </w:rPr>
              <w:t>50</w:t>
            </w:r>
            <w:r>
              <w:rPr>
                <w:rFonts w:hint="eastAsia" w:ascii="宋体" w:hAnsi="宋体" w:eastAsia="宋体" w:cs="宋体"/>
                <w:b/>
                <w:bCs/>
                <w:color w:val="000000"/>
                <w:spacing w:val="-20"/>
                <w:sz w:val="24"/>
                <w:szCs w:val="24"/>
              </w:rPr>
              <w:t>分</w:t>
            </w:r>
          </w:p>
        </w:tc>
        <w:tc>
          <w:tcPr>
            <w:tcW w:w="1233"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lang w:eastAsia="zh-CN"/>
              </w:rPr>
              <w:t>实施</w:t>
            </w:r>
            <w:r>
              <w:rPr>
                <w:rFonts w:hint="eastAsia" w:ascii="宋体" w:hAnsi="宋体" w:eastAsia="宋体" w:cs="宋体"/>
                <w:b/>
                <w:bCs/>
                <w:color w:val="000000"/>
                <w:spacing w:val="-20"/>
                <w:sz w:val="24"/>
                <w:szCs w:val="24"/>
              </w:rPr>
              <w:t>方案</w:t>
            </w:r>
          </w:p>
        </w:tc>
        <w:tc>
          <w:tcPr>
            <w:tcW w:w="804" w:type="dxa"/>
            <w:tcBorders>
              <w:top w:val="nil"/>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eastAsia="zh-CN"/>
              </w:rPr>
            </w:pPr>
            <w:r>
              <w:rPr>
                <w:rFonts w:hint="eastAsia" w:ascii="宋体" w:hAnsi="宋体" w:eastAsia="宋体" w:cs="宋体"/>
                <w:b/>
                <w:bCs/>
                <w:color w:val="000000"/>
                <w:spacing w:val="-20"/>
                <w:sz w:val="24"/>
                <w:szCs w:val="24"/>
                <w:lang w:val="en-US" w:eastAsia="zh-CN"/>
              </w:rPr>
              <w:t>24</w:t>
            </w:r>
          </w:p>
        </w:tc>
        <w:tc>
          <w:tcPr>
            <w:tcW w:w="6887" w:type="dxa"/>
            <w:tcBorders>
              <w:top w:val="nil"/>
              <w:left w:val="nil"/>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整体实施方案中能准确理解采购人项目需求，</w:t>
            </w:r>
            <w:r>
              <w:rPr>
                <w:rFonts w:hint="eastAsia" w:ascii="宋体" w:hAnsi="宋体" w:eastAsia="宋体" w:cs="宋体"/>
                <w:color w:val="000000"/>
                <w:spacing w:val="-20"/>
                <w:sz w:val="24"/>
                <w:szCs w:val="24"/>
                <w:lang w:eastAsia="zh-CN"/>
              </w:rPr>
              <w:t>对完成项目的</w:t>
            </w:r>
            <w:r>
              <w:rPr>
                <w:rFonts w:hint="eastAsia" w:ascii="宋体" w:hAnsi="宋体" w:eastAsia="宋体" w:cs="宋体"/>
                <w:color w:val="000000"/>
                <w:spacing w:val="-20"/>
                <w:sz w:val="24"/>
                <w:szCs w:val="24"/>
              </w:rPr>
              <w:t>实施方案</w:t>
            </w:r>
            <w:r>
              <w:rPr>
                <w:rFonts w:hint="eastAsia" w:ascii="宋体" w:hAnsi="宋体" w:eastAsia="宋体" w:cs="宋体"/>
                <w:color w:val="000000"/>
                <w:spacing w:val="-20"/>
                <w:sz w:val="24"/>
                <w:szCs w:val="24"/>
                <w:lang w:eastAsia="zh-CN"/>
              </w:rPr>
              <w:t>、控制重点、难点、要点、对项目的质量规范、工作程序和计划各个换届时间进度的安排，有项目管理及保证措施，</w:t>
            </w:r>
            <w:r>
              <w:rPr>
                <w:rFonts w:hint="eastAsia" w:ascii="宋体" w:hAnsi="宋体" w:eastAsia="宋体" w:cs="宋体"/>
                <w:color w:val="000000"/>
                <w:spacing w:val="-20"/>
                <w:sz w:val="24"/>
                <w:szCs w:val="24"/>
              </w:rPr>
              <w:t>思路清晰</w:t>
            </w:r>
            <w:r>
              <w:rPr>
                <w:rFonts w:hint="eastAsia" w:ascii="宋体" w:hAnsi="宋体" w:eastAsia="宋体" w:cs="宋体"/>
                <w:color w:val="000000"/>
                <w:spacing w:val="-20"/>
                <w:sz w:val="24"/>
                <w:szCs w:val="24"/>
                <w:lang w:eastAsia="zh-CN"/>
              </w:rPr>
              <w:t>，有合理化建议，</w:t>
            </w:r>
            <w:r>
              <w:rPr>
                <w:rFonts w:hint="eastAsia" w:ascii="宋体" w:hAnsi="宋体" w:eastAsia="宋体" w:cs="宋体"/>
                <w:color w:val="000000"/>
                <w:spacing w:val="-20"/>
                <w:sz w:val="24"/>
                <w:szCs w:val="24"/>
              </w:rPr>
              <w:t>得</w:t>
            </w:r>
            <w:r>
              <w:rPr>
                <w:rFonts w:hint="eastAsia" w:ascii="宋体" w:hAnsi="宋体" w:eastAsia="宋体" w:cs="宋体"/>
                <w:color w:val="000000"/>
                <w:spacing w:val="-20"/>
                <w:sz w:val="24"/>
                <w:szCs w:val="24"/>
                <w:lang w:val="en-US" w:eastAsia="zh-CN"/>
              </w:rPr>
              <w:t>15-24</w:t>
            </w:r>
            <w:r>
              <w:rPr>
                <w:rFonts w:hint="eastAsia" w:ascii="宋体" w:hAnsi="宋体" w:eastAsia="宋体" w:cs="宋体"/>
                <w:color w:val="000000"/>
                <w:spacing w:val="-20"/>
                <w:sz w:val="24"/>
                <w:szCs w:val="24"/>
              </w:rPr>
              <w:t>分；整体实施方案中能准确理解采购人项目需求，实施方案及组织计划一般，与采购人要求基本符合，得</w:t>
            </w:r>
            <w:r>
              <w:rPr>
                <w:rFonts w:hint="eastAsia" w:ascii="宋体" w:hAnsi="宋体" w:eastAsia="宋体" w:cs="宋体"/>
                <w:color w:val="000000"/>
                <w:spacing w:val="-20"/>
                <w:sz w:val="24"/>
                <w:szCs w:val="24"/>
                <w:lang w:val="en-US" w:eastAsia="zh-CN"/>
              </w:rPr>
              <w:t>10-14</w:t>
            </w:r>
            <w:r>
              <w:rPr>
                <w:rFonts w:hint="eastAsia" w:ascii="宋体" w:hAnsi="宋体" w:eastAsia="宋体" w:cs="宋体"/>
                <w:color w:val="000000"/>
                <w:spacing w:val="-20"/>
                <w:sz w:val="24"/>
                <w:szCs w:val="24"/>
              </w:rPr>
              <w:t>分</w:t>
            </w:r>
            <w:r>
              <w:rPr>
                <w:rFonts w:hint="eastAsia" w:ascii="宋体" w:hAnsi="宋体" w:eastAsia="宋体" w:cs="宋体"/>
                <w:color w:val="000000"/>
                <w:spacing w:val="-20"/>
                <w:sz w:val="24"/>
                <w:szCs w:val="24"/>
                <w:lang w:eastAsia="zh-CN"/>
              </w:rPr>
              <w:t>；</w:t>
            </w:r>
            <w:r>
              <w:rPr>
                <w:rFonts w:hint="eastAsia" w:ascii="宋体" w:hAnsi="宋体" w:eastAsia="宋体" w:cs="宋体"/>
                <w:color w:val="000000"/>
                <w:spacing w:val="-20"/>
                <w:sz w:val="24"/>
                <w:szCs w:val="24"/>
              </w:rPr>
              <w:t>整体实施方案中能基本准确理解采购人项目需求，实施方案及组织计划欠妥，与采购人要求偏差较大</w:t>
            </w:r>
            <w:r>
              <w:rPr>
                <w:rFonts w:hint="eastAsia" w:ascii="宋体" w:hAnsi="宋体" w:eastAsia="宋体" w:cs="宋体"/>
                <w:color w:val="000000"/>
                <w:spacing w:val="-20"/>
                <w:sz w:val="24"/>
                <w:szCs w:val="24"/>
                <w:lang w:eastAsia="zh-CN"/>
              </w:rPr>
              <w:t>，</w:t>
            </w:r>
            <w:r>
              <w:rPr>
                <w:rFonts w:hint="eastAsia" w:ascii="宋体" w:hAnsi="宋体" w:eastAsia="宋体" w:cs="宋体"/>
                <w:color w:val="000000"/>
                <w:spacing w:val="-20"/>
                <w:sz w:val="24"/>
                <w:szCs w:val="24"/>
              </w:rPr>
              <w:t>得</w:t>
            </w:r>
            <w:r>
              <w:rPr>
                <w:rFonts w:hint="eastAsia" w:ascii="宋体" w:hAnsi="宋体" w:eastAsia="宋体" w:cs="宋体"/>
                <w:color w:val="000000"/>
                <w:spacing w:val="-20"/>
                <w:sz w:val="24"/>
                <w:szCs w:val="24"/>
                <w:lang w:val="en-US" w:eastAsia="zh-CN"/>
              </w:rPr>
              <w:t>0-9</w:t>
            </w:r>
            <w:r>
              <w:rPr>
                <w:rFonts w:hint="eastAsia" w:ascii="宋体" w:hAnsi="宋体" w:eastAsia="宋体" w:cs="宋体"/>
                <w:color w:val="000000"/>
                <w:spacing w:val="-20"/>
                <w:sz w:val="24"/>
                <w:szCs w:val="24"/>
              </w:rPr>
              <w:t>分；</w:t>
            </w:r>
          </w:p>
        </w:tc>
      </w:tr>
      <w:tr>
        <w:tblPrEx>
          <w:tblCellMar>
            <w:top w:w="0" w:type="dxa"/>
            <w:left w:w="108" w:type="dxa"/>
            <w:bottom w:w="0" w:type="dxa"/>
            <w:right w:w="108" w:type="dxa"/>
          </w:tblCellMar>
        </w:tblPrEx>
        <w:trPr>
          <w:trHeight w:val="413" w:hRule="atLeast"/>
          <w:jc w:val="center"/>
        </w:trPr>
        <w:tc>
          <w:tcPr>
            <w:tcW w:w="746" w:type="dxa"/>
            <w:vMerge w:val="continue"/>
            <w:tcBorders>
              <w:left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技术参数</w:t>
            </w:r>
          </w:p>
        </w:tc>
        <w:tc>
          <w:tcPr>
            <w:tcW w:w="804"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eastAsia="zh-CN"/>
              </w:rPr>
            </w:pPr>
            <w:r>
              <w:rPr>
                <w:rFonts w:hint="eastAsia" w:ascii="宋体" w:hAnsi="宋体" w:eastAsia="宋体" w:cs="宋体"/>
                <w:b/>
                <w:bCs/>
                <w:color w:val="000000"/>
                <w:spacing w:val="-20"/>
                <w:sz w:val="24"/>
                <w:szCs w:val="24"/>
                <w:lang w:val="en-US" w:eastAsia="zh-CN"/>
              </w:rPr>
              <w:t>16</w:t>
            </w:r>
          </w:p>
        </w:tc>
        <w:tc>
          <w:tcPr>
            <w:tcW w:w="688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lang w:val="en-US" w:eastAsia="zh-CN"/>
              </w:rPr>
            </w:pPr>
            <w:r>
              <w:rPr>
                <w:rFonts w:hint="eastAsia" w:ascii="宋体" w:hAnsi="宋体" w:eastAsia="宋体" w:cs="宋体"/>
                <w:color w:val="000000"/>
                <w:spacing w:val="-20"/>
                <w:sz w:val="24"/>
                <w:szCs w:val="24"/>
              </w:rPr>
              <w:t>符合招标文件要求</w:t>
            </w:r>
            <w:r>
              <w:rPr>
                <w:rFonts w:hint="eastAsia" w:ascii="宋体" w:hAnsi="宋体" w:eastAsia="宋体" w:cs="宋体"/>
                <w:color w:val="000000"/>
                <w:spacing w:val="-20"/>
                <w:sz w:val="24"/>
                <w:szCs w:val="24"/>
                <w:lang w:eastAsia="zh-CN"/>
              </w:rPr>
              <w:t>，</w:t>
            </w:r>
            <w:r>
              <w:rPr>
                <w:rFonts w:hint="eastAsia" w:ascii="宋体" w:hAnsi="宋体" w:eastAsia="宋体" w:cs="宋体"/>
                <w:color w:val="000000"/>
                <w:spacing w:val="-20"/>
                <w:sz w:val="24"/>
                <w:szCs w:val="24"/>
              </w:rPr>
              <w:t>无负偏离的得10分，</w:t>
            </w:r>
            <w:r>
              <w:rPr>
                <w:rFonts w:hint="eastAsia" w:ascii="宋体" w:hAnsi="宋体" w:eastAsia="宋体" w:cs="宋体"/>
                <w:color w:val="000000"/>
                <w:spacing w:val="-20"/>
                <w:sz w:val="24"/>
                <w:szCs w:val="24"/>
                <w:lang w:eastAsia="zh-CN"/>
              </w:rPr>
              <w:t>有一项正偏离加</w:t>
            </w:r>
            <w:r>
              <w:rPr>
                <w:rFonts w:hint="eastAsia" w:ascii="宋体" w:hAnsi="宋体" w:eastAsia="宋体" w:cs="宋体"/>
                <w:color w:val="000000"/>
                <w:spacing w:val="-20"/>
                <w:sz w:val="24"/>
                <w:szCs w:val="24"/>
                <w:lang w:val="en-US" w:eastAsia="zh-CN"/>
              </w:rPr>
              <w:t>2分，最高不超过6分。</w:t>
            </w:r>
          </w:p>
        </w:tc>
      </w:tr>
      <w:tr>
        <w:tblPrEx>
          <w:tblCellMar>
            <w:top w:w="0" w:type="dxa"/>
            <w:left w:w="108" w:type="dxa"/>
            <w:bottom w:w="0" w:type="dxa"/>
            <w:right w:w="108" w:type="dxa"/>
          </w:tblCellMar>
        </w:tblPrEx>
        <w:trPr>
          <w:trHeight w:val="413" w:hRule="atLeast"/>
          <w:jc w:val="center"/>
        </w:trPr>
        <w:tc>
          <w:tcPr>
            <w:tcW w:w="746" w:type="dxa"/>
            <w:vMerge w:val="continue"/>
            <w:tcBorders>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zh-CN" w:eastAsia="zh-CN" w:bidi="zh-CN"/>
              </w:rPr>
            </w:pPr>
            <w:r>
              <w:rPr>
                <w:rFonts w:hint="eastAsia" w:ascii="宋体" w:hAnsi="宋体" w:eastAsia="宋体" w:cs="宋体"/>
                <w:b/>
                <w:bCs/>
                <w:color w:val="000000"/>
                <w:spacing w:val="-20"/>
                <w:sz w:val="24"/>
                <w:szCs w:val="24"/>
                <w:lang w:eastAsia="zh-CN"/>
              </w:rPr>
              <w:t>服务承诺</w:t>
            </w:r>
          </w:p>
        </w:tc>
        <w:tc>
          <w:tcPr>
            <w:tcW w:w="804"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eastAsia="zh-CN" w:bidi="zh-CN"/>
              </w:rPr>
            </w:pPr>
            <w:r>
              <w:rPr>
                <w:rFonts w:hint="eastAsia" w:ascii="宋体" w:hAnsi="宋体" w:eastAsia="宋体" w:cs="宋体"/>
                <w:b/>
                <w:bCs/>
                <w:color w:val="000000"/>
                <w:spacing w:val="-20"/>
                <w:sz w:val="24"/>
                <w:szCs w:val="24"/>
                <w:lang w:val="en-US" w:eastAsia="zh-CN"/>
              </w:rPr>
              <w:t>10</w:t>
            </w:r>
          </w:p>
        </w:tc>
        <w:tc>
          <w:tcPr>
            <w:tcW w:w="688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lang w:val="zh-CN" w:eastAsia="zh-CN" w:bidi="zh-CN"/>
              </w:rPr>
            </w:pPr>
            <w:r>
              <w:rPr>
                <w:rFonts w:hint="eastAsia" w:ascii="宋体" w:hAnsi="宋体" w:eastAsia="宋体" w:cs="宋体"/>
                <w:color w:val="000000"/>
                <w:spacing w:val="-20"/>
                <w:sz w:val="24"/>
                <w:szCs w:val="24"/>
              </w:rPr>
              <w:t>根据服务承诺细致程度，包括服务能力、解决问题时间等优秀的得7-10分；较为合理科学的得4-6分；基本满足要求的得1-3分。</w:t>
            </w:r>
          </w:p>
        </w:tc>
      </w:tr>
      <w:tr>
        <w:tblPrEx>
          <w:tblCellMar>
            <w:top w:w="0" w:type="dxa"/>
            <w:left w:w="108" w:type="dxa"/>
            <w:bottom w:w="0" w:type="dxa"/>
            <w:right w:w="108" w:type="dxa"/>
          </w:tblCellMar>
        </w:tblPrEx>
        <w:trPr>
          <w:trHeight w:val="1972" w:hRule="atLeast"/>
          <w:jc w:val="center"/>
        </w:trPr>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商务部分</w:t>
            </w:r>
            <w:r>
              <w:rPr>
                <w:rFonts w:hint="eastAsia" w:ascii="宋体" w:hAnsi="宋体" w:eastAsia="宋体" w:cs="宋体"/>
                <w:b/>
                <w:bCs/>
                <w:color w:val="000000"/>
                <w:spacing w:val="-20"/>
                <w:sz w:val="24"/>
                <w:szCs w:val="24"/>
                <w:lang w:val="en-US"/>
              </w:rPr>
              <w:t>3</w:t>
            </w:r>
            <w:r>
              <w:rPr>
                <w:rFonts w:hint="eastAsia" w:ascii="宋体" w:hAnsi="宋体" w:eastAsia="宋体" w:cs="宋体"/>
                <w:b/>
                <w:bCs/>
                <w:color w:val="000000"/>
                <w:spacing w:val="-20"/>
                <w:sz w:val="24"/>
                <w:szCs w:val="24"/>
                <w:lang w:val="en-US" w:eastAsia="zh-CN"/>
              </w:rPr>
              <w:t>0</w:t>
            </w:r>
            <w:r>
              <w:rPr>
                <w:rFonts w:hint="eastAsia" w:ascii="宋体" w:hAnsi="宋体" w:eastAsia="宋体" w:cs="宋体"/>
                <w:b/>
                <w:bCs/>
                <w:color w:val="000000"/>
                <w:spacing w:val="-20"/>
                <w:sz w:val="24"/>
                <w:szCs w:val="24"/>
              </w:rPr>
              <w:t>分</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企业</w:t>
            </w:r>
          </w:p>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sz w:val="24"/>
                <w:szCs w:val="24"/>
                <w:lang w:eastAsia="zh-CN"/>
              </w:rPr>
              <w:t>信誉</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eastAsia="zh-CN"/>
              </w:rPr>
            </w:pPr>
            <w:r>
              <w:rPr>
                <w:rFonts w:hint="eastAsia" w:ascii="宋体" w:hAnsi="宋体" w:eastAsia="宋体" w:cs="宋体"/>
                <w:b/>
                <w:bCs/>
                <w:color w:val="000000"/>
                <w:spacing w:val="-20"/>
                <w:sz w:val="24"/>
                <w:szCs w:val="24"/>
                <w:lang w:val="en-US" w:eastAsia="zh-CN"/>
              </w:rPr>
              <w:t>5</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lang w:val="en-US" w:eastAsia="zh-CN"/>
              </w:rPr>
            </w:pPr>
            <w:r>
              <w:rPr>
                <w:rFonts w:hint="eastAsia"/>
                <w:lang w:val="en-US" w:eastAsia="zh-CN"/>
              </w:rPr>
              <w:t>有效期内的企业信用评级报告（投标文件中附信用报告复印件）：</w:t>
            </w:r>
          </w:p>
          <w:p>
            <w:pPr>
              <w:keepNext w:val="0"/>
              <w:keepLines w:val="0"/>
              <w:pageBreakBefore w:val="0"/>
              <w:widowControl/>
              <w:numPr>
                <w:ilvl w:val="0"/>
                <w:numId w:val="160"/>
              </w:numPr>
              <w:suppressLineNumbers w:val="0"/>
              <w:kinsoku/>
              <w:wordWrap/>
              <w:overflowPunct/>
              <w:topLinePunct w:val="0"/>
              <w:autoSpaceDE/>
              <w:autoSpaceDN/>
              <w:bidi w:val="0"/>
              <w:adjustRightInd/>
              <w:snapToGrid/>
              <w:spacing w:line="280" w:lineRule="exact"/>
              <w:jc w:val="left"/>
              <w:textAlignment w:val="auto"/>
              <w:rPr>
                <w:rFonts w:hint="eastAsia"/>
                <w:lang w:val="en-US" w:eastAsia="zh-CN"/>
              </w:rPr>
            </w:pPr>
            <w:r>
              <w:rPr>
                <w:rFonts w:hint="eastAsia"/>
                <w:lang w:val="en-US" w:eastAsia="zh-CN"/>
              </w:rPr>
              <w:t>信用等级为AAA，得5分；2、信用等级为AA，得4.5分；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lang w:val="en-US" w:eastAsia="zh-CN"/>
              </w:rPr>
            </w:pPr>
            <w:r>
              <w:rPr>
                <w:rFonts w:hint="eastAsia"/>
                <w:lang w:val="en-US" w:eastAsia="zh-CN"/>
              </w:rPr>
              <w:t>3、信用等级为A，得4分；  4、信用等级为BBB，得3.5分；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lang w:val="en-US" w:eastAsia="zh-CN"/>
              </w:rPr>
            </w:pPr>
            <w:r>
              <w:rPr>
                <w:rFonts w:hint="eastAsia"/>
                <w:lang w:val="en-US" w:eastAsia="zh-CN"/>
              </w:rPr>
              <w:t>5、信用等级为BB，得3分； 6、信用等级为B，得2.5分；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lang w:val="en-US" w:eastAsia="zh-CN"/>
              </w:rPr>
            </w:pPr>
            <w:r>
              <w:rPr>
                <w:rFonts w:hint="eastAsia"/>
                <w:lang w:val="en-US" w:eastAsia="zh-CN"/>
              </w:rPr>
              <w:t>7、信用等级为CCC，得2分；8、信用等级为CC，得1.5分；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lang w:val="en-US" w:eastAsia="zh-CN"/>
              </w:rPr>
            </w:pPr>
            <w:r>
              <w:rPr>
                <w:rFonts w:hint="eastAsia"/>
                <w:lang w:val="en-US" w:eastAsia="zh-CN"/>
              </w:rPr>
              <w:t>9、信用等级为C，得1分；</w:t>
            </w:r>
          </w:p>
          <w:p>
            <w:pPr>
              <w:pStyle w:val="22"/>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（注：事业单位本项得满分5分）</w:t>
            </w:r>
          </w:p>
        </w:tc>
      </w:tr>
      <w:tr>
        <w:tblPrEx>
          <w:tblCellMar>
            <w:top w:w="0" w:type="dxa"/>
            <w:left w:w="108" w:type="dxa"/>
            <w:bottom w:w="0" w:type="dxa"/>
            <w:right w:w="108" w:type="dxa"/>
          </w:tblCellMar>
        </w:tblPrEx>
        <w:trPr>
          <w:trHeight w:val="1572" w:hRule="atLeast"/>
          <w:jc w:val="center"/>
        </w:trPr>
        <w:tc>
          <w:tcPr>
            <w:tcW w:w="7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p>
        </w:tc>
        <w:tc>
          <w:tcPr>
            <w:tcW w:w="12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rPr>
            </w:pPr>
          </w:p>
          <w:p>
            <w:pPr>
              <w:widowControl/>
              <w:spacing w:line="400" w:lineRule="exact"/>
              <w:jc w:val="center"/>
              <w:rPr>
                <w:rFonts w:hint="eastAsia" w:ascii="宋体" w:hAnsi="宋体" w:eastAsia="宋体" w:cs="宋体"/>
                <w:b/>
                <w:bCs/>
                <w:color w:val="000000"/>
                <w:spacing w:val="-20"/>
                <w:sz w:val="24"/>
                <w:szCs w:val="24"/>
                <w:lang w:val="en-US"/>
              </w:rPr>
            </w:pPr>
            <w:r>
              <w:rPr>
                <w:rFonts w:hint="eastAsia" w:ascii="宋体" w:hAnsi="宋体" w:eastAsia="宋体" w:cs="宋体"/>
                <w:b/>
                <w:bCs/>
                <w:color w:val="000000"/>
                <w:spacing w:val="-20"/>
                <w:sz w:val="24"/>
                <w:szCs w:val="24"/>
                <w:lang w:val="en-US"/>
              </w:rPr>
              <w:t>企业综合实力与</w:t>
            </w:r>
            <w:r>
              <w:rPr>
                <w:rFonts w:hint="eastAsia" w:ascii="宋体" w:hAnsi="宋体" w:eastAsia="宋体" w:cs="宋体"/>
                <w:b/>
                <w:bCs/>
                <w:color w:val="000000"/>
                <w:spacing w:val="-20"/>
                <w:sz w:val="24"/>
                <w:szCs w:val="24"/>
              </w:rPr>
              <w:t>项目经验</w:t>
            </w:r>
          </w:p>
          <w:p>
            <w:pPr>
              <w:widowControl/>
              <w:spacing w:line="400" w:lineRule="exact"/>
              <w:jc w:val="center"/>
              <w:rPr>
                <w:rFonts w:hint="eastAsia" w:ascii="宋体" w:hAnsi="宋体" w:eastAsia="宋体" w:cs="宋体"/>
                <w:b/>
                <w:bCs/>
                <w:color w:val="000000"/>
                <w:spacing w:val="-20"/>
                <w:sz w:val="24"/>
                <w:szCs w:val="24"/>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eastAsia="zh-CN"/>
              </w:rPr>
            </w:pPr>
            <w:r>
              <w:rPr>
                <w:rFonts w:hint="eastAsia" w:ascii="宋体" w:hAnsi="宋体" w:eastAsia="宋体" w:cs="宋体"/>
                <w:b/>
                <w:bCs/>
                <w:color w:val="000000"/>
                <w:spacing w:val="-20"/>
                <w:sz w:val="24"/>
                <w:szCs w:val="24"/>
                <w:lang w:val="en-US"/>
              </w:rPr>
              <w:t>1</w:t>
            </w:r>
            <w:r>
              <w:rPr>
                <w:rFonts w:hint="eastAsia" w:ascii="宋体" w:hAnsi="宋体" w:eastAsia="宋体" w:cs="宋体"/>
                <w:b/>
                <w:bCs/>
                <w:color w:val="000000"/>
                <w:spacing w:val="-20"/>
                <w:sz w:val="24"/>
                <w:szCs w:val="24"/>
                <w:lang w:val="en-US" w:eastAsia="zh-CN"/>
              </w:rPr>
              <w:t>7</w:t>
            </w:r>
          </w:p>
        </w:tc>
        <w:tc>
          <w:tcPr>
            <w:tcW w:w="688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承担</w:t>
            </w:r>
            <w:r>
              <w:rPr>
                <w:rFonts w:hint="eastAsia" w:ascii="宋体" w:hAnsi="宋体" w:eastAsia="宋体" w:cs="宋体"/>
                <w:color w:val="000000"/>
                <w:spacing w:val="-20"/>
                <w:sz w:val="24"/>
                <w:szCs w:val="24"/>
                <w:lang w:eastAsia="zh-CN"/>
              </w:rPr>
              <w:t>过</w:t>
            </w:r>
            <w:r>
              <w:rPr>
                <w:rFonts w:hint="eastAsia" w:ascii="宋体" w:hAnsi="宋体" w:eastAsia="宋体" w:cs="宋体"/>
                <w:color w:val="000000"/>
                <w:spacing w:val="-20"/>
                <w:sz w:val="24"/>
                <w:szCs w:val="24"/>
              </w:rPr>
              <w:t>国家级历史文化类著作项目</w:t>
            </w:r>
            <w:r>
              <w:rPr>
                <w:rFonts w:hint="eastAsia" w:ascii="宋体" w:hAnsi="宋体" w:eastAsia="宋体" w:cs="宋体"/>
                <w:color w:val="000000"/>
                <w:spacing w:val="-20"/>
                <w:sz w:val="24"/>
                <w:szCs w:val="24"/>
                <w:lang w:eastAsia="zh-CN"/>
              </w:rPr>
              <w:t>得</w:t>
            </w:r>
            <w:r>
              <w:rPr>
                <w:rFonts w:hint="eastAsia" w:ascii="宋体" w:hAnsi="宋体" w:eastAsia="宋体" w:cs="宋体"/>
                <w:color w:val="000000"/>
                <w:spacing w:val="-20"/>
                <w:sz w:val="24"/>
                <w:szCs w:val="24"/>
                <w:lang w:val="en-US" w:eastAsia="zh-CN"/>
              </w:rPr>
              <w:t>6</w:t>
            </w:r>
            <w:r>
              <w:rPr>
                <w:rFonts w:hint="eastAsia" w:ascii="宋体" w:hAnsi="宋体" w:eastAsia="宋体" w:cs="宋体"/>
                <w:color w:val="000000"/>
                <w:spacing w:val="-20"/>
                <w:sz w:val="24"/>
                <w:szCs w:val="24"/>
              </w:rPr>
              <w:t>分，省部级历史文化类著作项目</w:t>
            </w:r>
            <w:r>
              <w:rPr>
                <w:rFonts w:hint="eastAsia" w:ascii="宋体" w:hAnsi="宋体" w:eastAsia="宋体" w:cs="宋体"/>
                <w:color w:val="000000"/>
                <w:spacing w:val="-20"/>
                <w:sz w:val="24"/>
                <w:szCs w:val="24"/>
                <w:lang w:eastAsia="zh-CN"/>
              </w:rPr>
              <w:t>得</w:t>
            </w:r>
            <w:r>
              <w:rPr>
                <w:rFonts w:hint="eastAsia" w:ascii="宋体" w:hAnsi="宋体" w:eastAsia="宋体" w:cs="宋体"/>
                <w:color w:val="000000"/>
                <w:spacing w:val="-20"/>
                <w:sz w:val="24"/>
                <w:szCs w:val="24"/>
                <w:lang w:val="en-US" w:eastAsia="zh-CN"/>
              </w:rPr>
              <w:t>4</w:t>
            </w:r>
            <w:r>
              <w:rPr>
                <w:rFonts w:hint="eastAsia" w:ascii="宋体" w:hAnsi="宋体" w:eastAsia="宋体" w:cs="宋体"/>
                <w:color w:val="000000"/>
                <w:spacing w:val="-20"/>
                <w:sz w:val="24"/>
                <w:szCs w:val="24"/>
              </w:rPr>
              <w:t>分,地厅级历史文化类著作项目</w:t>
            </w:r>
            <w:r>
              <w:rPr>
                <w:rFonts w:hint="eastAsia" w:ascii="宋体" w:hAnsi="宋体" w:eastAsia="宋体" w:cs="宋体"/>
                <w:color w:val="000000"/>
                <w:spacing w:val="-20"/>
                <w:sz w:val="24"/>
                <w:szCs w:val="24"/>
                <w:lang w:eastAsia="zh-CN"/>
              </w:rPr>
              <w:t>得</w:t>
            </w:r>
            <w:r>
              <w:rPr>
                <w:rFonts w:hint="eastAsia" w:ascii="宋体" w:hAnsi="宋体" w:eastAsia="宋体" w:cs="宋体"/>
                <w:color w:val="000000"/>
                <w:spacing w:val="-20"/>
                <w:sz w:val="24"/>
                <w:szCs w:val="24"/>
                <w:lang w:val="en-US" w:eastAsia="zh-CN"/>
              </w:rPr>
              <w:t>2</w:t>
            </w:r>
            <w:r>
              <w:rPr>
                <w:rFonts w:hint="eastAsia" w:ascii="宋体" w:hAnsi="宋体" w:eastAsia="宋体" w:cs="宋体"/>
                <w:color w:val="000000"/>
                <w:spacing w:val="-20"/>
                <w:sz w:val="24"/>
                <w:szCs w:val="24"/>
              </w:rPr>
              <w:t>分,发表核心期刊及以上论文每篇</w:t>
            </w:r>
            <w:r>
              <w:rPr>
                <w:rFonts w:hint="eastAsia" w:ascii="宋体" w:hAnsi="宋体" w:eastAsia="宋体" w:cs="宋体"/>
                <w:color w:val="000000"/>
                <w:spacing w:val="-20"/>
                <w:sz w:val="24"/>
                <w:szCs w:val="24"/>
                <w:lang w:val="en-US" w:eastAsia="zh-CN"/>
              </w:rPr>
              <w:t>3</w:t>
            </w:r>
            <w:r>
              <w:rPr>
                <w:rFonts w:hint="eastAsia" w:ascii="宋体" w:hAnsi="宋体" w:eastAsia="宋体" w:cs="宋体"/>
                <w:color w:val="000000"/>
                <w:spacing w:val="-20"/>
                <w:sz w:val="24"/>
                <w:szCs w:val="24"/>
              </w:rPr>
              <w:t>分，普通期刊2分</w:t>
            </w:r>
            <w:r>
              <w:rPr>
                <w:rFonts w:hint="eastAsia" w:ascii="宋体" w:hAnsi="宋体" w:eastAsia="宋体" w:cs="宋体"/>
                <w:color w:val="000000"/>
                <w:spacing w:val="-20"/>
                <w:sz w:val="24"/>
                <w:szCs w:val="24"/>
                <w:lang w:eastAsia="zh-CN"/>
              </w:rPr>
              <w:t>。最高得分</w:t>
            </w:r>
            <w:r>
              <w:rPr>
                <w:rFonts w:hint="eastAsia" w:ascii="宋体" w:hAnsi="宋体" w:eastAsia="宋体" w:cs="宋体"/>
                <w:color w:val="000000"/>
                <w:spacing w:val="-20"/>
                <w:sz w:val="24"/>
                <w:szCs w:val="24"/>
                <w:lang w:val="en-US" w:eastAsia="zh-CN"/>
              </w:rPr>
              <w:t>17分</w:t>
            </w:r>
            <w:r>
              <w:rPr>
                <w:rFonts w:hint="eastAsia" w:ascii="宋体" w:hAnsi="宋体" w:eastAsia="宋体" w:cs="宋体"/>
                <w:color w:val="000000"/>
                <w:spacing w:val="-20"/>
                <w:sz w:val="24"/>
                <w:szCs w:val="24"/>
              </w:rPr>
              <w:t>（提供国家立项或结项证明复印件，不提供不得分）</w:t>
            </w:r>
          </w:p>
        </w:tc>
      </w:tr>
      <w:tr>
        <w:tblPrEx>
          <w:tblCellMar>
            <w:top w:w="0" w:type="dxa"/>
            <w:left w:w="108" w:type="dxa"/>
            <w:bottom w:w="0" w:type="dxa"/>
            <w:right w:w="108" w:type="dxa"/>
          </w:tblCellMar>
        </w:tblPrEx>
        <w:trPr>
          <w:trHeight w:val="692" w:hRule="atLeast"/>
          <w:jc w:val="center"/>
        </w:trPr>
        <w:tc>
          <w:tcPr>
            <w:tcW w:w="7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eastAsia="zh-CN"/>
              </w:rPr>
            </w:pPr>
            <w:r>
              <w:rPr>
                <w:rFonts w:hint="eastAsia" w:ascii="宋体" w:hAnsi="宋体" w:eastAsia="宋体" w:cs="宋体"/>
                <w:b/>
                <w:bCs/>
                <w:color w:val="000000"/>
                <w:spacing w:val="-20"/>
                <w:sz w:val="24"/>
                <w:szCs w:val="24"/>
                <w:lang w:val="en-US" w:eastAsia="zh-CN"/>
              </w:rPr>
              <w:t>5</w:t>
            </w:r>
          </w:p>
        </w:tc>
        <w:tc>
          <w:tcPr>
            <w:tcW w:w="688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制作的</w:t>
            </w:r>
            <w:r>
              <w:rPr>
                <w:rFonts w:hint="eastAsia" w:ascii="宋体" w:hAnsi="宋体" w:eastAsia="宋体" w:cs="宋体"/>
                <w:color w:val="000000"/>
                <w:spacing w:val="-20"/>
                <w:sz w:val="24"/>
                <w:szCs w:val="24"/>
                <w:lang w:eastAsia="zh-CN"/>
              </w:rPr>
              <w:t>历史文化文献</w:t>
            </w:r>
            <w:r>
              <w:rPr>
                <w:rFonts w:hint="eastAsia" w:ascii="宋体" w:hAnsi="宋体" w:eastAsia="宋体" w:cs="宋体"/>
                <w:color w:val="000000"/>
                <w:spacing w:val="-20"/>
                <w:sz w:val="24"/>
                <w:szCs w:val="24"/>
              </w:rPr>
              <w:t>获得相关奖项，提供一部得1分，最高不超过</w:t>
            </w:r>
            <w:r>
              <w:rPr>
                <w:rFonts w:hint="eastAsia" w:ascii="宋体" w:hAnsi="宋体" w:eastAsia="宋体" w:cs="宋体"/>
                <w:color w:val="000000"/>
                <w:spacing w:val="-20"/>
                <w:sz w:val="24"/>
                <w:szCs w:val="24"/>
                <w:lang w:val="en-US" w:eastAsia="zh-CN"/>
              </w:rPr>
              <w:t>5</w:t>
            </w:r>
            <w:r>
              <w:rPr>
                <w:rFonts w:hint="eastAsia" w:ascii="宋体" w:hAnsi="宋体" w:eastAsia="宋体" w:cs="宋体"/>
                <w:color w:val="000000"/>
                <w:spacing w:val="-20"/>
                <w:sz w:val="24"/>
                <w:szCs w:val="24"/>
              </w:rPr>
              <w:t>分（提供奖项证书复印件）</w:t>
            </w:r>
          </w:p>
        </w:tc>
      </w:tr>
      <w:tr>
        <w:tblPrEx>
          <w:tblCellMar>
            <w:top w:w="0" w:type="dxa"/>
            <w:left w:w="108" w:type="dxa"/>
            <w:bottom w:w="0" w:type="dxa"/>
            <w:right w:w="108" w:type="dxa"/>
          </w:tblCellMar>
        </w:tblPrEx>
        <w:trPr>
          <w:trHeight w:val="842" w:hRule="atLeast"/>
          <w:jc w:val="center"/>
        </w:trPr>
        <w:tc>
          <w:tcPr>
            <w:tcW w:w="7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rPr>
            </w:pPr>
            <w:r>
              <w:rPr>
                <w:rFonts w:hint="eastAsia" w:ascii="宋体" w:hAnsi="宋体" w:eastAsia="宋体" w:cs="宋体"/>
                <w:b/>
                <w:bCs/>
                <w:color w:val="000000"/>
                <w:spacing w:val="-20"/>
                <w:sz w:val="24"/>
                <w:szCs w:val="24"/>
              </w:rPr>
              <w:t>投标文件规范性</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b/>
                <w:bCs/>
                <w:color w:val="000000"/>
                <w:spacing w:val="-20"/>
                <w:sz w:val="24"/>
                <w:szCs w:val="24"/>
                <w:lang w:val="en-US" w:eastAsia="zh-CN"/>
              </w:rPr>
            </w:pPr>
            <w:r>
              <w:rPr>
                <w:rFonts w:hint="eastAsia" w:ascii="宋体" w:hAnsi="宋体" w:eastAsia="宋体" w:cs="宋体"/>
                <w:b/>
                <w:bCs/>
                <w:color w:val="000000"/>
                <w:spacing w:val="-20"/>
                <w:sz w:val="24"/>
                <w:szCs w:val="24"/>
                <w:lang w:val="en-US" w:eastAsia="zh-CN"/>
              </w:rPr>
              <w:t>3</w:t>
            </w:r>
          </w:p>
        </w:tc>
        <w:tc>
          <w:tcPr>
            <w:tcW w:w="6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hint="eastAsia" w:ascii="宋体" w:hAnsi="宋体" w:eastAsia="宋体" w:cs="宋体"/>
                <w:color w:val="000000"/>
                <w:spacing w:val="-20"/>
                <w:sz w:val="24"/>
                <w:szCs w:val="24"/>
              </w:rPr>
            </w:pPr>
            <w:r>
              <w:rPr>
                <w:rFonts w:hint="eastAsia" w:ascii="宋体" w:hAnsi="宋体" w:eastAsia="宋体" w:cs="宋体"/>
                <w:color w:val="000000"/>
                <w:spacing w:val="-20"/>
                <w:sz w:val="24"/>
                <w:szCs w:val="24"/>
              </w:rPr>
              <w:t>投标文件制作规范，没有细微偏差情形的得</w:t>
            </w:r>
            <w:r>
              <w:rPr>
                <w:rFonts w:hint="eastAsia" w:ascii="宋体" w:hAnsi="宋体" w:eastAsia="宋体" w:cs="宋体"/>
                <w:color w:val="000000"/>
                <w:spacing w:val="-20"/>
                <w:sz w:val="24"/>
                <w:szCs w:val="24"/>
                <w:lang w:val="en-US" w:eastAsia="zh-CN"/>
              </w:rPr>
              <w:t>3</w:t>
            </w:r>
            <w:r>
              <w:rPr>
                <w:rFonts w:hint="eastAsia" w:ascii="宋体" w:hAnsi="宋体" w:eastAsia="宋体" w:cs="宋体"/>
                <w:color w:val="000000"/>
                <w:spacing w:val="-20"/>
                <w:sz w:val="24"/>
                <w:szCs w:val="24"/>
              </w:rPr>
              <w:t>分，有一项细微偏差的扣1分，直至该项分值扣完为止。</w:t>
            </w:r>
          </w:p>
        </w:tc>
      </w:tr>
    </w:tbl>
    <w:p>
      <w:pPr>
        <w:pStyle w:val="3"/>
        <w:tabs>
          <w:tab w:val="left" w:pos="8742"/>
          <w:tab w:val="left" w:pos="9222"/>
          <w:tab w:val="left" w:pos="9702"/>
        </w:tabs>
        <w:spacing w:line="220" w:lineRule="auto"/>
        <w:ind w:left="0" w:right="1121"/>
        <w:rPr>
          <w:rFonts w:hint="eastAsia" w:ascii="宋体" w:hAnsi="宋体" w:eastAsia="宋体" w:cs="宋体"/>
          <w:color w:val="000000" w:themeColor="text1"/>
          <w:lang w:val="en-US"/>
          <w14:textFill>
            <w14:solidFill>
              <w14:schemeClr w14:val="tx1"/>
            </w14:solidFill>
          </w14:textFill>
        </w:rPr>
      </w:pPr>
    </w:p>
    <w:p>
      <w:pPr>
        <w:rPr>
          <w:rFonts w:hint="eastAsia" w:ascii="宋体" w:hAnsi="宋体" w:eastAsia="宋体" w:cs="宋体"/>
          <w:color w:val="000000" w:themeColor="text1"/>
          <w:lang w:val="en-US"/>
          <w14:textFill>
            <w14:solidFill>
              <w14:schemeClr w14:val="tx1"/>
            </w14:solidFill>
          </w14:textFill>
        </w:rPr>
      </w:pPr>
    </w:p>
    <w:p>
      <w:pPr>
        <w:pStyle w:val="17"/>
        <w:rPr>
          <w:rFonts w:hint="eastAsia" w:ascii="宋体" w:hAnsi="宋体" w:eastAsia="宋体" w:cs="宋体"/>
          <w:color w:val="000000" w:themeColor="text1"/>
          <w:lang w:val="en-US"/>
          <w14:textFill>
            <w14:solidFill>
              <w14:schemeClr w14:val="tx1"/>
            </w14:solidFill>
          </w14:textFill>
        </w:rPr>
      </w:pPr>
    </w:p>
    <w:p>
      <w:pPr>
        <w:pStyle w:val="17"/>
        <w:rPr>
          <w:rFonts w:hint="eastAsia" w:ascii="宋体" w:hAnsi="宋体" w:eastAsia="宋体" w:cs="宋体"/>
          <w:color w:val="000000" w:themeColor="text1"/>
          <w:lang w:val="en-US"/>
          <w14:textFill>
            <w14:solidFill>
              <w14:schemeClr w14:val="tx1"/>
            </w14:solidFill>
          </w14:textFill>
        </w:rPr>
      </w:pPr>
    </w:p>
    <w:p>
      <w:pPr>
        <w:pStyle w:val="17"/>
        <w:rPr>
          <w:rFonts w:hint="eastAsia" w:ascii="宋体" w:hAnsi="宋体" w:eastAsia="宋体" w:cs="宋体"/>
          <w:color w:val="000000" w:themeColor="text1"/>
          <w:lang w:val="en-US"/>
          <w14:textFill>
            <w14:solidFill>
              <w14:schemeClr w14:val="tx1"/>
            </w14:solidFill>
          </w14:textFill>
        </w:rPr>
      </w:pPr>
    </w:p>
    <w:p>
      <w:pPr>
        <w:pStyle w:val="17"/>
        <w:rPr>
          <w:rFonts w:hint="eastAsia" w:ascii="宋体" w:hAnsi="宋体" w:eastAsia="宋体" w:cs="宋体"/>
          <w:color w:val="000000" w:themeColor="text1"/>
          <w:lang w:val="en-US"/>
          <w14:textFill>
            <w14:solidFill>
              <w14:schemeClr w14:val="tx1"/>
            </w14:solidFill>
          </w14:textFill>
        </w:rPr>
      </w:pPr>
    </w:p>
    <w:p>
      <w:pPr>
        <w:pStyle w:val="3"/>
        <w:tabs>
          <w:tab w:val="left" w:pos="8742"/>
          <w:tab w:val="left" w:pos="9222"/>
          <w:tab w:val="left" w:pos="9702"/>
        </w:tabs>
        <w:spacing w:line="220" w:lineRule="auto"/>
        <w:ind w:left="0" w:leftChars="0" w:right="1121" w:firstLine="0" w:firstLineChars="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第九条 评委会评审</w:t>
      </w:r>
    </w:p>
    <w:p>
      <w:pPr>
        <w:pStyle w:val="3"/>
        <w:tabs>
          <w:tab w:val="left" w:pos="8742"/>
          <w:tab w:val="left" w:pos="9222"/>
          <w:tab w:val="left" w:pos="9702"/>
        </w:tabs>
        <w:spacing w:line="220" w:lineRule="auto"/>
        <w:ind w:left="0" w:right="1121" w:firstLine="72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采购人代表或公正部门人员对投标人资格进行资格审查。</w:t>
      </w:r>
    </w:p>
    <w:p>
      <w:pPr>
        <w:pStyle w:val="3"/>
        <w:spacing w:line="394" w:lineRule="exact"/>
        <w:ind w:left="0" w:firstLine="72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资格审查合格后，评标委员会对投标文件进行符合性审查。</w:t>
      </w:r>
    </w:p>
    <w:p>
      <w:pPr>
        <w:pStyle w:val="3"/>
        <w:tabs>
          <w:tab w:val="left" w:pos="8742"/>
          <w:tab w:val="left" w:pos="9222"/>
          <w:tab w:val="left" w:pos="9702"/>
        </w:tabs>
        <w:spacing w:line="220" w:lineRule="auto"/>
        <w:ind w:left="0" w:right="1121"/>
        <w:rPr>
          <w:rFonts w:hint="eastAsia" w:ascii="宋体" w:hAnsi="宋体" w:eastAsia="宋体" w:cs="宋体"/>
          <w:color w:val="000000" w:themeColor="text1"/>
          <w14:textFill>
            <w14:solidFill>
              <w14:schemeClr w14:val="tx1"/>
            </w14:solidFill>
          </w14:textFill>
        </w:rPr>
      </w:pPr>
    </w:p>
    <w:tbl>
      <w:tblPr>
        <w:tblStyle w:val="18"/>
        <w:tblW w:w="9658" w:type="dxa"/>
        <w:tblInd w:w="115" w:type="dxa"/>
        <w:tblLayout w:type="fixed"/>
        <w:tblCellMar>
          <w:top w:w="0" w:type="dxa"/>
          <w:left w:w="0" w:type="dxa"/>
          <w:bottom w:w="0" w:type="dxa"/>
          <w:right w:w="0" w:type="dxa"/>
        </w:tblCellMar>
      </w:tblPr>
      <w:tblGrid>
        <w:gridCol w:w="968"/>
        <w:gridCol w:w="1130"/>
        <w:gridCol w:w="2072"/>
        <w:gridCol w:w="5488"/>
      </w:tblGrid>
      <w:tr>
        <w:trPr>
          <w:trHeight w:val="453" w:hRule="exact"/>
        </w:trPr>
        <w:tc>
          <w:tcPr>
            <w:tcW w:w="2098" w:type="dxa"/>
            <w:gridSpan w:val="2"/>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652" w:right="634"/>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072"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w:t>
            </w:r>
          </w:p>
        </w:tc>
        <w:tc>
          <w:tcPr>
            <w:tcW w:w="5488" w:type="dxa"/>
            <w:tcBorders>
              <w:top w:val="single" w:color="000000" w:sz="4" w:space="0"/>
              <w:left w:val="single" w:color="000000" w:sz="4" w:space="0"/>
              <w:bottom w:val="single" w:color="000000" w:sz="4" w:space="0"/>
              <w:right w:val="single" w:color="000000" w:sz="4" w:space="0"/>
            </w:tcBorders>
          </w:tcPr>
          <w:p>
            <w:pPr>
              <w:adjustRightInd w:val="0"/>
              <w:spacing w:before="49" w:line="360" w:lineRule="auto"/>
              <w:ind w:left="1876" w:right="185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tblPrEx>
          <w:tblCellMar>
            <w:top w:w="0" w:type="dxa"/>
            <w:left w:w="0" w:type="dxa"/>
            <w:bottom w:w="0" w:type="dxa"/>
            <w:right w:w="0" w:type="dxa"/>
          </w:tblCellMar>
        </w:tblPrEx>
        <w:trPr>
          <w:trHeight w:val="462" w:hRule="exact"/>
        </w:trPr>
        <w:tc>
          <w:tcPr>
            <w:tcW w:w="968"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pacing w:before="19"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pacing w:line="360" w:lineRule="auto"/>
              <w:ind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w:t>
            </w:r>
          </w:p>
        </w:tc>
        <w:tc>
          <w:tcPr>
            <w:tcW w:w="1130" w:type="dxa"/>
            <w:vMerge w:val="restart"/>
            <w:tcBorders>
              <w:top w:val="single" w:color="auto" w:sz="4" w:space="0"/>
              <w:left w:val="single" w:color="auto" w:sz="4" w:space="0"/>
              <w:bottom w:val="single" w:color="auto" w:sz="4" w:space="0"/>
              <w:right w:val="single" w:color="auto" w:sz="4" w:space="0"/>
            </w:tcBorders>
          </w:tcPr>
          <w:p>
            <w:pPr>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p>
            <w:pPr>
              <w:adjustRightInd w:val="0"/>
              <w:spacing w:line="360" w:lineRule="auto"/>
              <w:rPr>
                <w:rFonts w:hint="eastAsia" w:ascii="宋体" w:hAnsi="宋体" w:eastAsia="宋体" w:cs="宋体"/>
                <w:color w:val="000000" w:themeColor="text1"/>
                <w:sz w:val="24"/>
                <w:szCs w:val="24"/>
                <w14:textFill>
                  <w14:solidFill>
                    <w14:schemeClr w14:val="tx1"/>
                  </w14:solidFill>
                </w14:textFill>
              </w:rPr>
            </w:pPr>
          </w:p>
          <w:p>
            <w:pPr>
              <w:tabs>
                <w:tab w:val="left" w:pos="0"/>
              </w:tabs>
              <w:adjustRightInd w:val="0"/>
              <w:spacing w:line="360" w:lineRule="auto"/>
              <w:ind w:left="19" w:right="60" w:hanging="1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w:t>
            </w:r>
            <w:r>
              <w:rPr>
                <w:rFonts w:hint="eastAsia" w:ascii="宋体" w:hAnsi="宋体" w:eastAsia="宋体" w:cs="宋体"/>
                <w:color w:val="000000" w:themeColor="text1"/>
                <w:spacing w:val="-2"/>
                <w:sz w:val="24"/>
                <w:szCs w:val="24"/>
                <w14:textFill>
                  <w14:solidFill>
                    <w14:schemeClr w14:val="tx1"/>
                  </w14:solidFill>
                </w14:textFill>
              </w:rPr>
              <w:t>性</w:t>
            </w:r>
            <w:r>
              <w:rPr>
                <w:rFonts w:hint="eastAsia" w:ascii="宋体" w:hAnsi="宋体" w:eastAsia="宋体" w:cs="宋体"/>
                <w:color w:val="000000" w:themeColor="text1"/>
                <w:sz w:val="24"/>
                <w:szCs w:val="24"/>
                <w14:textFill>
                  <w14:solidFill>
                    <w14:schemeClr w14:val="tx1"/>
                  </w14:solidFill>
                </w14:textFill>
              </w:rPr>
              <w:t>评审标准</w:t>
            </w: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r>
              <w:rPr>
                <w:rFonts w:hint="eastAsia" w:ascii="宋体" w:hAnsi="宋体" w:eastAsia="宋体" w:cs="宋体"/>
                <w:color w:val="000000" w:themeColor="text1"/>
                <w:spacing w:val="-2"/>
                <w:sz w:val="24"/>
                <w:szCs w:val="24"/>
                <w14:textFill>
                  <w14:solidFill>
                    <w14:schemeClr w14:val="tx1"/>
                  </w14:solidFill>
                </w14:textFill>
              </w:rPr>
              <w:t>报</w:t>
            </w:r>
            <w:r>
              <w:rPr>
                <w:rFonts w:hint="eastAsia" w:ascii="宋体" w:hAnsi="宋体" w:eastAsia="宋体" w:cs="宋体"/>
                <w:color w:val="000000" w:themeColor="text1"/>
                <w:sz w:val="24"/>
                <w:szCs w:val="24"/>
                <w14:textFill>
                  <w14:solidFill>
                    <w14:schemeClr w14:val="tx1"/>
                  </w14:solidFill>
                </w14:textFill>
              </w:rPr>
              <w:t>价</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r>
              <w:rPr>
                <w:rFonts w:hint="eastAsia" w:ascii="宋体" w:hAnsi="宋体" w:eastAsia="宋体" w:cs="宋体"/>
                <w:color w:val="000000" w:themeColor="text1"/>
                <w:spacing w:val="-2"/>
                <w:sz w:val="24"/>
                <w:szCs w:val="24"/>
                <w14:textFill>
                  <w14:solidFill>
                    <w14:schemeClr w14:val="tx1"/>
                  </w14:solidFill>
                </w14:textFill>
              </w:rPr>
              <w:t>内</w:t>
            </w:r>
            <w:r>
              <w:rPr>
                <w:rFonts w:hint="eastAsia" w:ascii="宋体" w:hAnsi="宋体" w:eastAsia="宋体" w:cs="宋体"/>
                <w:color w:val="000000" w:themeColor="text1"/>
                <w:sz w:val="24"/>
                <w:szCs w:val="24"/>
                <w14:textFill>
                  <w14:solidFill>
                    <w14:schemeClr w14:val="tx1"/>
                  </w14:solidFill>
                </w14:textFill>
              </w:rPr>
              <w:t>容</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49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交货期</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w:t>
            </w:r>
            <w:r>
              <w:rPr>
                <w:rFonts w:hint="eastAsia" w:ascii="宋体" w:hAnsi="宋体" w:eastAsia="宋体" w:cs="宋体"/>
                <w:color w:val="000000" w:themeColor="text1"/>
                <w:spacing w:val="-2"/>
                <w:sz w:val="24"/>
                <w:szCs w:val="24"/>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点</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w:t>
            </w:r>
            <w:r>
              <w:rPr>
                <w:rFonts w:hint="eastAsia" w:ascii="宋体" w:hAnsi="宋体" w:eastAsia="宋体" w:cs="宋体"/>
                <w:color w:val="000000" w:themeColor="text1"/>
                <w:sz w:val="24"/>
                <w:szCs w:val="24"/>
                <w:lang w:val="en-US"/>
                <w14:textFill>
                  <w14:solidFill>
                    <w14:schemeClr w14:val="tx1"/>
                  </w14:solidFill>
                </w14:textFill>
              </w:rPr>
              <w:t>参数</w:t>
            </w:r>
            <w:r>
              <w:rPr>
                <w:rFonts w:hint="eastAsia" w:ascii="宋体" w:hAnsi="宋体" w:eastAsia="宋体" w:cs="宋体"/>
                <w:color w:val="000000" w:themeColor="text1"/>
                <w:spacing w:val="-2"/>
                <w:sz w:val="24"/>
                <w:szCs w:val="24"/>
                <w14:textFill>
                  <w14:solidFill>
                    <w14:schemeClr w14:val="tx1"/>
                  </w14:solidFill>
                </w14:textFill>
              </w:rPr>
              <w:t>性</w:t>
            </w:r>
            <w:r>
              <w:rPr>
                <w:rFonts w:hint="eastAsia" w:ascii="宋体" w:hAnsi="宋体" w:eastAsia="宋体" w:cs="宋体"/>
                <w:color w:val="000000" w:themeColor="text1"/>
                <w:sz w:val="24"/>
                <w:szCs w:val="24"/>
                <w14:textFill>
                  <w14:solidFill>
                    <w14:schemeClr w14:val="tx1"/>
                  </w14:solidFill>
                </w14:textFill>
              </w:rPr>
              <w:t>能</w:t>
            </w:r>
            <w:r>
              <w:rPr>
                <w:rFonts w:hint="eastAsia" w:ascii="宋体" w:hAnsi="宋体" w:eastAsia="宋体" w:cs="宋体"/>
                <w:color w:val="000000" w:themeColor="text1"/>
                <w:spacing w:val="-2"/>
                <w:sz w:val="24"/>
                <w:szCs w:val="24"/>
                <w14:textFill>
                  <w14:solidFill>
                    <w14:schemeClr w14:val="tx1"/>
                  </w14:solidFill>
                </w14:textFill>
              </w:rPr>
              <w:t>指</w:t>
            </w:r>
            <w:r>
              <w:rPr>
                <w:rFonts w:hint="eastAsia" w:ascii="宋体" w:hAnsi="宋体" w:eastAsia="宋体" w:cs="宋体"/>
                <w:color w:val="000000" w:themeColor="text1"/>
                <w:sz w:val="24"/>
                <w:szCs w:val="24"/>
                <w14:textFill>
                  <w14:solidFill>
                    <w14:schemeClr w14:val="tx1"/>
                  </w14:solidFill>
                </w14:textFill>
              </w:rPr>
              <w:t>标</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供货期限</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r>
              <w:rPr>
                <w:rFonts w:hint="eastAsia" w:ascii="宋体" w:hAnsi="宋体" w:eastAsia="宋体" w:cs="宋体"/>
                <w:color w:val="000000" w:themeColor="text1"/>
                <w:spacing w:val="-2"/>
                <w:sz w:val="24"/>
                <w:szCs w:val="24"/>
                <w14:textFill>
                  <w14:solidFill>
                    <w14:schemeClr w14:val="tx1"/>
                  </w14:solidFill>
                </w14:textFill>
              </w:rPr>
              <w:t>有</w:t>
            </w:r>
            <w:r>
              <w:rPr>
                <w:rFonts w:hint="eastAsia" w:ascii="宋体" w:hAnsi="宋体" w:eastAsia="宋体" w:cs="宋体"/>
                <w:color w:val="000000" w:themeColor="text1"/>
                <w:sz w:val="24"/>
                <w:szCs w:val="24"/>
                <w14:textFill>
                  <w14:solidFill>
                    <w14:schemeClr w14:val="tx1"/>
                  </w14:solidFill>
                </w14:textFill>
              </w:rPr>
              <w:t>效期</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62"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验收标准</w:t>
            </w:r>
            <w:r>
              <w:rPr>
                <w:rFonts w:hint="eastAsia" w:ascii="宋体" w:hAnsi="宋体" w:eastAsia="宋体" w:cs="宋体"/>
                <w:color w:val="000000" w:themeColor="text1"/>
                <w:sz w:val="24"/>
                <w:szCs w:val="24"/>
                <w:lang w:val="en-US" w:bidi="ar-SA"/>
                <w14:textFill>
                  <w14:solidFill>
                    <w14:schemeClr w14:val="tx1"/>
                  </w14:solidFill>
                </w14:textFill>
              </w:rPr>
              <w:drawing>
                <wp:inline distT="0" distB="0" distL="0" distR="0">
                  <wp:extent cx="1085850" cy="371475"/>
                  <wp:effectExtent l="1905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8" cstate="print"/>
                          <a:srcRect/>
                          <a:stretch>
                            <a:fillRect/>
                          </a:stretch>
                        </pic:blipFill>
                        <pic:spPr>
                          <a:xfrm>
                            <a:off x="0" y="0"/>
                            <a:ext cx="1085850" cy="371475"/>
                          </a:xfrm>
                          <a:prstGeom prst="rect">
                            <a:avLst/>
                          </a:prstGeom>
                          <a:noFill/>
                          <a:ln w="9525">
                            <a:noFill/>
                            <a:miter lim="800000"/>
                            <a:headEnd/>
                            <a:tailEnd/>
                          </a:ln>
                        </pic:spPr>
                      </pic:pic>
                    </a:graphicData>
                  </a:graphic>
                </wp:inline>
              </w:drawing>
            </w:r>
            <w:r>
              <w:rPr>
                <w:rFonts w:hint="eastAsia" w:ascii="宋体" w:hAnsi="宋体" w:eastAsia="宋体" w:cs="宋体"/>
                <w:color w:val="000000" w:themeColor="text1"/>
                <w:sz w:val="24"/>
                <w:szCs w:val="24"/>
                <w:lang w:val="en-US" w:bidi="ar-SA"/>
                <w14:textFill>
                  <w14:solidFill>
                    <w14:schemeClr w14:val="tx1"/>
                  </w14:solidFill>
                </w14:textFill>
              </w:rPr>
              <w:drawing>
                <wp:inline distT="0" distB="0" distL="0" distR="0">
                  <wp:extent cx="1085850" cy="276225"/>
                  <wp:effectExtent l="1905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9" cstate="print"/>
                          <a:srcRect/>
                          <a:stretch>
                            <a:fillRect/>
                          </a:stretch>
                        </pic:blipFill>
                        <pic:spPr>
                          <a:xfrm>
                            <a:off x="0" y="0"/>
                            <a:ext cx="1085850" cy="276225"/>
                          </a:xfrm>
                          <a:prstGeom prst="rect">
                            <a:avLst/>
                          </a:prstGeom>
                          <a:noFill/>
                          <a:ln w="9525">
                            <a:noFill/>
                            <a:miter lim="800000"/>
                            <a:headEnd/>
                            <a:tailEnd/>
                          </a:ln>
                        </pic:spPr>
                      </pic:pic>
                    </a:graphicData>
                  </a:graphic>
                </wp:inline>
              </w:drawing>
            </w:r>
            <w:r>
              <w:rPr>
                <w:rFonts w:hint="eastAsia" w:ascii="宋体" w:hAnsi="宋体" w:eastAsia="宋体" w:cs="宋体"/>
                <w:color w:val="000000" w:themeColor="text1"/>
                <w:spacing w:val="-2"/>
                <w:sz w:val="24"/>
                <w:szCs w:val="24"/>
                <w14:textFill>
                  <w14:solidFill>
                    <w14:schemeClr w14:val="tx1"/>
                  </w14:solidFill>
                </w14:textFill>
              </w:rPr>
              <w:t>保</w:t>
            </w:r>
            <w:r>
              <w:rPr>
                <w:rFonts w:hint="eastAsia" w:ascii="宋体" w:hAnsi="宋体" w:eastAsia="宋体" w:cs="宋体"/>
                <w:color w:val="000000" w:themeColor="text1"/>
                <w:sz w:val="24"/>
                <w:szCs w:val="24"/>
                <w14:textFill>
                  <w14:solidFill>
                    <w14:schemeClr w14:val="tx1"/>
                  </w14:solidFill>
                </w14:textFill>
              </w:rPr>
              <w:t>证金</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457"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right="-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权利</w:t>
            </w:r>
            <w:r>
              <w:rPr>
                <w:rFonts w:hint="eastAsia" w:ascii="宋体" w:hAnsi="宋体" w:eastAsia="宋体" w:cs="宋体"/>
                <w:color w:val="000000" w:themeColor="text1"/>
                <w:spacing w:val="-2"/>
                <w:sz w:val="24"/>
                <w:szCs w:val="24"/>
                <w14:textFill>
                  <w14:solidFill>
                    <w14:schemeClr w14:val="tx1"/>
                  </w14:solidFill>
                </w14:textFill>
              </w:rPr>
              <w:t>义</w:t>
            </w:r>
            <w:r>
              <w:rPr>
                <w:rFonts w:hint="eastAsia" w:ascii="宋体" w:hAnsi="宋体" w:eastAsia="宋体" w:cs="宋体"/>
                <w:color w:val="000000" w:themeColor="text1"/>
                <w:sz w:val="24"/>
                <w:szCs w:val="24"/>
                <w14:textFill>
                  <w14:solidFill>
                    <w14:schemeClr w14:val="tx1"/>
                  </w14:solidFill>
                </w14:textFill>
              </w:rPr>
              <w:t>务</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符合本招标文件要求</w:t>
            </w:r>
          </w:p>
        </w:tc>
      </w:tr>
      <w:tr>
        <w:trPr>
          <w:trHeight w:val="744" w:hRule="exact"/>
        </w:trPr>
        <w:tc>
          <w:tcPr>
            <w:tcW w:w="968" w:type="dxa"/>
            <w:vMerge w:val="continue"/>
            <w:tcBorders>
              <w:top w:val="single" w:color="auto" w:sz="4" w:space="0"/>
              <w:left w:val="single" w:color="auto" w:sz="4" w:space="0"/>
              <w:bottom w:val="single" w:color="auto" w:sz="4" w:space="0"/>
              <w:right w:val="single" w:color="auto" w:sz="4" w:space="0"/>
            </w:tcBorders>
          </w:tcPr>
          <w:p>
            <w:pPr>
              <w:adjustRightInd w:val="0"/>
              <w:spacing w:before="83"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1130" w:type="dxa"/>
            <w:vMerge w:val="continue"/>
            <w:tcBorders>
              <w:top w:val="single" w:color="auto" w:sz="4" w:space="0"/>
              <w:left w:val="single" w:color="auto" w:sz="4" w:space="0"/>
              <w:bottom w:val="single" w:color="auto" w:sz="4" w:space="0"/>
              <w:right w:val="single" w:color="auto" w:sz="4" w:space="0"/>
            </w:tcBorders>
          </w:tcPr>
          <w:p>
            <w:pPr>
              <w:adjustRightInd w:val="0"/>
              <w:spacing w:before="83" w:line="360" w:lineRule="auto"/>
              <w:ind w:left="102" w:right="-20"/>
              <w:rPr>
                <w:rFonts w:hint="eastAsia" w:ascii="宋体" w:hAnsi="宋体" w:eastAsia="宋体" w:cs="宋体"/>
                <w:color w:val="000000" w:themeColor="text1"/>
                <w:sz w:val="24"/>
                <w:szCs w:val="24"/>
                <w14:textFill>
                  <w14:solidFill>
                    <w14:schemeClr w14:val="tx1"/>
                  </w14:solidFill>
                </w14:textFill>
              </w:rPr>
            </w:pPr>
          </w:p>
        </w:tc>
        <w:tc>
          <w:tcPr>
            <w:tcW w:w="2072" w:type="dxa"/>
            <w:tcBorders>
              <w:top w:val="single" w:color="auto" w:sz="4" w:space="0"/>
              <w:left w:val="single" w:color="auto" w:sz="4" w:space="0"/>
              <w:bottom w:val="single" w:color="auto" w:sz="4" w:space="0"/>
              <w:right w:val="single" w:color="auto" w:sz="4" w:space="0"/>
            </w:tcBorders>
          </w:tcPr>
          <w:p>
            <w:pPr>
              <w:adjustRightInd w:val="0"/>
              <w:spacing w:line="360" w:lineRule="auto"/>
              <w:ind w:right="107"/>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w:t>
            </w:r>
            <w:r>
              <w:rPr>
                <w:rFonts w:hint="eastAsia" w:ascii="宋体" w:hAnsi="宋体" w:eastAsia="宋体" w:cs="宋体"/>
                <w:color w:val="000000" w:themeColor="text1"/>
                <w:spacing w:val="1"/>
                <w:sz w:val="24"/>
                <w:szCs w:val="24"/>
                <w14:textFill>
                  <w14:solidFill>
                    <w14:schemeClr w14:val="tx1"/>
                  </w14:solidFill>
                </w14:textFill>
              </w:rPr>
              <w:t>标服务</w:t>
            </w:r>
            <w:r>
              <w:rPr>
                <w:rFonts w:hint="eastAsia" w:ascii="宋体" w:hAnsi="宋体" w:eastAsia="宋体" w:cs="宋体"/>
                <w:color w:val="000000" w:themeColor="text1"/>
                <w:spacing w:val="-2"/>
                <w:sz w:val="24"/>
                <w:szCs w:val="24"/>
                <w14:textFill>
                  <w14:solidFill>
                    <w14:schemeClr w14:val="tx1"/>
                  </w14:solidFill>
                </w14:textFill>
              </w:rPr>
              <w:t>及</w:t>
            </w:r>
            <w:r>
              <w:rPr>
                <w:rFonts w:hint="eastAsia" w:ascii="宋体" w:hAnsi="宋体" w:eastAsia="宋体" w:cs="宋体"/>
                <w:color w:val="000000" w:themeColor="text1"/>
                <w:sz w:val="24"/>
                <w:szCs w:val="24"/>
                <w14:textFill>
                  <w14:solidFill>
                    <w14:schemeClr w14:val="tx1"/>
                  </w14:solidFill>
                </w14:textFill>
              </w:rPr>
              <w:t>技</w:t>
            </w:r>
            <w:r>
              <w:rPr>
                <w:rFonts w:hint="eastAsia" w:ascii="宋体" w:hAnsi="宋体" w:eastAsia="宋体" w:cs="宋体"/>
                <w:color w:val="000000" w:themeColor="text1"/>
                <w:spacing w:val="-2"/>
                <w:sz w:val="24"/>
                <w:szCs w:val="24"/>
                <w14:textFill>
                  <w14:solidFill>
                    <w14:schemeClr w14:val="tx1"/>
                  </w14:solidFill>
                </w14:textFill>
              </w:rPr>
              <w:t>术</w:t>
            </w:r>
            <w:r>
              <w:rPr>
                <w:rFonts w:hint="eastAsia" w:ascii="宋体" w:hAnsi="宋体" w:eastAsia="宋体" w:cs="宋体"/>
                <w:color w:val="000000" w:themeColor="text1"/>
                <w:sz w:val="24"/>
                <w:szCs w:val="24"/>
                <w14:textFill>
                  <w14:solidFill>
                    <w14:schemeClr w14:val="tx1"/>
                  </w14:solidFill>
                </w14:textFill>
              </w:rPr>
              <w:t>服</w:t>
            </w:r>
            <w:r>
              <w:rPr>
                <w:rFonts w:hint="eastAsia" w:ascii="宋体" w:hAnsi="宋体" w:eastAsia="宋体" w:cs="宋体"/>
                <w:color w:val="000000" w:themeColor="text1"/>
                <w:spacing w:val="-2"/>
                <w:sz w:val="24"/>
                <w:szCs w:val="24"/>
                <w14:textFill>
                  <w14:solidFill>
                    <w14:schemeClr w14:val="tx1"/>
                  </w14:solidFill>
                </w14:textFill>
              </w:rPr>
              <w:t>务响应</w:t>
            </w:r>
          </w:p>
        </w:tc>
        <w:tc>
          <w:tcPr>
            <w:tcW w:w="5488" w:type="dxa"/>
            <w:tcBorders>
              <w:top w:val="single" w:color="auto" w:sz="4" w:space="0"/>
              <w:left w:val="single" w:color="auto" w:sz="4" w:space="0"/>
              <w:bottom w:val="single" w:color="auto" w:sz="4" w:space="0"/>
              <w:right w:val="single" w:color="auto" w:sz="4" w:space="0"/>
            </w:tcBorders>
          </w:tcPr>
          <w:p>
            <w:pPr>
              <w:adjustRightInd w:val="0"/>
              <w:spacing w:before="48" w:line="360" w:lineRule="auto"/>
              <w:ind w:left="102" w:right="-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w:t>
            </w:r>
            <w:r>
              <w:rPr>
                <w:rFonts w:hint="eastAsia" w:ascii="宋体" w:hAnsi="宋体" w:eastAsia="宋体" w:cs="宋体"/>
                <w:color w:val="000000" w:themeColor="text1"/>
                <w:spacing w:val="-2"/>
                <w:sz w:val="24"/>
                <w:szCs w:val="24"/>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实</w:t>
            </w:r>
            <w:r>
              <w:rPr>
                <w:rFonts w:hint="eastAsia" w:ascii="宋体" w:hAnsi="宋体" w:eastAsia="宋体" w:cs="宋体"/>
                <w:color w:val="000000" w:themeColor="text1"/>
                <w:spacing w:val="-2"/>
                <w:sz w:val="24"/>
                <w:szCs w:val="24"/>
                <w14:textFill>
                  <w14:solidFill>
                    <w14:schemeClr w14:val="tx1"/>
                  </w14:solidFill>
                </w14:textFill>
              </w:rPr>
              <w:t>质</w:t>
            </w:r>
            <w:r>
              <w:rPr>
                <w:rFonts w:hint="eastAsia" w:ascii="宋体" w:hAnsi="宋体" w:eastAsia="宋体" w:cs="宋体"/>
                <w:color w:val="000000" w:themeColor="text1"/>
                <w:sz w:val="24"/>
                <w:szCs w:val="24"/>
                <w14:textFill>
                  <w14:solidFill>
                    <w14:schemeClr w14:val="tx1"/>
                  </w14:solidFill>
                </w14:textFill>
              </w:rPr>
              <w:t>性</w:t>
            </w:r>
            <w:r>
              <w:rPr>
                <w:rFonts w:hint="eastAsia" w:ascii="宋体" w:hAnsi="宋体" w:eastAsia="宋体" w:cs="宋体"/>
                <w:color w:val="000000" w:themeColor="text1"/>
                <w:spacing w:val="-2"/>
                <w:sz w:val="24"/>
                <w:szCs w:val="24"/>
                <w14:textFill>
                  <w14:solidFill>
                    <w14:schemeClr w14:val="tx1"/>
                  </w14:solidFill>
                </w14:textFill>
              </w:rPr>
              <w:t>要</w:t>
            </w:r>
            <w:r>
              <w:rPr>
                <w:rFonts w:hint="eastAsia" w:ascii="宋体" w:hAnsi="宋体" w:eastAsia="宋体" w:cs="宋体"/>
                <w:color w:val="000000" w:themeColor="text1"/>
                <w:sz w:val="24"/>
                <w:szCs w:val="24"/>
                <w14:textFill>
                  <w14:solidFill>
                    <w14:schemeClr w14:val="tx1"/>
                  </w14:solidFill>
                </w14:textFill>
              </w:rPr>
              <w:t>求</w:t>
            </w:r>
          </w:p>
        </w:tc>
      </w:tr>
      <w:tr>
        <w:trPr>
          <w:trHeight w:val="1063" w:hRule="exact"/>
        </w:trPr>
        <w:tc>
          <w:tcPr>
            <w:tcW w:w="9658" w:type="dxa"/>
            <w:gridSpan w:val="4"/>
            <w:tcBorders>
              <w:top w:val="single" w:color="auto" w:sz="4" w:space="0"/>
              <w:left w:val="single" w:color="auto" w:sz="4" w:space="0"/>
              <w:bottom w:val="single" w:color="auto" w:sz="4" w:space="0"/>
              <w:right w:val="single" w:color="auto" w:sz="4" w:space="0"/>
            </w:tcBorders>
          </w:tcPr>
          <w:p>
            <w:pPr>
              <w:pStyle w:val="25"/>
              <w:spacing w:line="373" w:lineRule="exact"/>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符合性审查指标通过标准：</w:t>
            </w:r>
          </w:p>
          <w:p>
            <w:pPr>
              <w:pStyle w:val="25"/>
              <w:spacing w:line="489" w:lineRule="exact"/>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投标供应商必须通过上述全部指标。</w:t>
            </w:r>
          </w:p>
        </w:tc>
      </w:tr>
      <w:tr>
        <w:trPr>
          <w:trHeight w:val="1073" w:hRule="exact"/>
        </w:trPr>
        <w:tc>
          <w:tcPr>
            <w:tcW w:w="9658" w:type="dxa"/>
            <w:gridSpan w:val="4"/>
            <w:tcBorders>
              <w:top w:val="single" w:color="auto" w:sz="4" w:space="0"/>
              <w:left w:val="single" w:color="auto" w:sz="4" w:space="0"/>
              <w:bottom w:val="single" w:color="auto" w:sz="4" w:space="0"/>
              <w:right w:val="single" w:color="auto" w:sz="4" w:space="0"/>
            </w:tcBorders>
          </w:tcPr>
          <w:p>
            <w:pPr>
              <w:pStyle w:val="25"/>
              <w:spacing w:line="373" w:lineRule="exact"/>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评委签字：</w:t>
            </w:r>
          </w:p>
          <w:p>
            <w:pPr>
              <w:pStyle w:val="25"/>
              <w:spacing w:line="488" w:lineRule="exact"/>
              <w:ind w:left="10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评审时间：</w:t>
            </w:r>
          </w:p>
        </w:tc>
      </w:tr>
    </w:tbl>
    <w:p>
      <w:pPr>
        <w:pStyle w:val="3"/>
        <w:spacing w:before="10"/>
        <w:ind w:left="0"/>
        <w:rPr>
          <w:rFonts w:hint="eastAsia" w:ascii="宋体" w:hAnsi="宋体" w:eastAsia="宋体" w:cs="宋体"/>
          <w:color w:val="000000" w:themeColor="text1"/>
          <w:sz w:val="4"/>
          <w14:textFill>
            <w14:solidFill>
              <w14:schemeClr w14:val="tx1"/>
            </w14:solidFill>
          </w14:textFill>
        </w:rPr>
      </w:pP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spacing w:val="-9"/>
          <w14:textFill>
            <w14:solidFill>
              <w14:schemeClr w14:val="tx1"/>
            </w14:solidFill>
          </w14:textFill>
        </w:rPr>
        <w:t>、对投标文件进行详细审查。评标委员会只对通过符合性审查，实质上响应招标文件要求的投标文件按照下述指标表进行详细审查。</w:t>
      </w:r>
    </w:p>
    <w:p>
      <w:pPr>
        <w:pStyle w:val="3"/>
        <w:keepNext w:val="0"/>
        <w:keepLines w:val="0"/>
        <w:pageBreakBefore w:val="0"/>
        <w:widowControl w:val="0"/>
        <w:tabs>
          <w:tab w:val="left" w:pos="3792"/>
          <w:tab w:val="left" w:pos="5472"/>
        </w:tabs>
        <w:kinsoku/>
        <w:wordWrap/>
        <w:overflowPunct/>
        <w:topLinePunct w:val="0"/>
        <w:autoSpaceDE w:val="0"/>
        <w:autoSpaceDN w:val="0"/>
        <w:bidi w:val="0"/>
        <w:adjustRightInd/>
        <w:snapToGrid/>
        <w:spacing w:line="500" w:lineRule="exact"/>
        <w:ind w:left="567" w:right="567" w:firstLine="482"/>
        <w:jc w:val="both"/>
        <w:textAlignment w:val="auto"/>
        <w:rPr>
          <w:rFonts w:hint="default" w:ascii="宋体" w:hAnsi="宋体" w:eastAsia="宋体" w:cs="宋体"/>
          <w:b w:val="0"/>
          <w:bCs w:val="0"/>
          <w:color w:val="000000" w:themeColor="text1"/>
          <w:w w:val="105"/>
          <w:lang w:val="en-US" w:eastAsia="zh-CN"/>
          <w14:textFill>
            <w14:solidFill>
              <w14:schemeClr w14:val="tx1"/>
            </w14:solidFill>
          </w14:textFill>
        </w:rPr>
      </w:pPr>
      <w:r>
        <w:rPr>
          <w:rFonts w:hint="eastAsia" w:ascii="宋体" w:hAnsi="宋体" w:eastAsia="宋体" w:cs="宋体"/>
          <w:color w:val="000000" w:themeColor="text1"/>
          <w:w w:val="105"/>
          <w14:textFill>
            <w14:solidFill>
              <w14:schemeClr w14:val="tx1"/>
            </w14:solidFill>
          </w14:textFill>
        </w:rPr>
        <w:t>4、</w:t>
      </w:r>
      <w:r>
        <w:rPr>
          <w:rFonts w:hint="eastAsia" w:ascii="宋体" w:hAnsi="宋体" w:eastAsia="宋体" w:cs="宋体"/>
          <w:b w:val="0"/>
          <w:bCs w:val="0"/>
          <w:color w:val="000000" w:themeColor="text1"/>
          <w:w w:val="105"/>
          <w14:textFill>
            <w14:solidFill>
              <w14:schemeClr w14:val="tx1"/>
            </w14:solidFill>
          </w14:textFill>
        </w:rPr>
        <w:t>本项目技术分值占总分值的权重为</w:t>
      </w:r>
      <w:r>
        <w:rPr>
          <w:rFonts w:hint="eastAsia" w:ascii="宋体" w:hAnsi="宋体" w:eastAsia="宋体" w:cs="宋体"/>
          <w:b w:val="0"/>
          <w:bCs w:val="0"/>
          <w:color w:val="000000" w:themeColor="text1"/>
          <w:w w:val="105"/>
          <w:lang w:val="en-US" w:eastAsia="zh-CN"/>
          <w14:textFill>
            <w14:solidFill>
              <w14:schemeClr w14:val="tx1"/>
            </w14:solidFill>
          </w14:textFill>
        </w:rPr>
        <w:t>5</w:t>
      </w:r>
      <w:r>
        <w:rPr>
          <w:rFonts w:hint="eastAsia" w:ascii="宋体" w:hAnsi="宋体" w:eastAsia="宋体" w:cs="宋体"/>
          <w:b w:val="0"/>
          <w:bCs w:val="0"/>
          <w:color w:val="000000" w:themeColor="text1"/>
          <w:w w:val="105"/>
          <w:lang w:val="en-US"/>
          <w14:textFill>
            <w14:solidFill>
              <w14:schemeClr w14:val="tx1"/>
            </w14:solidFill>
          </w14:textFill>
        </w:rPr>
        <w:t>0</w:t>
      </w:r>
      <w:r>
        <w:rPr>
          <w:rFonts w:hint="eastAsia" w:ascii="宋体" w:hAnsi="宋体" w:eastAsia="宋体" w:cs="宋体"/>
          <w:b w:val="0"/>
          <w:bCs w:val="0"/>
          <w:color w:val="000000" w:themeColor="text1"/>
          <w:spacing w:val="-29"/>
          <w:w w:val="105"/>
          <w14:textFill>
            <w14:solidFill>
              <w14:schemeClr w14:val="tx1"/>
            </w14:solidFill>
          </w14:textFill>
        </w:rPr>
        <w:t>%，商务部分</w:t>
      </w:r>
      <w:r>
        <w:rPr>
          <w:rFonts w:hint="eastAsia" w:ascii="宋体" w:hAnsi="宋体" w:eastAsia="宋体" w:cs="宋体"/>
          <w:b w:val="0"/>
          <w:bCs w:val="0"/>
          <w:color w:val="000000" w:themeColor="text1"/>
          <w:w w:val="105"/>
          <w14:textFill>
            <w14:solidFill>
              <w14:schemeClr w14:val="tx1"/>
            </w14:solidFill>
          </w14:textFill>
        </w:rPr>
        <w:t>分值的权重为</w:t>
      </w:r>
      <w:r>
        <w:rPr>
          <w:rFonts w:hint="eastAsia" w:ascii="宋体" w:hAnsi="宋体" w:eastAsia="宋体" w:cs="宋体"/>
          <w:b w:val="0"/>
          <w:bCs w:val="0"/>
          <w:color w:val="000000" w:themeColor="text1"/>
          <w:w w:val="105"/>
          <w:lang w:val="en-US"/>
          <w14:textFill>
            <w14:solidFill>
              <w14:schemeClr w14:val="tx1"/>
            </w14:solidFill>
          </w14:textFill>
        </w:rPr>
        <w:t>30</w:t>
      </w:r>
      <w:r>
        <w:rPr>
          <w:rFonts w:hint="eastAsia" w:ascii="宋体" w:hAnsi="宋体" w:eastAsia="宋体" w:cs="宋体"/>
          <w:b w:val="0"/>
          <w:bCs w:val="0"/>
          <w:color w:val="000000" w:themeColor="text1"/>
          <w:spacing w:val="-30"/>
          <w:w w:val="105"/>
          <w14:textFill>
            <w14:solidFill>
              <w14:schemeClr w14:val="tx1"/>
            </w14:solidFill>
          </w14:textFill>
        </w:rPr>
        <w:t>%，</w:t>
      </w:r>
      <w:r>
        <w:rPr>
          <w:rFonts w:hint="eastAsia" w:ascii="宋体" w:hAnsi="宋体" w:eastAsia="宋体" w:cs="宋体"/>
          <w:b w:val="0"/>
          <w:bCs w:val="0"/>
          <w:color w:val="000000" w:themeColor="text1"/>
          <w:spacing w:val="-60"/>
          <w:w w:val="105"/>
          <w14:textFill>
            <w14:solidFill>
              <w14:schemeClr w14:val="tx1"/>
            </w14:solidFill>
          </w14:textFill>
        </w:rPr>
        <w:t>价</w:t>
      </w:r>
      <w:r>
        <w:rPr>
          <w:rFonts w:hint="eastAsia" w:ascii="宋体" w:hAnsi="宋体" w:eastAsia="宋体" w:cs="宋体"/>
          <w:b w:val="0"/>
          <w:bCs w:val="0"/>
          <w:color w:val="000000" w:themeColor="text1"/>
          <w:w w:val="105"/>
          <w14:textFill>
            <w14:solidFill>
              <w14:schemeClr w14:val="tx1"/>
            </w14:solidFill>
          </w14:textFill>
        </w:rPr>
        <w:t>格分值占总分值的权重为</w:t>
      </w:r>
      <w:r>
        <w:rPr>
          <w:rFonts w:hint="eastAsia" w:ascii="宋体" w:hAnsi="宋体" w:eastAsia="宋体" w:cs="宋体"/>
          <w:b w:val="0"/>
          <w:bCs w:val="0"/>
          <w:color w:val="000000" w:themeColor="text1"/>
          <w:w w:val="105"/>
          <w:lang w:val="en-US" w:eastAsia="zh-CN"/>
          <w14:textFill>
            <w14:solidFill>
              <w14:schemeClr w14:val="tx1"/>
            </w14:solidFill>
          </w14:textFill>
        </w:rPr>
        <w:t>2</w:t>
      </w:r>
      <w:r>
        <w:rPr>
          <w:rFonts w:hint="eastAsia" w:ascii="宋体" w:hAnsi="宋体" w:eastAsia="宋体" w:cs="宋体"/>
          <w:b w:val="0"/>
          <w:bCs w:val="0"/>
          <w:color w:val="000000" w:themeColor="text1"/>
          <w:w w:val="105"/>
          <w:lang w:val="en-US"/>
          <w14:textFill>
            <w14:solidFill>
              <w14:schemeClr w14:val="tx1"/>
            </w14:solidFill>
          </w14:textFill>
        </w:rPr>
        <w:t>0</w:t>
      </w:r>
      <w:r>
        <w:rPr>
          <w:rFonts w:hint="eastAsia" w:ascii="宋体" w:hAnsi="宋体" w:eastAsia="宋体" w:cs="宋体"/>
          <w:b w:val="0"/>
          <w:bCs w:val="0"/>
          <w:color w:val="000000" w:themeColor="text1"/>
          <w:w w:val="105"/>
          <w14:textFill>
            <w14:solidFill>
              <w14:schemeClr w14:val="tx1"/>
            </w14:solidFill>
          </w14:textFill>
        </w:rPr>
        <w:t>%</w:t>
      </w:r>
      <w:r>
        <w:rPr>
          <w:rFonts w:hint="eastAsia" w:ascii="宋体" w:hAnsi="宋体" w:eastAsia="宋体" w:cs="宋体"/>
          <w:b w:val="0"/>
          <w:bCs w:val="0"/>
          <w:color w:val="000000" w:themeColor="text1"/>
          <w:spacing w:val="-30"/>
          <w:w w:val="105"/>
          <w14:textFill>
            <w14:solidFill>
              <w14:schemeClr w14:val="tx1"/>
            </w14:solidFill>
          </w14:textFill>
        </w:rPr>
        <w:t>。</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5、得分汇总</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（1）将每个有效投标供应商的技术及商务之和加上根据上述标准计算出的价格分， 即为该投标供应商的综合总得分。</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（2）按照有效投标供应商综合总得分由高到低依次排出中标候选供应商。</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第十条 评委独立评审后，评标委员会对投标供应商某项指标如有不同意见，按照少数服从多数的原则确定。各投标供应商的得分分值一经得出，并核对无误后，任何人不得更改。</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第十一条 评标委员会在评标过程中发现的问题，应当区别情形及时作出处理或者向采购人提出处理建议，并作书面记录。</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第十四条 投标供应商有串通投标、弄虚作假、行贿等违法行为，评委会有权否决其投标。</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第十五条 评标后，评标委员会应编写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第十六条 评标委员会成员应当在评标报告上签字，对自己的评审意见承担法律责任。对评标报告有异议的，应当在评标报告上签署不同意见，并说明理由，否则视为同意评标报告。</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三．评标纪律</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第十七条 评标委员会和评标工作人员应严格遵守国家的法律、法规和规章制度；严格按照本次招标文件进行评标；公正廉洁、不徇私情，不得损害国家利益；保护采购人、投标供应商的合法权益。</w:t>
      </w:r>
    </w:p>
    <w:p>
      <w:pPr>
        <w:pStyle w:val="3"/>
        <w:keepNext w:val="0"/>
        <w:keepLines w:val="0"/>
        <w:pageBreakBefore w:val="0"/>
        <w:widowControl w:val="0"/>
        <w:kinsoku/>
        <w:wordWrap/>
        <w:overflowPunct/>
        <w:topLinePunct w:val="0"/>
        <w:autoSpaceDE w:val="0"/>
        <w:autoSpaceDN w:val="0"/>
        <w:bidi w:val="0"/>
        <w:adjustRightInd/>
        <w:snapToGrid/>
        <w:spacing w:before="33" w:line="500" w:lineRule="exact"/>
        <w:ind w:left="567" w:right="567" w:firstLine="482"/>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第十八条 在评标过程中，评委及其他评标工作人员必须对评标情况严格保密，任何人不得将评标情况透露给与投标供应商有关的单位和个人。如有违反评标纪律的情况发生， 将依据政府采购法律法规的规定，追究有关当事人的责任。</w:t>
      </w:r>
    </w:p>
    <w:p>
      <w:pPr>
        <w:pStyle w:val="3"/>
        <w:tabs>
          <w:tab w:val="left" w:pos="3792"/>
          <w:tab w:val="left" w:pos="5472"/>
        </w:tabs>
        <w:spacing w:line="360" w:lineRule="auto"/>
        <w:ind w:right="220" w:rightChars="100"/>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ind w:left="0" w:leftChars="0" w:firstLine="0" w:firstLineChars="0"/>
        <w:rPr>
          <w:rFonts w:hint="eastAsia" w:ascii="宋体" w:hAnsi="宋体" w:eastAsia="宋体" w:cs="宋体"/>
          <w:color w:val="000000" w:themeColor="text1"/>
          <w14:textFill>
            <w14:solidFill>
              <w14:schemeClr w14:val="tx1"/>
            </w14:solidFill>
          </w14:textFill>
        </w:rPr>
      </w:pPr>
    </w:p>
    <w:p>
      <w:pPr>
        <w:pStyle w:val="2"/>
        <w:ind w:left="0" w:leftChars="0" w:firstLine="0" w:firstLineChars="0"/>
        <w:rPr>
          <w:rFonts w:hint="eastAsia" w:ascii="宋体" w:hAnsi="宋体" w:eastAsia="宋体" w:cs="宋体"/>
          <w:color w:val="000000" w:themeColor="text1"/>
          <w14:textFill>
            <w14:solidFill>
              <w14:schemeClr w14:val="tx1"/>
            </w14:solidFill>
          </w14:textFill>
        </w:rPr>
      </w:pPr>
    </w:p>
    <w:p>
      <w:pPr>
        <w:pStyle w:val="2"/>
        <w:ind w:left="0" w:leftChars="0" w:firstLine="0" w:firstLineChars="0"/>
        <w:rPr>
          <w:rFonts w:hint="eastAsia" w:ascii="宋体" w:hAnsi="宋体" w:eastAsia="宋体" w:cs="宋体"/>
          <w:color w:val="000000" w:themeColor="text1"/>
          <w14:textFill>
            <w14:solidFill>
              <w14:schemeClr w14:val="tx1"/>
            </w14:solidFill>
          </w14:textFill>
        </w:rPr>
      </w:pPr>
    </w:p>
    <w:p>
      <w:pPr>
        <w:pStyle w:val="2"/>
        <w:ind w:left="0" w:leftChars="0" w:firstLine="0" w:firstLineChars="0"/>
        <w:rPr>
          <w:rFonts w:hint="eastAsia" w:ascii="宋体" w:hAnsi="宋体" w:eastAsia="宋体" w:cs="宋体"/>
          <w:color w:val="000000" w:themeColor="text1"/>
          <w14:textFill>
            <w14:solidFill>
              <w14:schemeClr w14:val="tx1"/>
            </w14:solidFill>
          </w14:textFill>
        </w:rPr>
      </w:pPr>
    </w:p>
    <w:p>
      <w:pPr>
        <w:pStyle w:val="2"/>
        <w:ind w:left="0" w:leftChars="0" w:firstLine="0" w:firstLineChars="0"/>
        <w:rPr>
          <w:rFonts w:hint="eastAsia" w:ascii="宋体" w:hAnsi="宋体" w:eastAsia="宋体" w:cs="宋体"/>
          <w:color w:val="000000" w:themeColor="text1"/>
          <w14:textFill>
            <w14:solidFill>
              <w14:schemeClr w14:val="tx1"/>
            </w14:solidFill>
          </w14:textFill>
        </w:rPr>
      </w:pPr>
    </w:p>
    <w:p>
      <w:pPr>
        <w:pStyle w:val="2"/>
        <w:ind w:left="0" w:leftChars="0" w:firstLine="0" w:firstLineChars="0"/>
        <w:rPr>
          <w:rFonts w:hint="eastAsia" w:ascii="宋体" w:hAnsi="宋体" w:eastAsia="宋体" w:cs="宋体"/>
          <w:color w:val="000000" w:themeColor="text1"/>
          <w14:textFill>
            <w14:solidFill>
              <w14:schemeClr w14:val="tx1"/>
            </w14:solidFill>
          </w14:textFill>
        </w:rPr>
      </w:pPr>
    </w:p>
    <w:p>
      <w:pPr>
        <w:pStyle w:val="2"/>
        <w:ind w:left="0" w:leftChars="0" w:firstLine="0" w:firstLineChars="0"/>
        <w:rPr>
          <w:rFonts w:hint="eastAsia" w:ascii="宋体" w:hAnsi="宋体" w:eastAsia="宋体" w:cs="宋体"/>
          <w:color w:val="000000" w:themeColor="text1"/>
          <w14:textFill>
            <w14:solidFill>
              <w14:schemeClr w14:val="tx1"/>
            </w14:solidFill>
          </w14:textFill>
        </w:rPr>
      </w:pPr>
    </w:p>
    <w:p>
      <w:pPr>
        <w:pStyle w:val="2"/>
        <w:numPr>
          <w:ilvl w:val="0"/>
          <w:numId w:val="161"/>
        </w:numPr>
        <w:ind w:left="0" w:leftChars="0" w:firstLine="0" w:firstLineChars="0"/>
        <w:jc w:val="center"/>
        <w:rPr>
          <w:rFonts w:hint="eastAsia" w:ascii="宋体" w:hAnsi="宋体" w:eastAsia="宋体" w:cs="宋体"/>
          <w:b/>
          <w:bCs/>
          <w:kern w:val="0"/>
          <w:sz w:val="30"/>
          <w:szCs w:val="30"/>
        </w:rPr>
      </w:pPr>
      <w:bookmarkStart w:id="57" w:name="_Toc19763"/>
      <w:bookmarkStart w:id="58" w:name="_Toc9667"/>
      <w:bookmarkStart w:id="59" w:name="_Toc30716"/>
      <w:bookmarkStart w:id="60" w:name="_Toc5278"/>
      <w:bookmarkStart w:id="61" w:name="_Toc29307"/>
      <w:bookmarkStart w:id="62" w:name="_Toc10396"/>
      <w:r>
        <w:rPr>
          <w:rFonts w:hint="eastAsia" w:ascii="宋体" w:hAnsi="宋体" w:eastAsia="宋体" w:cs="宋体"/>
          <w:b/>
          <w:bCs/>
          <w:kern w:val="0"/>
          <w:sz w:val="30"/>
          <w:szCs w:val="30"/>
        </w:rPr>
        <w:t>初步审查表</w:t>
      </w:r>
      <w:bookmarkEnd w:id="57"/>
      <w:bookmarkEnd w:id="58"/>
      <w:bookmarkEnd w:id="59"/>
      <w:bookmarkEnd w:id="60"/>
      <w:bookmarkEnd w:id="61"/>
      <w:bookmarkEnd w:id="62"/>
    </w:p>
    <w:tbl>
      <w:tblPr>
        <w:tblStyle w:val="18"/>
        <w:tblW w:w="99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3"/>
        <w:gridCol w:w="5521"/>
        <w:gridCol w:w="1034"/>
        <w:gridCol w:w="885"/>
        <w:gridCol w:w="886"/>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6054"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3925" w:type="dxa"/>
            <w:gridSpan w:val="4"/>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6054"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pacing w:line="320" w:lineRule="exact"/>
              <w:jc w:val="left"/>
              <w:textAlignment w:val="auto"/>
              <w:rPr>
                <w:rFonts w:hint="eastAsia" w:ascii="宋体" w:hAnsi="宋体" w:eastAsia="宋体" w:cs="宋体"/>
                <w:b/>
                <w:color w:val="000000"/>
                <w:sz w:val="24"/>
                <w:szCs w:val="24"/>
              </w:rPr>
            </w:pPr>
          </w:p>
        </w:tc>
        <w:tc>
          <w:tcPr>
            <w:tcW w:w="1034" w:type="dxa"/>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p>
        </w:tc>
        <w:tc>
          <w:tcPr>
            <w:tcW w:w="885"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2</w:t>
            </w:r>
          </w:p>
        </w:tc>
        <w:tc>
          <w:tcPr>
            <w:tcW w:w="8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w:t>
            </w:r>
          </w:p>
        </w:tc>
        <w:tc>
          <w:tcPr>
            <w:tcW w:w="1120"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4"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法定代表人（或企业负责人）为同一个人的两个及两个以上法人，母公司、全资子公司及其控股公司，在同一项目中同时投标；</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对招标文件主要条款和承诺存在重大出入或保留；</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供应商未按招标文件规定提交投标份数，正本1份；副本</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份；开标一览表一份；</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供应商未按招标文件要求的格式填写，内容不全或关键字迹模糊、无法辨认的情况；</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4"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投标文件未按照招标文件要求编写、装订、印鉴及签字；</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投标文件中投标有效期不满足招标文件要求的；</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napToGrid w:val="0"/>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未提供完整的经审计的财务报告或资信证明；</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napToGrid w:val="0"/>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供应商有违反招标投标纪律的情况；</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533"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5521"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jc w:val="both"/>
              <w:textAlignment w:val="auto"/>
              <w:rPr>
                <w:rFonts w:hint="eastAsia" w:ascii="宋体" w:hAnsi="宋体" w:eastAsia="宋体" w:cs="宋体"/>
                <w:color w:val="000000"/>
                <w:kern w:val="0"/>
                <w:sz w:val="24"/>
                <w:szCs w:val="24"/>
              </w:rPr>
            </w:pPr>
            <w:r>
              <w:rPr>
                <w:rFonts w:hint="eastAsia" w:ascii="宋体" w:hAnsi="宋体" w:eastAsia="宋体" w:cs="宋体"/>
                <w:bCs/>
                <w:color w:val="000000"/>
                <w:sz w:val="24"/>
                <w:szCs w:val="24"/>
              </w:rPr>
              <w:t>未提供招标文件</w:t>
            </w:r>
            <w:r>
              <w:rPr>
                <w:rFonts w:hint="eastAsia" w:ascii="宋体" w:hAnsi="宋体" w:eastAsia="宋体" w:cs="宋体"/>
                <w:bCs/>
                <w:color w:val="000000"/>
                <w:kern w:val="0"/>
                <w:sz w:val="24"/>
                <w:szCs w:val="24"/>
              </w:rPr>
              <w:t>中规定的其他实质性要求；</w:t>
            </w:r>
          </w:p>
        </w:tc>
        <w:tc>
          <w:tcPr>
            <w:tcW w:w="1034" w:type="dxa"/>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3" w:hRule="atLeast"/>
          <w:jc w:val="center"/>
        </w:trPr>
        <w:tc>
          <w:tcPr>
            <w:tcW w:w="6054" w:type="dxa"/>
            <w:gridSpan w:val="2"/>
            <w:tcBorders>
              <w:top w:val="single" w:color="auto" w:sz="6" w:space="0"/>
              <w:left w:val="single" w:color="auto" w:sz="12" w:space="0"/>
              <w:bottom w:val="single" w:color="auto" w:sz="12" w:space="0"/>
              <w:right w:val="single" w:color="auto" w:sz="4" w:space="0"/>
            </w:tcBorders>
            <w:noWrap w:val="0"/>
            <w:vAlign w:val="top"/>
          </w:tcPr>
          <w:p>
            <w:pPr>
              <w:keepNext w:val="0"/>
              <w:keepLines w:val="0"/>
              <w:pageBreakBefore w:val="0"/>
              <w:widowControl/>
              <w:kinsoku/>
              <w:wordWrap/>
              <w:overflowPunct/>
              <w:topLinePunct w:val="0"/>
              <w:autoSpaceDE w:val="0"/>
              <w:autoSpaceDN w:val="0"/>
              <w:bidi w:val="0"/>
              <w:adjustRightInd/>
              <w:spacing w:line="32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结论：是否通过评审</w:t>
            </w:r>
          </w:p>
          <w:p>
            <w:pPr>
              <w:keepNext w:val="0"/>
              <w:keepLines w:val="0"/>
              <w:pageBreakBefore w:val="0"/>
              <w:widowControl/>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未通过初步评审的，为无效投标。</w:t>
            </w:r>
          </w:p>
        </w:tc>
        <w:tc>
          <w:tcPr>
            <w:tcW w:w="1034" w:type="dxa"/>
            <w:tcBorders>
              <w:top w:val="single" w:color="auto" w:sz="6" w:space="0"/>
              <w:left w:val="single" w:color="auto" w:sz="4" w:space="0"/>
              <w:bottom w:val="single" w:color="auto" w:sz="12"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5" w:type="dxa"/>
            <w:tcBorders>
              <w:top w:val="single" w:color="auto" w:sz="6" w:space="0"/>
              <w:left w:val="single" w:color="auto" w:sz="4" w:space="0"/>
              <w:bottom w:val="single" w:color="auto" w:sz="12" w:space="0"/>
              <w:right w:val="single" w:color="auto" w:sz="6"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886" w:type="dxa"/>
            <w:tcBorders>
              <w:top w:val="single" w:color="auto" w:sz="6" w:space="0"/>
              <w:left w:val="single" w:color="auto" w:sz="6" w:space="0"/>
              <w:bottom w:val="single" w:color="auto" w:sz="12" w:space="0"/>
              <w:right w:val="single" w:color="auto" w:sz="6"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c>
          <w:tcPr>
            <w:tcW w:w="1120" w:type="dxa"/>
            <w:tcBorders>
              <w:top w:val="single" w:color="auto" w:sz="6" w:space="0"/>
              <w:left w:val="single" w:color="auto" w:sz="6" w:space="0"/>
              <w:bottom w:val="single" w:color="auto" w:sz="12" w:space="0"/>
              <w:right w:val="single" w:color="auto" w:sz="12" w:space="0"/>
            </w:tcBorders>
            <w:noWrap w:val="0"/>
            <w:vAlign w:val="top"/>
          </w:tcPr>
          <w:p>
            <w:pPr>
              <w:keepNext w:val="0"/>
              <w:keepLines w:val="0"/>
              <w:pageBreakBefore w:val="0"/>
              <w:kinsoku/>
              <w:wordWrap/>
              <w:overflowPunct/>
              <w:topLinePunct w:val="0"/>
              <w:autoSpaceDE w:val="0"/>
              <w:autoSpaceDN w:val="0"/>
              <w:bidi w:val="0"/>
              <w:adjustRightInd/>
              <w:spacing w:line="320" w:lineRule="exact"/>
              <w:textAlignment w:val="auto"/>
              <w:rPr>
                <w:rFonts w:hint="eastAsia" w:ascii="宋体" w:hAnsi="宋体" w:eastAsia="宋体" w:cs="宋体"/>
                <w:color w:val="000000"/>
                <w:kern w:val="0"/>
                <w:sz w:val="24"/>
                <w:szCs w:val="24"/>
              </w:rPr>
            </w:pPr>
          </w:p>
        </w:tc>
      </w:tr>
    </w:tbl>
    <w:p>
      <w:pPr>
        <w:pStyle w:val="2"/>
        <w:widowControl w:val="0"/>
        <w:numPr>
          <w:ilvl w:val="0"/>
          <w:numId w:val="0"/>
        </w:numPr>
        <w:autoSpaceDE w:val="0"/>
        <w:autoSpaceDN w:val="0"/>
        <w:spacing w:after="120"/>
        <w:jc w:val="center"/>
        <w:rPr>
          <w:rFonts w:hint="eastAsia" w:ascii="宋体" w:hAnsi="宋体" w:eastAsia="宋体" w:cs="宋体"/>
          <w:b/>
          <w:bCs/>
          <w:kern w:val="0"/>
          <w:sz w:val="30"/>
          <w:szCs w:val="30"/>
        </w:rPr>
      </w:pPr>
    </w:p>
    <w:p>
      <w:pPr>
        <w:pStyle w:val="2"/>
        <w:widowControl w:val="0"/>
        <w:numPr>
          <w:ilvl w:val="0"/>
          <w:numId w:val="0"/>
        </w:numPr>
        <w:autoSpaceDE w:val="0"/>
        <w:autoSpaceDN w:val="0"/>
        <w:spacing w:after="120"/>
        <w:jc w:val="center"/>
        <w:rPr>
          <w:rFonts w:hint="eastAsia" w:ascii="宋体" w:hAnsi="宋体" w:eastAsia="宋体" w:cs="宋体"/>
          <w:b/>
          <w:bCs/>
          <w:kern w:val="0"/>
          <w:sz w:val="30"/>
          <w:szCs w:val="30"/>
        </w:rPr>
      </w:pPr>
    </w:p>
    <w:p>
      <w:pPr>
        <w:widowControl/>
        <w:numPr>
          <w:ilvl w:val="0"/>
          <w:numId w:val="0"/>
        </w:numPr>
        <w:ind w:leftChars="0"/>
        <w:jc w:val="center"/>
        <w:outlineLvl w:val="1"/>
        <w:rPr>
          <w:rFonts w:hint="eastAsia" w:ascii="宋体" w:hAnsi="宋体" w:eastAsia="宋体" w:cs="宋体"/>
          <w:b/>
          <w:bCs/>
          <w:kern w:val="0"/>
          <w:sz w:val="32"/>
          <w:szCs w:val="32"/>
          <w:lang w:eastAsia="zh-CN"/>
        </w:rPr>
      </w:pPr>
      <w:bookmarkStart w:id="63" w:name="_Toc14878"/>
    </w:p>
    <w:p>
      <w:pPr>
        <w:widowControl/>
        <w:numPr>
          <w:ilvl w:val="0"/>
          <w:numId w:val="0"/>
        </w:numPr>
        <w:ind w:leftChars="0"/>
        <w:jc w:val="center"/>
        <w:outlineLvl w:val="1"/>
        <w:rPr>
          <w:rFonts w:hint="eastAsia" w:ascii="宋体" w:hAnsi="宋体" w:eastAsia="宋体" w:cs="宋体"/>
          <w:b/>
          <w:bCs/>
          <w:kern w:val="0"/>
          <w:sz w:val="32"/>
          <w:szCs w:val="32"/>
          <w:lang w:eastAsia="zh-CN"/>
        </w:rPr>
      </w:pPr>
    </w:p>
    <w:p>
      <w:pPr>
        <w:widowControl/>
        <w:numPr>
          <w:ilvl w:val="0"/>
          <w:numId w:val="0"/>
        </w:numPr>
        <w:ind w:leftChars="0"/>
        <w:jc w:val="center"/>
        <w:outlineLvl w:val="1"/>
        <w:rPr>
          <w:rFonts w:hint="eastAsia" w:ascii="宋体" w:hAnsi="宋体" w:eastAsia="宋体" w:cs="宋体"/>
          <w:b/>
          <w:bCs/>
          <w:kern w:val="0"/>
          <w:sz w:val="32"/>
          <w:szCs w:val="32"/>
          <w:lang w:eastAsia="zh-CN"/>
        </w:rPr>
      </w:pPr>
    </w:p>
    <w:p>
      <w:pPr>
        <w:widowControl/>
        <w:numPr>
          <w:ilvl w:val="0"/>
          <w:numId w:val="0"/>
        </w:numPr>
        <w:ind w:leftChars="0"/>
        <w:jc w:val="center"/>
        <w:outlineLvl w:val="1"/>
        <w:rPr>
          <w:rFonts w:hint="eastAsia" w:ascii="宋体" w:hAnsi="宋体" w:eastAsia="宋体" w:cs="宋体"/>
          <w:b/>
          <w:bCs/>
          <w:kern w:val="0"/>
          <w:sz w:val="32"/>
          <w:szCs w:val="32"/>
          <w:lang w:eastAsia="zh-CN"/>
        </w:rPr>
      </w:pPr>
    </w:p>
    <w:p>
      <w:pPr>
        <w:widowControl/>
        <w:numPr>
          <w:ilvl w:val="0"/>
          <w:numId w:val="0"/>
        </w:numPr>
        <w:ind w:leftChars="0"/>
        <w:jc w:val="center"/>
        <w:outlineLvl w:val="1"/>
        <w:rPr>
          <w:rFonts w:hint="eastAsia" w:ascii="宋体" w:hAnsi="宋体" w:eastAsia="宋体" w:cs="宋体"/>
          <w:b/>
          <w:bCs/>
          <w:kern w:val="0"/>
          <w:sz w:val="32"/>
          <w:szCs w:val="32"/>
          <w:lang w:eastAsia="zh-CN"/>
        </w:rPr>
      </w:pPr>
    </w:p>
    <w:p>
      <w:pPr>
        <w:widowControl/>
        <w:numPr>
          <w:ilvl w:val="0"/>
          <w:numId w:val="0"/>
        </w:numPr>
        <w:ind w:leftChars="0"/>
        <w:jc w:val="center"/>
        <w:outlineLvl w:val="1"/>
        <w:rPr>
          <w:rFonts w:hint="eastAsia" w:ascii="宋体" w:hAnsi="宋体" w:eastAsia="宋体" w:cs="宋体"/>
          <w:b/>
          <w:bCs/>
          <w:kern w:val="0"/>
          <w:sz w:val="32"/>
          <w:szCs w:val="32"/>
          <w:lang w:eastAsia="zh-CN"/>
        </w:rPr>
      </w:pPr>
    </w:p>
    <w:p>
      <w:pPr>
        <w:widowControl/>
        <w:numPr>
          <w:ilvl w:val="0"/>
          <w:numId w:val="0"/>
        </w:numPr>
        <w:ind w:leftChars="0"/>
        <w:jc w:val="center"/>
        <w:outlineLvl w:val="1"/>
        <w:rPr>
          <w:rFonts w:hint="eastAsia" w:ascii="宋体" w:hAnsi="宋体" w:eastAsia="宋体" w:cs="宋体"/>
          <w:b/>
          <w:bCs/>
          <w:kern w:val="0"/>
          <w:sz w:val="32"/>
          <w:szCs w:val="32"/>
          <w:lang w:eastAsia="zh-CN"/>
        </w:rPr>
      </w:pPr>
    </w:p>
    <w:p>
      <w:pPr>
        <w:widowControl/>
        <w:numPr>
          <w:ilvl w:val="0"/>
          <w:numId w:val="0"/>
        </w:numPr>
        <w:ind w:leftChars="0"/>
        <w:jc w:val="center"/>
        <w:outlineLvl w:val="1"/>
        <w:rPr>
          <w:rFonts w:hint="eastAsia" w:ascii="宋体" w:hAnsi="宋体" w:eastAsia="宋体" w:cs="宋体"/>
          <w:b/>
          <w:bCs/>
          <w:kern w:val="0"/>
          <w:sz w:val="32"/>
          <w:szCs w:val="32"/>
          <w:lang w:eastAsia="zh-CN"/>
        </w:rPr>
      </w:pPr>
    </w:p>
    <w:p>
      <w:pPr>
        <w:widowControl/>
        <w:numPr>
          <w:ilvl w:val="0"/>
          <w:numId w:val="0"/>
        </w:numPr>
        <w:ind w:leftChars="0"/>
        <w:jc w:val="center"/>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eastAsia="zh-CN"/>
        </w:rPr>
        <w:t>二、</w:t>
      </w:r>
      <w:r>
        <w:rPr>
          <w:rFonts w:hint="eastAsia" w:ascii="宋体" w:hAnsi="宋体" w:eastAsia="宋体" w:cs="宋体"/>
          <w:b/>
          <w:bCs/>
          <w:kern w:val="0"/>
          <w:sz w:val="32"/>
          <w:szCs w:val="32"/>
        </w:rPr>
        <w:t>商务符合性审查表</w:t>
      </w:r>
      <w:bookmarkEnd w:id="63"/>
    </w:p>
    <w:p>
      <w:pPr>
        <w:pStyle w:val="2"/>
        <w:widowControl w:val="0"/>
        <w:numPr>
          <w:ilvl w:val="0"/>
          <w:numId w:val="0"/>
        </w:numPr>
        <w:autoSpaceDE w:val="0"/>
        <w:autoSpaceDN w:val="0"/>
        <w:spacing w:after="120"/>
        <w:jc w:val="center"/>
        <w:rPr>
          <w:rFonts w:hint="eastAsia" w:ascii="宋体" w:hAnsi="宋体" w:eastAsia="宋体" w:cs="宋体"/>
          <w:b/>
          <w:bCs/>
          <w:kern w:val="0"/>
          <w:sz w:val="30"/>
          <w:szCs w:val="30"/>
        </w:rPr>
      </w:pPr>
    </w:p>
    <w:tbl>
      <w:tblPr>
        <w:tblStyle w:val="18"/>
        <w:tblW w:w="0" w:type="auto"/>
        <w:jc w:val="center"/>
        <w:tblLayout w:type="fixed"/>
        <w:tblCellMar>
          <w:top w:w="0" w:type="dxa"/>
          <w:left w:w="108" w:type="dxa"/>
          <w:bottom w:w="0" w:type="dxa"/>
          <w:right w:w="108" w:type="dxa"/>
        </w:tblCellMar>
      </w:tblPr>
      <w:tblGrid>
        <w:gridCol w:w="2534"/>
        <w:gridCol w:w="5139"/>
        <w:gridCol w:w="725"/>
        <w:gridCol w:w="839"/>
        <w:gridCol w:w="662"/>
      </w:tblGrid>
      <w:tr>
        <w:tblPrEx>
          <w:tblCellMar>
            <w:top w:w="0" w:type="dxa"/>
            <w:left w:w="108" w:type="dxa"/>
            <w:bottom w:w="0" w:type="dxa"/>
            <w:right w:w="108" w:type="dxa"/>
          </w:tblCellMar>
        </w:tblPrEx>
        <w:trPr>
          <w:trHeight w:val="631" w:hRule="atLeast"/>
          <w:jc w:val="center"/>
        </w:trPr>
        <w:tc>
          <w:tcPr>
            <w:tcW w:w="76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审查事项</w:t>
            </w:r>
          </w:p>
        </w:tc>
        <w:tc>
          <w:tcPr>
            <w:tcW w:w="222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投标人名称及审查情况</w:t>
            </w:r>
          </w:p>
        </w:tc>
      </w:tr>
      <w:tr>
        <w:tblPrEx>
          <w:tblCellMar>
            <w:top w:w="0" w:type="dxa"/>
            <w:left w:w="108" w:type="dxa"/>
            <w:bottom w:w="0" w:type="dxa"/>
            <w:right w:w="108" w:type="dxa"/>
          </w:tblCellMar>
        </w:tblPrEx>
        <w:trPr>
          <w:trHeight w:val="9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招标文件条款（投标人须知、投标人须知资料表条款号）</w:t>
            </w:r>
          </w:p>
        </w:tc>
        <w:tc>
          <w:tcPr>
            <w:tcW w:w="513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本项目要求</w:t>
            </w:r>
          </w:p>
        </w:tc>
        <w:tc>
          <w:tcPr>
            <w:tcW w:w="7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投标人1</w:t>
            </w: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w:t>
            </w:r>
          </w:p>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人2</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w:t>
            </w:r>
          </w:p>
        </w:tc>
      </w:tr>
      <w:tr>
        <w:tblPrEx>
          <w:tblCellMar>
            <w:top w:w="0" w:type="dxa"/>
            <w:left w:w="108" w:type="dxa"/>
            <w:bottom w:w="0" w:type="dxa"/>
            <w:right w:w="108" w:type="dxa"/>
          </w:tblCellMar>
        </w:tblPrEx>
        <w:trPr>
          <w:trHeight w:val="33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中小企业投标要求</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本项</w:t>
            </w:r>
            <w:r>
              <w:rPr>
                <w:rFonts w:hint="eastAsia" w:ascii="宋体" w:hAnsi="宋体" w:eastAsia="宋体" w:cs="宋体"/>
                <w:b w:val="0"/>
                <w:bCs/>
                <w:i w:val="0"/>
                <w:iCs w:val="0"/>
                <w:color w:val="000000"/>
                <w:kern w:val="0"/>
                <w:sz w:val="24"/>
                <w:szCs w:val="24"/>
                <w:u w:val="single"/>
              </w:rPr>
              <w:t>不适用</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r>
      <w:tr>
        <w:tblPrEx>
          <w:tblCellMar>
            <w:top w:w="0" w:type="dxa"/>
            <w:left w:w="108" w:type="dxa"/>
            <w:bottom w:w="0" w:type="dxa"/>
            <w:right w:w="108" w:type="dxa"/>
          </w:tblCellMar>
        </w:tblPrEx>
        <w:trPr>
          <w:trHeight w:val="566"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联合体投标规定</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本项目</w:t>
            </w:r>
            <w:r>
              <w:rPr>
                <w:rFonts w:hint="eastAsia" w:ascii="宋体" w:hAnsi="宋体" w:eastAsia="宋体" w:cs="宋体"/>
                <w:b w:val="0"/>
                <w:bCs/>
                <w:i w:val="0"/>
                <w:iCs w:val="0"/>
                <w:color w:val="000000"/>
                <w:kern w:val="0"/>
                <w:sz w:val="24"/>
                <w:szCs w:val="24"/>
                <w:u w:val="single"/>
              </w:rPr>
              <w:t>不接受</w:t>
            </w:r>
            <w:r>
              <w:rPr>
                <w:rFonts w:hint="eastAsia" w:ascii="宋体" w:hAnsi="宋体" w:eastAsia="宋体" w:cs="宋体"/>
                <w:b w:val="0"/>
                <w:bCs/>
                <w:i w:val="0"/>
                <w:iCs w:val="0"/>
                <w:color w:val="000000"/>
                <w:kern w:val="0"/>
                <w:sz w:val="24"/>
                <w:szCs w:val="24"/>
              </w:rPr>
              <w:t>联合体投标</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6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投标人的关联性</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在同一标包内，单位负责人为非同一人或者不存在直接控股、管理关系的不同供应商。</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6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未发现影响采购人决策行为</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投标人在投标过程中未向采购人提供、给予任何有价值的物品，影响其正常决策行为。</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r>
      <w:tr>
        <w:tblPrEx>
          <w:tblCellMar>
            <w:top w:w="0" w:type="dxa"/>
            <w:left w:w="108" w:type="dxa"/>
            <w:bottom w:w="0" w:type="dxa"/>
            <w:right w:w="108" w:type="dxa"/>
          </w:tblCellMar>
        </w:tblPrEx>
        <w:trPr>
          <w:trHeight w:val="6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满足投标范围的完整性要求</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投标人对所投分包招标文件中所列的所有内容进行投标。</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r>
      <w:tr>
        <w:tblPrEx>
          <w:tblCellMar>
            <w:top w:w="0" w:type="dxa"/>
            <w:left w:w="108" w:type="dxa"/>
            <w:bottom w:w="0" w:type="dxa"/>
            <w:right w:w="108" w:type="dxa"/>
          </w:tblCellMar>
        </w:tblPrEx>
        <w:trPr>
          <w:trHeight w:val="9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未包含价格调整要求</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投标人所报的各分项投标报价在合同履行过程中是固定不变的，不得以任何理由予以变更。</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566"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投标保证金</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sz w:val="24"/>
                <w:szCs w:val="24"/>
              </w:rPr>
            </w:pPr>
            <w:r>
              <w:rPr>
                <w:rFonts w:hint="eastAsia" w:ascii="宋体" w:hAnsi="宋体" w:eastAsia="宋体" w:cs="宋体"/>
                <w:b w:val="0"/>
                <w:bCs/>
                <w:i w:val="0"/>
                <w:iCs w:val="0"/>
                <w:color w:val="000000"/>
                <w:sz w:val="24"/>
                <w:szCs w:val="24"/>
              </w:rPr>
              <w:t>符合招标文件要求</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r>
      <w:tr>
        <w:tblPrEx>
          <w:tblCellMar>
            <w:top w:w="0" w:type="dxa"/>
            <w:left w:w="108" w:type="dxa"/>
            <w:bottom w:w="0" w:type="dxa"/>
            <w:right w:w="108" w:type="dxa"/>
          </w:tblCellMar>
        </w:tblPrEx>
        <w:trPr>
          <w:trHeight w:val="566"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投标有效期满足要求</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自提交投标文件截止之日起</w:t>
            </w:r>
            <w:r>
              <w:rPr>
                <w:rFonts w:hint="eastAsia" w:ascii="宋体" w:hAnsi="宋体" w:eastAsia="宋体" w:cs="宋体"/>
                <w:b w:val="0"/>
                <w:bCs/>
                <w:i w:val="0"/>
                <w:iCs w:val="0"/>
                <w:color w:val="000000"/>
                <w:sz w:val="24"/>
                <w:szCs w:val="24"/>
                <w:u w:val="single"/>
              </w:rPr>
              <w:t xml:space="preserve"> </w:t>
            </w:r>
            <w:r>
              <w:rPr>
                <w:rFonts w:hint="eastAsia" w:ascii="宋体" w:hAnsi="宋体" w:eastAsia="宋体" w:cs="宋体"/>
                <w:b w:val="0"/>
                <w:bCs/>
                <w:i w:val="0"/>
                <w:iCs w:val="0"/>
                <w:color w:val="000000"/>
                <w:sz w:val="24"/>
                <w:szCs w:val="24"/>
                <w:u w:val="single"/>
                <w:lang w:val="en-US" w:eastAsia="zh-CN"/>
              </w:rPr>
              <w:t>6</w:t>
            </w:r>
            <w:r>
              <w:rPr>
                <w:rFonts w:hint="eastAsia" w:ascii="宋体" w:hAnsi="宋体" w:eastAsia="宋体" w:cs="宋体"/>
                <w:b w:val="0"/>
                <w:bCs/>
                <w:i w:val="0"/>
                <w:iCs w:val="0"/>
                <w:color w:val="000000"/>
                <w:sz w:val="24"/>
                <w:szCs w:val="24"/>
                <w:u w:val="single"/>
              </w:rPr>
              <w:t>0日</w:t>
            </w:r>
            <w:r>
              <w:rPr>
                <w:rFonts w:hint="eastAsia" w:ascii="宋体" w:hAnsi="宋体" w:eastAsia="宋体" w:cs="宋体"/>
                <w:b w:val="0"/>
                <w:bCs/>
                <w:i w:val="0"/>
                <w:iCs w:val="0"/>
                <w:color w:val="000000"/>
                <w:sz w:val="24"/>
                <w:szCs w:val="24"/>
              </w:rPr>
              <w:t>历日内</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6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投标文件的装订方式</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所有投标文件采用不可拆装的胶订方式装订</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6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投标文件的签署和盖章符合要求</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sz w:val="24"/>
                <w:szCs w:val="24"/>
              </w:rPr>
            </w:pPr>
            <w:r>
              <w:rPr>
                <w:rFonts w:hint="eastAsia" w:ascii="宋体" w:hAnsi="宋体" w:eastAsia="宋体" w:cs="宋体"/>
                <w:b w:val="0"/>
                <w:bCs/>
                <w:i w:val="0"/>
                <w:iCs w:val="0"/>
                <w:color w:val="000000"/>
                <w:sz w:val="24"/>
                <w:szCs w:val="24"/>
              </w:rPr>
              <w:t>按照招标文件规定要求签署、盖章。</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r>
      <w:tr>
        <w:tblPrEx>
          <w:tblCellMar>
            <w:top w:w="0" w:type="dxa"/>
            <w:left w:w="108" w:type="dxa"/>
            <w:bottom w:w="0" w:type="dxa"/>
            <w:right w:w="108" w:type="dxa"/>
          </w:tblCellMar>
        </w:tblPrEx>
        <w:trPr>
          <w:trHeight w:val="9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接受价格的算术修正</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投标文件报价出现前后不一致的，应按照招标文件规定的顺序修正。修正后的报价经投标人确认后产生约束力。</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6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未发现串通投标</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未与其他投标人串通投标，或者与招标人串通投标。</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9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报价说明可以接受</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投标人的报价明显低于其他通过符合性检查投标人的报价，有可能影响履约的，投标人能按照规定证明其报价合理性。</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kern w:val="0"/>
                <w:sz w:val="24"/>
                <w:szCs w:val="24"/>
              </w:rPr>
              <w:t xml:space="preserve">  </w:t>
            </w:r>
          </w:p>
        </w:tc>
      </w:tr>
      <w:tr>
        <w:tblPrEx>
          <w:tblCellMar>
            <w:top w:w="0" w:type="dxa"/>
            <w:left w:w="108" w:type="dxa"/>
            <w:bottom w:w="0" w:type="dxa"/>
            <w:right w:w="108" w:type="dxa"/>
          </w:tblCellMar>
        </w:tblPrEx>
        <w:trPr>
          <w:trHeight w:val="631"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无采购人不能接受的附加条件</w:t>
            </w:r>
          </w:p>
        </w:tc>
        <w:tc>
          <w:tcPr>
            <w:tcW w:w="51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r>
              <w:rPr>
                <w:rFonts w:hint="eastAsia" w:ascii="宋体" w:hAnsi="宋体" w:eastAsia="宋体" w:cs="宋体"/>
                <w:b w:val="0"/>
                <w:bCs/>
                <w:i w:val="0"/>
                <w:iCs w:val="0"/>
                <w:color w:val="000000"/>
                <w:sz w:val="24"/>
                <w:szCs w:val="24"/>
              </w:rPr>
              <w:t>投标文件未含有采购人不能接受的附加条件。</w:t>
            </w:r>
          </w:p>
        </w:tc>
        <w:tc>
          <w:tcPr>
            <w:tcW w:w="7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c>
          <w:tcPr>
            <w:tcW w:w="66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val="0"/>
                <w:bCs/>
                <w:i w:val="0"/>
                <w:iCs w:val="0"/>
                <w:color w:val="000000"/>
                <w:kern w:val="0"/>
                <w:sz w:val="24"/>
                <w:szCs w:val="24"/>
              </w:rPr>
            </w:pPr>
          </w:p>
        </w:tc>
      </w:tr>
      <w:tr>
        <w:tblPrEx>
          <w:tblCellMar>
            <w:top w:w="0" w:type="dxa"/>
            <w:left w:w="108" w:type="dxa"/>
            <w:bottom w:w="0" w:type="dxa"/>
            <w:right w:w="108" w:type="dxa"/>
          </w:tblCellMar>
        </w:tblPrEx>
        <w:trPr>
          <w:trHeight w:val="546" w:hRule="atLeast"/>
          <w:jc w:val="center"/>
        </w:trPr>
        <w:tc>
          <w:tcPr>
            <w:tcW w:w="76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sz w:val="24"/>
                <w:szCs w:val="24"/>
              </w:rPr>
            </w:pPr>
            <w:r>
              <w:rPr>
                <w:rFonts w:hint="eastAsia" w:ascii="宋体" w:hAnsi="宋体" w:eastAsia="宋体" w:cs="宋体"/>
                <w:b w:val="0"/>
                <w:bCs/>
                <w:i w:val="0"/>
                <w:iCs w:val="0"/>
                <w:color w:val="000000"/>
                <w:kern w:val="0"/>
                <w:sz w:val="24"/>
                <w:szCs w:val="24"/>
              </w:rPr>
              <w:t>结论</w:t>
            </w:r>
          </w:p>
        </w:tc>
        <w:tc>
          <w:tcPr>
            <w:tcW w:w="7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p>
        </w:tc>
        <w:tc>
          <w:tcPr>
            <w:tcW w:w="8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p>
        </w:tc>
        <w:tc>
          <w:tcPr>
            <w:tcW w:w="66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val="0"/>
                <w:bCs/>
                <w:i w:val="0"/>
                <w:iCs w:val="0"/>
                <w:color w:val="000000"/>
                <w:kern w:val="0"/>
                <w:sz w:val="24"/>
                <w:szCs w:val="24"/>
              </w:rPr>
            </w:pPr>
          </w:p>
        </w:tc>
      </w:tr>
    </w:tbl>
    <w:p>
      <w:pPr>
        <w:pStyle w:val="2"/>
        <w:widowControl w:val="0"/>
        <w:numPr>
          <w:ilvl w:val="0"/>
          <w:numId w:val="0"/>
        </w:numPr>
        <w:autoSpaceDE w:val="0"/>
        <w:autoSpaceDN w:val="0"/>
        <w:spacing w:after="120"/>
        <w:jc w:val="center"/>
        <w:rPr>
          <w:rFonts w:hint="eastAsia" w:ascii="宋体" w:hAnsi="宋体" w:eastAsia="宋体" w:cs="宋体"/>
          <w:b/>
          <w:bCs/>
          <w:kern w:val="0"/>
          <w:sz w:val="30"/>
          <w:szCs w:val="30"/>
        </w:rPr>
      </w:pPr>
    </w:p>
    <w:p>
      <w:pPr>
        <w:pStyle w:val="2"/>
        <w:widowControl w:val="0"/>
        <w:numPr>
          <w:ilvl w:val="0"/>
          <w:numId w:val="0"/>
        </w:numPr>
        <w:autoSpaceDE w:val="0"/>
        <w:autoSpaceDN w:val="0"/>
        <w:spacing w:after="120"/>
        <w:jc w:val="both"/>
        <w:rPr>
          <w:rFonts w:hint="eastAsia" w:ascii="宋体" w:hAnsi="宋体" w:eastAsia="宋体" w:cs="宋体"/>
          <w:b/>
          <w:bCs/>
          <w:kern w:val="0"/>
          <w:sz w:val="30"/>
          <w:szCs w:val="30"/>
        </w:rPr>
      </w:pPr>
    </w:p>
    <w:p>
      <w:pPr>
        <w:widowControl/>
        <w:numPr>
          <w:ilvl w:val="0"/>
          <w:numId w:val="161"/>
        </w:numPr>
        <w:ind w:left="0" w:leftChars="0" w:firstLine="0" w:firstLineChars="0"/>
        <w:jc w:val="center"/>
        <w:outlineLvl w:val="1"/>
        <w:rPr>
          <w:rFonts w:hint="eastAsia" w:ascii="宋体" w:hAnsi="宋体" w:eastAsia="宋体" w:cs="宋体"/>
          <w:b/>
          <w:bCs/>
          <w:kern w:val="0"/>
          <w:sz w:val="32"/>
          <w:szCs w:val="32"/>
        </w:rPr>
      </w:pPr>
      <w:bookmarkStart w:id="64" w:name="_Toc8822"/>
      <w:bookmarkStart w:id="65" w:name="_Toc6979"/>
      <w:bookmarkStart w:id="66" w:name="_Toc16640"/>
      <w:bookmarkStart w:id="67" w:name="_Toc3176"/>
      <w:bookmarkStart w:id="68" w:name="_Toc2714"/>
      <w:bookmarkStart w:id="69" w:name="_Toc24034"/>
      <w:r>
        <w:rPr>
          <w:rFonts w:hint="eastAsia" w:ascii="宋体" w:hAnsi="宋体" w:eastAsia="宋体" w:cs="宋体"/>
          <w:b/>
          <w:bCs/>
          <w:kern w:val="0"/>
          <w:sz w:val="32"/>
          <w:szCs w:val="32"/>
        </w:rPr>
        <w:t>技术符合性审查表</w:t>
      </w:r>
      <w:bookmarkEnd w:id="64"/>
      <w:bookmarkEnd w:id="65"/>
      <w:bookmarkEnd w:id="66"/>
      <w:bookmarkEnd w:id="67"/>
      <w:bookmarkEnd w:id="68"/>
      <w:bookmarkEnd w:id="69"/>
    </w:p>
    <w:tbl>
      <w:tblPr>
        <w:tblStyle w:val="18"/>
        <w:tblW w:w="0" w:type="auto"/>
        <w:tblInd w:w="108" w:type="dxa"/>
        <w:tblLayout w:type="fixed"/>
        <w:tblCellMar>
          <w:top w:w="0" w:type="dxa"/>
          <w:left w:w="108" w:type="dxa"/>
          <w:bottom w:w="0" w:type="dxa"/>
          <w:right w:w="108" w:type="dxa"/>
        </w:tblCellMar>
      </w:tblPr>
      <w:tblGrid>
        <w:gridCol w:w="4221"/>
        <w:gridCol w:w="1698"/>
        <w:gridCol w:w="2080"/>
        <w:gridCol w:w="1821"/>
      </w:tblGrid>
      <w:tr>
        <w:tblPrEx>
          <w:tblCellMar>
            <w:top w:w="0" w:type="dxa"/>
            <w:left w:w="108" w:type="dxa"/>
            <w:bottom w:w="0" w:type="dxa"/>
            <w:right w:w="108" w:type="dxa"/>
          </w:tblCellMar>
        </w:tblPrEx>
        <w:trPr>
          <w:trHeight w:val="552" w:hRule="atLeast"/>
        </w:trPr>
        <w:tc>
          <w:tcPr>
            <w:tcW w:w="9820" w:type="dxa"/>
            <w:gridSpan w:val="4"/>
            <w:tcBorders>
              <w:top w:val="nil"/>
              <w:left w:val="nil"/>
              <w:bottom w:val="single" w:color="auto" w:sz="4" w:space="0"/>
              <w:right w:val="nil"/>
            </w:tcBorders>
            <w:noWrap w:val="0"/>
            <w:vAlign w:val="center"/>
          </w:tcPr>
          <w:p>
            <w:pPr>
              <w:widowControl/>
              <w:jc w:val="both"/>
              <w:rPr>
                <w:rFonts w:hint="eastAsia" w:ascii="宋体" w:hAnsi="宋体" w:eastAsia="宋体" w:cs="宋体"/>
                <w:b/>
                <w:bCs/>
                <w:sz w:val="24"/>
                <w:szCs w:val="24"/>
              </w:rPr>
            </w:pPr>
          </w:p>
        </w:tc>
      </w:tr>
      <w:tr>
        <w:tblPrEx>
          <w:tblCellMar>
            <w:top w:w="0" w:type="dxa"/>
            <w:left w:w="108" w:type="dxa"/>
            <w:bottom w:w="0" w:type="dxa"/>
            <w:right w:w="108" w:type="dxa"/>
          </w:tblCellMar>
        </w:tblPrEx>
        <w:trPr>
          <w:trHeight w:val="449" w:hRule="atLeast"/>
        </w:trPr>
        <w:tc>
          <w:tcPr>
            <w:tcW w:w="4221" w:type="dxa"/>
            <w:vMerge w:val="restart"/>
            <w:tcBorders>
              <w:top w:val="single" w:color="auto" w:sz="4" w:space="0"/>
              <w:left w:val="single" w:color="auto" w:sz="4" w:space="0"/>
              <w:bottom w:val="single" w:color="000000" w:sz="4" w:space="0"/>
              <w:right w:val="single" w:color="000000" w:sz="4" w:space="0"/>
            </w:tcBorders>
            <w:noWrap w:val="0"/>
            <w:vAlign w:val="center"/>
          </w:tcPr>
          <w:p>
            <w:pPr>
              <w:pStyle w:val="3"/>
              <w:tabs>
                <w:tab w:val="left" w:pos="567"/>
              </w:tabs>
              <w:spacing w:line="360" w:lineRule="auto"/>
              <w:ind w:left="-189" w:leftChars="-86" w:firstLine="663" w:firstLineChars="275"/>
              <w:jc w:val="center"/>
              <w:rPr>
                <w:rFonts w:hint="eastAsia" w:ascii="宋体" w:hAnsi="宋体" w:eastAsia="宋体" w:cs="宋体"/>
                <w:b/>
                <w:sz w:val="24"/>
                <w:szCs w:val="24"/>
              </w:rPr>
            </w:pPr>
            <w:r>
              <w:rPr>
                <w:rFonts w:hint="eastAsia" w:ascii="宋体" w:hAnsi="宋体" w:eastAsia="宋体" w:cs="宋体"/>
                <w:b/>
                <w:sz w:val="24"/>
                <w:szCs w:val="24"/>
              </w:rPr>
              <w:t>审查事项</w:t>
            </w:r>
          </w:p>
        </w:tc>
        <w:tc>
          <w:tcPr>
            <w:tcW w:w="5599" w:type="dxa"/>
            <w:gridSpan w:val="3"/>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jc w:val="center"/>
              <w:rPr>
                <w:rFonts w:hint="eastAsia" w:ascii="宋体" w:hAnsi="宋体" w:eastAsia="宋体" w:cs="宋体"/>
                <w:b/>
                <w:sz w:val="24"/>
                <w:szCs w:val="24"/>
              </w:rPr>
            </w:pPr>
            <w:r>
              <w:rPr>
                <w:rFonts w:hint="eastAsia" w:ascii="宋体" w:hAnsi="宋体" w:eastAsia="宋体" w:cs="宋体"/>
                <w:b/>
                <w:sz w:val="24"/>
                <w:szCs w:val="24"/>
              </w:rPr>
              <w:t>投标</w:t>
            </w:r>
            <w:r>
              <w:rPr>
                <w:rFonts w:hint="eastAsia" w:ascii="宋体" w:hAnsi="宋体" w:eastAsia="宋体" w:cs="宋体"/>
                <w:b/>
                <w:sz w:val="24"/>
                <w:szCs w:val="24"/>
                <w:lang w:eastAsia="zh-CN"/>
              </w:rPr>
              <w:t>单位</w:t>
            </w:r>
            <w:r>
              <w:rPr>
                <w:rFonts w:hint="eastAsia" w:ascii="宋体" w:hAnsi="宋体" w:eastAsia="宋体" w:cs="宋体"/>
                <w:b/>
                <w:sz w:val="24"/>
                <w:szCs w:val="24"/>
              </w:rPr>
              <w:t>名称</w:t>
            </w:r>
          </w:p>
        </w:tc>
      </w:tr>
      <w:tr>
        <w:tblPrEx>
          <w:tblCellMar>
            <w:top w:w="0" w:type="dxa"/>
            <w:left w:w="108" w:type="dxa"/>
            <w:bottom w:w="0" w:type="dxa"/>
            <w:right w:w="108" w:type="dxa"/>
          </w:tblCellMar>
        </w:tblPrEx>
        <w:trPr>
          <w:trHeight w:val="312" w:hRule="atLeast"/>
        </w:trPr>
        <w:tc>
          <w:tcPr>
            <w:tcW w:w="4221"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hint="eastAsia" w:ascii="宋体" w:hAnsi="宋体" w:eastAsia="宋体" w:cs="宋体"/>
                <w:b/>
                <w:sz w:val="24"/>
                <w:szCs w:val="24"/>
              </w:rPr>
            </w:pPr>
          </w:p>
        </w:tc>
        <w:tc>
          <w:tcPr>
            <w:tcW w:w="1698" w:type="dxa"/>
            <w:vMerge w:val="restart"/>
            <w:tcBorders>
              <w:top w:val="nil"/>
              <w:left w:val="nil"/>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b/>
                <w:sz w:val="24"/>
                <w:szCs w:val="24"/>
              </w:rPr>
            </w:pPr>
            <w:r>
              <w:rPr>
                <w:rFonts w:hint="eastAsia" w:ascii="宋体" w:hAnsi="宋体" w:eastAsia="宋体" w:cs="宋体"/>
                <w:color w:val="000000"/>
                <w:kern w:val="0"/>
                <w:sz w:val="24"/>
                <w:szCs w:val="24"/>
              </w:rPr>
              <w:t>投标人1</w:t>
            </w:r>
          </w:p>
        </w:tc>
        <w:tc>
          <w:tcPr>
            <w:tcW w:w="2080" w:type="dxa"/>
            <w:vMerge w:val="restart"/>
            <w:tcBorders>
              <w:top w:val="nil"/>
              <w:left w:val="nil"/>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b/>
                <w:sz w:val="24"/>
                <w:szCs w:val="24"/>
                <w:lang w:eastAsia="zh-CN"/>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lang w:val="en-US" w:eastAsia="zh-CN"/>
              </w:rPr>
              <w:t>2</w:t>
            </w:r>
          </w:p>
        </w:tc>
        <w:tc>
          <w:tcPr>
            <w:tcW w:w="1821" w:type="dxa"/>
            <w:vMerge w:val="restart"/>
            <w:tcBorders>
              <w:top w:val="nil"/>
              <w:left w:val="nil"/>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b/>
                <w:sz w:val="24"/>
                <w:szCs w:val="24"/>
                <w:lang w:val="en-US" w:eastAsia="zh-CN"/>
              </w:rPr>
            </w:pPr>
            <w:r>
              <w:rPr>
                <w:rFonts w:hint="eastAsia" w:ascii="宋体" w:hAnsi="宋体" w:eastAsia="宋体" w:cs="宋体"/>
                <w:color w:val="000000"/>
                <w:kern w:val="0"/>
                <w:sz w:val="24"/>
                <w:szCs w:val="24"/>
                <w:lang w:val="en-US" w:eastAsia="zh-CN"/>
              </w:rPr>
              <w:t>.....</w:t>
            </w:r>
          </w:p>
        </w:tc>
      </w:tr>
      <w:tr>
        <w:tblPrEx>
          <w:tblCellMar>
            <w:top w:w="0" w:type="dxa"/>
            <w:left w:w="108" w:type="dxa"/>
            <w:bottom w:w="0" w:type="dxa"/>
            <w:right w:w="108" w:type="dxa"/>
          </w:tblCellMar>
        </w:tblPrEx>
        <w:trPr>
          <w:trHeight w:val="586" w:hRule="atLeast"/>
        </w:trPr>
        <w:tc>
          <w:tcPr>
            <w:tcW w:w="4221" w:type="dxa"/>
            <w:tcBorders>
              <w:top w:val="nil"/>
              <w:left w:val="single" w:color="auto" w:sz="4" w:space="0"/>
              <w:bottom w:val="single" w:color="auto" w:sz="4" w:space="0"/>
              <w:right w:val="single" w:color="auto" w:sz="4" w:space="0"/>
            </w:tcBorders>
            <w:noWrap w:val="0"/>
            <w:vAlign w:val="center"/>
          </w:tcPr>
          <w:p>
            <w:pPr>
              <w:pStyle w:val="3"/>
              <w:tabs>
                <w:tab w:val="left" w:pos="567"/>
              </w:tabs>
              <w:spacing w:line="360" w:lineRule="auto"/>
              <w:ind w:left="-189" w:leftChars="-86" w:firstLine="120" w:firstLineChars="50"/>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1698" w:type="dxa"/>
            <w:vMerge w:val="continue"/>
            <w:tcBorders>
              <w:left w:val="nil"/>
              <w:bottom w:val="single" w:color="auto" w:sz="4" w:space="0"/>
              <w:right w:val="single" w:color="auto" w:sz="4" w:space="0"/>
            </w:tcBorders>
            <w:noWrap w:val="0"/>
            <w:vAlign w:val="center"/>
          </w:tcPr>
          <w:p>
            <w:pPr>
              <w:pStyle w:val="3"/>
              <w:tabs>
                <w:tab w:val="left" w:pos="567"/>
              </w:tabs>
              <w:spacing w:line="360" w:lineRule="auto"/>
              <w:ind w:left="-189" w:leftChars="-86" w:firstLine="663" w:firstLineChars="275"/>
              <w:jc w:val="both"/>
              <w:rPr>
                <w:rFonts w:hint="eastAsia" w:ascii="宋体" w:hAnsi="宋体" w:eastAsia="宋体" w:cs="宋体"/>
                <w:b/>
                <w:sz w:val="24"/>
                <w:szCs w:val="24"/>
              </w:rPr>
            </w:pPr>
          </w:p>
        </w:tc>
        <w:tc>
          <w:tcPr>
            <w:tcW w:w="2080" w:type="dxa"/>
            <w:vMerge w:val="continue"/>
            <w:tcBorders>
              <w:left w:val="nil"/>
              <w:bottom w:val="single" w:color="auto" w:sz="4" w:space="0"/>
              <w:right w:val="single" w:color="auto" w:sz="4" w:space="0"/>
            </w:tcBorders>
            <w:noWrap w:val="0"/>
            <w:vAlign w:val="center"/>
          </w:tcPr>
          <w:p>
            <w:pPr>
              <w:pStyle w:val="3"/>
              <w:tabs>
                <w:tab w:val="left" w:pos="567"/>
              </w:tabs>
              <w:spacing w:line="360" w:lineRule="auto"/>
              <w:ind w:left="-189" w:leftChars="-86" w:firstLine="663" w:firstLineChars="275"/>
              <w:jc w:val="both"/>
              <w:rPr>
                <w:rFonts w:hint="eastAsia" w:ascii="宋体" w:hAnsi="宋体" w:eastAsia="宋体" w:cs="宋体"/>
                <w:b/>
                <w:sz w:val="24"/>
                <w:szCs w:val="24"/>
              </w:rPr>
            </w:pPr>
          </w:p>
        </w:tc>
        <w:tc>
          <w:tcPr>
            <w:tcW w:w="1821" w:type="dxa"/>
            <w:vMerge w:val="continue"/>
            <w:tcBorders>
              <w:left w:val="nil"/>
              <w:bottom w:val="single" w:color="auto" w:sz="4" w:space="0"/>
              <w:right w:val="single" w:color="auto" w:sz="4" w:space="0"/>
            </w:tcBorders>
            <w:noWrap w:val="0"/>
            <w:vAlign w:val="center"/>
          </w:tcPr>
          <w:p>
            <w:pPr>
              <w:pStyle w:val="3"/>
              <w:tabs>
                <w:tab w:val="left" w:pos="567"/>
              </w:tabs>
              <w:spacing w:line="360" w:lineRule="auto"/>
              <w:ind w:left="-189" w:leftChars="-86" w:firstLine="663" w:firstLineChars="275"/>
              <w:jc w:val="both"/>
              <w:rPr>
                <w:rFonts w:hint="eastAsia" w:ascii="宋体" w:hAnsi="宋体" w:eastAsia="宋体" w:cs="宋体"/>
                <w:b/>
                <w:sz w:val="24"/>
                <w:szCs w:val="24"/>
              </w:rPr>
            </w:pPr>
          </w:p>
        </w:tc>
      </w:tr>
      <w:tr>
        <w:tblPrEx>
          <w:tblCellMar>
            <w:top w:w="0" w:type="dxa"/>
            <w:left w:w="108" w:type="dxa"/>
            <w:bottom w:w="0" w:type="dxa"/>
            <w:right w:w="108" w:type="dxa"/>
          </w:tblCellMar>
        </w:tblPrEx>
        <w:trPr>
          <w:trHeight w:val="889" w:hRule="atLeast"/>
        </w:trPr>
        <w:tc>
          <w:tcPr>
            <w:tcW w:w="4221" w:type="dxa"/>
            <w:tcBorders>
              <w:top w:val="nil"/>
              <w:left w:val="single" w:color="auto" w:sz="4" w:space="0"/>
              <w:bottom w:val="single" w:color="auto" w:sz="4" w:space="0"/>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1.投标书、资格证明文件密封完好</w:t>
            </w:r>
          </w:p>
        </w:tc>
        <w:tc>
          <w:tcPr>
            <w:tcW w:w="1698"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3" w:firstLineChars="275"/>
              <w:jc w:val="both"/>
              <w:rPr>
                <w:rFonts w:hint="eastAsia" w:ascii="宋体" w:hAnsi="宋体" w:eastAsia="宋体" w:cs="宋体"/>
                <w:b/>
                <w:bCs/>
                <w:sz w:val="24"/>
                <w:szCs w:val="24"/>
              </w:rPr>
            </w:pPr>
          </w:p>
        </w:tc>
        <w:tc>
          <w:tcPr>
            <w:tcW w:w="1821"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3" w:firstLineChars="275"/>
              <w:jc w:val="both"/>
              <w:rPr>
                <w:rFonts w:hint="eastAsia" w:ascii="宋体" w:hAnsi="宋体" w:eastAsia="宋体" w:cs="宋体"/>
                <w:b/>
                <w:bCs/>
                <w:sz w:val="24"/>
                <w:szCs w:val="24"/>
              </w:rPr>
            </w:pPr>
          </w:p>
        </w:tc>
      </w:tr>
      <w:tr>
        <w:tblPrEx>
          <w:tblCellMar>
            <w:top w:w="0" w:type="dxa"/>
            <w:left w:w="108" w:type="dxa"/>
            <w:bottom w:w="0" w:type="dxa"/>
            <w:right w:w="108" w:type="dxa"/>
          </w:tblCellMar>
        </w:tblPrEx>
        <w:trPr>
          <w:trHeight w:val="889" w:hRule="atLeast"/>
        </w:trPr>
        <w:tc>
          <w:tcPr>
            <w:tcW w:w="4221" w:type="dxa"/>
            <w:tcBorders>
              <w:top w:val="nil"/>
              <w:left w:val="single" w:color="auto" w:sz="4" w:space="0"/>
              <w:bottom w:val="single" w:color="auto" w:sz="4" w:space="0"/>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2.投标文件签署、盖章齐全完整</w:t>
            </w:r>
          </w:p>
        </w:tc>
        <w:tc>
          <w:tcPr>
            <w:tcW w:w="1698"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1821"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r>
      <w:tr>
        <w:tblPrEx>
          <w:tblCellMar>
            <w:top w:w="0" w:type="dxa"/>
            <w:left w:w="108" w:type="dxa"/>
            <w:bottom w:w="0" w:type="dxa"/>
            <w:right w:w="108" w:type="dxa"/>
          </w:tblCellMar>
        </w:tblPrEx>
        <w:trPr>
          <w:trHeight w:val="547" w:hRule="atLeast"/>
        </w:trPr>
        <w:tc>
          <w:tcPr>
            <w:tcW w:w="4221" w:type="dxa"/>
            <w:tcBorders>
              <w:top w:val="nil"/>
              <w:left w:val="single" w:color="auto" w:sz="4" w:space="0"/>
              <w:bottom w:val="single" w:color="auto" w:sz="4" w:space="0"/>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3.投标文件组成齐全完整</w:t>
            </w:r>
          </w:p>
        </w:tc>
        <w:tc>
          <w:tcPr>
            <w:tcW w:w="1698"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1821"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r>
      <w:tr>
        <w:tblPrEx>
          <w:tblCellMar>
            <w:top w:w="0" w:type="dxa"/>
            <w:left w:w="108" w:type="dxa"/>
            <w:bottom w:w="0" w:type="dxa"/>
            <w:right w:w="108" w:type="dxa"/>
          </w:tblCellMar>
        </w:tblPrEx>
        <w:trPr>
          <w:trHeight w:val="889" w:hRule="atLeast"/>
        </w:trPr>
        <w:tc>
          <w:tcPr>
            <w:tcW w:w="4221" w:type="dxa"/>
            <w:tcBorders>
              <w:top w:val="nil"/>
              <w:left w:val="single" w:color="auto" w:sz="4" w:space="0"/>
              <w:bottom w:val="nil"/>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4.投标文件有效期满足招标文件要求</w:t>
            </w:r>
          </w:p>
        </w:tc>
        <w:tc>
          <w:tcPr>
            <w:tcW w:w="1698" w:type="dxa"/>
            <w:tcBorders>
              <w:top w:val="nil"/>
              <w:left w:val="nil"/>
              <w:bottom w:val="nil"/>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nil"/>
              <w:left w:val="nil"/>
              <w:bottom w:val="nil"/>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1821" w:type="dxa"/>
            <w:tcBorders>
              <w:top w:val="nil"/>
              <w:left w:val="nil"/>
              <w:bottom w:val="nil"/>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r>
      <w:tr>
        <w:tblPrEx>
          <w:tblCellMar>
            <w:top w:w="0" w:type="dxa"/>
            <w:left w:w="108" w:type="dxa"/>
            <w:bottom w:w="0" w:type="dxa"/>
            <w:right w:w="108" w:type="dxa"/>
          </w:tblCellMar>
        </w:tblPrEx>
        <w:trPr>
          <w:trHeight w:val="889" w:hRule="atLeast"/>
        </w:trPr>
        <w:tc>
          <w:tcPr>
            <w:tcW w:w="422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5.投标保证金满足招标文件要求</w:t>
            </w:r>
          </w:p>
        </w:tc>
        <w:tc>
          <w:tcPr>
            <w:tcW w:w="1698" w:type="dxa"/>
            <w:tcBorders>
              <w:top w:val="single" w:color="auto" w:sz="4" w:space="0"/>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single" w:color="auto" w:sz="4" w:space="0"/>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1821" w:type="dxa"/>
            <w:tcBorders>
              <w:top w:val="single" w:color="auto" w:sz="4" w:space="0"/>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r>
      <w:tr>
        <w:tblPrEx>
          <w:tblCellMar>
            <w:top w:w="0" w:type="dxa"/>
            <w:left w:w="108" w:type="dxa"/>
            <w:bottom w:w="0" w:type="dxa"/>
            <w:right w:w="108" w:type="dxa"/>
          </w:tblCellMar>
        </w:tblPrEx>
        <w:trPr>
          <w:trHeight w:val="547" w:hRule="atLeast"/>
        </w:trPr>
        <w:tc>
          <w:tcPr>
            <w:tcW w:w="4221" w:type="dxa"/>
            <w:tcBorders>
              <w:top w:val="nil"/>
              <w:left w:val="single" w:color="auto" w:sz="4" w:space="0"/>
              <w:bottom w:val="single" w:color="auto" w:sz="4" w:space="0"/>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6.实质性响应招标文件要求</w:t>
            </w:r>
          </w:p>
        </w:tc>
        <w:tc>
          <w:tcPr>
            <w:tcW w:w="1698"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1821"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r>
      <w:tr>
        <w:tblPrEx>
          <w:tblCellMar>
            <w:top w:w="0" w:type="dxa"/>
            <w:left w:w="108" w:type="dxa"/>
            <w:bottom w:w="0" w:type="dxa"/>
            <w:right w:w="108" w:type="dxa"/>
          </w:tblCellMar>
        </w:tblPrEx>
        <w:trPr>
          <w:trHeight w:val="889" w:hRule="atLeast"/>
        </w:trPr>
        <w:tc>
          <w:tcPr>
            <w:tcW w:w="4221" w:type="dxa"/>
            <w:tcBorders>
              <w:top w:val="nil"/>
              <w:left w:val="single" w:color="auto" w:sz="4" w:space="0"/>
              <w:bottom w:val="single" w:color="auto" w:sz="4" w:space="0"/>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7.所有产品类型与招标文件要求的产品类型不相符</w:t>
            </w:r>
          </w:p>
        </w:tc>
        <w:tc>
          <w:tcPr>
            <w:tcW w:w="1698"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1821"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r>
      <w:tr>
        <w:tblPrEx>
          <w:tblCellMar>
            <w:top w:w="0" w:type="dxa"/>
            <w:left w:w="108" w:type="dxa"/>
            <w:bottom w:w="0" w:type="dxa"/>
            <w:right w:w="108" w:type="dxa"/>
          </w:tblCellMar>
        </w:tblPrEx>
        <w:trPr>
          <w:trHeight w:val="547" w:hRule="atLeast"/>
        </w:trPr>
        <w:tc>
          <w:tcPr>
            <w:tcW w:w="4221" w:type="dxa"/>
            <w:tcBorders>
              <w:top w:val="single" w:color="auto" w:sz="4" w:space="0"/>
              <w:left w:val="single" w:color="auto" w:sz="4" w:space="0"/>
              <w:bottom w:val="single" w:color="auto" w:sz="4" w:space="0"/>
              <w:right w:val="single" w:color="auto" w:sz="4" w:space="0"/>
            </w:tcBorders>
            <w:noWrap w:val="0"/>
            <w:vAlign w:val="center"/>
          </w:tcPr>
          <w:p>
            <w:pPr>
              <w:pStyle w:val="3"/>
              <w:tabs>
                <w:tab w:val="left" w:pos="567"/>
              </w:tabs>
              <w:spacing w:line="36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结论</w:t>
            </w:r>
          </w:p>
        </w:tc>
        <w:tc>
          <w:tcPr>
            <w:tcW w:w="1698"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2080"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c>
          <w:tcPr>
            <w:tcW w:w="1821" w:type="dxa"/>
            <w:tcBorders>
              <w:top w:val="nil"/>
              <w:left w:val="nil"/>
              <w:bottom w:val="single" w:color="auto" w:sz="4" w:space="0"/>
              <w:right w:val="single" w:color="auto" w:sz="4" w:space="0"/>
            </w:tcBorders>
            <w:noWrap w:val="0"/>
            <w:vAlign w:val="center"/>
          </w:tcPr>
          <w:p>
            <w:pPr>
              <w:pStyle w:val="3"/>
              <w:tabs>
                <w:tab w:val="left" w:pos="567"/>
              </w:tabs>
              <w:spacing w:line="360" w:lineRule="auto"/>
              <w:ind w:left="-189" w:leftChars="-86" w:firstLine="660" w:firstLineChars="275"/>
              <w:jc w:val="both"/>
              <w:rPr>
                <w:rFonts w:hint="eastAsia" w:ascii="宋体" w:hAnsi="宋体" w:eastAsia="宋体" w:cs="宋体"/>
                <w:sz w:val="24"/>
                <w:szCs w:val="24"/>
              </w:rPr>
            </w:pPr>
          </w:p>
        </w:tc>
      </w:tr>
    </w:tbl>
    <w:p>
      <w:pPr>
        <w:pStyle w:val="3"/>
        <w:numPr>
          <w:ilvl w:val="0"/>
          <w:numId w:val="0"/>
        </w:numPr>
        <w:ind w:leftChars="0"/>
        <w:rPr>
          <w:rFonts w:hint="eastAsia" w:ascii="宋体" w:hAnsi="宋体" w:eastAsia="宋体" w:cs="宋体"/>
        </w:rPr>
      </w:pP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说明：</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1、符合性评审是指评标委员会审查每一投标文件是否对招标文件提出的所有实质性要求和条件作出响应，有无显著的差异或保留。未能在实质上响应和投标，应作废标处理。</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委员会可以书面方式要求投标人对投标文件中含义不明确、对同类问题表述不一致或有明显文字和计算错误的内容作出必要澄清、说明或补正。澄清、说明或补正应以书面方式进行并不得超出投标文件的范围或者改变投标文件的实质性内容（通过要求的打“√”，不通过要求的打“×”）。</w:t>
      </w:r>
    </w:p>
    <w:p>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sz w:val="21"/>
          <w:szCs w:val="21"/>
        </w:rPr>
      </w:pPr>
      <w:r>
        <w:rPr>
          <w:rFonts w:hint="eastAsia" w:ascii="宋体" w:hAnsi="宋体" w:eastAsia="宋体" w:cs="宋体"/>
          <w:sz w:val="24"/>
          <w:szCs w:val="24"/>
          <w:lang w:val="en-US" w:eastAsia="zh-CN"/>
        </w:rPr>
        <w:t>3、</w:t>
      </w:r>
      <w:r>
        <w:rPr>
          <w:rFonts w:hint="eastAsia" w:ascii="宋体" w:hAnsi="宋体" w:eastAsia="宋体" w:cs="宋体"/>
          <w:sz w:val="24"/>
          <w:szCs w:val="24"/>
        </w:rPr>
        <w:t>上述各项中如有一项为“×”，则结论为“×”，表示该投标文件中存在重大偏差，不能通过初步评审；评委对某一分项评审认为不合格时，必须要写明原因</w:t>
      </w:r>
      <w:r>
        <w:rPr>
          <w:rFonts w:hint="eastAsia" w:ascii="宋体" w:hAnsi="宋体" w:eastAsia="宋体" w:cs="宋体"/>
          <w:sz w:val="21"/>
          <w:szCs w:val="21"/>
        </w:rPr>
        <w:t>。</w:t>
      </w:r>
    </w:p>
    <w:p>
      <w:pPr>
        <w:pStyle w:val="2"/>
        <w:widowControl w:val="0"/>
        <w:numPr>
          <w:ilvl w:val="0"/>
          <w:numId w:val="0"/>
        </w:numPr>
        <w:autoSpaceDE w:val="0"/>
        <w:autoSpaceDN w:val="0"/>
        <w:spacing w:after="120"/>
        <w:jc w:val="center"/>
        <w:rPr>
          <w:rFonts w:hint="eastAsia" w:ascii="宋体" w:hAnsi="宋体" w:eastAsia="宋体" w:cs="宋体"/>
          <w:b/>
          <w:bCs/>
          <w:kern w:val="0"/>
          <w:sz w:val="30"/>
          <w:szCs w:val="30"/>
        </w:rPr>
        <w:sectPr>
          <w:pgSz w:w="11910" w:h="16850"/>
          <w:pgMar w:top="1440" w:right="1083" w:bottom="1440" w:left="1083" w:header="877" w:footer="1066" w:gutter="0"/>
          <w:pgNumType w:fmt="decimal"/>
          <w:cols w:space="0" w:num="1"/>
          <w:rtlGutter w:val="0"/>
          <w:docGrid w:linePitch="0" w:charSpace="0"/>
        </w:sectPr>
      </w:pPr>
    </w:p>
    <w:p>
      <w:pPr>
        <w:pStyle w:val="5"/>
        <w:spacing w:line="360" w:lineRule="auto"/>
        <w:ind w:left="220" w:leftChars="100" w:right="220" w:rightChars="100" w:firstLine="643" w:firstLineChars="200"/>
        <w:jc w:val="center"/>
        <w:rPr>
          <w:rFonts w:hint="eastAsia" w:ascii="宋体" w:hAnsi="宋体" w:eastAsia="宋体" w:cs="宋体"/>
          <w:b/>
          <w:color w:val="000000" w:themeColor="text1"/>
          <w14:textFill>
            <w14:solidFill>
              <w14:schemeClr w14:val="tx1"/>
            </w14:solidFill>
          </w14:textFill>
        </w:rPr>
      </w:pPr>
      <w:bookmarkStart w:id="70" w:name="第五章_采购合同"/>
      <w:bookmarkEnd w:id="70"/>
      <w:bookmarkStart w:id="71" w:name="_bookmark10"/>
      <w:bookmarkEnd w:id="71"/>
      <w:bookmarkStart w:id="72" w:name="_Toc17921"/>
      <w:r>
        <w:rPr>
          <w:rFonts w:hint="eastAsia" w:ascii="宋体" w:hAnsi="宋体" w:eastAsia="宋体" w:cs="宋体"/>
          <w:b/>
          <w:color w:val="000000" w:themeColor="text1"/>
          <w14:textFill>
            <w14:solidFill>
              <w14:schemeClr w14:val="tx1"/>
            </w14:solidFill>
          </w14:textFill>
        </w:rPr>
        <w:t>第五章采购合同</w:t>
      </w:r>
      <w:bookmarkEnd w:id="72"/>
    </w:p>
    <w:p>
      <w:pPr>
        <w:jc w:val="center"/>
        <w:rPr>
          <w:rFonts w:hint="eastAsia" w:ascii="宋体" w:hAnsi="宋体" w:eastAsia="宋体" w:cs="宋体"/>
          <w:sz w:val="24"/>
          <w:lang w:eastAsia="zh-CN"/>
        </w:rPr>
      </w:pPr>
      <w:r>
        <w:rPr>
          <w:rFonts w:hint="eastAsia" w:ascii="宋体" w:hAnsi="宋体" w:eastAsia="宋体" w:cs="宋体"/>
          <w:b/>
          <w:color w:val="0D0D0D" w:themeColor="text1" w:themeTint="F2"/>
          <w:sz w:val="32"/>
          <w:szCs w:val="32"/>
          <w:shd w:val="clear" w:color="auto" w:fill="FFFFFF"/>
          <w:lang w:eastAsia="zh-CN"/>
          <w14:textFill>
            <w14:solidFill>
              <w14:schemeClr w14:val="tx1">
                <w14:lumMod w14:val="95000"/>
                <w14:lumOff w14:val="5000"/>
              </w14:schemeClr>
            </w14:solidFill>
          </w14:textFill>
        </w:rPr>
        <w:t>“中华民族共同体历史哈密史证研究”项目</w:t>
      </w:r>
      <w:r>
        <w:rPr>
          <w:rFonts w:hint="eastAsia" w:ascii="宋体" w:hAnsi="宋体" w:eastAsia="宋体" w:cs="宋体"/>
          <w:b/>
          <w:color w:val="0D0D0D" w:themeColor="text1" w:themeTint="F2"/>
          <w:sz w:val="32"/>
          <w:szCs w:val="32"/>
          <w:shd w:val="clear" w:color="auto" w:fill="FFFFFF"/>
          <w14:textFill>
            <w14:solidFill>
              <w14:schemeClr w14:val="tx1">
                <w14:lumMod w14:val="95000"/>
                <w14:lumOff w14:val="5000"/>
              </w14:schemeClr>
            </w14:solidFill>
          </w14:textFill>
        </w:rPr>
        <w:t>合同</w:t>
      </w:r>
      <w:r>
        <w:rPr>
          <w:rFonts w:hint="eastAsia" w:ascii="宋体" w:hAnsi="宋体" w:eastAsia="宋体" w:cs="宋体"/>
          <w:b/>
          <w:color w:val="0D0D0D" w:themeColor="text1" w:themeTint="F2"/>
          <w:sz w:val="32"/>
          <w:szCs w:val="32"/>
          <w:shd w:val="clear" w:color="auto" w:fill="FFFFFF"/>
          <w:lang w:eastAsia="zh-CN"/>
          <w14:textFill>
            <w14:solidFill>
              <w14:schemeClr w14:val="tx1">
                <w14:lumMod w14:val="95000"/>
                <w14:lumOff w14:val="5000"/>
              </w14:schemeClr>
            </w14:solidFill>
          </w14:textFill>
        </w:rPr>
        <w:t>（仅供参考）</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甲方（委托方）：</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乙方（受托方）：</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甲乙双方根据《中华人民共和国合同法》、《中华人民共和国政府采购法》和</w:t>
      </w:r>
      <w:r>
        <w:rPr>
          <w:rFonts w:hint="eastAsia" w:ascii="宋体" w:hAnsi="宋体" w:eastAsia="宋体" w:cs="宋体"/>
          <w:b/>
          <w:bCs/>
          <w:sz w:val="24"/>
          <w:szCs w:val="24"/>
          <w:lang w:eastAsia="zh-CN"/>
        </w:rPr>
        <w:t>“中华民族共同体历史哈密史证研究”项目</w:t>
      </w:r>
      <w:r>
        <w:rPr>
          <w:rFonts w:hint="eastAsia" w:ascii="宋体" w:hAnsi="宋体" w:eastAsia="宋体" w:cs="宋体"/>
          <w:sz w:val="24"/>
          <w:szCs w:val="24"/>
        </w:rPr>
        <w:t>【项目编号：</w:t>
      </w:r>
      <w:r>
        <w:rPr>
          <w:rFonts w:hint="eastAsia" w:ascii="宋体" w:hAnsi="宋体" w:eastAsia="宋体" w:cs="宋体"/>
          <w:sz w:val="24"/>
          <w:szCs w:val="24"/>
          <w:lang w:eastAsia="zh-CN"/>
        </w:rPr>
        <w:t>HMFYZFCG-2022-012</w:t>
      </w:r>
      <w:r>
        <w:rPr>
          <w:rFonts w:hint="eastAsia" w:ascii="宋体" w:hAnsi="宋体" w:eastAsia="宋体" w:cs="宋体"/>
          <w:sz w:val="24"/>
          <w:szCs w:val="24"/>
        </w:rPr>
        <w:t>】,乙方《投标文件》及《中标通知书》就上述</w:t>
      </w:r>
      <w:r>
        <w:rPr>
          <w:rFonts w:hint="eastAsia" w:ascii="宋体" w:hAnsi="宋体" w:eastAsia="宋体" w:cs="宋体"/>
          <w:sz w:val="24"/>
          <w:szCs w:val="24"/>
          <w:lang w:eastAsia="zh-CN"/>
        </w:rPr>
        <w:t>项目</w:t>
      </w:r>
      <w:r>
        <w:rPr>
          <w:rFonts w:hint="eastAsia" w:ascii="宋体" w:hAnsi="宋体" w:eastAsia="宋体" w:cs="宋体"/>
          <w:sz w:val="24"/>
          <w:szCs w:val="24"/>
        </w:rPr>
        <w:t>达成如下协议：</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sz w:val="24"/>
          <w:szCs w:val="24"/>
        </w:rPr>
      </w:pPr>
      <w:r>
        <w:rPr>
          <w:rFonts w:hint="eastAsia" w:ascii="宋体" w:hAnsi="宋体" w:eastAsia="宋体" w:cs="宋体"/>
          <w:b/>
          <w:sz w:val="24"/>
          <w:szCs w:val="24"/>
        </w:rPr>
        <w:t>第一条：版权</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版权属于甲方（委托方）所有，乙方（受托方）未征得甲方授权或许可，乙方不得从事与版权相关的行为，不得擅自将该</w:t>
      </w:r>
      <w:r>
        <w:rPr>
          <w:rFonts w:hint="eastAsia" w:ascii="宋体" w:hAnsi="宋体" w:eastAsia="宋体" w:cs="宋体"/>
          <w:sz w:val="24"/>
          <w:szCs w:val="24"/>
          <w:lang w:eastAsia="zh-CN"/>
        </w:rPr>
        <w:t>项目成果</w:t>
      </w:r>
      <w:r>
        <w:rPr>
          <w:rFonts w:hint="eastAsia" w:ascii="宋体" w:hAnsi="宋体" w:eastAsia="宋体" w:cs="宋体"/>
          <w:sz w:val="24"/>
          <w:szCs w:val="24"/>
        </w:rPr>
        <w:t>再版或转作他用。</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sz w:val="24"/>
          <w:szCs w:val="24"/>
        </w:rPr>
      </w:pPr>
      <w:r>
        <w:rPr>
          <w:rFonts w:hint="eastAsia" w:ascii="宋体" w:hAnsi="宋体" w:eastAsia="宋体" w:cs="宋体"/>
          <w:b/>
          <w:sz w:val="24"/>
          <w:szCs w:val="24"/>
        </w:rPr>
        <w:t>第二条：甲方工作内容</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1、甲方负责对</w:t>
      </w:r>
      <w:r>
        <w:rPr>
          <w:rFonts w:hint="eastAsia" w:ascii="宋体" w:hAnsi="宋体" w:eastAsia="宋体" w:cs="宋体"/>
          <w:sz w:val="24"/>
          <w:szCs w:val="24"/>
          <w:lang w:eastAsia="zh-CN"/>
        </w:rPr>
        <w:t>“中华民族共同体历史哈密史证研究”项目</w:t>
      </w:r>
      <w:r>
        <w:rPr>
          <w:rFonts w:hint="eastAsia" w:ascii="宋体" w:hAnsi="宋体" w:eastAsia="宋体" w:cs="宋体"/>
          <w:sz w:val="24"/>
          <w:szCs w:val="24"/>
        </w:rPr>
        <w:t>的验收。</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、甲方负责完成</w:t>
      </w:r>
      <w:r>
        <w:rPr>
          <w:rFonts w:hint="eastAsia" w:ascii="宋体" w:hAnsi="宋体" w:eastAsia="宋体" w:cs="宋体"/>
          <w:sz w:val="24"/>
          <w:szCs w:val="24"/>
          <w:lang w:eastAsia="zh-CN"/>
        </w:rPr>
        <w:t>“中华民族共同体历史哈密史证研究”项目</w:t>
      </w:r>
      <w:r>
        <w:rPr>
          <w:rFonts w:hint="eastAsia" w:ascii="宋体" w:hAnsi="宋体" w:eastAsia="宋体" w:cs="宋体"/>
          <w:sz w:val="24"/>
          <w:szCs w:val="24"/>
        </w:rPr>
        <w:t>复审及验收工作，做好</w:t>
      </w:r>
      <w:r>
        <w:rPr>
          <w:rFonts w:hint="eastAsia" w:ascii="宋体" w:hAnsi="宋体" w:eastAsia="宋体" w:cs="宋体"/>
          <w:sz w:val="24"/>
          <w:szCs w:val="24"/>
          <w:lang w:eastAsia="zh-CN"/>
        </w:rPr>
        <w:t>初</w:t>
      </w:r>
      <w:r>
        <w:rPr>
          <w:rFonts w:hint="eastAsia" w:ascii="宋体" w:hAnsi="宋体" w:eastAsia="宋体" w:cs="宋体"/>
          <w:sz w:val="24"/>
          <w:szCs w:val="24"/>
        </w:rPr>
        <w:t>稿审稿记录，并将评审意见整理成统一资料后反馈给乙方。</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sz w:val="24"/>
          <w:szCs w:val="24"/>
        </w:rPr>
      </w:pPr>
      <w:r>
        <w:rPr>
          <w:rFonts w:hint="eastAsia" w:ascii="宋体" w:hAnsi="宋体" w:eastAsia="宋体" w:cs="宋体"/>
          <w:b/>
          <w:sz w:val="24"/>
          <w:szCs w:val="24"/>
        </w:rPr>
        <w:t>第三条：乙方工作内容</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《哈密河流域历史文化研究》项目</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1.哈密河流域历史文化文献整理项目；</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2.哈密爱国主义教育红色文化研究；</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sz w:val="24"/>
          <w:szCs w:val="24"/>
        </w:rPr>
      </w:pPr>
      <w:r>
        <w:rPr>
          <w:rFonts w:hint="eastAsia" w:ascii="宋体" w:hAnsi="宋体" w:eastAsia="宋体" w:cs="宋体"/>
          <w:sz w:val="24"/>
          <w:szCs w:val="24"/>
        </w:rPr>
        <w:t>3.研究成果展示、传播的规划、方案和建议；</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b w:val="0"/>
          <w:bCs/>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哈密河流域和星星峡、大南湖、七角井区域等不可移动文物为重点的全市</w:t>
      </w:r>
      <w:r>
        <w:rPr>
          <w:rFonts w:hint="eastAsia" w:ascii="宋体" w:hAnsi="宋体" w:eastAsia="宋体" w:cs="宋体"/>
          <w:b w:val="0"/>
          <w:bCs/>
          <w:sz w:val="24"/>
          <w:szCs w:val="24"/>
        </w:rPr>
        <w:t>域文化遗产田野调查及普查。</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第四条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服务承诺</w:t>
      </w:r>
    </w:p>
    <w:p>
      <w:pPr>
        <w:pStyle w:val="3"/>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sz w:val="24"/>
          <w:szCs w:val="24"/>
          <w:lang w:eastAsia="zh-CN"/>
        </w:rPr>
      </w:pPr>
      <w:r>
        <w:rPr>
          <w:rFonts w:hint="eastAsia"/>
          <w:sz w:val="24"/>
          <w:szCs w:val="24"/>
          <w:lang w:eastAsia="zh-CN"/>
        </w:rPr>
        <w:t>尊重和保护知识产权，必须保证成果的独创性、权威性。</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五</w:t>
      </w:r>
      <w:r>
        <w:rPr>
          <w:rFonts w:hint="eastAsia" w:ascii="宋体" w:hAnsi="宋体" w:eastAsia="宋体" w:cs="宋体"/>
          <w:b/>
          <w:sz w:val="24"/>
          <w:szCs w:val="24"/>
        </w:rPr>
        <w:t>条：付款方式</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签订合同后预付</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%，初稿编纂完成后支付</w:t>
      </w: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%，验收合格后支付剩余</w:t>
      </w:r>
      <w:r>
        <w:rPr>
          <w:rFonts w:hint="eastAsia" w:ascii="宋体" w:hAnsi="宋体" w:eastAsia="宋体" w:cs="宋体"/>
          <w:color w:val="000000" w:themeColor="text1"/>
          <w:sz w:val="24"/>
          <w:szCs w:val="24"/>
          <w:lang w:val="en-US" w:eastAsia="zh-CN"/>
          <w14:textFill>
            <w14:solidFill>
              <w14:schemeClr w14:val="tx1"/>
            </w14:solidFill>
          </w14:textFill>
        </w:rPr>
        <w:t>35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（注：需留合同价款的5%作为本项目的质保金，金额从履约保证金中扣除）。</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特别说明：甲方支付的《</w:t>
      </w:r>
      <w:r>
        <w:rPr>
          <w:rFonts w:hint="eastAsia" w:ascii="宋体" w:hAnsi="宋体" w:eastAsia="宋体" w:cs="宋体"/>
          <w:sz w:val="24"/>
          <w:szCs w:val="24"/>
          <w:lang w:eastAsia="zh-CN"/>
        </w:rPr>
        <w:t>“中华民族共同体历史哈密史证研究”项目</w:t>
      </w:r>
      <w:r>
        <w:rPr>
          <w:rFonts w:hint="eastAsia" w:ascii="宋体" w:hAnsi="宋体" w:eastAsia="宋体" w:cs="宋体"/>
          <w:sz w:val="24"/>
          <w:szCs w:val="24"/>
        </w:rPr>
        <w:t>》总费用中包含</w:t>
      </w:r>
      <w:r>
        <w:rPr>
          <w:rFonts w:hint="eastAsia" w:ascii="宋体" w:hAnsi="宋体" w:eastAsia="宋体" w:cs="宋体"/>
          <w:sz w:val="24"/>
          <w:szCs w:val="24"/>
          <w:lang w:eastAsia="zh-CN"/>
        </w:rPr>
        <w:t>研究成果、研究成果展览展示和田野调查及普查</w:t>
      </w:r>
      <w:r>
        <w:rPr>
          <w:rFonts w:hint="eastAsia" w:ascii="宋体" w:hAnsi="宋体" w:eastAsia="宋体" w:cs="宋体"/>
          <w:sz w:val="24"/>
          <w:szCs w:val="24"/>
        </w:rPr>
        <w:t>等过程需要支出的所有费用。</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乙方向甲方提供国家正式发票。</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六</w:t>
      </w:r>
      <w:r>
        <w:rPr>
          <w:rFonts w:hint="eastAsia" w:ascii="宋体" w:hAnsi="宋体" w:eastAsia="宋体" w:cs="宋体"/>
          <w:b/>
          <w:sz w:val="24"/>
          <w:szCs w:val="24"/>
        </w:rPr>
        <w:t>条：双方责任</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u w:val="single"/>
        </w:rPr>
      </w:pPr>
      <w:r>
        <w:rPr>
          <w:rFonts w:hint="eastAsia" w:ascii="宋体" w:hAnsi="宋体" w:eastAsia="宋体" w:cs="宋体"/>
          <w:sz w:val="24"/>
          <w:szCs w:val="24"/>
        </w:rPr>
        <w:t>1、甲方应按本合同第二条内容履行义务，积极配合乙方顺利完成</w:t>
      </w:r>
      <w:r>
        <w:rPr>
          <w:rFonts w:hint="eastAsia" w:ascii="宋体" w:hAnsi="宋体" w:eastAsia="宋体" w:cs="宋体"/>
          <w:sz w:val="24"/>
          <w:szCs w:val="24"/>
          <w:lang w:eastAsia="zh-CN"/>
        </w:rPr>
        <w:t>此项目</w:t>
      </w:r>
      <w:r>
        <w:rPr>
          <w:rFonts w:hint="eastAsia" w:ascii="宋体" w:hAnsi="宋体" w:eastAsia="宋体" w:cs="宋体"/>
          <w:sz w:val="24"/>
          <w:szCs w:val="24"/>
        </w:rPr>
        <w:t>，否则承担违约责任。</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2、乙方应按本合同第三条、第四条内容履行义务，如乙方未按合同约定内容和要求完成工作并经甲方验收不合格，乙方应返工重做直至达到甲方验收合格为止。乙方还应承担合同总额20%的违约金，由此给甲方造成的经济损失全部由乙方赔偿。</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3、如果双方未在规定时间完成相关阶段工作，甲乙双方需要提前书面或者电话沟通。</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4、本合同一式伍份，甲方执叁份，乙方执贰份。合同经双方盖章（签字）后生效。如有未尽事宜，双方协商并签订补充合同，与本合同具有同等法律效力。</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（以下无正文）</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甲方（盖章）：</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甲方代表：</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地    址：</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电    话：</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签订日期：      年      月      日</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乙方（盖章）：</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乙方代表：</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地    址：</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电    话：</w:t>
      </w:r>
    </w:p>
    <w:p>
      <w:pPr>
        <w:keepNext w:val="0"/>
        <w:keepLines w:val="0"/>
        <w:pageBreakBefore w:val="0"/>
        <w:widowControl w:val="0"/>
        <w:kinsoku/>
        <w:wordWrap/>
        <w:overflowPunct/>
        <w:topLinePunct w:val="0"/>
        <w:autoSpaceDE w:val="0"/>
        <w:autoSpaceDN w:val="0"/>
        <w:bidi w:val="0"/>
        <w:adjustRightInd/>
        <w:snapToGrid/>
        <w:spacing w:line="460" w:lineRule="exact"/>
        <w:ind w:firstLine="482" w:firstLineChars="201"/>
        <w:textAlignment w:val="auto"/>
        <w:rPr>
          <w:rFonts w:hint="eastAsia" w:ascii="宋体" w:hAnsi="宋体" w:eastAsia="宋体" w:cs="宋体"/>
          <w:sz w:val="24"/>
          <w:szCs w:val="24"/>
        </w:rPr>
      </w:pPr>
      <w:r>
        <w:rPr>
          <w:rFonts w:hint="eastAsia" w:ascii="宋体" w:hAnsi="宋体" w:eastAsia="宋体" w:cs="宋体"/>
          <w:sz w:val="24"/>
          <w:szCs w:val="24"/>
        </w:rPr>
        <w:t>签订日期：      年      月      日</w:t>
      </w:r>
    </w:p>
    <w:p>
      <w:pPr>
        <w:pStyle w:val="3"/>
        <w:spacing w:before="7" w:line="360" w:lineRule="auto"/>
        <w:ind w:left="220" w:leftChars="100" w:right="220" w:rightChars="100" w:firstLine="464" w:firstLineChars="200"/>
        <w:jc w:val="both"/>
        <w:rPr>
          <w:rFonts w:hint="eastAsia" w:ascii="宋体" w:hAnsi="宋体" w:eastAsia="宋体" w:cs="宋体"/>
          <w:color w:val="000000" w:themeColor="text1"/>
          <w:spacing w:val="-4"/>
          <w14:textFill>
            <w14:solidFill>
              <w14:schemeClr w14:val="tx1"/>
            </w14:solidFill>
          </w14:textFill>
        </w:rPr>
      </w:pPr>
    </w:p>
    <w:p>
      <w:pPr>
        <w:pStyle w:val="3"/>
        <w:spacing w:before="7" w:line="360" w:lineRule="auto"/>
        <w:ind w:left="220" w:leftChars="100" w:right="220" w:rightChars="100" w:firstLine="464" w:firstLineChars="200"/>
        <w:jc w:val="both"/>
        <w:rPr>
          <w:rFonts w:hint="eastAsia" w:ascii="宋体" w:hAnsi="宋体" w:eastAsia="宋体" w:cs="宋体"/>
          <w:color w:val="000000" w:themeColor="text1"/>
          <w:spacing w:val="-4"/>
          <w14:textFill>
            <w14:solidFill>
              <w14:schemeClr w14:val="tx1"/>
            </w14:solidFill>
          </w14:textFill>
        </w:rPr>
      </w:pPr>
    </w:p>
    <w:p>
      <w:pPr>
        <w:pStyle w:val="3"/>
        <w:spacing w:before="7" w:line="360" w:lineRule="auto"/>
        <w:ind w:left="220" w:leftChars="100" w:right="220" w:rightChars="100" w:firstLine="464" w:firstLineChars="200"/>
        <w:jc w:val="both"/>
        <w:rPr>
          <w:rFonts w:hint="eastAsia" w:ascii="宋体" w:hAnsi="宋体" w:eastAsia="宋体" w:cs="宋体"/>
          <w:color w:val="000000" w:themeColor="text1"/>
          <w:spacing w:val="-4"/>
          <w14:textFill>
            <w14:solidFill>
              <w14:schemeClr w14:val="tx1"/>
            </w14:solidFill>
          </w14:textFill>
        </w:rPr>
      </w:pPr>
    </w:p>
    <w:p>
      <w:pPr>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5"/>
        <w:spacing w:line="360" w:lineRule="auto"/>
        <w:ind w:right="220" w:rightChars="100"/>
        <w:rPr>
          <w:rFonts w:hint="eastAsia" w:ascii="宋体" w:hAnsi="宋体" w:eastAsia="宋体" w:cs="宋体"/>
          <w:color w:val="000000" w:themeColor="text1"/>
          <w:spacing w:val="-4"/>
          <w:sz w:val="24"/>
          <w:szCs w:val="24"/>
          <w14:textFill>
            <w14:solidFill>
              <w14:schemeClr w14:val="tx1"/>
            </w14:solidFill>
          </w14:textFill>
        </w:rPr>
      </w:pPr>
    </w:p>
    <w:p>
      <w:pPr>
        <w:pStyle w:val="5"/>
        <w:numPr>
          <w:ilvl w:val="0"/>
          <w:numId w:val="162"/>
        </w:numPr>
        <w:jc w:val="center"/>
        <w:rPr>
          <w:rFonts w:hint="eastAsia" w:ascii="宋体" w:hAnsi="宋体" w:eastAsia="宋体" w:cs="宋体"/>
          <w:b/>
          <w:bCs/>
          <w:color w:val="FF0000"/>
        </w:rPr>
      </w:pPr>
      <w:bookmarkStart w:id="73" w:name="_bookmark11"/>
      <w:bookmarkEnd w:id="73"/>
      <w:bookmarkStart w:id="74" w:name="第六章_采购需求"/>
      <w:bookmarkEnd w:id="74"/>
      <w:r>
        <w:rPr>
          <w:rFonts w:hint="eastAsia" w:ascii="宋体" w:hAnsi="宋体" w:eastAsia="宋体" w:cs="宋体"/>
          <w:b/>
          <w:bCs/>
          <w:lang w:val="en-US"/>
        </w:rPr>
        <w:t xml:space="preserve">  </w:t>
      </w:r>
      <w:bookmarkStart w:id="75" w:name="_Toc24421"/>
      <w:r>
        <w:rPr>
          <w:rFonts w:hint="eastAsia" w:ascii="宋体" w:hAnsi="宋体" w:eastAsia="宋体" w:cs="宋体"/>
          <w:b/>
          <w:bCs/>
          <w:lang w:eastAsia="zh-CN"/>
        </w:rPr>
        <w:t>采购需求</w:t>
      </w:r>
      <w:bookmarkEnd w:id="75"/>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一、《哈密河流域历史文化研究》项目</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根据河南省援疆“中华民族共同体历史哈密史证研究”项目和市政府《哈密历史文化研究及展示转化战略合作协议》、市政协《哈密河流域历史文化研究课题合作协议》，计划开展以下工作：</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1.哈密河流域历史文化文献整理项目</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（1）运用历史学、文献学、考古学等学科的方法，系统开展古籍整理、出土文献的发掘与研究，对古代典籍、传世文献中的哈密资料全面挖掘整理，进行史料释读、方志整理、诗文整理等文献学研究。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形成哈密农耕文化、草原文化、红色文化、书院文化等课题研究，巴里坤“甘露川”伊吾“伊吾河”流域史证研究，哈密七角井区域演变史研究，哈密民族宗教文化研究，哈密屯垦、商旅、饮食文化研究，丝绸之路哈密境内路网、长城资源（烽燧、驿道、驿站等）研究，哈密史前及秦汉至明清断代史研究（包含耕地、水源、气候、生物、植物、生态环境等）重点成果。</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2.哈密爱国主义教育红色文化研究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哈密红色历史文献、红色文物、革命遗址遗迹等的查找、收集、整理、编译和研究。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3.研究成果展示、传播的规划、方案和建议</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以哈密历史文化研究、中原文化与哈密的联系影响研究、哈密红色文化研究等方向为主题，在梳理、挖掘、研究、展示、传播的过程中，从视觉形式上复原和表现历史文化的面貌，展示和传播自古以来各民族守望相助、休戚与共的历史事实。通过艺术创作、影像制作、文化展陈、宣传传播等形式，深化哈密历史文化宣教，扩大哈密历史文化传播的影响力和普及性，引导各族干部群众坚定对中华文化的认同。</w:t>
      </w:r>
    </w:p>
    <w:p>
      <w:pPr>
        <w:pStyle w:val="3"/>
        <w:rPr>
          <w:rFonts w:hint="eastAsia" w:ascii="宋体" w:hAnsi="宋体" w:eastAsia="宋体" w:cs="宋体"/>
          <w:sz w:val="24"/>
          <w:szCs w:val="24"/>
          <w:lang w:val="en-US" w:eastAsia="zh-CN"/>
        </w:rPr>
      </w:pPr>
    </w:p>
    <w:p>
      <w:pPr>
        <w:rPr>
          <w:rFonts w:hint="eastAsia"/>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6702"/>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3"/>
            <w:noWrap w:val="0"/>
            <w:vAlign w:val="center"/>
          </w:tcPr>
          <w:p>
            <w:pPr>
              <w:jc w:val="center"/>
              <w:rPr>
                <w:rFonts w:hint="eastAsia"/>
                <w:sz w:val="24"/>
                <w:szCs w:val="24"/>
              </w:rPr>
            </w:pPr>
            <w:r>
              <w:rPr>
                <w:rFonts w:hint="eastAsia"/>
                <w:sz w:val="24"/>
                <w:szCs w:val="24"/>
              </w:rPr>
              <w:t>哈密河流域历史文化项目研究计划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rPr>
            </w:pPr>
            <w:r>
              <w:rPr>
                <w:rFonts w:hint="eastAsia"/>
                <w:sz w:val="24"/>
                <w:szCs w:val="24"/>
              </w:rPr>
              <w:t>序号</w:t>
            </w:r>
          </w:p>
        </w:tc>
        <w:tc>
          <w:tcPr>
            <w:tcW w:w="6702" w:type="dxa"/>
            <w:noWrap w:val="0"/>
            <w:vAlign w:val="center"/>
          </w:tcPr>
          <w:p>
            <w:pPr>
              <w:jc w:val="both"/>
              <w:rPr>
                <w:rFonts w:hint="eastAsia"/>
                <w:sz w:val="24"/>
                <w:szCs w:val="24"/>
              </w:rPr>
            </w:pPr>
            <w:r>
              <w:rPr>
                <w:rFonts w:hint="eastAsia"/>
                <w:sz w:val="24"/>
                <w:szCs w:val="24"/>
              </w:rPr>
              <w:t>研究名称</w:t>
            </w:r>
          </w:p>
        </w:tc>
        <w:tc>
          <w:tcPr>
            <w:tcW w:w="894" w:type="dxa"/>
            <w:noWrap w:val="0"/>
            <w:vAlign w:val="center"/>
          </w:tcPr>
          <w:p>
            <w:pPr>
              <w:jc w:val="both"/>
              <w:rPr>
                <w:rFonts w:hint="eastAsia"/>
                <w:sz w:val="24"/>
                <w:szCs w:val="24"/>
              </w:rPr>
            </w:pPr>
            <w:r>
              <w:rPr>
                <w:rFonts w:hint="eastAsia"/>
                <w:sz w:val="24"/>
                <w:szCs w:val="24"/>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rPr>
            </w:pPr>
            <w:r>
              <w:rPr>
                <w:rFonts w:hint="eastAsia"/>
                <w:sz w:val="24"/>
                <w:szCs w:val="24"/>
              </w:rPr>
              <w:t>1</w:t>
            </w:r>
          </w:p>
        </w:tc>
        <w:tc>
          <w:tcPr>
            <w:tcW w:w="6702" w:type="dxa"/>
            <w:noWrap w:val="0"/>
            <w:vAlign w:val="center"/>
          </w:tcPr>
          <w:p>
            <w:pPr>
              <w:jc w:val="both"/>
              <w:rPr>
                <w:rFonts w:hint="eastAsia"/>
                <w:sz w:val="24"/>
                <w:szCs w:val="24"/>
              </w:rPr>
            </w:pPr>
            <w:r>
              <w:rPr>
                <w:rFonts w:hint="eastAsia"/>
                <w:sz w:val="24"/>
                <w:szCs w:val="24"/>
              </w:rPr>
              <w:t>二十四史中的哈密（先秦两汉魏晋南北朝卷）</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rPr>
            </w:pPr>
            <w:r>
              <w:rPr>
                <w:rFonts w:hint="eastAsia"/>
                <w:sz w:val="24"/>
                <w:szCs w:val="24"/>
              </w:rPr>
              <w:t>2</w:t>
            </w:r>
          </w:p>
        </w:tc>
        <w:tc>
          <w:tcPr>
            <w:tcW w:w="6702" w:type="dxa"/>
            <w:noWrap w:val="0"/>
            <w:vAlign w:val="center"/>
          </w:tcPr>
          <w:p>
            <w:pPr>
              <w:jc w:val="both"/>
              <w:rPr>
                <w:rFonts w:hint="eastAsia"/>
                <w:sz w:val="24"/>
                <w:szCs w:val="24"/>
              </w:rPr>
            </w:pPr>
            <w:r>
              <w:rPr>
                <w:rFonts w:hint="eastAsia"/>
                <w:sz w:val="24"/>
                <w:szCs w:val="24"/>
              </w:rPr>
              <w:t>二十四史中的哈密（隋唐五代</w:t>
            </w:r>
            <w:r>
              <w:rPr>
                <w:rFonts w:hint="eastAsia"/>
                <w:sz w:val="24"/>
                <w:szCs w:val="24"/>
                <w:lang w:val="en-US" w:eastAsia="zh-CN"/>
              </w:rPr>
              <w:t>宋元卷</w:t>
            </w:r>
            <w:r>
              <w:rPr>
                <w:rFonts w:hint="eastAsia"/>
                <w:sz w:val="24"/>
                <w:szCs w:val="24"/>
              </w:rPr>
              <w:t>）</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rPr>
            </w:pPr>
            <w:r>
              <w:rPr>
                <w:rFonts w:hint="eastAsia"/>
                <w:sz w:val="24"/>
                <w:szCs w:val="24"/>
              </w:rPr>
              <w:t>3</w:t>
            </w:r>
          </w:p>
        </w:tc>
        <w:tc>
          <w:tcPr>
            <w:tcW w:w="6702" w:type="dxa"/>
            <w:noWrap w:val="0"/>
            <w:vAlign w:val="center"/>
          </w:tcPr>
          <w:p>
            <w:pPr>
              <w:jc w:val="both"/>
              <w:rPr>
                <w:rFonts w:hint="eastAsia"/>
                <w:sz w:val="24"/>
                <w:szCs w:val="24"/>
              </w:rPr>
            </w:pPr>
            <w:r>
              <w:rPr>
                <w:rFonts w:hint="eastAsia"/>
                <w:sz w:val="24"/>
                <w:szCs w:val="24"/>
              </w:rPr>
              <w:t>二十四史中的哈密（</w:t>
            </w:r>
            <w:r>
              <w:rPr>
                <w:rFonts w:hint="eastAsia"/>
                <w:sz w:val="24"/>
                <w:szCs w:val="24"/>
                <w:lang w:val="en-US" w:eastAsia="zh-CN"/>
              </w:rPr>
              <w:t>明清</w:t>
            </w:r>
            <w:r>
              <w:rPr>
                <w:rFonts w:hint="eastAsia"/>
                <w:sz w:val="24"/>
                <w:szCs w:val="24"/>
              </w:rPr>
              <w:t>卷）</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eastAsia="zh-CN"/>
              </w:rPr>
            </w:pPr>
            <w:r>
              <w:rPr>
                <w:rFonts w:hint="eastAsia"/>
                <w:sz w:val="24"/>
                <w:szCs w:val="24"/>
                <w:lang w:val="en-US" w:eastAsia="zh-CN"/>
              </w:rPr>
              <w:t>4</w:t>
            </w:r>
          </w:p>
        </w:tc>
        <w:tc>
          <w:tcPr>
            <w:tcW w:w="6702" w:type="dxa"/>
            <w:noWrap w:val="0"/>
            <w:vAlign w:val="center"/>
          </w:tcPr>
          <w:p>
            <w:pPr>
              <w:jc w:val="both"/>
              <w:rPr>
                <w:rFonts w:hint="eastAsia"/>
                <w:sz w:val="24"/>
                <w:szCs w:val="24"/>
              </w:rPr>
            </w:pPr>
            <w:r>
              <w:rPr>
                <w:rFonts w:hint="eastAsia"/>
                <w:sz w:val="24"/>
                <w:szCs w:val="24"/>
              </w:rPr>
              <w:t>官修文献中的哈密（</w:t>
            </w:r>
            <w:r>
              <w:rPr>
                <w:rFonts w:hint="eastAsia"/>
                <w:sz w:val="24"/>
                <w:szCs w:val="24"/>
                <w:lang w:val="en-US" w:eastAsia="zh-CN"/>
              </w:rPr>
              <w:t>总</w:t>
            </w:r>
            <w:r>
              <w:rPr>
                <w:rFonts w:hint="eastAsia"/>
                <w:sz w:val="24"/>
                <w:szCs w:val="24"/>
              </w:rPr>
              <w:t>卷）</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eastAsia="zh-CN"/>
              </w:rPr>
            </w:pPr>
            <w:r>
              <w:rPr>
                <w:rFonts w:hint="eastAsia"/>
                <w:sz w:val="24"/>
                <w:szCs w:val="24"/>
                <w:lang w:val="en-US" w:eastAsia="zh-CN"/>
              </w:rPr>
              <w:t>5</w:t>
            </w:r>
          </w:p>
        </w:tc>
        <w:tc>
          <w:tcPr>
            <w:tcW w:w="6702" w:type="dxa"/>
            <w:noWrap w:val="0"/>
            <w:vAlign w:val="center"/>
          </w:tcPr>
          <w:p>
            <w:pPr>
              <w:jc w:val="both"/>
              <w:rPr>
                <w:rFonts w:hint="eastAsia"/>
                <w:sz w:val="24"/>
                <w:szCs w:val="24"/>
              </w:rPr>
            </w:pPr>
            <w:r>
              <w:rPr>
                <w:rFonts w:hint="eastAsia"/>
                <w:sz w:val="24"/>
                <w:szCs w:val="24"/>
              </w:rPr>
              <w:t>行业文献中的哈密（</w:t>
            </w:r>
            <w:r>
              <w:rPr>
                <w:rFonts w:hint="eastAsia"/>
                <w:sz w:val="24"/>
                <w:szCs w:val="24"/>
                <w:lang w:val="en-US" w:eastAsia="zh-CN"/>
              </w:rPr>
              <w:t>总</w:t>
            </w:r>
            <w:r>
              <w:rPr>
                <w:rFonts w:hint="eastAsia"/>
                <w:sz w:val="24"/>
                <w:szCs w:val="24"/>
              </w:rPr>
              <w:t>卷）</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eastAsia="zh-CN"/>
              </w:rPr>
            </w:pPr>
            <w:r>
              <w:rPr>
                <w:rFonts w:hint="eastAsia"/>
                <w:sz w:val="24"/>
                <w:szCs w:val="24"/>
                <w:lang w:val="en-US" w:eastAsia="zh-CN"/>
              </w:rPr>
              <w:t>6</w:t>
            </w:r>
          </w:p>
        </w:tc>
        <w:tc>
          <w:tcPr>
            <w:tcW w:w="6702" w:type="dxa"/>
            <w:noWrap w:val="0"/>
            <w:vAlign w:val="center"/>
          </w:tcPr>
          <w:p>
            <w:pPr>
              <w:jc w:val="both"/>
              <w:rPr>
                <w:rFonts w:hint="eastAsia"/>
                <w:sz w:val="24"/>
                <w:szCs w:val="24"/>
              </w:rPr>
            </w:pPr>
            <w:r>
              <w:rPr>
                <w:rFonts w:hint="eastAsia"/>
                <w:sz w:val="24"/>
                <w:szCs w:val="24"/>
              </w:rPr>
              <w:t>金石文献中的哈密（研究报告）</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eastAsia="zh-CN"/>
              </w:rPr>
            </w:pPr>
            <w:r>
              <w:rPr>
                <w:rFonts w:hint="eastAsia"/>
                <w:sz w:val="24"/>
                <w:szCs w:val="24"/>
                <w:lang w:val="en-US" w:eastAsia="zh-CN"/>
              </w:rPr>
              <w:t>7</w:t>
            </w:r>
          </w:p>
        </w:tc>
        <w:tc>
          <w:tcPr>
            <w:tcW w:w="6702" w:type="dxa"/>
            <w:noWrap w:val="0"/>
            <w:vAlign w:val="center"/>
          </w:tcPr>
          <w:p>
            <w:pPr>
              <w:jc w:val="both"/>
              <w:rPr>
                <w:rFonts w:hint="eastAsia"/>
                <w:sz w:val="24"/>
                <w:szCs w:val="24"/>
              </w:rPr>
            </w:pPr>
            <w:r>
              <w:rPr>
                <w:rFonts w:hint="eastAsia"/>
                <w:sz w:val="24"/>
                <w:szCs w:val="24"/>
              </w:rPr>
              <w:t>文人文献中的哈密（</w:t>
            </w:r>
            <w:r>
              <w:rPr>
                <w:rFonts w:hint="eastAsia"/>
                <w:sz w:val="24"/>
                <w:szCs w:val="24"/>
                <w:lang w:val="en-US" w:eastAsia="zh-CN"/>
              </w:rPr>
              <w:t>总</w:t>
            </w:r>
            <w:r>
              <w:rPr>
                <w:rFonts w:hint="eastAsia"/>
                <w:sz w:val="24"/>
                <w:szCs w:val="24"/>
              </w:rPr>
              <w:t>卷）</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eastAsia="zh-CN"/>
              </w:rPr>
            </w:pPr>
            <w:r>
              <w:rPr>
                <w:rFonts w:hint="eastAsia"/>
                <w:sz w:val="24"/>
                <w:szCs w:val="24"/>
                <w:lang w:val="en-US" w:eastAsia="zh-CN"/>
              </w:rPr>
              <w:t>8</w:t>
            </w:r>
          </w:p>
        </w:tc>
        <w:tc>
          <w:tcPr>
            <w:tcW w:w="6702" w:type="dxa"/>
            <w:noWrap w:val="0"/>
            <w:vAlign w:val="center"/>
          </w:tcPr>
          <w:p>
            <w:pPr>
              <w:jc w:val="both"/>
              <w:rPr>
                <w:rFonts w:hint="eastAsia"/>
                <w:sz w:val="24"/>
                <w:szCs w:val="24"/>
              </w:rPr>
            </w:pPr>
            <w:r>
              <w:rPr>
                <w:rFonts w:hint="eastAsia"/>
                <w:sz w:val="24"/>
                <w:szCs w:val="24"/>
              </w:rPr>
              <w:t>官员文献中的哈密（</w:t>
            </w:r>
            <w:r>
              <w:rPr>
                <w:rFonts w:hint="eastAsia"/>
                <w:sz w:val="24"/>
                <w:szCs w:val="24"/>
                <w:lang w:val="en-US" w:eastAsia="zh-CN"/>
              </w:rPr>
              <w:t>总</w:t>
            </w:r>
            <w:r>
              <w:rPr>
                <w:rFonts w:hint="eastAsia"/>
                <w:sz w:val="24"/>
                <w:szCs w:val="24"/>
              </w:rPr>
              <w:t>卷）</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eastAsia="zh-CN"/>
              </w:rPr>
            </w:pPr>
            <w:r>
              <w:rPr>
                <w:rFonts w:hint="eastAsia"/>
                <w:sz w:val="24"/>
                <w:szCs w:val="24"/>
                <w:lang w:val="en-US" w:eastAsia="zh-CN"/>
              </w:rPr>
              <w:t>9</w:t>
            </w:r>
          </w:p>
        </w:tc>
        <w:tc>
          <w:tcPr>
            <w:tcW w:w="6702" w:type="dxa"/>
            <w:noWrap w:val="0"/>
            <w:vAlign w:val="center"/>
          </w:tcPr>
          <w:p>
            <w:pPr>
              <w:jc w:val="both"/>
              <w:rPr>
                <w:rFonts w:hint="eastAsia"/>
                <w:sz w:val="24"/>
                <w:szCs w:val="24"/>
              </w:rPr>
            </w:pPr>
            <w:r>
              <w:rPr>
                <w:rFonts w:hint="eastAsia"/>
                <w:sz w:val="24"/>
                <w:szCs w:val="24"/>
              </w:rPr>
              <w:t>敦煌文书中的哈密</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10</w:t>
            </w:r>
          </w:p>
        </w:tc>
        <w:tc>
          <w:tcPr>
            <w:tcW w:w="6702" w:type="dxa"/>
            <w:noWrap w:val="0"/>
            <w:vAlign w:val="center"/>
          </w:tcPr>
          <w:p>
            <w:pPr>
              <w:jc w:val="both"/>
              <w:rPr>
                <w:rFonts w:hint="eastAsia"/>
                <w:sz w:val="24"/>
                <w:szCs w:val="24"/>
              </w:rPr>
            </w:pPr>
            <w:r>
              <w:rPr>
                <w:rFonts w:hint="eastAsia"/>
                <w:sz w:val="24"/>
                <w:szCs w:val="24"/>
              </w:rPr>
              <w:t>吐鲁番文书中的哈密</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11</w:t>
            </w:r>
          </w:p>
        </w:tc>
        <w:tc>
          <w:tcPr>
            <w:tcW w:w="6702" w:type="dxa"/>
            <w:noWrap w:val="0"/>
            <w:vAlign w:val="center"/>
          </w:tcPr>
          <w:p>
            <w:pPr>
              <w:jc w:val="both"/>
              <w:rPr>
                <w:rFonts w:hint="eastAsia"/>
                <w:sz w:val="24"/>
                <w:szCs w:val="24"/>
              </w:rPr>
            </w:pPr>
            <w:r>
              <w:rPr>
                <w:rFonts w:hint="eastAsia"/>
                <w:sz w:val="24"/>
                <w:szCs w:val="24"/>
              </w:rPr>
              <w:t>哈密古代诗钞</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12</w:t>
            </w:r>
          </w:p>
        </w:tc>
        <w:tc>
          <w:tcPr>
            <w:tcW w:w="6702" w:type="dxa"/>
            <w:noWrap w:val="0"/>
            <w:vAlign w:val="center"/>
          </w:tcPr>
          <w:p>
            <w:pPr>
              <w:jc w:val="both"/>
              <w:rPr>
                <w:rFonts w:hint="eastAsia"/>
                <w:sz w:val="24"/>
                <w:szCs w:val="24"/>
              </w:rPr>
            </w:pPr>
            <w:r>
              <w:rPr>
                <w:rFonts w:hint="eastAsia"/>
                <w:sz w:val="24"/>
                <w:szCs w:val="24"/>
              </w:rPr>
              <w:t>哈密方志汇校补注</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13</w:t>
            </w:r>
          </w:p>
        </w:tc>
        <w:tc>
          <w:tcPr>
            <w:tcW w:w="6702" w:type="dxa"/>
            <w:noWrap w:val="0"/>
            <w:vAlign w:val="center"/>
          </w:tcPr>
          <w:p>
            <w:pPr>
              <w:jc w:val="both"/>
              <w:rPr>
                <w:rFonts w:hint="eastAsia"/>
                <w:sz w:val="24"/>
                <w:szCs w:val="24"/>
              </w:rPr>
            </w:pPr>
            <w:r>
              <w:rPr>
                <w:rFonts w:hint="eastAsia"/>
                <w:sz w:val="24"/>
                <w:szCs w:val="24"/>
              </w:rPr>
              <w:t>哈密考古报告（1949-2020）</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14</w:t>
            </w:r>
          </w:p>
        </w:tc>
        <w:tc>
          <w:tcPr>
            <w:tcW w:w="6702" w:type="dxa"/>
            <w:noWrap w:val="0"/>
            <w:vAlign w:val="center"/>
          </w:tcPr>
          <w:p>
            <w:pPr>
              <w:jc w:val="both"/>
              <w:rPr>
                <w:rFonts w:hint="eastAsia"/>
                <w:sz w:val="24"/>
                <w:szCs w:val="24"/>
              </w:rPr>
            </w:pPr>
            <w:r>
              <w:rPr>
                <w:rFonts w:hint="eastAsia"/>
                <w:sz w:val="24"/>
                <w:szCs w:val="24"/>
              </w:rPr>
              <w:t>哈密古代碑志研究（学术论文）</w:t>
            </w:r>
          </w:p>
        </w:tc>
        <w:tc>
          <w:tcPr>
            <w:tcW w:w="894" w:type="dxa"/>
            <w:noWrap w:val="0"/>
            <w:vAlign w:val="center"/>
          </w:tcPr>
          <w:p>
            <w:pPr>
              <w:jc w:val="both"/>
              <w:rPr>
                <w:rFonts w:hint="eastAsia"/>
                <w:sz w:val="24"/>
                <w:szCs w:val="24"/>
              </w:rPr>
            </w:pPr>
            <w:r>
              <w:rPr>
                <w:rFonts w:hint="eastAsia"/>
                <w:sz w:val="24"/>
                <w:szCs w:val="24"/>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15</w:t>
            </w:r>
          </w:p>
        </w:tc>
        <w:tc>
          <w:tcPr>
            <w:tcW w:w="6702" w:type="dxa"/>
            <w:noWrap w:val="0"/>
            <w:vAlign w:val="center"/>
          </w:tcPr>
          <w:p>
            <w:pPr>
              <w:jc w:val="both"/>
              <w:rPr>
                <w:rFonts w:hint="eastAsia"/>
                <w:sz w:val="24"/>
                <w:szCs w:val="24"/>
              </w:rPr>
            </w:pPr>
            <w:r>
              <w:rPr>
                <w:rFonts w:hint="eastAsia"/>
                <w:sz w:val="24"/>
                <w:szCs w:val="24"/>
              </w:rPr>
              <w:t>哈密</w:t>
            </w:r>
            <w:r>
              <w:rPr>
                <w:rFonts w:hint="eastAsia"/>
                <w:sz w:val="24"/>
                <w:szCs w:val="24"/>
                <w:lang w:val="en-US" w:eastAsia="zh-CN"/>
              </w:rPr>
              <w:t>史前及秦汉至明清</w:t>
            </w:r>
            <w:r>
              <w:rPr>
                <w:rFonts w:hint="eastAsia"/>
                <w:sz w:val="24"/>
                <w:szCs w:val="24"/>
              </w:rPr>
              <w:t>史研究</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16</w:t>
            </w:r>
          </w:p>
        </w:tc>
        <w:tc>
          <w:tcPr>
            <w:tcW w:w="6702" w:type="dxa"/>
            <w:noWrap w:val="0"/>
            <w:vAlign w:val="center"/>
          </w:tcPr>
          <w:p>
            <w:pPr>
              <w:jc w:val="both"/>
              <w:rPr>
                <w:rFonts w:hint="eastAsia"/>
                <w:sz w:val="24"/>
                <w:szCs w:val="24"/>
              </w:rPr>
            </w:pPr>
            <w:r>
              <w:rPr>
                <w:rFonts w:hint="eastAsia"/>
                <w:sz w:val="24"/>
                <w:szCs w:val="24"/>
              </w:rPr>
              <w:t>哈密</w:t>
            </w:r>
            <w:r>
              <w:rPr>
                <w:rFonts w:hint="eastAsia"/>
                <w:sz w:val="24"/>
                <w:szCs w:val="24"/>
                <w:lang w:eastAsia="zh-CN"/>
              </w:rPr>
              <w:t>河</w:t>
            </w:r>
            <w:r>
              <w:rPr>
                <w:rFonts w:hint="eastAsia"/>
                <w:sz w:val="24"/>
                <w:szCs w:val="24"/>
              </w:rPr>
              <w:t>流域历史文化史证研究（学术会议论文集）</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17</w:t>
            </w:r>
          </w:p>
        </w:tc>
        <w:tc>
          <w:tcPr>
            <w:tcW w:w="6702" w:type="dxa"/>
            <w:noWrap w:val="0"/>
            <w:vAlign w:val="center"/>
          </w:tcPr>
          <w:p>
            <w:pPr>
              <w:jc w:val="both"/>
              <w:rPr>
                <w:rFonts w:hint="eastAsia"/>
                <w:sz w:val="24"/>
                <w:szCs w:val="24"/>
              </w:rPr>
            </w:pPr>
            <w:r>
              <w:rPr>
                <w:rFonts w:hint="eastAsia"/>
                <w:sz w:val="24"/>
                <w:szCs w:val="24"/>
              </w:rPr>
              <w:t>哈密爱国主义教育红色资源收集、整理（1921－1949）</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18</w:t>
            </w:r>
          </w:p>
        </w:tc>
        <w:tc>
          <w:tcPr>
            <w:tcW w:w="6702" w:type="dxa"/>
            <w:noWrap w:val="0"/>
            <w:vAlign w:val="center"/>
          </w:tcPr>
          <w:p>
            <w:pPr>
              <w:jc w:val="both"/>
              <w:rPr>
                <w:rFonts w:hint="eastAsia"/>
                <w:sz w:val="24"/>
                <w:szCs w:val="24"/>
              </w:rPr>
            </w:pPr>
            <w:r>
              <w:rPr>
                <w:rFonts w:hint="eastAsia"/>
                <w:sz w:val="24"/>
                <w:szCs w:val="24"/>
              </w:rPr>
              <w:t>哈密爱国主义教育红色资源收集、整理（1949－1978）</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19</w:t>
            </w:r>
          </w:p>
        </w:tc>
        <w:tc>
          <w:tcPr>
            <w:tcW w:w="6702" w:type="dxa"/>
            <w:noWrap w:val="0"/>
            <w:vAlign w:val="center"/>
          </w:tcPr>
          <w:p>
            <w:pPr>
              <w:jc w:val="both"/>
              <w:rPr>
                <w:rFonts w:hint="eastAsia"/>
                <w:sz w:val="24"/>
                <w:szCs w:val="24"/>
              </w:rPr>
            </w:pPr>
            <w:r>
              <w:rPr>
                <w:rFonts w:hint="eastAsia"/>
                <w:sz w:val="24"/>
                <w:szCs w:val="24"/>
              </w:rPr>
              <w:t>哈密爱国主义教育红色资源收集、整理（1978－2021）</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20</w:t>
            </w:r>
          </w:p>
        </w:tc>
        <w:tc>
          <w:tcPr>
            <w:tcW w:w="6702" w:type="dxa"/>
            <w:noWrap w:val="0"/>
            <w:vAlign w:val="center"/>
          </w:tcPr>
          <w:p>
            <w:pPr>
              <w:jc w:val="both"/>
              <w:rPr>
                <w:rFonts w:hint="eastAsia"/>
                <w:sz w:val="24"/>
                <w:szCs w:val="24"/>
              </w:rPr>
            </w:pPr>
            <w:r>
              <w:rPr>
                <w:rFonts w:hint="eastAsia"/>
                <w:sz w:val="24"/>
                <w:szCs w:val="24"/>
              </w:rPr>
              <w:t>哈密河流域历史文化绘画&amp;设计主题创作</w:t>
            </w:r>
          </w:p>
        </w:tc>
        <w:tc>
          <w:tcPr>
            <w:tcW w:w="894" w:type="dxa"/>
            <w:noWrap w:val="0"/>
            <w:vAlign w:val="center"/>
          </w:tcPr>
          <w:p>
            <w:pPr>
              <w:jc w:val="both"/>
              <w:rPr>
                <w:rFonts w:hint="eastAsia"/>
                <w:sz w:val="24"/>
                <w:szCs w:val="24"/>
              </w:rPr>
            </w:pPr>
            <w:r>
              <w:rPr>
                <w:rFonts w:hint="eastAsia"/>
                <w:sz w:val="24"/>
                <w:szCs w:val="24"/>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21</w:t>
            </w:r>
          </w:p>
        </w:tc>
        <w:tc>
          <w:tcPr>
            <w:tcW w:w="6702" w:type="dxa"/>
            <w:noWrap w:val="0"/>
            <w:vAlign w:val="center"/>
          </w:tcPr>
          <w:p>
            <w:pPr>
              <w:jc w:val="both"/>
              <w:rPr>
                <w:rFonts w:hint="eastAsia"/>
                <w:sz w:val="24"/>
                <w:szCs w:val="24"/>
              </w:rPr>
            </w:pPr>
            <w:r>
              <w:rPr>
                <w:rFonts w:hint="eastAsia"/>
                <w:sz w:val="24"/>
                <w:szCs w:val="24"/>
              </w:rPr>
              <w:t>哈密民族文化共融与传承绘画&amp;设计主题创作</w:t>
            </w:r>
          </w:p>
        </w:tc>
        <w:tc>
          <w:tcPr>
            <w:tcW w:w="894" w:type="dxa"/>
            <w:noWrap w:val="0"/>
            <w:vAlign w:val="center"/>
          </w:tcPr>
          <w:p>
            <w:pPr>
              <w:jc w:val="both"/>
              <w:rPr>
                <w:rFonts w:hint="eastAsia"/>
                <w:sz w:val="24"/>
                <w:szCs w:val="24"/>
              </w:rPr>
            </w:pPr>
            <w:r>
              <w:rPr>
                <w:rFonts w:hint="eastAsia"/>
                <w:sz w:val="24"/>
                <w:szCs w:val="24"/>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22</w:t>
            </w:r>
          </w:p>
        </w:tc>
        <w:tc>
          <w:tcPr>
            <w:tcW w:w="6702" w:type="dxa"/>
            <w:noWrap w:val="0"/>
            <w:vAlign w:val="center"/>
          </w:tcPr>
          <w:p>
            <w:pPr>
              <w:jc w:val="both"/>
              <w:rPr>
                <w:rFonts w:hint="eastAsia"/>
                <w:sz w:val="24"/>
                <w:szCs w:val="24"/>
              </w:rPr>
            </w:pPr>
            <w:r>
              <w:rPr>
                <w:rFonts w:hint="eastAsia"/>
                <w:sz w:val="24"/>
                <w:szCs w:val="24"/>
              </w:rPr>
              <w:t>哈密古城、古寺庙、古烽燧遗址绘画&amp;设计主题创作</w:t>
            </w:r>
          </w:p>
        </w:tc>
        <w:tc>
          <w:tcPr>
            <w:tcW w:w="894" w:type="dxa"/>
            <w:noWrap w:val="0"/>
            <w:vAlign w:val="center"/>
          </w:tcPr>
          <w:p>
            <w:pPr>
              <w:jc w:val="both"/>
              <w:rPr>
                <w:rFonts w:hint="eastAsia"/>
                <w:sz w:val="24"/>
                <w:szCs w:val="24"/>
              </w:rPr>
            </w:pPr>
            <w:r>
              <w:rPr>
                <w:rFonts w:hint="eastAsia"/>
                <w:sz w:val="24"/>
                <w:szCs w:val="24"/>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23</w:t>
            </w:r>
          </w:p>
        </w:tc>
        <w:tc>
          <w:tcPr>
            <w:tcW w:w="6702" w:type="dxa"/>
            <w:noWrap w:val="0"/>
            <w:vAlign w:val="center"/>
          </w:tcPr>
          <w:p>
            <w:pPr>
              <w:jc w:val="both"/>
              <w:rPr>
                <w:rFonts w:hint="eastAsia"/>
                <w:sz w:val="24"/>
                <w:szCs w:val="24"/>
              </w:rPr>
            </w:pPr>
            <w:r>
              <w:rPr>
                <w:rFonts w:hint="eastAsia"/>
                <w:sz w:val="24"/>
                <w:szCs w:val="24"/>
              </w:rPr>
              <w:t>哈密红色文化绘画&amp;设计主题创作</w:t>
            </w:r>
          </w:p>
        </w:tc>
        <w:tc>
          <w:tcPr>
            <w:tcW w:w="894" w:type="dxa"/>
            <w:noWrap w:val="0"/>
            <w:vAlign w:val="center"/>
          </w:tcPr>
          <w:p>
            <w:pPr>
              <w:jc w:val="both"/>
              <w:rPr>
                <w:rFonts w:hint="eastAsia"/>
                <w:sz w:val="24"/>
                <w:szCs w:val="24"/>
              </w:rPr>
            </w:pPr>
            <w:r>
              <w:rPr>
                <w:rFonts w:hint="eastAsia"/>
                <w:sz w:val="24"/>
                <w:szCs w:val="24"/>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24</w:t>
            </w:r>
          </w:p>
        </w:tc>
        <w:tc>
          <w:tcPr>
            <w:tcW w:w="6702" w:type="dxa"/>
            <w:noWrap w:val="0"/>
            <w:vAlign w:val="center"/>
          </w:tcPr>
          <w:p>
            <w:pPr>
              <w:jc w:val="both"/>
              <w:rPr>
                <w:rFonts w:hint="eastAsia"/>
                <w:sz w:val="24"/>
                <w:szCs w:val="24"/>
              </w:rPr>
            </w:pPr>
            <w:r>
              <w:rPr>
                <w:rFonts w:hint="eastAsia"/>
                <w:sz w:val="24"/>
                <w:szCs w:val="24"/>
              </w:rPr>
              <w:t>哈密地域传统纹样的现代转译设计创作</w:t>
            </w:r>
          </w:p>
        </w:tc>
        <w:tc>
          <w:tcPr>
            <w:tcW w:w="894" w:type="dxa"/>
            <w:noWrap w:val="0"/>
            <w:vAlign w:val="center"/>
          </w:tcPr>
          <w:p>
            <w:pPr>
              <w:jc w:val="both"/>
              <w:rPr>
                <w:rFonts w:hint="eastAsia"/>
                <w:sz w:val="24"/>
                <w:szCs w:val="24"/>
              </w:rPr>
            </w:pPr>
            <w:r>
              <w:rPr>
                <w:rFonts w:hint="eastAsia"/>
                <w:sz w:val="24"/>
                <w:szCs w:val="24"/>
              </w:rPr>
              <w:t>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25</w:t>
            </w:r>
          </w:p>
        </w:tc>
        <w:tc>
          <w:tcPr>
            <w:tcW w:w="6702" w:type="dxa"/>
            <w:noWrap w:val="0"/>
            <w:vAlign w:val="center"/>
          </w:tcPr>
          <w:p>
            <w:pPr>
              <w:jc w:val="both"/>
              <w:rPr>
                <w:rFonts w:hint="eastAsia"/>
                <w:sz w:val="24"/>
                <w:szCs w:val="24"/>
              </w:rPr>
            </w:pPr>
            <w:r>
              <w:rPr>
                <w:rFonts w:hint="eastAsia"/>
                <w:sz w:val="24"/>
                <w:szCs w:val="24"/>
              </w:rPr>
              <w:t>哈密文化遗产在新媒体环境中的创造性转化与创新</w:t>
            </w:r>
          </w:p>
        </w:tc>
        <w:tc>
          <w:tcPr>
            <w:tcW w:w="894" w:type="dxa"/>
            <w:noWrap w:val="0"/>
            <w:vAlign w:val="center"/>
          </w:tcPr>
          <w:p>
            <w:pPr>
              <w:jc w:val="both"/>
              <w:rPr>
                <w:rFonts w:hint="eastAsia"/>
                <w:sz w:val="24"/>
                <w:szCs w:val="24"/>
              </w:rPr>
            </w:pPr>
            <w:r>
              <w:rPr>
                <w:rFonts w:hint="eastAsia"/>
                <w:sz w:val="24"/>
                <w:szCs w:val="24"/>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26</w:t>
            </w:r>
          </w:p>
        </w:tc>
        <w:tc>
          <w:tcPr>
            <w:tcW w:w="6702" w:type="dxa"/>
            <w:noWrap w:val="0"/>
            <w:vAlign w:val="center"/>
          </w:tcPr>
          <w:p>
            <w:pPr>
              <w:jc w:val="both"/>
              <w:rPr>
                <w:rFonts w:hint="eastAsia"/>
                <w:sz w:val="24"/>
                <w:szCs w:val="24"/>
              </w:rPr>
            </w:pPr>
            <w:r>
              <w:rPr>
                <w:rFonts w:hint="eastAsia"/>
                <w:sz w:val="24"/>
                <w:szCs w:val="24"/>
              </w:rPr>
              <w:t>哈密河流域历史文化研究成果巡展</w:t>
            </w:r>
          </w:p>
        </w:tc>
        <w:tc>
          <w:tcPr>
            <w:tcW w:w="894" w:type="dxa"/>
            <w:noWrap w:val="0"/>
            <w:vAlign w:val="center"/>
          </w:tcPr>
          <w:p>
            <w:pPr>
              <w:jc w:val="both"/>
              <w:rPr>
                <w:rFonts w:hint="eastAsia"/>
                <w:sz w:val="24"/>
                <w:szCs w:val="24"/>
              </w:rPr>
            </w:pPr>
            <w:r>
              <w:rPr>
                <w:rFonts w:hint="eastAsia"/>
                <w:sz w:val="24"/>
                <w:szCs w:val="24"/>
              </w:rPr>
              <w:t>展览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27</w:t>
            </w:r>
          </w:p>
        </w:tc>
        <w:tc>
          <w:tcPr>
            <w:tcW w:w="6702" w:type="dxa"/>
            <w:noWrap w:val="0"/>
            <w:vAlign w:val="center"/>
          </w:tcPr>
          <w:p>
            <w:pPr>
              <w:jc w:val="both"/>
              <w:rPr>
                <w:rFonts w:hint="eastAsia"/>
                <w:sz w:val="24"/>
                <w:szCs w:val="24"/>
              </w:rPr>
            </w:pPr>
            <w:r>
              <w:rPr>
                <w:rFonts w:hint="eastAsia"/>
                <w:sz w:val="24"/>
                <w:szCs w:val="24"/>
              </w:rPr>
              <w:t>哈密民俗的中原元素</w:t>
            </w:r>
          </w:p>
        </w:tc>
        <w:tc>
          <w:tcPr>
            <w:tcW w:w="894" w:type="dxa"/>
            <w:noWrap w:val="0"/>
            <w:vAlign w:val="center"/>
          </w:tcPr>
          <w:p>
            <w:pPr>
              <w:jc w:val="both"/>
              <w:rPr>
                <w:rFonts w:hint="eastAsia"/>
                <w:sz w:val="24"/>
                <w:szCs w:val="24"/>
              </w:rPr>
            </w:pPr>
            <w:r>
              <w:rPr>
                <w:rFonts w:hint="eastAsia"/>
                <w:sz w:val="24"/>
                <w:szCs w:val="24"/>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28</w:t>
            </w:r>
          </w:p>
        </w:tc>
        <w:tc>
          <w:tcPr>
            <w:tcW w:w="6702" w:type="dxa"/>
            <w:noWrap w:val="0"/>
            <w:vAlign w:val="center"/>
          </w:tcPr>
          <w:p>
            <w:pPr>
              <w:jc w:val="both"/>
              <w:rPr>
                <w:rFonts w:hint="eastAsia"/>
                <w:sz w:val="24"/>
                <w:szCs w:val="24"/>
              </w:rPr>
            </w:pPr>
            <w:r>
              <w:rPr>
                <w:rFonts w:hint="eastAsia"/>
                <w:sz w:val="24"/>
                <w:szCs w:val="24"/>
              </w:rPr>
              <w:t>哈密系列图谱专著</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29</w:t>
            </w:r>
          </w:p>
        </w:tc>
        <w:tc>
          <w:tcPr>
            <w:tcW w:w="6702" w:type="dxa"/>
            <w:noWrap w:val="0"/>
            <w:vAlign w:val="center"/>
          </w:tcPr>
          <w:p>
            <w:pPr>
              <w:jc w:val="both"/>
              <w:rPr>
                <w:rFonts w:hint="eastAsia"/>
                <w:sz w:val="24"/>
                <w:szCs w:val="24"/>
                <w:lang w:val="en-US" w:eastAsia="zh-CN"/>
              </w:rPr>
            </w:pPr>
            <w:r>
              <w:rPr>
                <w:rFonts w:hint="eastAsia"/>
                <w:sz w:val="24"/>
                <w:szCs w:val="24"/>
                <w:lang w:val="en-US"/>
              </w:rPr>
              <w:t>“</w:t>
            </w:r>
            <w:r>
              <w:rPr>
                <w:rFonts w:hint="eastAsia"/>
                <w:sz w:val="24"/>
                <w:szCs w:val="24"/>
                <w:lang w:val="en-US" w:eastAsia="zh-CN"/>
              </w:rPr>
              <w:t>甘露川</w:t>
            </w:r>
            <w:r>
              <w:rPr>
                <w:rFonts w:hint="eastAsia"/>
                <w:sz w:val="24"/>
                <w:szCs w:val="24"/>
                <w:lang w:val="en-US"/>
              </w:rPr>
              <w:t>”</w:t>
            </w:r>
            <w:r>
              <w:rPr>
                <w:rFonts w:hint="eastAsia"/>
                <w:sz w:val="24"/>
                <w:szCs w:val="24"/>
                <w:lang w:val="en-US" w:eastAsia="zh-CN"/>
              </w:rPr>
              <w:t>史证研究（重点是汉、唐、清）</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30</w:t>
            </w:r>
          </w:p>
        </w:tc>
        <w:tc>
          <w:tcPr>
            <w:tcW w:w="6702" w:type="dxa"/>
            <w:noWrap w:val="0"/>
            <w:vAlign w:val="center"/>
          </w:tcPr>
          <w:p>
            <w:pPr>
              <w:jc w:val="both"/>
              <w:rPr>
                <w:rFonts w:hint="eastAsia"/>
                <w:sz w:val="24"/>
                <w:szCs w:val="24"/>
                <w:lang w:eastAsia="zh-CN"/>
              </w:rPr>
            </w:pPr>
            <w:r>
              <w:rPr>
                <w:rFonts w:hint="eastAsia"/>
                <w:sz w:val="24"/>
                <w:szCs w:val="24"/>
                <w:lang w:eastAsia="zh-CN"/>
              </w:rPr>
              <w:t>“伊吾河”史证研究</w:t>
            </w:r>
            <w:r>
              <w:rPr>
                <w:rFonts w:hint="eastAsia"/>
                <w:sz w:val="24"/>
                <w:szCs w:val="24"/>
                <w:lang w:val="en-US" w:eastAsia="zh-CN"/>
              </w:rPr>
              <w:t>（重点是汉、唐、清）</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31</w:t>
            </w:r>
          </w:p>
        </w:tc>
        <w:tc>
          <w:tcPr>
            <w:tcW w:w="6702" w:type="dxa"/>
            <w:noWrap w:val="0"/>
            <w:vAlign w:val="center"/>
          </w:tcPr>
          <w:p>
            <w:pPr>
              <w:jc w:val="both"/>
              <w:rPr>
                <w:rFonts w:hint="eastAsia"/>
                <w:sz w:val="24"/>
                <w:szCs w:val="24"/>
                <w:lang w:eastAsia="zh-CN"/>
              </w:rPr>
            </w:pPr>
            <w:r>
              <w:rPr>
                <w:rFonts w:hint="eastAsia"/>
                <w:sz w:val="24"/>
                <w:szCs w:val="24"/>
              </w:rPr>
              <w:t>哈密</w:t>
            </w:r>
            <w:r>
              <w:rPr>
                <w:rFonts w:hint="eastAsia"/>
                <w:sz w:val="24"/>
                <w:szCs w:val="24"/>
                <w:lang w:eastAsia="zh-CN"/>
              </w:rPr>
              <w:t>民族宗教文化研究</w:t>
            </w:r>
          </w:p>
        </w:tc>
        <w:tc>
          <w:tcPr>
            <w:tcW w:w="894" w:type="dxa"/>
            <w:noWrap w:val="0"/>
            <w:vAlign w:val="center"/>
          </w:tcPr>
          <w:p>
            <w:pPr>
              <w:jc w:val="both"/>
              <w:rPr>
                <w:rFonts w:hint="eastAsia"/>
                <w:sz w:val="24"/>
                <w:szCs w:val="24"/>
              </w:rPr>
            </w:pPr>
            <w:r>
              <w:rPr>
                <w:rFonts w:hint="eastAsia"/>
                <w:sz w:val="24"/>
                <w:szCs w:val="24"/>
              </w:rPr>
              <w:t>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noWrap w:val="0"/>
            <w:vAlign w:val="center"/>
          </w:tcPr>
          <w:p>
            <w:pPr>
              <w:jc w:val="both"/>
              <w:rPr>
                <w:rFonts w:hint="eastAsia"/>
                <w:sz w:val="24"/>
                <w:szCs w:val="24"/>
                <w:lang w:val="en-US" w:eastAsia="zh-CN"/>
              </w:rPr>
            </w:pPr>
            <w:r>
              <w:rPr>
                <w:rFonts w:hint="eastAsia"/>
                <w:sz w:val="24"/>
                <w:szCs w:val="24"/>
                <w:lang w:val="en-US" w:eastAsia="zh-CN"/>
              </w:rPr>
              <w:t>32</w:t>
            </w:r>
          </w:p>
        </w:tc>
        <w:tc>
          <w:tcPr>
            <w:tcW w:w="6702" w:type="dxa"/>
            <w:noWrap w:val="0"/>
            <w:vAlign w:val="center"/>
          </w:tcPr>
          <w:p>
            <w:pPr>
              <w:jc w:val="both"/>
              <w:rPr>
                <w:rFonts w:hint="eastAsia"/>
                <w:sz w:val="24"/>
                <w:szCs w:val="24"/>
                <w:lang w:eastAsia="zh-CN"/>
              </w:rPr>
            </w:pPr>
            <w:r>
              <w:rPr>
                <w:rFonts w:hint="eastAsia"/>
                <w:sz w:val="24"/>
                <w:szCs w:val="24"/>
              </w:rPr>
              <w:t>哈密</w:t>
            </w:r>
            <w:r>
              <w:rPr>
                <w:rFonts w:hint="eastAsia"/>
                <w:sz w:val="24"/>
                <w:szCs w:val="24"/>
                <w:lang w:eastAsia="zh-CN"/>
              </w:rPr>
              <w:t>农耕文化和草原文化研究</w:t>
            </w:r>
          </w:p>
        </w:tc>
        <w:tc>
          <w:tcPr>
            <w:tcW w:w="894" w:type="dxa"/>
            <w:noWrap w:val="0"/>
            <w:vAlign w:val="center"/>
          </w:tcPr>
          <w:p>
            <w:pPr>
              <w:jc w:val="both"/>
              <w:rPr>
                <w:rFonts w:hint="eastAsia"/>
                <w:sz w:val="24"/>
                <w:szCs w:val="24"/>
              </w:rPr>
            </w:pPr>
            <w:r>
              <w:rPr>
                <w:rFonts w:hint="eastAsia"/>
                <w:sz w:val="24"/>
                <w:szCs w:val="24"/>
              </w:rPr>
              <w:t>书籍</w:t>
            </w:r>
          </w:p>
        </w:tc>
      </w:tr>
    </w:tbl>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研究成果费用预算：</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（1）研究成果以整体项目打包最高限价100万元。</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（2）研究成果展览展示最高限价20万元。（作品装裱、印刷、制作、运输、布展、宣传物料等1场）。</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合计：120万元</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二、哈密河流域和星星峡、大南湖、七角井区域等不可移动文物为重点的全市域文化遗产田野调查及普查</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依托前期哈密考古成果基础，结合哈密河流域历史文献佐证，实施</w:t>
      </w:r>
      <w:r>
        <w:rPr>
          <w:rFonts w:hint="eastAsia" w:ascii="宋体" w:hAnsi="宋体" w:eastAsia="宋体" w:cs="宋体"/>
          <w:b w:val="0"/>
          <w:bCs w:val="0"/>
          <w:sz w:val="24"/>
          <w:szCs w:val="24"/>
          <w:lang w:val="en-US" w:eastAsia="zh-CN"/>
        </w:rPr>
        <w:t>“哈密河流域和星星峡、大南湖、七角井区域等不可移动文物为重点的全市域文化遗产田野调查及普查”</w:t>
      </w:r>
      <w:r>
        <w:rPr>
          <w:rFonts w:hint="eastAsia" w:ascii="宋体" w:hAnsi="宋体" w:eastAsia="宋体" w:cs="宋体"/>
          <w:sz w:val="24"/>
          <w:szCs w:val="24"/>
          <w:lang w:val="en-US" w:eastAsia="zh-CN"/>
        </w:rPr>
        <w:t>项目，在新疆第三次文物普查成果基础上，形成哈密市域不可移动文物补充报告。</w:t>
      </w:r>
      <w:r>
        <w:rPr>
          <w:rFonts w:hint="eastAsia" w:ascii="宋体" w:hAnsi="宋体" w:eastAsia="宋体" w:cs="宋体"/>
          <w:sz w:val="24"/>
          <w:szCs w:val="24"/>
        </w:rPr>
        <w:t>具体内容包括：</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1.普查中对每处不可移动文物进行实地调查。对新发现的文物，作好文字、照片和图纸等资料工作收集与整理；对复查的文物，了解自上次调查以来有无变化，逐项记录、拍照，掌握现存情况。</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普查时采集各种文物资料及标本。</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3.田野普查结束后，对原始材料进行分类、登记、编目、系统整理，分类编辑普查资料汇编、文物分布图、文物分布一览表和文物志等。</w:t>
      </w:r>
      <w:r>
        <w:rPr>
          <w:rFonts w:hint="eastAsia" w:ascii="宋体" w:hAnsi="宋体" w:eastAsia="宋体" w:cs="宋体"/>
          <w:sz w:val="24"/>
          <w:szCs w:val="24"/>
        </w:rPr>
        <w:br w:type="textWrapping"/>
      </w:r>
      <w:r>
        <w:rPr>
          <w:rFonts w:hint="eastAsia" w:ascii="宋体" w:hAnsi="宋体" w:eastAsia="宋体" w:cs="宋体"/>
          <w:sz w:val="24"/>
          <w:szCs w:val="24"/>
        </w:rPr>
        <w:t xml:space="preserve">    4.在文物普查的过程中，采取各种形式宣传文物法规和文物知识，进行爱国主义教育。</w:t>
      </w:r>
      <w:r>
        <w:rPr>
          <w:rFonts w:hint="eastAsia" w:ascii="宋体" w:hAnsi="宋体" w:eastAsia="宋体" w:cs="宋体"/>
          <w:sz w:val="24"/>
          <w:szCs w:val="24"/>
        </w:rPr>
        <w:br w:type="textWrapping"/>
      </w:r>
      <w:r>
        <w:rPr>
          <w:rFonts w:hint="eastAsia" w:ascii="宋体" w:hAnsi="宋体" w:eastAsia="宋体" w:cs="宋体"/>
          <w:sz w:val="24"/>
          <w:szCs w:val="24"/>
        </w:rPr>
        <w:t xml:space="preserve">    5.项目完成后，推荐各级文物保护单位并可协助举办文物普查成果汇报展览。</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．推出一批有国际影响力的哈密</w:t>
      </w:r>
      <w:r>
        <w:rPr>
          <w:rFonts w:hint="eastAsia" w:ascii="宋体" w:hAnsi="宋体" w:eastAsia="宋体" w:cs="宋体"/>
          <w:sz w:val="24"/>
          <w:szCs w:val="24"/>
          <w:lang w:val="en-US" w:eastAsia="zh-CN"/>
        </w:rPr>
        <w:t>市</w:t>
      </w:r>
      <w:r>
        <w:rPr>
          <w:rFonts w:hint="eastAsia" w:ascii="宋体" w:hAnsi="宋体" w:eastAsia="宋体" w:cs="宋体"/>
          <w:sz w:val="24"/>
          <w:szCs w:val="24"/>
        </w:rPr>
        <w:t>文物普查研究成果，撰写发表高质量的学术论文，形成研究报告、出版调查报告或论文。</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．召开哈密文化遗产保护研究专题会议，解决遇到的难题，提升文物管理水平。</w:t>
      </w:r>
    </w:p>
    <w:p>
      <w:pPr>
        <w:pStyle w:val="3"/>
        <w:keepNext w:val="0"/>
        <w:keepLines w:val="0"/>
        <w:pageBreakBefore w:val="0"/>
        <w:kinsoku/>
        <w:wordWrap/>
        <w:overflowPunct/>
        <w:topLinePunct w:val="0"/>
        <w:bidi w:val="0"/>
        <w:snapToGrid/>
        <w:spacing w:line="540" w:lineRule="exact"/>
        <w:textAlignment w:val="auto"/>
        <w:rPr>
          <w:rFonts w:hint="eastAsia" w:ascii="宋体" w:hAnsi="宋体" w:eastAsia="宋体" w:cs="宋体"/>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2400" w:firstLineChars="10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成果清单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哈密河流域文化遗产田野调查及普查 </w:t>
            </w:r>
            <w:r>
              <w:rPr>
                <w:rFonts w:hint="eastAsia" w:ascii="宋体" w:hAnsi="宋体" w:eastAsia="宋体" w:cs="宋体"/>
                <w:kern w:val="0"/>
                <w:sz w:val="24"/>
                <w:szCs w:val="24"/>
              </w:rPr>
              <w:t>2022年12月</w:t>
            </w:r>
            <w:r>
              <w:rPr>
                <w:rFonts w:hint="eastAsia" w:ascii="宋体" w:hAnsi="宋体" w:eastAsia="宋体" w:cs="宋体"/>
                <w:kern w:val="0"/>
                <w:sz w:val="24"/>
                <w:szCs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星星峡至沁城段文物田野调查及普查 </w:t>
            </w:r>
            <w:r>
              <w:rPr>
                <w:rFonts w:hint="eastAsia" w:ascii="宋体" w:hAnsi="宋体" w:eastAsia="宋体" w:cs="宋体"/>
                <w:kern w:val="0"/>
                <w:sz w:val="24"/>
                <w:szCs w:val="24"/>
              </w:rPr>
              <w:t>2022年12月</w:t>
            </w:r>
            <w:r>
              <w:rPr>
                <w:rFonts w:hint="eastAsia" w:ascii="宋体" w:hAnsi="宋体" w:eastAsia="宋体" w:cs="宋体"/>
                <w:kern w:val="0"/>
                <w:sz w:val="24"/>
                <w:szCs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大南湖区文物田野调查及普查       </w:t>
            </w:r>
            <w:r>
              <w:rPr>
                <w:rFonts w:hint="eastAsia" w:ascii="宋体" w:hAnsi="宋体" w:eastAsia="宋体" w:cs="宋体"/>
                <w:kern w:val="0"/>
                <w:sz w:val="24"/>
                <w:szCs w:val="24"/>
              </w:rPr>
              <w:t>2023年9月</w:t>
            </w:r>
            <w:r>
              <w:rPr>
                <w:rFonts w:hint="eastAsia" w:ascii="宋体" w:hAnsi="宋体" w:eastAsia="宋体" w:cs="宋体"/>
                <w:kern w:val="0"/>
                <w:sz w:val="24"/>
                <w:szCs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七角井文物田野调查及普查         </w:t>
            </w:r>
            <w:r>
              <w:rPr>
                <w:rFonts w:hint="eastAsia" w:ascii="宋体" w:hAnsi="宋体" w:eastAsia="宋体" w:cs="宋体"/>
                <w:kern w:val="0"/>
                <w:sz w:val="24"/>
                <w:szCs w:val="24"/>
              </w:rPr>
              <w:t>2023年12月</w:t>
            </w:r>
            <w:r>
              <w:rPr>
                <w:rFonts w:hint="eastAsia" w:ascii="宋体" w:hAnsi="宋体" w:eastAsia="宋体" w:cs="宋体"/>
                <w:kern w:val="0"/>
                <w:sz w:val="24"/>
                <w:szCs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长城烽燧哈密段重点烽燧考古调查   </w:t>
            </w:r>
            <w:r>
              <w:rPr>
                <w:rFonts w:hint="eastAsia" w:ascii="宋体" w:hAnsi="宋体" w:eastAsia="宋体" w:cs="宋体"/>
                <w:kern w:val="0"/>
                <w:sz w:val="24"/>
                <w:szCs w:val="24"/>
              </w:rPr>
              <w:t>2023年12月</w:t>
            </w:r>
            <w:r>
              <w:rPr>
                <w:rFonts w:hint="eastAsia" w:ascii="宋体" w:hAnsi="宋体" w:eastAsia="宋体" w:cs="宋体"/>
                <w:kern w:val="0"/>
                <w:sz w:val="24"/>
                <w:szCs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96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哈密市不可移动文物（2010- ）     </w:t>
            </w:r>
            <w:r>
              <w:rPr>
                <w:rFonts w:hint="eastAsia" w:ascii="宋体" w:hAnsi="宋体" w:eastAsia="宋体" w:cs="宋体"/>
                <w:kern w:val="0"/>
                <w:sz w:val="24"/>
                <w:szCs w:val="24"/>
              </w:rPr>
              <w:t>2023年12月</w:t>
            </w:r>
            <w:r>
              <w:rPr>
                <w:rFonts w:hint="eastAsia" w:ascii="宋体" w:hAnsi="宋体" w:eastAsia="宋体" w:cs="宋体"/>
                <w:kern w:val="0"/>
                <w:sz w:val="24"/>
                <w:szCs w:val="24"/>
                <w:lang w:eastAsia="zh-CN"/>
              </w:rPr>
              <w:t>完成</w:t>
            </w:r>
          </w:p>
        </w:tc>
      </w:tr>
    </w:tbl>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项目实施、调查共涉及6大项内容，最高限价100万元。</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p>
    <w:p>
      <w:pPr>
        <w:pStyle w:val="5"/>
        <w:spacing w:line="665" w:lineRule="exact"/>
        <w:ind w:firstLine="3357" w:firstLineChars="1045"/>
        <w:rPr>
          <w:rFonts w:hint="eastAsia" w:ascii="宋体" w:hAnsi="宋体" w:eastAsia="宋体" w:cs="宋体"/>
          <w:b/>
          <w:color w:val="000000" w:themeColor="text1"/>
          <w14:textFill>
            <w14:solidFill>
              <w14:schemeClr w14:val="tx1"/>
            </w14:solidFill>
          </w14:textFill>
        </w:rPr>
      </w:pPr>
    </w:p>
    <w:p>
      <w:pPr>
        <w:pStyle w:val="5"/>
        <w:spacing w:line="665" w:lineRule="exact"/>
        <w:ind w:firstLine="3357" w:firstLineChars="1045"/>
        <w:rPr>
          <w:rFonts w:hint="eastAsia" w:ascii="宋体" w:hAnsi="宋体" w:eastAsia="宋体" w:cs="宋体"/>
          <w:b/>
          <w:color w:val="000000" w:themeColor="text1"/>
          <w14:textFill>
            <w14:solidFill>
              <w14:schemeClr w14:val="tx1"/>
            </w14:solidFill>
          </w14:textFill>
        </w:rPr>
      </w:pPr>
    </w:p>
    <w:p>
      <w:pPr>
        <w:pStyle w:val="5"/>
        <w:spacing w:line="665" w:lineRule="exact"/>
        <w:ind w:firstLine="3357" w:firstLineChars="1045"/>
        <w:rPr>
          <w:rFonts w:hint="eastAsia" w:ascii="宋体" w:hAnsi="宋体" w:eastAsia="宋体" w:cs="宋体"/>
          <w:b/>
          <w:color w:val="000000" w:themeColor="text1"/>
          <w14:textFill>
            <w14:solidFill>
              <w14:schemeClr w14:val="tx1"/>
            </w14:solidFill>
          </w14:textFill>
        </w:rPr>
      </w:pPr>
    </w:p>
    <w:p>
      <w:pPr>
        <w:pStyle w:val="5"/>
        <w:spacing w:line="665" w:lineRule="exact"/>
        <w:ind w:firstLine="3357" w:firstLineChars="1045"/>
        <w:rPr>
          <w:rFonts w:hint="eastAsia" w:ascii="宋体" w:hAnsi="宋体" w:eastAsia="宋体" w:cs="宋体"/>
          <w:b/>
          <w:color w:val="000000" w:themeColor="text1"/>
          <w14:textFill>
            <w14:solidFill>
              <w14:schemeClr w14:val="tx1"/>
            </w14:solidFill>
          </w14:textFill>
        </w:rPr>
      </w:pPr>
    </w:p>
    <w:p>
      <w:pPr>
        <w:pStyle w:val="5"/>
        <w:spacing w:line="665" w:lineRule="exact"/>
        <w:ind w:firstLine="3357" w:firstLineChars="1045"/>
        <w:rPr>
          <w:rFonts w:hint="eastAsia" w:ascii="宋体" w:hAnsi="宋体" w:eastAsia="宋体" w:cs="宋体"/>
          <w:b/>
          <w:color w:val="000000" w:themeColor="text1"/>
          <w14:textFill>
            <w14:solidFill>
              <w14:schemeClr w14:val="tx1"/>
            </w14:solidFill>
          </w14:textFill>
        </w:rPr>
      </w:pPr>
    </w:p>
    <w:p>
      <w:pPr>
        <w:pStyle w:val="5"/>
        <w:spacing w:line="665" w:lineRule="exact"/>
        <w:jc w:val="center"/>
        <w:rPr>
          <w:rFonts w:hint="eastAsia" w:ascii="宋体" w:hAnsi="宋体" w:eastAsia="宋体" w:cs="宋体"/>
          <w:b/>
          <w:color w:val="000000" w:themeColor="text1"/>
          <w14:textFill>
            <w14:solidFill>
              <w14:schemeClr w14:val="tx1"/>
            </w14:solidFill>
          </w14:textFill>
        </w:rPr>
      </w:pPr>
      <w:bookmarkStart w:id="76" w:name="_Toc13813"/>
      <w:r>
        <w:rPr>
          <w:rFonts w:hint="eastAsia" w:ascii="宋体" w:hAnsi="宋体" w:eastAsia="宋体" w:cs="宋体"/>
          <w:b/>
          <w:color w:val="000000" w:themeColor="text1"/>
          <w14:textFill>
            <w14:solidFill>
              <w14:schemeClr w14:val="tx1"/>
            </w14:solidFill>
          </w14:textFill>
        </w:rPr>
        <w:t>第七章     投标文件格式</w:t>
      </w:r>
      <w:bookmarkEnd w:id="76"/>
    </w:p>
    <w:p>
      <w:pPr>
        <w:pStyle w:val="5"/>
        <w:spacing w:line="665" w:lineRule="exact"/>
        <w:ind w:left="4023"/>
        <w:jc w:val="both"/>
        <w:rPr>
          <w:rFonts w:hint="eastAsia" w:ascii="宋体" w:hAnsi="宋体" w:eastAsia="宋体" w:cs="宋体"/>
          <w:b/>
          <w:color w:val="000000" w:themeColor="text1"/>
          <w14:textFill>
            <w14:solidFill>
              <w14:schemeClr w14:val="tx1"/>
            </w14:solidFill>
          </w14:textFill>
        </w:rPr>
      </w:pPr>
    </w:p>
    <w:p>
      <w:pPr>
        <w:pStyle w:val="5"/>
        <w:spacing w:line="665" w:lineRule="exact"/>
        <w:ind w:left="4023"/>
        <w:jc w:val="both"/>
        <w:rPr>
          <w:rFonts w:hint="eastAsia" w:ascii="宋体" w:hAnsi="宋体" w:eastAsia="宋体" w:cs="宋体"/>
          <w:b/>
          <w:color w:val="000000" w:themeColor="text1"/>
          <w14:textFill>
            <w14:solidFill>
              <w14:schemeClr w14:val="tx1"/>
            </w14:solidFill>
          </w14:textFill>
        </w:rPr>
      </w:pPr>
    </w:p>
    <w:p>
      <w:pPr>
        <w:spacing w:line="283" w:lineRule="auto"/>
        <w:ind w:left="3597" w:leftChars="1635" w:right="5591" w:firstLine="0" w:firstLineChars="0"/>
        <w:jc w:val="both"/>
        <w:outlineLvl w:val="0"/>
        <w:rPr>
          <w:rFonts w:hint="eastAsia" w:ascii="宋体" w:hAnsi="宋体" w:eastAsia="宋体" w:cs="宋体"/>
          <w:b/>
          <w:bCs/>
          <w:color w:val="000000" w:themeColor="text1"/>
          <w:sz w:val="72"/>
          <w14:textFill>
            <w14:solidFill>
              <w14:schemeClr w14:val="tx1"/>
            </w14:solidFill>
          </w14:textFill>
        </w:rPr>
      </w:pPr>
      <w:bookmarkStart w:id="77" w:name="_Toc20223"/>
      <w:bookmarkStart w:id="78" w:name="_Toc20568_WPSOffice_Level1"/>
      <w:bookmarkStart w:id="79" w:name="_Toc31793_WPSOffice_Level1"/>
      <w:bookmarkStart w:id="80" w:name="_Toc31359_WPSOffice_Level1"/>
      <w:bookmarkStart w:id="81" w:name="_Toc4836_WPSOffice_Level1"/>
      <w:bookmarkStart w:id="82" w:name="_Toc28388_WPSOffice_Level1"/>
      <w:r>
        <w:rPr>
          <w:rFonts w:hint="eastAsia" w:ascii="宋体" w:hAnsi="宋体" w:eastAsia="宋体" w:cs="宋体"/>
          <w:b/>
          <w:bCs/>
          <w:color w:val="000000" w:themeColor="text1"/>
          <w:sz w:val="72"/>
          <w14:textFill>
            <w14:solidFill>
              <w14:schemeClr w14:val="tx1"/>
            </w14:solidFill>
          </w14:textFill>
        </w:rPr>
        <w:t>投标文件</w:t>
      </w:r>
      <w:bookmarkEnd w:id="77"/>
      <w:bookmarkEnd w:id="78"/>
      <w:bookmarkEnd w:id="79"/>
      <w:bookmarkEnd w:id="80"/>
      <w:bookmarkEnd w:id="81"/>
      <w:bookmarkEnd w:id="82"/>
    </w:p>
    <w:p>
      <w:pPr>
        <w:pStyle w:val="3"/>
        <w:ind w:left="0"/>
        <w:jc w:val="both"/>
        <w:rPr>
          <w:rFonts w:hint="eastAsia" w:ascii="宋体" w:hAnsi="宋体" w:eastAsia="宋体" w:cs="宋体"/>
          <w:b/>
          <w:bCs/>
          <w:color w:val="000000" w:themeColor="text1"/>
          <w:sz w:val="72"/>
          <w14:textFill>
            <w14:solidFill>
              <w14:schemeClr w14:val="tx1"/>
            </w14:solidFill>
          </w14:textFill>
        </w:rPr>
      </w:pPr>
    </w:p>
    <w:p>
      <w:pPr>
        <w:pStyle w:val="3"/>
        <w:spacing w:before="7"/>
        <w:ind w:left="0"/>
        <w:jc w:val="both"/>
        <w:rPr>
          <w:rFonts w:hint="eastAsia" w:ascii="宋体" w:hAnsi="宋体" w:eastAsia="宋体" w:cs="宋体"/>
          <w:color w:val="000000" w:themeColor="text1"/>
          <w:sz w:val="62"/>
          <w14:textFill>
            <w14:solidFill>
              <w14:schemeClr w14:val="tx1"/>
            </w14:solidFill>
          </w14:textFill>
        </w:rPr>
      </w:pPr>
    </w:p>
    <w:p>
      <w:pPr>
        <w:keepNext w:val="0"/>
        <w:keepLines w:val="0"/>
        <w:pageBreakBefore w:val="0"/>
        <w:widowControl w:val="0"/>
        <w:tabs>
          <w:tab w:val="left" w:pos="7463"/>
        </w:tabs>
        <w:kinsoku/>
        <w:wordWrap/>
        <w:overflowPunct/>
        <w:topLinePunct w:val="0"/>
        <w:autoSpaceDE w:val="0"/>
        <w:autoSpaceDN w:val="0"/>
        <w:bidi w:val="0"/>
        <w:adjustRightInd/>
        <w:snapToGrid/>
        <w:spacing w:line="700" w:lineRule="exact"/>
        <w:jc w:val="both"/>
        <w:textAlignment w:val="auto"/>
        <w:outlineLvl w:val="0"/>
        <w:rPr>
          <w:rFonts w:hint="eastAsia" w:ascii="宋体" w:hAnsi="宋体" w:eastAsia="宋体" w:cs="宋体"/>
          <w:b/>
          <w:color w:val="000000" w:themeColor="text1"/>
          <w:sz w:val="32"/>
          <w:u w:val="single"/>
          <w:lang w:val="en-US"/>
          <w14:textFill>
            <w14:solidFill>
              <w14:schemeClr w14:val="tx1"/>
            </w14:solidFill>
          </w14:textFill>
        </w:rPr>
      </w:pPr>
      <w:bookmarkStart w:id="83" w:name="_Toc8201_WPSOffice_Level1"/>
      <w:bookmarkStart w:id="84" w:name="_Toc29932_WPSOffice_Level1"/>
      <w:bookmarkStart w:id="85" w:name="_Toc11908_WPSOffice_Level1"/>
      <w:bookmarkStart w:id="86" w:name="_Toc9621_WPSOffice_Level1"/>
      <w:bookmarkStart w:id="87" w:name="_Toc22190_WPSOffice_Level1"/>
      <w:bookmarkStart w:id="88" w:name="_Toc24288"/>
      <w:r>
        <w:rPr>
          <w:rFonts w:hint="eastAsia" w:ascii="宋体" w:hAnsi="宋体" w:eastAsia="宋体" w:cs="宋体"/>
          <w:color w:val="000000" w:themeColor="text1"/>
          <w:sz w:val="32"/>
          <w14:textFill>
            <w14:solidFill>
              <w14:schemeClr w14:val="tx1"/>
            </w14:solidFill>
          </w14:textFill>
        </w:rPr>
        <w:t>投标供应</w:t>
      </w:r>
      <w:r>
        <w:rPr>
          <w:rFonts w:hint="eastAsia" w:ascii="宋体" w:hAnsi="宋体" w:eastAsia="宋体" w:cs="宋体"/>
          <w:color w:val="000000" w:themeColor="text1"/>
          <w:spacing w:val="3"/>
          <w:sz w:val="32"/>
          <w14:textFill>
            <w14:solidFill>
              <w14:schemeClr w14:val="tx1"/>
            </w14:solidFill>
          </w14:textFill>
        </w:rPr>
        <w:t>商</w:t>
      </w:r>
      <w:r>
        <w:rPr>
          <w:rFonts w:hint="eastAsia" w:ascii="宋体" w:hAnsi="宋体" w:eastAsia="宋体" w:cs="宋体"/>
          <w:color w:val="000000" w:themeColor="text1"/>
          <w:sz w:val="32"/>
          <w14:textFill>
            <w14:solidFill>
              <w14:schemeClr w14:val="tx1"/>
            </w14:solidFill>
          </w14:textFill>
        </w:rPr>
        <w:t>：</w:t>
      </w:r>
      <w:bookmarkEnd w:id="83"/>
      <w:bookmarkEnd w:id="84"/>
      <w:bookmarkEnd w:id="85"/>
      <w:bookmarkEnd w:id="86"/>
      <w:bookmarkEnd w:id="87"/>
      <w:bookmarkEnd w:id="88"/>
    </w:p>
    <w:p>
      <w:pPr>
        <w:keepNext w:val="0"/>
        <w:keepLines w:val="0"/>
        <w:pageBreakBefore w:val="0"/>
        <w:widowControl w:val="0"/>
        <w:tabs>
          <w:tab w:val="left" w:pos="7463"/>
        </w:tabs>
        <w:kinsoku/>
        <w:wordWrap/>
        <w:overflowPunct/>
        <w:topLinePunct w:val="0"/>
        <w:autoSpaceDE w:val="0"/>
        <w:autoSpaceDN w:val="0"/>
        <w:bidi w:val="0"/>
        <w:adjustRightInd/>
        <w:snapToGrid/>
        <w:spacing w:line="700" w:lineRule="exact"/>
        <w:jc w:val="both"/>
        <w:textAlignment w:val="auto"/>
        <w:outlineLvl w:val="0"/>
        <w:rPr>
          <w:rFonts w:hint="eastAsia" w:ascii="宋体" w:hAnsi="宋体" w:eastAsia="宋体" w:cs="宋体"/>
          <w:color w:val="000000" w:themeColor="text1"/>
          <w:sz w:val="32"/>
          <w:lang w:val="en-US"/>
          <w14:textFill>
            <w14:solidFill>
              <w14:schemeClr w14:val="tx1"/>
            </w14:solidFill>
          </w14:textFill>
        </w:rPr>
      </w:pPr>
      <w:bookmarkStart w:id="89" w:name="_Toc28249_WPSOffice_Level1"/>
      <w:bookmarkStart w:id="90" w:name="_Toc19118"/>
      <w:r>
        <w:rPr>
          <w:rFonts w:hint="eastAsia" w:ascii="宋体" w:hAnsi="宋体" w:eastAsia="宋体" w:cs="宋体"/>
          <w:color w:val="000000" w:themeColor="text1"/>
          <w:sz w:val="32"/>
          <w:lang w:val="en-US"/>
          <w14:textFill>
            <w14:solidFill>
              <w14:schemeClr w14:val="tx1"/>
            </w14:solidFill>
          </w14:textFill>
        </w:rPr>
        <w:t>法人或授权委托人：</w:t>
      </w:r>
      <w:bookmarkEnd w:id="89"/>
      <w:bookmarkEnd w:id="90"/>
    </w:p>
    <w:p>
      <w:pPr>
        <w:pStyle w:val="22"/>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textAlignment w:val="auto"/>
        <w:rPr>
          <w:rFonts w:hint="eastAsia" w:ascii="宋体" w:hAnsi="宋体" w:eastAsia="宋体" w:cs="宋体"/>
          <w:color w:val="000000" w:themeColor="text1"/>
          <w:sz w:val="32"/>
          <w:lang w:val="en-US" w:eastAsia="zh-CN"/>
          <w14:textFill>
            <w14:solidFill>
              <w14:schemeClr w14:val="tx1"/>
            </w14:solidFill>
          </w14:textFill>
        </w:rPr>
      </w:pPr>
      <w:r>
        <w:rPr>
          <w:rFonts w:hint="eastAsia" w:ascii="宋体" w:hAnsi="宋体" w:eastAsia="宋体" w:cs="宋体"/>
          <w:color w:val="000000" w:themeColor="text1"/>
          <w:sz w:val="32"/>
          <w:lang w:val="en-US" w:eastAsia="zh-CN"/>
          <w14:textFill>
            <w14:solidFill>
              <w14:schemeClr w14:val="tx1"/>
            </w14:solidFill>
          </w14:textFill>
        </w:rPr>
        <w:t>联系人：</w:t>
      </w:r>
    </w:p>
    <w:p>
      <w:pPr>
        <w:pStyle w:val="22"/>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textAlignment w:val="auto"/>
        <w:rPr>
          <w:rFonts w:hint="default" w:ascii="宋体" w:hAnsi="宋体" w:eastAsia="宋体" w:cs="宋体"/>
          <w:color w:val="000000" w:themeColor="text1"/>
          <w:sz w:val="32"/>
          <w:lang w:val="en-US" w:eastAsia="zh-CN"/>
          <w14:textFill>
            <w14:solidFill>
              <w14:schemeClr w14:val="tx1"/>
            </w14:solidFill>
          </w14:textFill>
        </w:rPr>
      </w:pPr>
      <w:r>
        <w:rPr>
          <w:rFonts w:hint="eastAsia" w:ascii="宋体" w:hAnsi="宋体" w:eastAsia="宋体" w:cs="宋体"/>
          <w:color w:val="000000" w:themeColor="text1"/>
          <w:sz w:val="32"/>
          <w:lang w:val="en-US" w:eastAsia="zh-CN"/>
          <w14:textFill>
            <w14:solidFill>
              <w14:schemeClr w14:val="tx1"/>
            </w14:solidFill>
          </w14:textFill>
        </w:rPr>
        <w:t>联系电话：</w:t>
      </w:r>
    </w:p>
    <w:p>
      <w:pPr>
        <w:tabs>
          <w:tab w:val="left" w:pos="1044"/>
          <w:tab w:val="left" w:pos="1757"/>
        </w:tabs>
        <w:spacing w:line="649" w:lineRule="exact"/>
        <w:ind w:left="398"/>
        <w:jc w:val="both"/>
        <w:rPr>
          <w:rFonts w:hint="eastAsia" w:ascii="宋体" w:hAnsi="宋体" w:eastAsia="宋体" w:cs="宋体"/>
          <w:color w:val="000000" w:themeColor="text1"/>
          <w:sz w:val="32"/>
          <w14:textFill>
            <w14:solidFill>
              <w14:schemeClr w14:val="tx1"/>
            </w14:solidFill>
          </w14:textFill>
        </w:rPr>
      </w:pPr>
      <w:bookmarkStart w:id="91" w:name="_Toc20347_WPSOffice_Level1"/>
    </w:p>
    <w:p>
      <w:pPr>
        <w:tabs>
          <w:tab w:val="left" w:pos="7463"/>
        </w:tabs>
        <w:spacing w:line="649" w:lineRule="exact"/>
        <w:jc w:val="center"/>
        <w:outlineLvl w:val="0"/>
        <w:rPr>
          <w:rFonts w:hint="eastAsia" w:ascii="宋体" w:hAnsi="宋体" w:eastAsia="宋体" w:cs="宋体"/>
          <w:color w:val="000000" w:themeColor="text1"/>
          <w:sz w:val="32"/>
          <w:lang w:val="en-US"/>
          <w14:textFill>
            <w14:solidFill>
              <w14:schemeClr w14:val="tx1"/>
            </w14:solidFill>
          </w14:textFill>
        </w:rPr>
      </w:pPr>
      <w:bookmarkStart w:id="92" w:name="_Toc19901_WPSOffice_Level1"/>
      <w:bookmarkStart w:id="93" w:name="_Toc13353_WPSOffice_Level1"/>
      <w:bookmarkStart w:id="94" w:name="_Toc16293_WPSOffice_Level1"/>
      <w:bookmarkStart w:id="95" w:name="_Toc22309_WPSOffice_Level1"/>
      <w:bookmarkStart w:id="96" w:name="_Toc28583"/>
      <w:r>
        <w:rPr>
          <w:rFonts w:hint="eastAsia" w:ascii="宋体" w:hAnsi="宋体" w:eastAsia="宋体" w:cs="宋体"/>
          <w:color w:val="000000" w:themeColor="text1"/>
          <w:sz w:val="32"/>
          <w14:textFill>
            <w14:solidFill>
              <w14:schemeClr w14:val="tx1"/>
            </w14:solidFill>
          </w14:textFill>
        </w:rPr>
        <w:t>年</w:t>
      </w:r>
      <w:r>
        <w:rPr>
          <w:rFonts w:hint="eastAsia" w:ascii="宋体" w:hAnsi="宋体" w:eastAsia="宋体" w:cs="宋体"/>
          <w:color w:val="000000" w:themeColor="text1"/>
          <w:sz w:val="32"/>
          <w:u w:val="single"/>
          <w:lang w:val="en-US"/>
          <w14:textFill>
            <w14:solidFill>
              <w14:schemeClr w14:val="tx1"/>
            </w14:solidFill>
          </w14:textFill>
        </w:rPr>
        <w:t xml:space="preserve">    </w:t>
      </w:r>
      <w:r>
        <w:rPr>
          <w:rFonts w:hint="eastAsia" w:ascii="宋体" w:hAnsi="宋体" w:eastAsia="宋体" w:cs="宋体"/>
          <w:color w:val="000000" w:themeColor="text1"/>
          <w:sz w:val="32"/>
          <w14:textFill>
            <w14:solidFill>
              <w14:schemeClr w14:val="tx1"/>
            </w14:solidFill>
          </w14:textFill>
        </w:rPr>
        <w:t>月</w:t>
      </w:r>
      <w:bookmarkEnd w:id="91"/>
      <w:bookmarkEnd w:id="92"/>
      <w:bookmarkEnd w:id="93"/>
      <w:bookmarkEnd w:id="94"/>
      <w:r>
        <w:rPr>
          <w:rFonts w:hint="eastAsia" w:ascii="宋体" w:hAnsi="宋体" w:eastAsia="宋体" w:cs="宋体"/>
          <w:color w:val="000000" w:themeColor="text1"/>
          <w:sz w:val="32"/>
          <w:u w:val="single"/>
          <w:lang w:val="en-US"/>
          <w14:textFill>
            <w14:solidFill>
              <w14:schemeClr w14:val="tx1"/>
            </w14:solidFill>
          </w14:textFill>
        </w:rPr>
        <w:t xml:space="preserve">    </w:t>
      </w:r>
      <w:r>
        <w:rPr>
          <w:rFonts w:hint="eastAsia" w:ascii="宋体" w:hAnsi="宋体" w:eastAsia="宋体" w:cs="宋体"/>
          <w:color w:val="000000" w:themeColor="text1"/>
          <w:sz w:val="32"/>
          <w:lang w:val="en-US"/>
          <w14:textFill>
            <w14:solidFill>
              <w14:schemeClr w14:val="tx1"/>
            </w14:solidFill>
          </w14:textFill>
        </w:rPr>
        <w:t>日</w:t>
      </w:r>
      <w:bookmarkEnd w:id="95"/>
      <w:bookmarkEnd w:id="96"/>
    </w:p>
    <w:p>
      <w:pPr>
        <w:tabs>
          <w:tab w:val="left" w:pos="7463"/>
        </w:tabs>
        <w:spacing w:line="649" w:lineRule="exact"/>
        <w:ind w:left="3050"/>
        <w:jc w:val="both"/>
        <w:rPr>
          <w:rFonts w:hint="eastAsia" w:ascii="宋体" w:hAnsi="宋体" w:eastAsia="宋体" w:cs="宋体"/>
          <w:color w:val="000000" w:themeColor="text1"/>
          <w:sz w:val="32"/>
          <w:u w:val="single"/>
          <w14:textFill>
            <w14:solidFill>
              <w14:schemeClr w14:val="tx1"/>
            </w14:solidFill>
          </w14:textFill>
        </w:rPr>
        <w:sectPr>
          <w:pgSz w:w="11910" w:h="16850"/>
          <w:pgMar w:top="1440" w:right="1587" w:bottom="1440" w:left="1587" w:header="877" w:footer="1068" w:gutter="0"/>
          <w:pgNumType w:fmt="decimal"/>
          <w:cols w:space="720" w:num="1"/>
        </w:sectPr>
      </w:pPr>
    </w:p>
    <w:p>
      <w:pPr>
        <w:spacing w:line="50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97" w:name="_Toc22401"/>
      <w:r>
        <w:rPr>
          <w:rFonts w:hint="eastAsia" w:ascii="宋体" w:hAnsi="宋体" w:eastAsia="宋体" w:cs="宋体"/>
          <w:b/>
          <w:color w:val="000000" w:themeColor="text1"/>
          <w:sz w:val="28"/>
          <w:szCs w:val="28"/>
          <w14:textFill>
            <w14:solidFill>
              <w14:schemeClr w14:val="tx1"/>
            </w14:solidFill>
          </w14:textFill>
        </w:rPr>
        <w:t>附件一    投  标  函</w:t>
      </w:r>
      <w:bookmarkEnd w:id="97"/>
    </w:p>
    <w:p>
      <w:pPr>
        <w:spacing w:line="500" w:lineRule="exact"/>
        <w:ind w:firstLine="3253" w:firstLineChars="1350"/>
        <w:rPr>
          <w:rFonts w:hint="eastAsia" w:ascii="宋体" w:hAnsi="宋体" w:eastAsia="宋体" w:cs="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80" w:lineRule="exact"/>
        <w:ind w:firstLine="55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根据贵方为</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项目招标的招标邀请</w:t>
      </w:r>
      <w:r>
        <w:rPr>
          <w:rFonts w:hint="eastAsia" w:ascii="宋体" w:hAnsi="宋体" w:eastAsia="宋体" w:cs="宋体"/>
          <w:color w:val="000000" w:themeColor="text1"/>
          <w:sz w:val="24"/>
          <w:szCs w:val="24"/>
          <w:u w:val="single"/>
          <w14:textFill>
            <w14:solidFill>
              <w14:schemeClr w14:val="tx1"/>
            </w14:solidFill>
          </w14:textFill>
        </w:rPr>
        <w:t>（项目编号）</w:t>
      </w:r>
      <w:r>
        <w:rPr>
          <w:rFonts w:hint="eastAsia" w:ascii="宋体" w:hAnsi="宋体" w:eastAsia="宋体" w:cs="宋体"/>
          <w:color w:val="000000" w:themeColor="text1"/>
          <w:sz w:val="24"/>
          <w:szCs w:val="24"/>
          <w14:textFill>
            <w14:solidFill>
              <w14:schemeClr w14:val="tx1"/>
            </w14:solidFill>
          </w14:textFill>
        </w:rPr>
        <w:t>,签字代表</w:t>
      </w:r>
      <w:r>
        <w:rPr>
          <w:rFonts w:hint="eastAsia" w:ascii="宋体" w:hAnsi="宋体" w:eastAsia="宋体" w:cs="宋体"/>
          <w:color w:val="000000" w:themeColor="text1"/>
          <w:sz w:val="24"/>
          <w:szCs w:val="24"/>
          <w:u w:val="single"/>
          <w14:textFill>
            <w14:solidFill>
              <w14:schemeClr w14:val="tx1"/>
            </w14:solidFill>
          </w14:textFill>
        </w:rPr>
        <w:t>（姓名、职务）</w:t>
      </w:r>
      <w:r>
        <w:rPr>
          <w:rFonts w:hint="eastAsia" w:ascii="宋体" w:hAnsi="宋体" w:eastAsia="宋体" w:cs="宋体"/>
          <w:color w:val="000000" w:themeColor="text1"/>
          <w:sz w:val="24"/>
          <w:szCs w:val="24"/>
          <w14:textFill>
            <w14:solidFill>
              <w14:schemeClr w14:val="tx1"/>
            </w14:solidFill>
          </w14:textFill>
        </w:rPr>
        <w:t>经正式授权并代表投标商</w:t>
      </w:r>
      <w:r>
        <w:rPr>
          <w:rFonts w:hint="eastAsia" w:ascii="宋体" w:hAnsi="宋体" w:eastAsia="宋体" w:cs="宋体"/>
          <w:color w:val="000000" w:themeColor="text1"/>
          <w:sz w:val="24"/>
          <w:szCs w:val="24"/>
          <w:u w:val="single"/>
          <w14:textFill>
            <w14:solidFill>
              <w14:schemeClr w14:val="tx1"/>
            </w14:solidFill>
          </w14:textFill>
        </w:rPr>
        <w:t>（投标商名称、地址）</w:t>
      </w:r>
      <w:r>
        <w:rPr>
          <w:rFonts w:hint="eastAsia" w:ascii="宋体" w:hAnsi="宋体" w:eastAsia="宋体" w:cs="宋体"/>
          <w:color w:val="000000" w:themeColor="text1"/>
          <w:sz w:val="24"/>
          <w:szCs w:val="24"/>
          <w14:textFill>
            <w14:solidFill>
              <w14:schemeClr w14:val="tx1"/>
            </w14:solidFill>
          </w14:textFill>
        </w:rPr>
        <w:t xml:space="preserve">，宣布同意如下条款：       </w:t>
      </w:r>
    </w:p>
    <w:p>
      <w:pPr>
        <w:keepNext w:val="0"/>
        <w:keepLines w:val="0"/>
        <w:pageBreakBefore w:val="0"/>
        <w:widowControl w:val="0"/>
        <w:kinsoku/>
        <w:wordWrap/>
        <w:overflowPunct/>
        <w:topLinePunct w:val="0"/>
        <w:autoSpaceDE w:val="0"/>
        <w:autoSpaceDN w:val="0"/>
        <w:bidi w:val="0"/>
        <w:adjustRightInd/>
        <w:snapToGrid/>
        <w:spacing w:line="480" w:lineRule="exact"/>
        <w:ind w:firstLine="555"/>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98" w:name="_Toc11217"/>
      <w:r>
        <w:rPr>
          <w:rFonts w:hint="eastAsia" w:ascii="宋体" w:hAnsi="宋体" w:eastAsia="宋体" w:cs="宋体"/>
          <w:color w:val="000000" w:themeColor="text1"/>
          <w:sz w:val="24"/>
          <w:szCs w:val="24"/>
          <w14:textFill>
            <w14:solidFill>
              <w14:schemeClr w14:val="tx1"/>
            </w14:solidFill>
          </w14:textFill>
        </w:rPr>
        <w:t>一、提交投标文件的数量：</w:t>
      </w:r>
      <w:bookmarkEnd w:id="98"/>
    </w:p>
    <w:p>
      <w:pPr>
        <w:keepNext w:val="0"/>
        <w:keepLines w:val="0"/>
        <w:pageBreakBefore w:val="0"/>
        <w:widowControl w:val="0"/>
        <w:kinsoku/>
        <w:wordWrap/>
        <w:overflowPunct/>
        <w:topLinePunct w:val="0"/>
        <w:autoSpaceDE w:val="0"/>
        <w:autoSpaceDN w:val="0"/>
        <w:bidi w:val="0"/>
        <w:adjustRightInd/>
        <w:snapToGrid/>
        <w:spacing w:line="480" w:lineRule="exact"/>
        <w:ind w:firstLine="55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正本壹份，副本</w:t>
      </w:r>
      <w:r>
        <w:rPr>
          <w:rFonts w:hint="eastAsia" w:ascii="宋体" w:hAnsi="宋体" w:eastAsia="宋体" w:cs="宋体"/>
          <w:color w:val="000000" w:themeColor="text1"/>
          <w:sz w:val="24"/>
          <w:szCs w:val="24"/>
          <w:lang w:eastAsia="zh-CN"/>
          <w14:textFill>
            <w14:solidFill>
              <w14:schemeClr w14:val="tx1"/>
            </w14:solidFill>
          </w14:textFill>
        </w:rPr>
        <w:t>叁</w:t>
      </w:r>
      <w:r>
        <w:rPr>
          <w:rFonts w:hint="eastAsia" w:ascii="宋体" w:hAnsi="宋体" w:eastAsia="宋体" w:cs="宋体"/>
          <w:color w:val="000000" w:themeColor="text1"/>
          <w:sz w:val="24"/>
          <w:szCs w:val="24"/>
          <w14:textFill>
            <w14:solidFill>
              <w14:schemeClr w14:val="tx1"/>
            </w14:solidFill>
          </w14:textFill>
        </w:rPr>
        <w:t>份</w:t>
      </w:r>
    </w:p>
    <w:p>
      <w:pPr>
        <w:keepNext w:val="0"/>
        <w:keepLines w:val="0"/>
        <w:pageBreakBefore w:val="0"/>
        <w:widowControl w:val="0"/>
        <w:kinsoku/>
        <w:wordWrap/>
        <w:overflowPunct/>
        <w:topLinePunct w:val="0"/>
        <w:autoSpaceDE w:val="0"/>
        <w:autoSpaceDN w:val="0"/>
        <w:bidi w:val="0"/>
        <w:adjustRightInd/>
        <w:snapToGrid/>
        <w:spacing w:line="480" w:lineRule="exact"/>
        <w:ind w:firstLine="555"/>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99" w:name="_Toc6842"/>
      <w:r>
        <w:rPr>
          <w:rFonts w:hint="eastAsia" w:ascii="宋体" w:hAnsi="宋体" w:eastAsia="宋体" w:cs="宋体"/>
          <w:color w:val="000000" w:themeColor="text1"/>
          <w:sz w:val="24"/>
          <w:szCs w:val="24"/>
          <w14:textFill>
            <w14:solidFill>
              <w14:schemeClr w14:val="tx1"/>
            </w14:solidFill>
          </w14:textFill>
        </w:rPr>
        <w:t>二、确认下述条款：</w:t>
      </w:r>
      <w:bookmarkEnd w:id="99"/>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1、所附报价明细表中规定的应提供服务和交付的</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投标总价为  （人民币），即（文字表述）。</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2、投标保证金金额为（人民币）。</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3、投标人将按招标文件的规定履行合同责任和义务。</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4、投标人已详细阅读了全部招标文件，包括修改文件（如有的话）以及全部参考资料有关附件。我们完全理解并同意放弃对这方面不明及误解的权利。</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5、我们同意按招标文件中的规定，此项招标自开标日起为90天。</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6、如果在上述投标文件有效期内，投标人撤回投标，我们同意投标保证金将被招标机构没收。</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7、投标人同意提供按照招标机构要求的与本次投标有关的一切资料。</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8、我们完全理解招标机构不一定要接受最低价投标或收到的任何投标。</w:t>
      </w:r>
    </w:p>
    <w:p>
      <w:pPr>
        <w:keepNext w:val="0"/>
        <w:keepLines w:val="0"/>
        <w:pageBreakBefore w:val="0"/>
        <w:widowControl w:val="0"/>
        <w:kinsoku/>
        <w:wordWrap/>
        <w:overflowPunct/>
        <w:topLinePunct w:val="0"/>
        <w:autoSpaceDE w:val="0"/>
        <w:autoSpaceDN w:val="0"/>
        <w:bidi w:val="0"/>
        <w:adjustRightInd/>
        <w:snapToGrid/>
        <w:spacing w:line="480" w:lineRule="exact"/>
        <w:ind w:firstLine="555"/>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100" w:name="_Toc7205"/>
      <w:r>
        <w:rPr>
          <w:rFonts w:hint="eastAsia" w:ascii="宋体" w:hAnsi="宋体" w:eastAsia="宋体" w:cs="宋体"/>
          <w:color w:val="000000" w:themeColor="text1"/>
          <w:sz w:val="24"/>
          <w:szCs w:val="24"/>
          <w14:textFill>
            <w14:solidFill>
              <w14:schemeClr w14:val="tx1"/>
            </w14:solidFill>
          </w14:textFill>
        </w:rPr>
        <w:t>三、对招标文件的综合说明：</w:t>
      </w:r>
      <w:bookmarkEnd w:id="100"/>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1、设备的技术条件和技术标准。</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2、质量标准及验收标准。</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、要求用户提供的配合。</w:t>
      </w:r>
    </w:p>
    <w:p>
      <w:pPr>
        <w:keepNext w:val="0"/>
        <w:keepLines w:val="0"/>
        <w:pageBreakBefore w:val="0"/>
        <w:widowControl w:val="0"/>
        <w:kinsoku/>
        <w:wordWrap/>
        <w:overflowPunct/>
        <w:topLinePunct w:val="0"/>
        <w:autoSpaceDE w:val="0"/>
        <w:autoSpaceDN w:val="0"/>
        <w:bidi w:val="0"/>
        <w:adjustRightInd/>
        <w:snapToGrid/>
        <w:spacing w:line="480" w:lineRule="exact"/>
        <w:ind w:firstLine="595" w:firstLineChars="24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、与本次投标有关的一切函电请寄：</w:t>
      </w:r>
    </w:p>
    <w:p>
      <w:pPr>
        <w:keepNext w:val="0"/>
        <w:keepLines w:val="0"/>
        <w:pageBreakBefore w:val="0"/>
        <w:widowControl w:val="0"/>
        <w:kinsoku/>
        <w:wordWrap/>
        <w:overflowPunct/>
        <w:topLinePunct w:val="0"/>
        <w:autoSpaceDE w:val="0"/>
        <w:autoSpaceDN w:val="0"/>
        <w:bidi w:val="0"/>
        <w:adjustRightInd/>
        <w:snapToGrid/>
        <w:spacing w:line="480" w:lineRule="exact"/>
        <w:ind w:firstLine="102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邮编:</w:t>
      </w:r>
    </w:p>
    <w:p>
      <w:pPr>
        <w:keepNext w:val="0"/>
        <w:keepLines w:val="0"/>
        <w:pageBreakBefore w:val="0"/>
        <w:widowControl w:val="0"/>
        <w:kinsoku/>
        <w:wordWrap/>
        <w:overflowPunct/>
        <w:topLinePunct w:val="0"/>
        <w:autoSpaceDE w:val="0"/>
        <w:autoSpaceDN w:val="0"/>
        <w:bidi w:val="0"/>
        <w:adjustRightInd/>
        <w:snapToGrid/>
        <w:spacing w:line="480" w:lineRule="exact"/>
        <w:ind w:firstLine="102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传真：</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代表姓名：</w:t>
      </w:r>
    </w:p>
    <w:p>
      <w:pPr>
        <w:keepNext w:val="0"/>
        <w:keepLines w:val="0"/>
        <w:pageBreakBefore w:val="0"/>
        <w:widowControl w:val="0"/>
        <w:kinsoku/>
        <w:wordWrap/>
        <w:overflowPunct/>
        <w:topLinePunct w:val="0"/>
        <w:autoSpaceDE w:val="0"/>
        <w:autoSpaceDN w:val="0"/>
        <w:bidi w:val="0"/>
        <w:adjustRightInd/>
        <w:snapToGrid/>
        <w:spacing w:line="480" w:lineRule="exact"/>
        <w:ind w:firstLine="102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w:t>
      </w:r>
    </w:p>
    <w:p>
      <w:pPr>
        <w:keepNext w:val="0"/>
        <w:keepLines w:val="0"/>
        <w:pageBreakBefore w:val="0"/>
        <w:widowControl w:val="0"/>
        <w:kinsoku/>
        <w:wordWrap/>
        <w:overflowPunct/>
        <w:topLinePunct w:val="0"/>
        <w:autoSpaceDE w:val="0"/>
        <w:autoSpaceDN w:val="0"/>
        <w:bidi w:val="0"/>
        <w:adjustRightInd/>
        <w:snapToGrid/>
        <w:spacing w:line="480" w:lineRule="exact"/>
        <w:ind w:firstLine="102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地址：（公章）</w:t>
      </w:r>
    </w:p>
    <w:p>
      <w:pPr>
        <w:keepNext w:val="0"/>
        <w:keepLines w:val="0"/>
        <w:pageBreakBefore w:val="0"/>
        <w:widowControl w:val="0"/>
        <w:kinsoku/>
        <w:wordWrap/>
        <w:overflowPunct/>
        <w:topLinePunct w:val="0"/>
        <w:autoSpaceDE w:val="0"/>
        <w:autoSpaceDN w:val="0"/>
        <w:bidi w:val="0"/>
        <w:adjustRightInd/>
        <w:snapToGrid/>
        <w:spacing w:line="480" w:lineRule="exact"/>
        <w:ind w:firstLine="102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法人授权代表签字</w:t>
      </w:r>
      <w:r>
        <w:rPr>
          <w:rFonts w:hint="eastAsia" w:ascii="宋体" w:hAnsi="宋体" w:eastAsia="宋体" w:cs="宋体"/>
          <w:color w:val="000000" w:themeColor="text1"/>
          <w:sz w:val="24"/>
          <w:szCs w:val="24"/>
          <w:lang w:eastAsia="zh-CN"/>
          <w14:textFill>
            <w14:solidFill>
              <w14:schemeClr w14:val="tx1"/>
            </w14:solidFill>
          </w14:textFill>
        </w:rPr>
        <w:t>：</w:t>
      </w:r>
    </w:p>
    <w:p>
      <w:pPr>
        <w:spacing w:line="516" w:lineRule="exact"/>
        <w:rPr>
          <w:rFonts w:hint="eastAsia" w:ascii="宋体" w:hAnsi="宋体" w:eastAsia="宋体" w:cs="宋体"/>
          <w:color w:val="000000" w:themeColor="text1"/>
          <w14:textFill>
            <w14:solidFill>
              <w14:schemeClr w14:val="tx1"/>
            </w14:solidFill>
          </w14:textFill>
        </w:rPr>
        <w:sectPr>
          <w:pgSz w:w="11910" w:h="16850"/>
          <w:pgMar w:top="1440" w:right="1080" w:bottom="1440" w:left="1080" w:header="877" w:footer="1068" w:gutter="0"/>
          <w:pgNumType w:fmt="decimal"/>
          <w:cols w:space="720" w:num="1"/>
          <w:docGrid w:linePitch="299" w:charSpace="0"/>
        </w:sectPr>
      </w:pPr>
    </w:p>
    <w:p>
      <w:pPr>
        <w:pStyle w:val="3"/>
        <w:ind w:left="0"/>
        <w:rPr>
          <w:rFonts w:hint="eastAsia" w:ascii="宋体" w:hAnsi="宋体" w:eastAsia="宋体" w:cs="宋体"/>
          <w:color w:val="000000" w:themeColor="text1"/>
          <w:sz w:val="12"/>
          <w14:textFill>
            <w14:solidFill>
              <w14:schemeClr w14:val="tx1"/>
            </w14:solidFill>
          </w14:textFill>
        </w:rPr>
      </w:pPr>
    </w:p>
    <w:p>
      <w:pPr>
        <w:spacing w:line="500" w:lineRule="exact"/>
        <w:ind w:firstLine="141" w:firstLineChars="50"/>
        <w:jc w:val="center"/>
        <w:outlineLvl w:val="0"/>
        <w:rPr>
          <w:rFonts w:hint="eastAsia" w:ascii="宋体" w:hAnsi="宋体" w:eastAsia="宋体" w:cs="宋体"/>
          <w:b/>
          <w:color w:val="000000" w:themeColor="text1"/>
          <w:sz w:val="28"/>
          <w:szCs w:val="28"/>
          <w14:textFill>
            <w14:solidFill>
              <w14:schemeClr w14:val="tx1"/>
            </w14:solidFill>
          </w14:textFill>
        </w:rPr>
      </w:pPr>
      <w:bookmarkStart w:id="101" w:name="_bookmark13"/>
      <w:bookmarkEnd w:id="101"/>
      <w:bookmarkStart w:id="102" w:name="一．开标一览表"/>
      <w:bookmarkEnd w:id="102"/>
    </w:p>
    <w:p>
      <w:pPr>
        <w:spacing w:line="500" w:lineRule="exact"/>
        <w:ind w:firstLine="141" w:firstLineChars="50"/>
        <w:jc w:val="center"/>
        <w:outlineLvl w:val="0"/>
        <w:rPr>
          <w:rFonts w:hint="eastAsia" w:ascii="宋体" w:hAnsi="宋体" w:eastAsia="宋体" w:cs="宋体"/>
          <w:b/>
          <w:color w:val="000000" w:themeColor="text1"/>
          <w:sz w:val="28"/>
          <w:szCs w:val="28"/>
          <w14:textFill>
            <w14:solidFill>
              <w14:schemeClr w14:val="tx1"/>
            </w14:solidFill>
          </w14:textFill>
        </w:rPr>
      </w:pPr>
      <w:bookmarkStart w:id="103" w:name="_Toc14434"/>
      <w:r>
        <w:rPr>
          <w:rFonts w:hint="eastAsia" w:ascii="宋体" w:hAnsi="宋体" w:eastAsia="宋体" w:cs="宋体"/>
          <w:b/>
          <w:color w:val="000000" w:themeColor="text1"/>
          <w:sz w:val="28"/>
          <w:szCs w:val="28"/>
          <w14:textFill>
            <w14:solidFill>
              <w14:schemeClr w14:val="tx1"/>
            </w14:solidFill>
          </w14:textFill>
        </w:rPr>
        <w:t>附件二   关于资格的声明函</w:t>
      </w:r>
      <w:bookmarkEnd w:id="103"/>
    </w:p>
    <w:p>
      <w:pPr>
        <w:pStyle w:val="22"/>
        <w:rPr>
          <w:rFonts w:hint="eastAsia"/>
        </w:rPr>
      </w:pPr>
    </w:p>
    <w:p>
      <w:pPr>
        <w:pStyle w:val="9"/>
        <w:spacing w:line="500" w:lineRule="exact"/>
        <w:ind w:left="440" w:firstLine="540"/>
        <w:rPr>
          <w:rFonts w:hint="eastAsia" w:ascii="宋体" w:hAnsi="宋体" w:eastAsia="宋体" w:cs="宋体"/>
          <w:color w:val="FF0000"/>
          <w:sz w:val="24"/>
          <w:szCs w:val="24"/>
          <w:lang w:eastAsia="zh-CN"/>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bCs/>
          <w:sz w:val="24"/>
          <w:szCs w:val="24"/>
          <w:lang w:eastAsia="zh-CN"/>
        </w:rPr>
        <w:t>哈密丰远造价咨询有限责任公司</w:t>
      </w:r>
    </w:p>
    <w:p>
      <w:pPr>
        <w:pStyle w:val="9"/>
        <w:spacing w:line="500" w:lineRule="exact"/>
        <w:ind w:left="44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关于贵方20</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日第</w:t>
      </w:r>
      <w:r>
        <w:rPr>
          <w:rFonts w:hint="eastAsia" w:ascii="宋体" w:hAnsi="宋体" w:eastAsia="宋体" w:cs="宋体"/>
          <w:color w:val="000000" w:themeColor="text1"/>
          <w:sz w:val="24"/>
          <w:szCs w:val="24"/>
          <w:u w:val="single"/>
          <w14:textFill>
            <w14:solidFill>
              <w14:schemeClr w14:val="tx1"/>
            </w14:solidFill>
          </w14:textFill>
        </w:rPr>
        <w:t xml:space="preserve">  项目编号 </w:t>
      </w:r>
      <w:r>
        <w:rPr>
          <w:rFonts w:hint="eastAsia" w:ascii="宋体" w:hAnsi="宋体" w:eastAsia="宋体" w:cs="宋体"/>
          <w:color w:val="000000" w:themeColor="text1"/>
          <w:sz w:val="24"/>
          <w:szCs w:val="24"/>
          <w14:textFill>
            <w14:solidFill>
              <w14:schemeClr w14:val="tx1"/>
            </w14:solidFill>
          </w14:textFill>
        </w:rPr>
        <w:t>招标公告关于</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的招标项目，本签字人愿意参加投标，并有能力提供</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color w:val="000000" w:themeColor="text1"/>
          <w:sz w:val="24"/>
          <w:szCs w:val="24"/>
          <w14:textFill>
            <w14:solidFill>
              <w14:schemeClr w14:val="tx1"/>
            </w14:solidFill>
          </w14:textFill>
        </w:rPr>
        <w:t>项目中的招标</w:t>
      </w:r>
      <w:r>
        <w:rPr>
          <w:rFonts w:hint="eastAsia" w:ascii="宋体" w:hAnsi="宋体" w:eastAsia="宋体" w:cs="宋体"/>
          <w:color w:val="000000" w:themeColor="text1"/>
          <w:sz w:val="24"/>
          <w:szCs w:val="24"/>
          <w:lang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及相关服务，并保证所提交的所有文件和说明是真实和准确的。</w:t>
      </w:r>
    </w:p>
    <w:p>
      <w:pPr>
        <w:pStyle w:val="9"/>
        <w:spacing w:line="500" w:lineRule="exact"/>
        <w:ind w:left="440" w:firstLine="54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eastAsia="宋体" w:cs="宋体"/>
          <w:color w:val="000000" w:themeColor="text1"/>
          <w:sz w:val="24"/>
          <w:szCs w:val="24"/>
          <w:u w:val="single"/>
          <w14:textFill>
            <w14:solidFill>
              <w14:schemeClr w14:val="tx1"/>
            </w14:solidFill>
          </w14:textFill>
        </w:rPr>
        <w:t>　投标人名称        　</w:t>
      </w:r>
      <w:r>
        <w:rPr>
          <w:rFonts w:hint="eastAsia" w:ascii="宋体" w:hAnsi="宋体" w:eastAsia="宋体" w:cs="宋体"/>
          <w:color w:val="000000" w:themeColor="text1"/>
          <w:sz w:val="24"/>
          <w:szCs w:val="24"/>
          <w14:textFill>
            <w14:solidFill>
              <w14:schemeClr w14:val="tx1"/>
            </w14:solidFill>
          </w14:textFill>
        </w:rPr>
        <w:t>　签字人姓名、职务：</w:t>
      </w:r>
    </w:p>
    <w:p>
      <w:pPr>
        <w:pStyle w:val="9"/>
        <w:spacing w:line="500" w:lineRule="exact"/>
        <w:ind w:left="440" w:firstLine="54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授权签署本资格文件人：</w:t>
      </w:r>
      <w:r>
        <w:rPr>
          <w:rFonts w:hint="eastAsia" w:ascii="宋体" w:hAnsi="宋体" w:eastAsia="宋体" w:cs="宋体"/>
          <w:color w:val="000000" w:themeColor="text1"/>
          <w:sz w:val="24"/>
          <w:szCs w:val="24"/>
          <w:u w:val="single"/>
          <w14:textFill>
            <w14:solidFill>
              <w14:schemeClr w14:val="tx1"/>
            </w14:solidFill>
          </w14:textFill>
        </w:rPr>
        <w:t xml:space="preserve">授权人姓名   </w:t>
      </w:r>
    </w:p>
    <w:p>
      <w:pPr>
        <w:pStyle w:val="9"/>
        <w:spacing w:line="500" w:lineRule="exact"/>
        <w:ind w:left="440" w:firstLine="5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w:t>
      </w:r>
    </w:p>
    <w:p>
      <w:pPr>
        <w:pStyle w:val="9"/>
        <w:spacing w:line="500" w:lineRule="exact"/>
        <w:ind w:left="440" w:firstLine="54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　电话：</w:t>
      </w:r>
      <w:r>
        <w:rPr>
          <w:rFonts w:hint="eastAsia" w:ascii="宋体" w:hAnsi="宋体" w:eastAsia="宋体" w:cs="宋体"/>
          <w:color w:val="000000" w:themeColor="text1"/>
          <w:sz w:val="24"/>
          <w:szCs w:val="24"/>
          <w:u w:val="single"/>
          <w14:textFill>
            <w14:solidFill>
              <w14:schemeClr w14:val="tx1"/>
            </w14:solidFill>
          </w14:textFill>
        </w:rPr>
        <w:t>　　　　　　　　</w:t>
      </w:r>
    </w:p>
    <w:p>
      <w:pPr>
        <w:spacing w:line="500" w:lineRule="exact"/>
        <w:ind w:firstLine="6240" w:firstLineChars="2600"/>
        <w:rPr>
          <w:rFonts w:hint="eastAsia" w:ascii="宋体" w:hAnsi="宋体" w:eastAsia="宋体" w:cs="宋体"/>
          <w:color w:val="000000" w:themeColor="text1"/>
          <w:sz w:val="24"/>
          <w:szCs w:val="24"/>
          <w14:textFill>
            <w14:solidFill>
              <w14:schemeClr w14:val="tx1"/>
            </w14:solidFill>
          </w14:textFill>
        </w:rPr>
      </w:pPr>
    </w:p>
    <w:p>
      <w:pPr>
        <w:spacing w:line="500" w:lineRule="exact"/>
        <w:ind w:firstLine="6240" w:firstLineChars="2600"/>
        <w:rPr>
          <w:rFonts w:hint="eastAsia" w:ascii="宋体" w:hAnsi="宋体" w:eastAsia="宋体" w:cs="宋体"/>
          <w:color w:val="000000" w:themeColor="text1"/>
          <w:sz w:val="24"/>
          <w:szCs w:val="24"/>
          <w14:textFill>
            <w14:solidFill>
              <w14:schemeClr w14:val="tx1"/>
            </w14:solidFill>
          </w14:textFill>
        </w:rPr>
      </w:pPr>
    </w:p>
    <w:p>
      <w:pPr>
        <w:spacing w:line="500" w:lineRule="exact"/>
        <w:ind w:firstLine="6240" w:firstLineChars="2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p>
      <w:pPr>
        <w:spacing w:line="500" w:lineRule="exact"/>
        <w:ind w:firstLine="5880" w:firstLineChars="24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413" w:lineRule="atLeast"/>
        <w:rPr>
          <w:rFonts w:hint="eastAsia" w:ascii="宋体" w:hAnsi="宋体" w:eastAsia="宋体" w:cs="宋体"/>
          <w:color w:val="000000" w:themeColor="text1"/>
          <w:szCs w:val="21"/>
          <w14:textFill>
            <w14:solidFill>
              <w14:schemeClr w14:val="tx1"/>
            </w14:solidFill>
          </w14:textFill>
        </w:rPr>
      </w:pPr>
    </w:p>
    <w:p>
      <w:pPr>
        <w:pStyle w:val="10"/>
        <w:ind w:left="440" w:firstLine="510"/>
        <w:rPr>
          <w:rFonts w:hint="eastAsia" w:ascii="宋体" w:hAnsi="宋体" w:eastAsia="宋体" w:cs="宋体"/>
        </w:rPr>
      </w:pPr>
    </w:p>
    <w:p>
      <w:pPr>
        <w:spacing w:line="413" w:lineRule="atLeast"/>
        <w:rPr>
          <w:rFonts w:hint="eastAsia" w:ascii="宋体" w:hAnsi="宋体" w:eastAsia="宋体" w:cs="宋体"/>
          <w:color w:val="000000" w:themeColor="text1"/>
          <w:szCs w:val="21"/>
          <w14:textFill>
            <w14:solidFill>
              <w14:schemeClr w14:val="tx1"/>
            </w14:solidFill>
          </w14:textFill>
        </w:rPr>
      </w:pPr>
    </w:p>
    <w:p>
      <w:pPr>
        <w:spacing w:line="50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104" w:name="_Toc8545"/>
      <w:r>
        <w:rPr>
          <w:rFonts w:hint="eastAsia" w:ascii="宋体" w:hAnsi="宋体" w:eastAsia="宋体" w:cs="宋体"/>
          <w:b/>
          <w:color w:val="000000" w:themeColor="text1"/>
          <w:sz w:val="28"/>
          <w:szCs w:val="28"/>
          <w14:textFill>
            <w14:solidFill>
              <w14:schemeClr w14:val="tx1"/>
            </w14:solidFill>
          </w14:textFill>
        </w:rPr>
        <w:t>附件三   法人代表授权委托书</w:t>
      </w:r>
      <w:bookmarkEnd w:id="104"/>
    </w:p>
    <w:p>
      <w:pPr>
        <w:spacing w:line="500" w:lineRule="exact"/>
        <w:rPr>
          <w:rFonts w:hint="eastAsia" w:ascii="宋体" w:hAnsi="宋体" w:eastAsia="宋体" w:cs="宋体"/>
          <w:b/>
          <w:color w:val="000000" w:themeColor="text1"/>
          <w:sz w:val="24"/>
          <w:szCs w:val="24"/>
          <w14:textFill>
            <w14:solidFill>
              <w14:schemeClr w14:val="tx1"/>
            </w14:solidFill>
          </w14:textFill>
        </w:rPr>
      </w:pPr>
    </w:p>
    <w:p>
      <w:pPr>
        <w:adjustRightInd w:val="0"/>
        <w:spacing w:line="500" w:lineRule="exact"/>
        <w:ind w:firstLine="42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本授权声明：注册于中华人民共和国的</w:t>
      </w:r>
      <w:r>
        <w:rPr>
          <w:rFonts w:hint="eastAsia" w:ascii="宋体" w:hAnsi="宋体" w:eastAsia="宋体" w:cs="宋体"/>
          <w:color w:val="000000" w:themeColor="text1"/>
          <w:sz w:val="24"/>
          <w:szCs w:val="24"/>
          <w:u w:val="single"/>
          <w14:textFill>
            <w14:solidFill>
              <w14:schemeClr w14:val="tx1"/>
            </w14:solidFill>
          </w14:textFill>
        </w:rPr>
        <w:t xml:space="preserve">  （投标人名称、住址）  </w:t>
      </w:r>
      <w:r>
        <w:rPr>
          <w:rFonts w:hint="eastAsia" w:ascii="宋体" w:hAnsi="宋体" w:eastAsia="宋体" w:cs="宋体"/>
          <w:color w:val="000000" w:themeColor="text1"/>
          <w:sz w:val="24"/>
          <w:szCs w:val="24"/>
          <w14:textFill>
            <w14:solidFill>
              <w14:schemeClr w14:val="tx1"/>
            </w14:solidFill>
          </w14:textFill>
        </w:rPr>
        <w:t>的法人代表</w:t>
      </w:r>
      <w:r>
        <w:rPr>
          <w:rFonts w:hint="eastAsia" w:ascii="宋体" w:hAnsi="宋体" w:eastAsia="宋体" w:cs="宋体"/>
          <w:color w:val="000000" w:themeColor="text1"/>
          <w:sz w:val="24"/>
          <w:szCs w:val="24"/>
          <w:u w:val="single"/>
          <w14:textFill>
            <w14:solidFill>
              <w14:schemeClr w14:val="tx1"/>
            </w14:solidFill>
          </w14:textFill>
        </w:rPr>
        <w:t xml:space="preserve">  （法定代表人姓名、职务）  </w:t>
      </w:r>
      <w:r>
        <w:rPr>
          <w:rFonts w:hint="eastAsia" w:ascii="宋体" w:hAnsi="宋体" w:eastAsia="宋体" w:cs="宋体"/>
          <w:color w:val="000000" w:themeColor="text1"/>
          <w:sz w:val="24"/>
          <w:szCs w:val="24"/>
          <w14:textFill>
            <w14:solidFill>
              <w14:schemeClr w14:val="tx1"/>
            </w14:solidFill>
          </w14:textFill>
        </w:rPr>
        <w:t>代表本公司授权在下面签字的</w:t>
      </w:r>
      <w:r>
        <w:rPr>
          <w:rFonts w:hint="eastAsia" w:ascii="宋体" w:hAnsi="宋体" w:eastAsia="宋体" w:cs="宋体"/>
          <w:color w:val="000000" w:themeColor="text1"/>
          <w:sz w:val="24"/>
          <w:szCs w:val="24"/>
          <w:u w:val="single"/>
          <w14:textFill>
            <w14:solidFill>
              <w14:schemeClr w14:val="tx1"/>
            </w14:solidFill>
          </w14:textFill>
        </w:rPr>
        <w:t xml:space="preserve">  （被授权人的姓名、职务）  </w:t>
      </w:r>
      <w:r>
        <w:rPr>
          <w:rFonts w:hint="eastAsia" w:ascii="宋体" w:hAnsi="宋体" w:eastAsia="宋体" w:cs="宋体"/>
          <w:color w:val="000000" w:themeColor="text1"/>
          <w:sz w:val="24"/>
          <w:szCs w:val="24"/>
          <w14:textFill>
            <w14:solidFill>
              <w14:schemeClr w14:val="tx1"/>
            </w14:solidFill>
          </w14:textFill>
        </w:rPr>
        <w:t>为本公司的合法代理人，就此次</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color w:val="000000" w:themeColor="text1"/>
          <w:sz w:val="24"/>
          <w:szCs w:val="24"/>
          <w14:textFill>
            <w14:solidFill>
              <w14:schemeClr w14:val="tx1"/>
            </w14:solidFill>
          </w14:textFill>
        </w:rPr>
        <w:t>项目，招标编号为</w:t>
      </w:r>
      <w:r>
        <w:rPr>
          <w:rFonts w:hint="eastAsia" w:ascii="宋体" w:hAnsi="宋体" w:eastAsia="宋体" w:cs="宋体"/>
          <w:color w:val="000000" w:themeColor="text1"/>
          <w:sz w:val="24"/>
          <w:szCs w:val="24"/>
          <w:u w:val="single"/>
          <w14:textFill>
            <w14:solidFill>
              <w14:schemeClr w14:val="tx1"/>
            </w14:solidFill>
          </w14:textFill>
        </w:rPr>
        <w:t xml:space="preserve">  项目编号 </w:t>
      </w:r>
      <w:r>
        <w:rPr>
          <w:rFonts w:hint="eastAsia" w:ascii="宋体" w:hAnsi="宋体" w:eastAsia="宋体" w:cs="宋体"/>
          <w:color w:val="000000" w:themeColor="text1"/>
          <w:sz w:val="24"/>
          <w:szCs w:val="24"/>
          <w14:textFill>
            <w14:solidFill>
              <w14:schemeClr w14:val="tx1"/>
            </w14:solidFill>
          </w14:textFill>
        </w:rPr>
        <w:t>的投标及合同的执行、完成和保修，以本公司名义处理一切与之有关的事务。</w:t>
      </w:r>
    </w:p>
    <w:p>
      <w:pPr>
        <w:adjustRightInd w:val="0"/>
        <w:spacing w:line="500" w:lineRule="exact"/>
        <w:ind w:firstLine="420" w:firstLineChars="17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本授权书于</w:t>
      </w:r>
      <w:r>
        <w:rPr>
          <w:rFonts w:hint="eastAsia" w:ascii="宋体" w:hAnsi="宋体" w:eastAsia="宋体" w:cs="宋体"/>
          <w:color w:val="000000" w:themeColor="text1"/>
          <w:sz w:val="24"/>
          <w:szCs w:val="24"/>
          <w:u w:val="single"/>
          <w14:textFill>
            <w14:solidFill>
              <w14:schemeClr w14:val="tx1"/>
            </w14:solidFill>
          </w14:textFill>
        </w:rPr>
        <w:t xml:space="preserve">  年  月  日</w:t>
      </w:r>
      <w:r>
        <w:rPr>
          <w:rFonts w:hint="eastAsia" w:ascii="宋体" w:hAnsi="宋体" w:eastAsia="宋体" w:cs="宋体"/>
          <w:color w:val="000000" w:themeColor="text1"/>
          <w:sz w:val="24"/>
          <w:szCs w:val="24"/>
          <w14:textFill>
            <w14:solidFill>
              <w14:schemeClr w14:val="tx1"/>
            </w14:solidFill>
          </w14:textFill>
        </w:rPr>
        <w:t>签字生效，特此声明。</w:t>
      </w:r>
    </w:p>
    <w:p>
      <w:pPr>
        <w:adjustRightInd w:val="0"/>
        <w:spacing w:line="50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法人签字或盖章：</w:t>
      </w:r>
    </w:p>
    <w:p>
      <w:pPr>
        <w:adjustRightInd w:val="0"/>
        <w:spacing w:line="50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代理（被授权人）签字或盖章：</w:t>
      </w:r>
    </w:p>
    <w:p>
      <w:pPr>
        <w:adjustRightInd w:val="0"/>
        <w:spacing w:line="50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见证人签字或盖章：</w:t>
      </w:r>
    </w:p>
    <w:p>
      <w:pPr>
        <w:adjustRightInd w:val="0"/>
        <w:spacing w:line="50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职务：</w:t>
      </w:r>
    </w:p>
    <w:p>
      <w:pPr>
        <w:adjustRightInd w:val="0"/>
        <w:spacing w:line="50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p>
    <w:p>
      <w:pPr>
        <w:spacing w:line="50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授权日期：20</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pPr>
        <w:spacing w:line="500" w:lineRule="exact"/>
        <w:ind w:firstLine="6360" w:firstLineChars="26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p>
      <w:pPr>
        <w:spacing w:line="500" w:lineRule="exact"/>
        <w:ind w:firstLine="5880" w:firstLineChars="24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spacing w:line="500" w:lineRule="exact"/>
        <w:ind w:firstLine="5880" w:firstLineChars="2450"/>
        <w:rPr>
          <w:rFonts w:hint="eastAsia" w:ascii="宋体" w:hAnsi="宋体" w:eastAsia="宋体" w:cs="宋体"/>
          <w:color w:val="000000" w:themeColor="text1"/>
          <w:sz w:val="24"/>
          <w:szCs w:val="24"/>
          <w14:textFill>
            <w14:solidFill>
              <w14:schemeClr w14:val="tx1"/>
            </w14:solidFill>
          </w14:textFill>
        </w:rPr>
      </w:pPr>
    </w:p>
    <w:p>
      <w:pPr>
        <w:spacing w:line="500" w:lineRule="exact"/>
        <w:ind w:firstLine="482" w:firstLineChars="200"/>
        <w:rPr>
          <w:rFonts w:hint="eastAsia" w:ascii="宋体" w:hAnsi="宋体" w:eastAsia="宋体" w:cs="宋体"/>
          <w:b/>
          <w:color w:val="000000" w:themeColor="text1"/>
          <w:sz w:val="24"/>
          <w:szCs w:val="24"/>
          <w:em w:val="dot"/>
          <w14:textFill>
            <w14:solidFill>
              <w14:schemeClr w14:val="tx1"/>
            </w14:solidFill>
          </w14:textFill>
        </w:rPr>
      </w:pPr>
      <w:r>
        <w:rPr>
          <w:rFonts w:hint="eastAsia" w:ascii="宋体" w:hAnsi="宋体" w:eastAsia="宋体" w:cs="宋体"/>
          <w:b/>
          <w:color w:val="000000" w:themeColor="text1"/>
          <w:sz w:val="24"/>
          <w:szCs w:val="24"/>
          <w:em w:val="dot"/>
          <w14:textFill>
            <w14:solidFill>
              <w14:schemeClr w14:val="tx1"/>
            </w14:solidFill>
          </w14:textFill>
        </w:rPr>
        <w:t>注：参加开标会议的投标人的法定代表人或其委托代理人应携带本人身份证（原件并附复印件），委托代理人还应携带《法人代表授权委托书》，以证明其身份。</w:t>
      </w:r>
    </w:p>
    <w:p>
      <w:pPr>
        <w:spacing w:line="500" w:lineRule="exact"/>
        <w:rPr>
          <w:rFonts w:hint="eastAsia" w:ascii="宋体" w:hAnsi="宋体" w:eastAsia="宋体" w:cs="宋体"/>
          <w:b/>
          <w:color w:val="000000" w:themeColor="text1"/>
          <w:sz w:val="24"/>
          <w:szCs w:val="24"/>
          <w:em w:val="dot"/>
          <w14:textFill>
            <w14:solidFill>
              <w14:schemeClr w14:val="tx1"/>
            </w14:solidFill>
          </w14:textFill>
        </w:rPr>
      </w:pPr>
    </w:p>
    <w:p>
      <w:pPr>
        <w:spacing w:line="440" w:lineRule="exact"/>
        <w:rPr>
          <w:rFonts w:hint="eastAsia" w:ascii="宋体" w:hAnsi="宋体" w:eastAsia="宋体" w:cs="宋体"/>
          <w:b/>
          <w:color w:val="000000" w:themeColor="text1"/>
          <w:sz w:val="24"/>
          <w:em w:val="dot"/>
          <w14:textFill>
            <w14:solidFill>
              <w14:schemeClr w14:val="tx1"/>
            </w14:solidFill>
          </w14:textFill>
        </w:rPr>
      </w:pPr>
      <w:r>
        <w:rPr>
          <w:rFonts w:hint="eastAsia" w:ascii="宋体" w:hAnsi="宋体" w:eastAsia="宋体" w:cs="宋体"/>
          <w:b/>
          <w:color w:val="000000" w:themeColor="text1"/>
          <w:sz w:val="30"/>
          <w:szCs w:val="30"/>
          <w:lang w:val="en-US"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121285</wp:posOffset>
                </wp:positionV>
                <wp:extent cx="2857500" cy="1584960"/>
                <wp:effectExtent l="4445" t="5080" r="14605" b="10160"/>
                <wp:wrapNone/>
                <wp:docPr id="13" name="Text Box 61"/>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wps:txbx>
                      <wps:bodyPr rot="0" vert="horz" wrap="square" lIns="91440" tIns="45720" rIns="91440" bIns="45720" anchor="t" anchorCtr="0" upright="1">
                        <a:noAutofit/>
                      </wps:bodyPr>
                    </wps:wsp>
                  </a:graphicData>
                </a:graphic>
              </wp:anchor>
            </w:drawing>
          </mc:Choice>
          <mc:Fallback>
            <w:pict>
              <v:shape id="Text Box 61" o:spid="_x0000_s1026" o:spt="202" type="#_x0000_t202" style="position:absolute;left:0pt;margin-left:252pt;margin-top:9.55pt;height:124.8pt;width:225pt;z-index:251663360;mso-width-relative:page;mso-height-relative:page;" fillcolor="#FFFFFF" filled="t" stroked="t" coordsize="21600,21600" o:gfxdata="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V9wjk2AAAAAoBAAAPAAAAAAAAAAEA&#10;IAAAACIAAABkcnMvZG93bnJldi54bWxQSwECFAAUAAAACACHTuJARcuJkUgCAACxBAAADgAAAAAA&#10;AAABACAAAAAnAQAAZHJzL2Uyb0RvYy54bWxQSwUGAAAAAAYABgBZAQAA4QUAAAAA&#10;">
                <v:fill on="t" focussize="0,0"/>
                <v:stroke color="#000000" miterlimit="8"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委托代理人身份证复印件正反面</w:t>
                      </w:r>
                    </w:p>
                    <w:p/>
                  </w:txbxContent>
                </v:textbox>
              </v:shape>
            </w:pict>
          </mc:Fallback>
        </mc:AlternateContent>
      </w:r>
      <w:r>
        <w:rPr>
          <w:rFonts w:hint="eastAsia" w:ascii="宋体" w:hAnsi="宋体" w:eastAsia="宋体" w:cs="宋体"/>
          <w:b/>
          <w:color w:val="000000" w:themeColor="text1"/>
          <w:sz w:val="24"/>
          <w:lang w:val="en-US"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121285</wp:posOffset>
                </wp:positionV>
                <wp:extent cx="2857500" cy="1584960"/>
                <wp:effectExtent l="4445" t="5080" r="14605" b="10160"/>
                <wp:wrapNone/>
                <wp:docPr id="12" name="Text Box 60"/>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wps:txbx>
                      <wps:bodyPr rot="0" vert="horz" wrap="square" lIns="91440" tIns="45720" rIns="91440" bIns="45720" anchor="t" anchorCtr="0" upright="1">
                        <a:noAutofit/>
                      </wps:bodyPr>
                    </wps:wsp>
                  </a:graphicData>
                </a:graphic>
              </wp:anchor>
            </w:drawing>
          </mc:Choice>
          <mc:Fallback>
            <w:pict>
              <v:shape id="Text Box 60" o:spid="_x0000_s1026" o:spt="202" type="#_x0000_t202" style="position:absolute;left:0pt;margin-left:9pt;margin-top:9.55pt;height:124.8pt;width:225pt;z-index:251662336;mso-width-relative:page;mso-height-relative:page;" fillcolor="#FFFFFF" filled="t" stroked="t" coordsize="21600,21600" o:gfxdata="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1PdT+9cAAAAJAQAADwAAAAAAAAABACAAAAAi&#10;AAAAZHJzL2Rvd25yZXYueG1sUEsBAhQAFAAAAAgAh07iQMjC/WVEAgAAsQQAAA4AAAAAAAAAAQAg&#10;AAAAJgEAAGRycy9lMm9Eb2MueG1sUEsFBgAAAAAGAAYAWQEAANwFA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_GB2312" w:hAnsi="仿宋" w:eastAsia="仿宋_GB2312"/>
                          <w:b/>
                          <w:sz w:val="24"/>
                        </w:rPr>
                      </w:pPr>
                      <w:r>
                        <w:rPr>
                          <w:rFonts w:hint="eastAsia" w:ascii="仿宋_GB2312" w:hAnsi="仿宋" w:eastAsia="仿宋_GB2312"/>
                          <w:b/>
                          <w:sz w:val="24"/>
                        </w:rPr>
                        <w:t>法定代表人身份证复印件正反面</w:t>
                      </w:r>
                    </w:p>
                  </w:txbxContent>
                </v:textbox>
              </v:shape>
            </w:pict>
          </mc:Fallback>
        </mc:AlternateContent>
      </w: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440" w:lineRule="exact"/>
        <w:jc w:val="center"/>
        <w:rPr>
          <w:rFonts w:hint="eastAsia" w:ascii="宋体" w:hAnsi="宋体" w:eastAsia="宋体" w:cs="宋体"/>
          <w:b/>
          <w:color w:val="000000" w:themeColor="text1"/>
          <w:sz w:val="30"/>
          <w:szCs w:val="30"/>
          <w14:textFill>
            <w14:solidFill>
              <w14:schemeClr w14:val="tx1"/>
            </w14:solidFill>
          </w14:textFill>
        </w:rPr>
      </w:pPr>
    </w:p>
    <w:p>
      <w:pPr>
        <w:spacing w:line="220" w:lineRule="auto"/>
        <w:rPr>
          <w:rFonts w:hint="eastAsia" w:ascii="宋体" w:hAnsi="宋体" w:eastAsia="宋体" w:cs="宋体"/>
          <w:color w:val="000000" w:themeColor="text1"/>
          <w14:textFill>
            <w14:solidFill>
              <w14:schemeClr w14:val="tx1"/>
            </w14:solidFill>
          </w14:textFill>
        </w:rPr>
        <w:sectPr>
          <w:pgSz w:w="11910" w:h="16850"/>
          <w:pgMar w:top="1440" w:right="1080" w:bottom="1440" w:left="1080" w:header="877" w:footer="1068" w:gutter="0"/>
          <w:pgNumType w:fmt="decimal"/>
          <w:cols w:space="720" w:num="1"/>
          <w:docGrid w:linePitch="299" w:charSpace="0"/>
        </w:sectPr>
      </w:pPr>
    </w:p>
    <w:p>
      <w:pPr>
        <w:pStyle w:val="6"/>
        <w:numPr>
          <w:ilvl w:val="1"/>
          <w:numId w:val="0"/>
        </w:numPr>
        <w:spacing w:line="500" w:lineRule="exact"/>
        <w:ind w:firstLine="1265" w:firstLineChars="450"/>
        <w:rPr>
          <w:rFonts w:hint="eastAsia" w:ascii="宋体" w:hAnsi="宋体" w:eastAsia="宋体" w:cs="宋体"/>
          <w:b/>
          <w:bCs w:val="0"/>
          <w:color w:val="000000" w:themeColor="text1"/>
          <w:szCs w:val="30"/>
          <w14:textFill>
            <w14:solidFill>
              <w14:schemeClr w14:val="tx1"/>
            </w14:solidFill>
          </w14:textFill>
        </w:rPr>
      </w:pPr>
      <w:bookmarkStart w:id="105" w:name="二．投标保证金退还声明"/>
      <w:bookmarkEnd w:id="105"/>
      <w:bookmarkStart w:id="106" w:name="_bookmark14"/>
      <w:bookmarkEnd w:id="106"/>
      <w:r>
        <w:rPr>
          <w:rFonts w:hint="eastAsia" w:ascii="宋体" w:hAnsi="宋体" w:eastAsia="宋体" w:cs="宋体"/>
          <w:b/>
          <w:bCs w:val="0"/>
          <w:color w:val="000000" w:themeColor="text1"/>
          <w:szCs w:val="30"/>
          <w14:textFill>
            <w14:solidFill>
              <w14:schemeClr w14:val="tx1"/>
            </w14:solidFill>
          </w14:textFill>
        </w:rPr>
        <w:t>法定代表人证明书、法人授权委托证明书</w:t>
      </w:r>
    </w:p>
    <w:p>
      <w:pPr>
        <w:spacing w:line="500" w:lineRule="exact"/>
        <w:rPr>
          <w:rFonts w:hint="eastAsia" w:ascii="宋体" w:hAnsi="宋体" w:eastAsia="宋体" w:cs="宋体"/>
          <w:color w:val="000000" w:themeColor="text1"/>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法定代表人证明书和法人授权委托证明书按下列格式填写。如由法定代表人报价并签署报价文件，需提供法定代表人证明书，否则需提供法定代表人证明书和法人授权委托证明书。</w:t>
      </w:r>
    </w:p>
    <w:p>
      <w:pPr>
        <w:spacing w:line="500" w:lineRule="exact"/>
        <w:rPr>
          <w:rFonts w:hint="eastAsia" w:ascii="宋体" w:hAnsi="宋体" w:eastAsia="宋体" w:cs="宋体"/>
          <w:color w:val="000000" w:themeColor="text1"/>
          <w:szCs w:val="21"/>
          <w14:textFill>
            <w14:solidFill>
              <w14:schemeClr w14:val="tx1"/>
            </w14:solidFill>
          </w14:textFill>
        </w:rPr>
      </w:pPr>
    </w:p>
    <w:p>
      <w:pPr>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法定代表人证明书</w:t>
      </w: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姓名：性别：年龄：职务：身份证号码：系服务商名称的法定代表人/负责人。为　　　项目名称（项目编号：　　包组号：　　　）项目签署报价文件、进行合同洽谈、签署合同和处理与之有关的一切事务。</w:t>
      </w: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特此证明。</w:t>
      </w: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法人身份证复印件</w:t>
      </w:r>
    </w:p>
    <w:p>
      <w:pPr>
        <w:pStyle w:val="17"/>
        <w:rPr>
          <w:rFonts w:hint="eastAsia"/>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投标企业名称：（盖公章）</w:t>
      </w: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pPr>
        <w:spacing w:line="235" w:lineRule="auto"/>
        <w:jc w:val="both"/>
        <w:rPr>
          <w:rFonts w:hint="eastAsia" w:ascii="宋体" w:hAnsi="宋体" w:eastAsia="宋体" w:cs="宋体"/>
          <w:color w:val="000000" w:themeColor="text1"/>
          <w14:textFill>
            <w14:solidFill>
              <w14:schemeClr w14:val="tx1"/>
            </w14:solidFill>
          </w14:textFill>
        </w:rPr>
        <w:sectPr>
          <w:pgSz w:w="11910" w:h="16850"/>
          <w:pgMar w:top="1440" w:right="1080" w:bottom="1440" w:left="1080" w:header="877" w:footer="1068" w:gutter="0"/>
          <w:pgNumType w:fmt="decimal"/>
          <w:cols w:space="720" w:num="1"/>
          <w:docGrid w:linePitch="299" w:charSpace="0"/>
        </w:sectPr>
      </w:pPr>
    </w:p>
    <w:p>
      <w:pPr>
        <w:pStyle w:val="3"/>
        <w:ind w:left="0"/>
        <w:rPr>
          <w:rFonts w:hint="eastAsia" w:ascii="宋体" w:hAnsi="宋体" w:eastAsia="宋体" w:cs="宋体"/>
          <w:color w:val="000000" w:themeColor="text1"/>
          <w:sz w:val="20"/>
          <w14:textFill>
            <w14:solidFill>
              <w14:schemeClr w14:val="tx1"/>
            </w14:solidFill>
          </w14:textFill>
        </w:rPr>
      </w:pPr>
    </w:p>
    <w:p>
      <w:pPr>
        <w:pStyle w:val="3"/>
        <w:spacing w:before="12"/>
        <w:ind w:left="0"/>
        <w:rPr>
          <w:rFonts w:hint="eastAsia" w:ascii="宋体" w:hAnsi="宋体" w:eastAsia="宋体" w:cs="宋体"/>
          <w:color w:val="000000" w:themeColor="text1"/>
          <w:sz w:val="15"/>
          <w14:textFill>
            <w14:solidFill>
              <w14:schemeClr w14:val="tx1"/>
            </w14:solidFill>
          </w14:textFill>
        </w:rPr>
      </w:pPr>
    </w:p>
    <w:p>
      <w:pPr>
        <w:spacing w:line="500" w:lineRule="exact"/>
        <w:jc w:val="center"/>
        <w:outlineLvl w:val="0"/>
        <w:rPr>
          <w:rFonts w:hint="eastAsia" w:ascii="宋体" w:hAnsi="宋体" w:eastAsia="宋体" w:cs="宋体"/>
          <w:b/>
          <w:bCs/>
          <w:color w:val="000000" w:themeColor="text1"/>
          <w:sz w:val="28"/>
          <w:szCs w:val="28"/>
          <w14:textFill>
            <w14:solidFill>
              <w14:schemeClr w14:val="tx1"/>
            </w14:solidFill>
          </w14:textFill>
        </w:rPr>
      </w:pPr>
      <w:bookmarkStart w:id="107" w:name="_bookmark15"/>
      <w:bookmarkEnd w:id="107"/>
      <w:bookmarkStart w:id="108" w:name="三．投标供应商综合情况简介"/>
      <w:bookmarkEnd w:id="108"/>
      <w:bookmarkStart w:id="109" w:name="_Toc4018"/>
      <w:r>
        <w:rPr>
          <w:rFonts w:hint="eastAsia" w:ascii="宋体" w:hAnsi="宋体" w:eastAsia="宋体" w:cs="宋体"/>
          <w:b/>
          <w:color w:val="000000" w:themeColor="text1"/>
          <w:sz w:val="28"/>
          <w:szCs w:val="28"/>
          <w14:textFill>
            <w14:solidFill>
              <w14:schemeClr w14:val="tx1"/>
            </w14:solidFill>
          </w14:textFill>
        </w:rPr>
        <w:t xml:space="preserve">附件四   </w:t>
      </w:r>
      <w:r>
        <w:rPr>
          <w:rFonts w:hint="eastAsia" w:ascii="宋体" w:hAnsi="宋体" w:eastAsia="宋体" w:cs="宋体"/>
          <w:b/>
          <w:bCs/>
          <w:color w:val="000000" w:themeColor="text1"/>
          <w:sz w:val="28"/>
          <w:szCs w:val="28"/>
          <w14:textFill>
            <w14:solidFill>
              <w14:schemeClr w14:val="tx1"/>
            </w14:solidFill>
          </w14:textFill>
        </w:rPr>
        <w:t>招标响应报价表</w:t>
      </w:r>
      <w:bookmarkEnd w:id="109"/>
    </w:p>
    <w:p>
      <w:pPr>
        <w:spacing w:line="500" w:lineRule="exact"/>
        <w:ind w:firstLine="2846" w:firstLineChars="945"/>
        <w:rPr>
          <w:rFonts w:hint="eastAsia" w:ascii="宋体" w:hAnsi="宋体" w:eastAsia="宋体" w:cs="宋体"/>
          <w:b/>
          <w:bCs/>
          <w:color w:val="000000" w:themeColor="text1"/>
          <w:sz w:val="30"/>
          <w:szCs w:val="30"/>
          <w14:textFill>
            <w14:solidFill>
              <w14:schemeClr w14:val="tx1"/>
            </w14:solidFill>
          </w14:textFill>
        </w:rPr>
      </w:pPr>
    </w:p>
    <w:p>
      <w:pPr>
        <w:spacing w:line="5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              招标文件编号：</w:t>
      </w:r>
    </w:p>
    <w:p>
      <w:pPr>
        <w:spacing w:line="500" w:lineRule="exact"/>
        <w:rPr>
          <w:rFonts w:hint="eastAsia" w:ascii="宋体" w:hAnsi="宋体" w:eastAsia="宋体" w:cs="宋体"/>
          <w:color w:val="000000" w:themeColor="text1"/>
          <w:sz w:val="24"/>
          <w:u w:val="single"/>
          <w14:textFill>
            <w14:solidFill>
              <w14:schemeClr w14:val="tx1"/>
            </w14:solidFill>
          </w14:textFill>
        </w:rPr>
      </w:pPr>
    </w:p>
    <w:tbl>
      <w:tblPr>
        <w:tblStyle w:val="18"/>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15" w:type="dxa"/>
          </w:tcPr>
          <w:p>
            <w:pPr>
              <w:pStyle w:val="34"/>
              <w:spacing w:line="5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投标人名称</w:t>
            </w:r>
          </w:p>
        </w:tc>
        <w:tc>
          <w:tcPr>
            <w:tcW w:w="8064" w:type="dxa"/>
          </w:tcPr>
          <w:p>
            <w:pPr>
              <w:pStyle w:val="34"/>
              <w:spacing w:line="500" w:lineRule="exact"/>
              <w:jc w:val="both"/>
              <w:rPr>
                <w:rFonts w:hint="eastAsia" w:ascii="宋体" w:hAnsi="宋体" w:eastAsia="宋体" w:cs="宋体"/>
                <w:color w:val="000000" w:themeColor="text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15" w:type="dxa"/>
            <w:vMerge w:val="restart"/>
          </w:tcPr>
          <w:p>
            <w:pPr>
              <w:pStyle w:val="34"/>
              <w:spacing w:line="500" w:lineRule="exact"/>
              <w:ind w:firstLine="240" w:firstLineChars="1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投标报价</w:t>
            </w:r>
          </w:p>
        </w:tc>
        <w:tc>
          <w:tcPr>
            <w:tcW w:w="8064" w:type="dxa"/>
          </w:tcPr>
          <w:p>
            <w:pPr>
              <w:pStyle w:val="34"/>
              <w:spacing w:line="5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15" w:type="dxa"/>
            <w:vMerge w:val="continue"/>
          </w:tcPr>
          <w:p>
            <w:pPr>
              <w:pStyle w:val="34"/>
              <w:spacing w:line="500" w:lineRule="exact"/>
              <w:jc w:val="both"/>
              <w:rPr>
                <w:rFonts w:hint="eastAsia" w:ascii="宋体" w:hAnsi="宋体" w:eastAsia="宋体" w:cs="宋体"/>
                <w:color w:val="000000" w:themeColor="text1"/>
                <w14:textFill>
                  <w14:solidFill>
                    <w14:schemeClr w14:val="tx1"/>
                  </w14:solidFill>
                </w14:textFill>
              </w:rPr>
            </w:pPr>
          </w:p>
        </w:tc>
        <w:tc>
          <w:tcPr>
            <w:tcW w:w="8064" w:type="dxa"/>
          </w:tcPr>
          <w:p>
            <w:pPr>
              <w:pStyle w:val="34"/>
              <w:spacing w:line="500" w:lineRule="exac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15" w:type="dxa"/>
          </w:tcPr>
          <w:p>
            <w:pPr>
              <w:pStyle w:val="34"/>
              <w:spacing w:line="500" w:lineRule="exact"/>
              <w:ind w:firstLine="120" w:firstLineChars="5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服务期限</w:t>
            </w:r>
          </w:p>
        </w:tc>
        <w:tc>
          <w:tcPr>
            <w:tcW w:w="8064" w:type="dxa"/>
          </w:tcPr>
          <w:p>
            <w:pPr>
              <w:pStyle w:val="34"/>
              <w:spacing w:line="500" w:lineRule="exact"/>
              <w:jc w:val="both"/>
              <w:rPr>
                <w:rFonts w:hint="eastAsia" w:ascii="宋体" w:hAnsi="宋体" w:eastAsia="宋体" w:cs="宋体"/>
                <w:color w:val="000000" w:themeColor="text1"/>
                <w14:textFill>
                  <w14:solidFill>
                    <w14:schemeClr w14:val="tx1"/>
                  </w14:solidFill>
                </w14:textFill>
              </w:rPr>
            </w:pPr>
          </w:p>
        </w:tc>
      </w:tr>
    </w:tbl>
    <w:p>
      <w:pPr>
        <w:pStyle w:val="34"/>
        <w:spacing w:line="5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兹声明：以上投标报价在投标有效期内一直有效。</w:t>
      </w:r>
    </w:p>
    <w:p>
      <w:pPr>
        <w:spacing w:line="50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投标人名称（公章）：</w:t>
      </w:r>
    </w:p>
    <w:p>
      <w:pPr>
        <w:pStyle w:val="35"/>
        <w:keepNext w:val="0"/>
        <w:keepLines w:val="0"/>
        <w:adjustRightInd/>
        <w:spacing w:before="0" w:line="500" w:lineRule="exact"/>
        <w:textAlignment w:val="auto"/>
        <w:outlineLvl w:val="9"/>
        <w:rPr>
          <w:rFonts w:hint="eastAsia" w:ascii="宋体" w:hAnsi="宋体" w:eastAsia="宋体" w:cs="宋体"/>
          <w:b w:val="0"/>
          <w:color w:val="000000" w:themeColor="text1"/>
          <w:kern w:val="2"/>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法人签字：</w:t>
      </w:r>
    </w:p>
    <w:p>
      <w:pPr>
        <w:pStyle w:val="35"/>
        <w:keepNext w:val="0"/>
        <w:keepLines w:val="0"/>
        <w:adjustRightInd/>
        <w:spacing w:before="0" w:line="500" w:lineRule="exact"/>
        <w:textAlignment w:val="auto"/>
        <w:outlineLvl w:val="9"/>
        <w:rPr>
          <w:rFonts w:hint="eastAsia" w:ascii="宋体" w:hAnsi="宋体" w:eastAsia="宋体" w:cs="宋体"/>
          <w:b w:val="0"/>
          <w:color w:val="000000" w:themeColor="text1"/>
          <w:kern w:val="2"/>
          <w:sz w:val="24"/>
          <w14:textFill>
            <w14:solidFill>
              <w14:schemeClr w14:val="tx1"/>
            </w14:solidFill>
          </w14:textFill>
        </w:rPr>
      </w:pPr>
      <w:r>
        <w:rPr>
          <w:rFonts w:hint="eastAsia" w:ascii="宋体" w:hAnsi="宋体" w:eastAsia="宋体" w:cs="宋体"/>
          <w:b w:val="0"/>
          <w:color w:val="000000" w:themeColor="text1"/>
          <w:spacing w:val="36"/>
          <w:kern w:val="2"/>
          <w:sz w:val="24"/>
          <w14:textFill>
            <w14:solidFill>
              <w14:schemeClr w14:val="tx1"/>
            </w14:solidFill>
          </w14:textFill>
        </w:rPr>
        <w:t>日期</w:t>
      </w:r>
      <w:r>
        <w:rPr>
          <w:rFonts w:hint="eastAsia" w:ascii="宋体" w:hAnsi="宋体" w:eastAsia="宋体" w:cs="宋体"/>
          <w:b w:val="0"/>
          <w:color w:val="000000" w:themeColor="text1"/>
          <w:kern w:val="2"/>
          <w:sz w:val="24"/>
          <w14:textFill>
            <w14:solidFill>
              <w14:schemeClr w14:val="tx1"/>
            </w14:solidFill>
          </w14:textFill>
        </w:rPr>
        <w:t>：</w:t>
      </w:r>
      <w:r>
        <w:rPr>
          <w:rFonts w:hint="eastAsia" w:cs="宋体"/>
          <w:b w:val="0"/>
          <w:color w:val="000000" w:themeColor="text1"/>
          <w:kern w:val="2"/>
          <w:sz w:val="24"/>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14:textFill>
            <w14:solidFill>
              <w14:schemeClr w14:val="tx1"/>
            </w14:solidFill>
          </w14:textFill>
        </w:rPr>
        <w:t>年</w:t>
      </w:r>
      <w:r>
        <w:rPr>
          <w:rFonts w:hint="eastAsia" w:cs="宋体"/>
          <w:b w:val="0"/>
          <w:color w:val="000000" w:themeColor="text1"/>
          <w:kern w:val="2"/>
          <w:sz w:val="24"/>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14:textFill>
            <w14:solidFill>
              <w14:schemeClr w14:val="tx1"/>
            </w14:solidFill>
          </w14:textFill>
        </w:rPr>
        <w:t>月</w:t>
      </w:r>
      <w:r>
        <w:rPr>
          <w:rFonts w:hint="eastAsia" w:cs="宋体"/>
          <w:b w:val="0"/>
          <w:color w:val="000000" w:themeColor="text1"/>
          <w:kern w:val="2"/>
          <w:sz w:val="24"/>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14:textFill>
            <w14:solidFill>
              <w14:schemeClr w14:val="tx1"/>
            </w14:solidFill>
          </w14:textFill>
        </w:rPr>
        <w:t>日</w:t>
      </w: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注：1、此表需密封后单独提交。</w:t>
      </w: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spacing w:line="500" w:lineRule="exact"/>
        <w:jc w:val="center"/>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110" w:name="_Toc24965"/>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eastAsia="zh-CN"/>
          <w14:textFill>
            <w14:solidFill>
              <w14:schemeClr w14:val="tx1"/>
            </w14:solidFill>
          </w14:textFill>
        </w:rPr>
        <w:t>五</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报价表</w:t>
      </w:r>
      <w:r>
        <w:rPr>
          <w:rFonts w:hint="eastAsia" w:ascii="宋体" w:hAnsi="宋体" w:eastAsia="宋体" w:cs="宋体"/>
          <w:b/>
          <w:bCs/>
          <w:color w:val="000000" w:themeColor="text1"/>
          <w:sz w:val="28"/>
          <w:szCs w:val="28"/>
          <w:lang w:eastAsia="zh-CN"/>
          <w14:textFill>
            <w14:solidFill>
              <w14:schemeClr w14:val="tx1"/>
            </w14:solidFill>
          </w14:textFill>
        </w:rPr>
        <w:t>明细表</w:t>
      </w:r>
      <w:bookmarkEnd w:id="110"/>
    </w:p>
    <w:p>
      <w:pPr>
        <w:spacing w:line="500" w:lineRule="exact"/>
        <w:ind w:firstLine="2846" w:firstLineChars="945"/>
        <w:rPr>
          <w:rFonts w:hint="eastAsia" w:ascii="宋体" w:hAnsi="宋体" w:eastAsia="宋体" w:cs="宋体"/>
          <w:b/>
          <w:bCs/>
          <w:color w:val="000000" w:themeColor="text1"/>
          <w:sz w:val="30"/>
          <w:szCs w:val="30"/>
          <w14:textFill>
            <w14:solidFill>
              <w14:schemeClr w14:val="tx1"/>
            </w14:solidFill>
          </w14:textFill>
        </w:rPr>
      </w:pPr>
    </w:p>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              招标文件编号：</w:t>
      </w:r>
    </w:p>
    <w:tbl>
      <w:tblPr>
        <w:tblStyle w:val="1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721"/>
        <w:gridCol w:w="1544"/>
        <w:gridCol w:w="1929"/>
        <w:gridCol w:w="1675"/>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7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名称</w:t>
            </w:r>
          </w:p>
        </w:tc>
        <w:tc>
          <w:tcPr>
            <w:tcW w:w="154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92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单价</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（单位：元）</w:t>
            </w:r>
          </w:p>
        </w:tc>
        <w:tc>
          <w:tcPr>
            <w:tcW w:w="16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总价</w:t>
            </w:r>
          </w:p>
          <w:p>
            <w:pPr>
              <w:jc w:val="center"/>
              <w:rPr>
                <w:rFonts w:hint="eastAsia" w:ascii="宋体" w:hAnsi="宋体" w:eastAsia="宋体" w:cs="宋体"/>
                <w:sz w:val="24"/>
                <w:szCs w:val="24"/>
              </w:rPr>
            </w:pPr>
            <w:r>
              <w:rPr>
                <w:rFonts w:hint="eastAsia" w:ascii="宋体" w:hAnsi="宋体" w:eastAsia="宋体" w:cs="宋体"/>
                <w:sz w:val="24"/>
                <w:szCs w:val="24"/>
                <w:lang w:eastAsia="zh-CN"/>
              </w:rPr>
              <w:t>（单位：元）</w:t>
            </w:r>
          </w:p>
        </w:tc>
        <w:tc>
          <w:tcPr>
            <w:tcW w:w="891"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7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《哈密河流域历史文化研究》项目成果文件</w:t>
            </w:r>
          </w:p>
        </w:tc>
        <w:tc>
          <w:tcPr>
            <w:tcW w:w="1544"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29" w:type="dxa"/>
            <w:vAlign w:val="center"/>
          </w:tcPr>
          <w:p>
            <w:pPr>
              <w:jc w:val="center"/>
              <w:rPr>
                <w:rFonts w:hint="eastAsia" w:ascii="宋体" w:hAnsi="宋体" w:eastAsia="宋体" w:cs="宋体"/>
                <w:sz w:val="24"/>
                <w:szCs w:val="24"/>
              </w:rPr>
            </w:pPr>
          </w:p>
        </w:tc>
        <w:tc>
          <w:tcPr>
            <w:tcW w:w="1675" w:type="dxa"/>
            <w:vAlign w:val="center"/>
          </w:tcPr>
          <w:p>
            <w:pPr>
              <w:jc w:val="center"/>
              <w:rPr>
                <w:rFonts w:hint="eastAsia" w:ascii="宋体" w:hAnsi="宋体" w:eastAsia="宋体" w:cs="宋体"/>
                <w:sz w:val="24"/>
                <w:szCs w:val="24"/>
              </w:rPr>
            </w:pPr>
          </w:p>
        </w:tc>
        <w:tc>
          <w:tcPr>
            <w:tcW w:w="89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797"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721"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研究成果展览展示</w:t>
            </w:r>
          </w:p>
        </w:tc>
        <w:tc>
          <w:tcPr>
            <w:tcW w:w="154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29" w:type="dxa"/>
            <w:vAlign w:val="center"/>
          </w:tcPr>
          <w:p>
            <w:pPr>
              <w:jc w:val="center"/>
              <w:rPr>
                <w:rFonts w:hint="eastAsia" w:ascii="宋体" w:hAnsi="宋体" w:eastAsia="宋体" w:cs="宋体"/>
                <w:sz w:val="24"/>
                <w:szCs w:val="24"/>
              </w:rPr>
            </w:pPr>
          </w:p>
        </w:tc>
        <w:tc>
          <w:tcPr>
            <w:tcW w:w="1675" w:type="dxa"/>
            <w:vAlign w:val="center"/>
          </w:tcPr>
          <w:p>
            <w:pPr>
              <w:jc w:val="center"/>
              <w:rPr>
                <w:rFonts w:hint="eastAsia" w:ascii="宋体" w:hAnsi="宋体" w:eastAsia="宋体" w:cs="宋体"/>
                <w:sz w:val="24"/>
                <w:szCs w:val="24"/>
              </w:rPr>
            </w:pPr>
          </w:p>
        </w:tc>
        <w:tc>
          <w:tcPr>
            <w:tcW w:w="89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jc w:val="center"/>
        </w:trPr>
        <w:tc>
          <w:tcPr>
            <w:tcW w:w="797"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721"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哈密河流域和星星峡、大南湖、七角井区域等不可移动文物为重点的全市域文化遗产田野调查及普查</w:t>
            </w:r>
          </w:p>
        </w:tc>
        <w:tc>
          <w:tcPr>
            <w:tcW w:w="1544"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29" w:type="dxa"/>
            <w:vAlign w:val="center"/>
          </w:tcPr>
          <w:p>
            <w:pPr>
              <w:jc w:val="center"/>
              <w:rPr>
                <w:rFonts w:hint="eastAsia" w:ascii="宋体" w:hAnsi="宋体" w:eastAsia="宋体" w:cs="宋体"/>
                <w:sz w:val="24"/>
                <w:szCs w:val="24"/>
              </w:rPr>
            </w:pPr>
          </w:p>
        </w:tc>
        <w:tc>
          <w:tcPr>
            <w:tcW w:w="1675" w:type="dxa"/>
            <w:vAlign w:val="center"/>
          </w:tcPr>
          <w:p>
            <w:pPr>
              <w:jc w:val="center"/>
              <w:rPr>
                <w:rFonts w:hint="eastAsia" w:ascii="宋体" w:hAnsi="宋体" w:eastAsia="宋体" w:cs="宋体"/>
                <w:sz w:val="24"/>
                <w:szCs w:val="24"/>
              </w:rPr>
            </w:pPr>
          </w:p>
        </w:tc>
        <w:tc>
          <w:tcPr>
            <w:tcW w:w="89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7"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721" w:type="dxa"/>
            <w:vAlign w:val="center"/>
          </w:tcPr>
          <w:p>
            <w:pPr>
              <w:jc w:val="center"/>
              <w:rPr>
                <w:rFonts w:hint="eastAsia" w:ascii="宋体" w:hAnsi="宋体" w:eastAsia="宋体" w:cs="宋体"/>
                <w:sz w:val="24"/>
                <w:szCs w:val="24"/>
              </w:rPr>
            </w:pPr>
          </w:p>
        </w:tc>
        <w:tc>
          <w:tcPr>
            <w:tcW w:w="1544" w:type="dxa"/>
            <w:vAlign w:val="center"/>
          </w:tcPr>
          <w:p>
            <w:pPr>
              <w:jc w:val="center"/>
              <w:rPr>
                <w:rFonts w:hint="eastAsia" w:ascii="宋体" w:hAnsi="宋体" w:eastAsia="宋体" w:cs="宋体"/>
                <w:sz w:val="24"/>
                <w:szCs w:val="24"/>
              </w:rPr>
            </w:pPr>
          </w:p>
        </w:tc>
        <w:tc>
          <w:tcPr>
            <w:tcW w:w="1929" w:type="dxa"/>
            <w:vAlign w:val="center"/>
          </w:tcPr>
          <w:p>
            <w:pPr>
              <w:jc w:val="center"/>
              <w:rPr>
                <w:rFonts w:hint="eastAsia" w:ascii="宋体" w:hAnsi="宋体" w:eastAsia="宋体" w:cs="宋体"/>
                <w:sz w:val="24"/>
                <w:szCs w:val="24"/>
              </w:rPr>
            </w:pPr>
          </w:p>
        </w:tc>
        <w:tc>
          <w:tcPr>
            <w:tcW w:w="1675" w:type="dxa"/>
            <w:vAlign w:val="center"/>
          </w:tcPr>
          <w:p>
            <w:pPr>
              <w:jc w:val="center"/>
              <w:rPr>
                <w:rFonts w:hint="eastAsia" w:ascii="宋体" w:hAnsi="宋体" w:eastAsia="宋体" w:cs="宋体"/>
                <w:sz w:val="24"/>
                <w:szCs w:val="24"/>
              </w:rPr>
            </w:pPr>
          </w:p>
        </w:tc>
        <w:tc>
          <w:tcPr>
            <w:tcW w:w="89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7"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721" w:type="dxa"/>
            <w:vAlign w:val="center"/>
          </w:tcPr>
          <w:p>
            <w:pPr>
              <w:jc w:val="center"/>
              <w:rPr>
                <w:rFonts w:hint="eastAsia" w:ascii="宋体" w:hAnsi="宋体" w:eastAsia="宋体" w:cs="宋体"/>
                <w:sz w:val="24"/>
                <w:szCs w:val="24"/>
              </w:rPr>
            </w:pPr>
          </w:p>
        </w:tc>
        <w:tc>
          <w:tcPr>
            <w:tcW w:w="1544" w:type="dxa"/>
            <w:vAlign w:val="center"/>
          </w:tcPr>
          <w:p>
            <w:pPr>
              <w:jc w:val="center"/>
              <w:rPr>
                <w:rFonts w:hint="eastAsia" w:ascii="宋体" w:hAnsi="宋体" w:eastAsia="宋体" w:cs="宋体"/>
                <w:sz w:val="24"/>
                <w:szCs w:val="24"/>
              </w:rPr>
            </w:pPr>
          </w:p>
        </w:tc>
        <w:tc>
          <w:tcPr>
            <w:tcW w:w="1929" w:type="dxa"/>
            <w:vAlign w:val="center"/>
          </w:tcPr>
          <w:p>
            <w:pPr>
              <w:jc w:val="center"/>
              <w:rPr>
                <w:rFonts w:hint="eastAsia" w:ascii="宋体" w:hAnsi="宋体" w:eastAsia="宋体" w:cs="宋体"/>
                <w:sz w:val="24"/>
                <w:szCs w:val="24"/>
              </w:rPr>
            </w:pPr>
          </w:p>
        </w:tc>
        <w:tc>
          <w:tcPr>
            <w:tcW w:w="1675" w:type="dxa"/>
            <w:vAlign w:val="center"/>
          </w:tcPr>
          <w:p>
            <w:pPr>
              <w:jc w:val="center"/>
              <w:rPr>
                <w:rFonts w:hint="eastAsia" w:ascii="宋体" w:hAnsi="宋体" w:eastAsia="宋体" w:cs="宋体"/>
                <w:sz w:val="24"/>
                <w:szCs w:val="24"/>
              </w:rPr>
            </w:pPr>
          </w:p>
        </w:tc>
        <w:tc>
          <w:tcPr>
            <w:tcW w:w="89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7"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721" w:type="dxa"/>
            <w:vAlign w:val="center"/>
          </w:tcPr>
          <w:p>
            <w:pPr>
              <w:jc w:val="center"/>
              <w:rPr>
                <w:rFonts w:hint="eastAsia" w:ascii="宋体" w:hAnsi="宋体" w:eastAsia="宋体" w:cs="宋体"/>
                <w:sz w:val="24"/>
                <w:szCs w:val="24"/>
              </w:rPr>
            </w:pPr>
          </w:p>
        </w:tc>
        <w:tc>
          <w:tcPr>
            <w:tcW w:w="1544" w:type="dxa"/>
            <w:vAlign w:val="center"/>
          </w:tcPr>
          <w:p>
            <w:pPr>
              <w:jc w:val="center"/>
              <w:rPr>
                <w:rFonts w:hint="eastAsia" w:ascii="宋体" w:hAnsi="宋体" w:eastAsia="宋体" w:cs="宋体"/>
                <w:sz w:val="24"/>
                <w:szCs w:val="24"/>
              </w:rPr>
            </w:pPr>
          </w:p>
        </w:tc>
        <w:tc>
          <w:tcPr>
            <w:tcW w:w="1929" w:type="dxa"/>
            <w:vAlign w:val="center"/>
          </w:tcPr>
          <w:p>
            <w:pPr>
              <w:jc w:val="center"/>
              <w:rPr>
                <w:rFonts w:hint="eastAsia" w:ascii="宋体" w:hAnsi="宋体" w:eastAsia="宋体" w:cs="宋体"/>
                <w:sz w:val="24"/>
                <w:szCs w:val="24"/>
              </w:rPr>
            </w:pPr>
          </w:p>
        </w:tc>
        <w:tc>
          <w:tcPr>
            <w:tcW w:w="1675" w:type="dxa"/>
            <w:vAlign w:val="center"/>
          </w:tcPr>
          <w:p>
            <w:pPr>
              <w:jc w:val="center"/>
              <w:rPr>
                <w:rFonts w:hint="eastAsia" w:ascii="宋体" w:hAnsi="宋体" w:eastAsia="宋体" w:cs="宋体"/>
                <w:sz w:val="24"/>
                <w:szCs w:val="24"/>
              </w:rPr>
            </w:pPr>
          </w:p>
        </w:tc>
        <w:tc>
          <w:tcPr>
            <w:tcW w:w="891"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9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2721" w:type="dxa"/>
            <w:vAlign w:val="center"/>
          </w:tcPr>
          <w:p>
            <w:pPr>
              <w:jc w:val="center"/>
              <w:rPr>
                <w:rFonts w:hint="eastAsia" w:ascii="宋体" w:hAnsi="宋体" w:eastAsia="宋体" w:cs="宋体"/>
                <w:sz w:val="24"/>
                <w:szCs w:val="24"/>
              </w:rPr>
            </w:pPr>
          </w:p>
        </w:tc>
        <w:tc>
          <w:tcPr>
            <w:tcW w:w="1544" w:type="dxa"/>
            <w:vAlign w:val="center"/>
          </w:tcPr>
          <w:p>
            <w:pPr>
              <w:jc w:val="center"/>
              <w:rPr>
                <w:rFonts w:hint="eastAsia" w:ascii="宋体" w:hAnsi="宋体" w:eastAsia="宋体" w:cs="宋体"/>
                <w:sz w:val="24"/>
                <w:szCs w:val="24"/>
              </w:rPr>
            </w:pPr>
          </w:p>
        </w:tc>
        <w:tc>
          <w:tcPr>
            <w:tcW w:w="1929" w:type="dxa"/>
            <w:vAlign w:val="center"/>
          </w:tcPr>
          <w:p>
            <w:pPr>
              <w:jc w:val="center"/>
              <w:rPr>
                <w:rFonts w:hint="eastAsia" w:ascii="宋体" w:hAnsi="宋体" w:eastAsia="宋体" w:cs="宋体"/>
                <w:sz w:val="24"/>
                <w:szCs w:val="24"/>
              </w:rPr>
            </w:pPr>
          </w:p>
        </w:tc>
        <w:tc>
          <w:tcPr>
            <w:tcW w:w="1675" w:type="dxa"/>
            <w:vAlign w:val="center"/>
          </w:tcPr>
          <w:p>
            <w:pPr>
              <w:jc w:val="center"/>
              <w:rPr>
                <w:rFonts w:hint="eastAsia" w:ascii="宋体" w:hAnsi="宋体" w:eastAsia="宋体" w:cs="宋体"/>
                <w:sz w:val="24"/>
                <w:szCs w:val="24"/>
              </w:rPr>
            </w:pPr>
          </w:p>
        </w:tc>
        <w:tc>
          <w:tcPr>
            <w:tcW w:w="891" w:type="dxa"/>
            <w:vAlign w:val="center"/>
          </w:tcPr>
          <w:p>
            <w:pPr>
              <w:jc w:val="center"/>
              <w:rPr>
                <w:rFonts w:hint="eastAsia" w:ascii="宋体" w:hAnsi="宋体" w:eastAsia="宋体" w:cs="宋体"/>
                <w:sz w:val="24"/>
                <w:szCs w:val="24"/>
              </w:rPr>
            </w:pPr>
          </w:p>
        </w:tc>
      </w:tr>
    </w:tbl>
    <w:p>
      <w:pPr>
        <w:pStyle w:val="3"/>
        <w:rPr>
          <w:rFonts w:hint="eastAsia" w:ascii="宋体" w:hAnsi="宋体" w:eastAsia="宋体" w:cs="宋体"/>
          <w:sz w:val="24"/>
          <w:szCs w:val="24"/>
        </w:rPr>
      </w:pPr>
    </w:p>
    <w:p>
      <w:pPr>
        <w:spacing w:line="500" w:lineRule="exact"/>
        <w:rPr>
          <w:rFonts w:hint="eastAsia" w:ascii="宋体" w:hAnsi="宋体" w:eastAsia="宋体" w:cs="宋体"/>
          <w:color w:val="000000" w:themeColor="text1"/>
          <w:sz w:val="24"/>
          <w:u w:val="single"/>
          <w14:textFill>
            <w14:solidFill>
              <w14:schemeClr w14:val="tx1"/>
            </w14:solidFill>
          </w14:textFill>
        </w:rPr>
      </w:pPr>
    </w:p>
    <w:p>
      <w:pPr>
        <w:pStyle w:val="34"/>
        <w:spacing w:line="500" w:lineRule="exac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兹声明：以上投标报价在投标有效期内一直有效。</w:t>
      </w:r>
    </w:p>
    <w:p>
      <w:pPr>
        <w:spacing w:line="50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投标人名称（公章）：</w:t>
      </w:r>
    </w:p>
    <w:p>
      <w:pPr>
        <w:pStyle w:val="35"/>
        <w:keepNext w:val="0"/>
        <w:keepLines w:val="0"/>
        <w:adjustRightInd/>
        <w:spacing w:before="0" w:line="500" w:lineRule="exact"/>
        <w:textAlignment w:val="auto"/>
        <w:outlineLvl w:val="9"/>
        <w:rPr>
          <w:rFonts w:hint="eastAsia" w:ascii="宋体" w:hAnsi="宋体" w:eastAsia="宋体" w:cs="宋体"/>
          <w:b w:val="0"/>
          <w:color w:val="000000" w:themeColor="text1"/>
          <w:kern w:val="2"/>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法人签字：</w:t>
      </w:r>
    </w:p>
    <w:p>
      <w:pPr>
        <w:pStyle w:val="35"/>
        <w:keepNext w:val="0"/>
        <w:keepLines w:val="0"/>
        <w:adjustRightInd/>
        <w:spacing w:before="0" w:line="500" w:lineRule="exact"/>
        <w:textAlignment w:val="auto"/>
        <w:outlineLvl w:val="9"/>
        <w:rPr>
          <w:rFonts w:hint="eastAsia" w:ascii="宋体" w:hAnsi="宋体" w:eastAsia="宋体" w:cs="宋体"/>
          <w:b w:val="0"/>
          <w:color w:val="000000" w:themeColor="text1"/>
          <w:kern w:val="2"/>
          <w:sz w:val="24"/>
          <w14:textFill>
            <w14:solidFill>
              <w14:schemeClr w14:val="tx1"/>
            </w14:solidFill>
          </w14:textFill>
        </w:rPr>
      </w:pPr>
      <w:r>
        <w:rPr>
          <w:rFonts w:hint="eastAsia" w:ascii="宋体" w:hAnsi="宋体" w:eastAsia="宋体" w:cs="宋体"/>
          <w:b w:val="0"/>
          <w:color w:val="000000" w:themeColor="text1"/>
          <w:spacing w:val="36"/>
          <w:kern w:val="2"/>
          <w:sz w:val="24"/>
          <w14:textFill>
            <w14:solidFill>
              <w14:schemeClr w14:val="tx1"/>
            </w14:solidFill>
          </w14:textFill>
        </w:rPr>
        <w:t>日期</w:t>
      </w:r>
      <w:r>
        <w:rPr>
          <w:rFonts w:hint="eastAsia" w:ascii="宋体" w:hAnsi="宋体" w:eastAsia="宋体" w:cs="宋体"/>
          <w:b w:val="0"/>
          <w:color w:val="000000" w:themeColor="text1"/>
          <w:kern w:val="2"/>
          <w:sz w:val="24"/>
          <w14:textFill>
            <w14:solidFill>
              <w14:schemeClr w14:val="tx1"/>
            </w14:solidFill>
          </w14:textFill>
        </w:rPr>
        <w:t>：</w:t>
      </w:r>
      <w:r>
        <w:rPr>
          <w:rFonts w:hint="eastAsia" w:cs="宋体"/>
          <w:b w:val="0"/>
          <w:color w:val="000000" w:themeColor="text1"/>
          <w:kern w:val="2"/>
          <w:sz w:val="24"/>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14:textFill>
            <w14:solidFill>
              <w14:schemeClr w14:val="tx1"/>
            </w14:solidFill>
          </w14:textFill>
        </w:rPr>
        <w:t>年</w:t>
      </w:r>
      <w:r>
        <w:rPr>
          <w:rFonts w:hint="eastAsia" w:cs="宋体"/>
          <w:b w:val="0"/>
          <w:color w:val="000000" w:themeColor="text1"/>
          <w:kern w:val="2"/>
          <w:sz w:val="24"/>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14:textFill>
            <w14:solidFill>
              <w14:schemeClr w14:val="tx1"/>
            </w14:solidFill>
          </w14:textFill>
        </w:rPr>
        <w:t>月</w:t>
      </w:r>
      <w:r>
        <w:rPr>
          <w:rFonts w:hint="eastAsia" w:cs="宋体"/>
          <w:b w:val="0"/>
          <w:color w:val="000000" w:themeColor="text1"/>
          <w:kern w:val="2"/>
          <w:sz w:val="24"/>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14:textFill>
            <w14:solidFill>
              <w14:schemeClr w14:val="tx1"/>
            </w14:solidFill>
          </w14:textFill>
        </w:rPr>
        <w:t>日</w:t>
      </w: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注：1、此表需密封后单独提交。</w:t>
      </w: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pStyle w:val="35"/>
        <w:keepNext w:val="0"/>
        <w:keepLines w:val="0"/>
        <w:adjustRightInd/>
        <w:spacing w:before="0" w:line="500" w:lineRule="exact"/>
        <w:textAlignment w:val="auto"/>
        <w:outlineLvl w:val="9"/>
        <w:rPr>
          <w:rFonts w:hint="eastAsia" w:ascii="宋体" w:hAnsi="宋体" w:eastAsia="宋体" w:cs="宋体"/>
          <w:color w:val="000000" w:themeColor="text1"/>
          <w:sz w:val="24"/>
          <w14:textFill>
            <w14:solidFill>
              <w14:schemeClr w14:val="tx1"/>
            </w14:solidFill>
          </w14:textFill>
        </w:rPr>
      </w:pPr>
    </w:p>
    <w:p>
      <w:pPr>
        <w:spacing w:line="440" w:lineRule="exact"/>
        <w:jc w:val="center"/>
        <w:outlineLvl w:val="0"/>
        <w:rPr>
          <w:rFonts w:hint="eastAsia" w:ascii="宋体" w:hAnsi="宋体" w:eastAsia="宋体" w:cs="宋体"/>
          <w:b/>
          <w:sz w:val="30"/>
          <w:szCs w:val="30"/>
        </w:rPr>
      </w:pPr>
      <w:bookmarkStart w:id="111" w:name="_Toc2989"/>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eastAsia="zh-CN"/>
          <w14:textFill>
            <w14:solidFill>
              <w14:schemeClr w14:val="tx1"/>
            </w14:solidFill>
          </w14:textFill>
        </w:rPr>
        <w:t>六</w:t>
      </w:r>
      <w:r>
        <w:rPr>
          <w:rFonts w:hint="eastAsia" w:ascii="宋体" w:hAnsi="宋体" w:eastAsia="宋体" w:cs="宋体"/>
          <w:b/>
          <w:color w:val="000000" w:themeColor="text1"/>
          <w:sz w:val="28"/>
          <w:szCs w:val="28"/>
          <w:lang w:val="en-US"/>
          <w14:textFill>
            <w14:solidFill>
              <w14:schemeClr w14:val="tx1"/>
            </w14:solidFill>
          </w14:textFill>
        </w:rPr>
        <w:t xml:space="preserve"> </w:t>
      </w:r>
      <w:r>
        <w:rPr>
          <w:rFonts w:hint="eastAsia" w:ascii="宋体" w:hAnsi="宋体" w:eastAsia="宋体" w:cs="宋体"/>
          <w:b/>
          <w:sz w:val="30"/>
          <w:szCs w:val="30"/>
        </w:rPr>
        <w:t>项目机构组成表</w:t>
      </w:r>
      <w:bookmarkEnd w:id="111"/>
    </w:p>
    <w:p>
      <w:pPr>
        <w:spacing w:line="440" w:lineRule="exact"/>
        <w:rPr>
          <w:rFonts w:hint="eastAsia" w:ascii="宋体" w:hAnsi="宋体" w:eastAsia="宋体" w:cs="宋体"/>
          <w:sz w:val="24"/>
        </w:rPr>
      </w:pPr>
    </w:p>
    <w:p>
      <w:pPr>
        <w:spacing w:line="440" w:lineRule="exact"/>
        <w:ind w:firstLine="480" w:firstLineChars="200"/>
        <w:rPr>
          <w:rFonts w:hint="eastAsia" w:ascii="宋体" w:hAnsi="宋体" w:eastAsia="宋体" w:cs="宋体"/>
          <w:b/>
          <w:sz w:val="30"/>
          <w:szCs w:val="30"/>
        </w:rPr>
      </w:pPr>
      <w:r>
        <w:rPr>
          <w:rFonts w:hint="eastAsia" w:ascii="宋体" w:hAnsi="宋体" w:eastAsia="宋体" w:cs="宋体"/>
          <w:sz w:val="24"/>
        </w:rPr>
        <w:t>（项目主要执行人员）</w:t>
      </w:r>
    </w:p>
    <w:tbl>
      <w:tblPr>
        <w:tblStyle w:val="18"/>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842"/>
        <w:gridCol w:w="1276"/>
        <w:gridCol w:w="1418"/>
        <w:gridCol w:w="1469"/>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序号</w:t>
            </w:r>
          </w:p>
        </w:tc>
        <w:tc>
          <w:tcPr>
            <w:tcW w:w="1842" w:type="dxa"/>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姓名</w:t>
            </w:r>
          </w:p>
        </w:tc>
        <w:tc>
          <w:tcPr>
            <w:tcW w:w="1276" w:type="dxa"/>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性别</w:t>
            </w:r>
          </w:p>
        </w:tc>
        <w:tc>
          <w:tcPr>
            <w:tcW w:w="1418" w:type="dxa"/>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学历</w:t>
            </w:r>
          </w:p>
        </w:tc>
        <w:tc>
          <w:tcPr>
            <w:tcW w:w="1469" w:type="dxa"/>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职称</w:t>
            </w:r>
          </w:p>
        </w:tc>
        <w:tc>
          <w:tcPr>
            <w:tcW w:w="1376" w:type="dxa"/>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vAlign w:val="center"/>
          </w:tcPr>
          <w:p>
            <w:pPr>
              <w:adjustRightInd w:val="0"/>
              <w:snapToGrid w:val="0"/>
              <w:jc w:val="center"/>
              <w:rPr>
                <w:rFonts w:hint="eastAsia" w:ascii="宋体" w:hAnsi="宋体" w:eastAsia="宋体" w:cs="宋体"/>
                <w:bCs/>
                <w:sz w:val="24"/>
              </w:rPr>
            </w:pPr>
          </w:p>
        </w:tc>
        <w:tc>
          <w:tcPr>
            <w:tcW w:w="1842" w:type="dxa"/>
            <w:vAlign w:val="center"/>
          </w:tcPr>
          <w:p>
            <w:pPr>
              <w:adjustRightInd w:val="0"/>
              <w:snapToGrid w:val="0"/>
              <w:jc w:val="center"/>
              <w:rPr>
                <w:rFonts w:hint="eastAsia" w:ascii="宋体" w:hAnsi="宋体" w:eastAsia="宋体" w:cs="宋体"/>
                <w:bCs/>
                <w:sz w:val="24"/>
              </w:rPr>
            </w:pPr>
          </w:p>
        </w:tc>
        <w:tc>
          <w:tcPr>
            <w:tcW w:w="1276" w:type="dxa"/>
            <w:vAlign w:val="center"/>
          </w:tcPr>
          <w:p>
            <w:pPr>
              <w:adjustRightInd w:val="0"/>
              <w:snapToGrid w:val="0"/>
              <w:jc w:val="center"/>
              <w:rPr>
                <w:rFonts w:hint="eastAsia" w:ascii="宋体" w:hAnsi="宋体" w:eastAsia="宋体" w:cs="宋体"/>
                <w:bCs/>
                <w:sz w:val="24"/>
              </w:rPr>
            </w:pPr>
          </w:p>
        </w:tc>
        <w:tc>
          <w:tcPr>
            <w:tcW w:w="1418" w:type="dxa"/>
            <w:vAlign w:val="center"/>
          </w:tcPr>
          <w:p>
            <w:pPr>
              <w:adjustRightInd w:val="0"/>
              <w:snapToGrid w:val="0"/>
              <w:jc w:val="center"/>
              <w:rPr>
                <w:rFonts w:hint="eastAsia" w:ascii="宋体" w:hAnsi="宋体" w:eastAsia="宋体" w:cs="宋体"/>
                <w:bCs/>
                <w:sz w:val="24"/>
              </w:rPr>
            </w:pPr>
          </w:p>
        </w:tc>
        <w:tc>
          <w:tcPr>
            <w:tcW w:w="1469" w:type="dxa"/>
            <w:vAlign w:val="center"/>
          </w:tcPr>
          <w:p>
            <w:pPr>
              <w:adjustRightInd w:val="0"/>
              <w:snapToGrid w:val="0"/>
              <w:jc w:val="center"/>
              <w:rPr>
                <w:rFonts w:hint="eastAsia" w:ascii="宋体" w:hAnsi="宋体" w:eastAsia="宋体" w:cs="宋体"/>
                <w:bCs/>
                <w:sz w:val="24"/>
              </w:rPr>
            </w:pPr>
          </w:p>
        </w:tc>
        <w:tc>
          <w:tcPr>
            <w:tcW w:w="1376" w:type="dxa"/>
            <w:vAlign w:val="center"/>
          </w:tcPr>
          <w:p>
            <w:pPr>
              <w:adjustRightInd w:val="0"/>
              <w:snapToGrid w:val="0"/>
              <w:jc w:val="center"/>
              <w:rPr>
                <w:rFonts w:hint="eastAsia" w:ascii="宋体" w:hAnsi="宋体" w:eastAsia="宋体" w:cs="宋体"/>
                <w:bCs/>
                <w:sz w:val="24"/>
              </w:rPr>
            </w:pPr>
          </w:p>
        </w:tc>
      </w:tr>
    </w:tbl>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注：后附人员相关证书</w:t>
      </w:r>
    </w:p>
    <w:p>
      <w:pPr>
        <w:rPr>
          <w:rFonts w:hint="eastAsia" w:ascii="宋体" w:hAnsi="宋体" w:eastAsia="宋体" w:cs="宋体"/>
        </w:rPr>
      </w:pPr>
    </w:p>
    <w:p>
      <w:pPr>
        <w:rPr>
          <w:rFonts w:hint="eastAsia" w:ascii="宋体" w:hAnsi="宋体" w:eastAsia="宋体" w:cs="宋体"/>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pStyle w:val="10"/>
        <w:ind w:left="0" w:leftChars="0" w:firstLine="0" w:firstLineChars="0"/>
        <w:rPr>
          <w:rFonts w:hint="eastAsia" w:ascii="宋体" w:hAnsi="宋体" w:eastAsia="宋体" w:cs="宋体"/>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pStyle w:val="37"/>
        <w:outlineLvl w:val="0"/>
        <w:rPr>
          <w:rFonts w:hint="eastAsia" w:ascii="宋体" w:hAnsi="宋体" w:eastAsia="宋体" w:cs="宋体"/>
          <w:b/>
          <w:bCs/>
          <w:sz w:val="24"/>
        </w:rPr>
      </w:pPr>
      <w:bookmarkStart w:id="112" w:name="_Toc3198"/>
      <w:r>
        <w:rPr>
          <w:rFonts w:hint="eastAsia" w:ascii="宋体" w:hAnsi="宋体" w:eastAsia="宋体" w:cs="宋体"/>
          <w:b/>
          <w:bCs/>
          <w:color w:val="000000" w:themeColor="text1"/>
          <w:sz w:val="28"/>
          <w:szCs w:val="28"/>
          <w14:textFill>
            <w14:solidFill>
              <w14:schemeClr w14:val="tx1"/>
            </w14:solidFill>
          </w14:textFill>
        </w:rPr>
        <w:t>附件</w:t>
      </w:r>
      <w:r>
        <w:rPr>
          <w:rFonts w:hint="eastAsia" w:ascii="宋体" w:hAnsi="宋体" w:eastAsia="宋体" w:cs="宋体"/>
          <w:b/>
          <w:bCs/>
          <w:color w:val="000000" w:themeColor="text1"/>
          <w:sz w:val="28"/>
          <w:szCs w:val="28"/>
          <w:lang w:eastAsia="zh-CN"/>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
          <w:bCs/>
          <w:sz w:val="30"/>
          <w:szCs w:val="30"/>
        </w:rPr>
        <w:t>完成的类似项目情况</w:t>
      </w:r>
      <w:bookmarkEnd w:id="112"/>
    </w:p>
    <w:tbl>
      <w:tblPr>
        <w:tblStyle w:val="18"/>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2"/>
        <w:gridCol w:w="1843"/>
        <w:gridCol w:w="1701"/>
        <w:gridCol w:w="1869"/>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10"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42"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43" w:type="dxa"/>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委托单位</w:t>
            </w:r>
          </w:p>
        </w:tc>
        <w:tc>
          <w:tcPr>
            <w:tcW w:w="1701" w:type="dxa"/>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主要撰写人</w:t>
            </w:r>
          </w:p>
        </w:tc>
        <w:tc>
          <w:tcPr>
            <w:tcW w:w="1869" w:type="dxa"/>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委托及完成时间</w:t>
            </w:r>
          </w:p>
        </w:tc>
        <w:tc>
          <w:tcPr>
            <w:tcW w:w="1164" w:type="dxa"/>
            <w:shd w:val="clear" w:color="auto" w:fill="auto"/>
            <w:vAlign w:val="center"/>
          </w:tcPr>
          <w:p>
            <w:pPr>
              <w:widowControl/>
              <w:jc w:val="center"/>
              <w:rPr>
                <w:rFonts w:hint="eastAsia" w:ascii="宋体" w:hAnsi="宋体" w:eastAsia="宋体" w:cs="宋体"/>
                <w:sz w:val="24"/>
                <w:szCs w:val="24"/>
              </w:rPr>
            </w:pPr>
            <w:r>
              <w:rPr>
                <w:rFonts w:hint="eastAsia" w:ascii="宋体" w:hAnsi="宋体" w:eastAsia="宋体" w:cs="宋体"/>
                <w:sz w:val="24"/>
                <w:szCs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0" w:type="dxa"/>
            <w:vAlign w:val="center"/>
          </w:tcPr>
          <w:p>
            <w:pPr>
              <w:widowControl/>
              <w:jc w:val="center"/>
              <w:rPr>
                <w:rFonts w:hint="eastAsia" w:ascii="宋体" w:hAnsi="宋体" w:eastAsia="宋体" w:cs="宋体"/>
                <w:sz w:val="24"/>
                <w:szCs w:val="24"/>
              </w:rPr>
            </w:pPr>
          </w:p>
        </w:tc>
        <w:tc>
          <w:tcPr>
            <w:tcW w:w="1842" w:type="dxa"/>
            <w:vAlign w:val="center"/>
          </w:tcPr>
          <w:p>
            <w:pPr>
              <w:widowControl/>
              <w:rPr>
                <w:rFonts w:hint="eastAsia" w:ascii="宋体" w:hAnsi="宋体" w:eastAsia="宋体" w:cs="宋体"/>
                <w:sz w:val="24"/>
                <w:szCs w:val="24"/>
              </w:rPr>
            </w:pPr>
          </w:p>
        </w:tc>
        <w:tc>
          <w:tcPr>
            <w:tcW w:w="1843" w:type="dxa"/>
            <w:vAlign w:val="center"/>
          </w:tcPr>
          <w:p>
            <w:pPr>
              <w:widowControl/>
              <w:jc w:val="center"/>
              <w:rPr>
                <w:rFonts w:hint="eastAsia" w:ascii="宋体" w:hAnsi="宋体" w:eastAsia="宋体" w:cs="宋体"/>
                <w:sz w:val="24"/>
                <w:szCs w:val="24"/>
              </w:rPr>
            </w:pPr>
          </w:p>
        </w:tc>
        <w:tc>
          <w:tcPr>
            <w:tcW w:w="1701" w:type="dxa"/>
            <w:vAlign w:val="center"/>
          </w:tcPr>
          <w:p>
            <w:pPr>
              <w:widowControl/>
              <w:jc w:val="center"/>
              <w:rPr>
                <w:rFonts w:hint="eastAsia" w:ascii="宋体" w:hAnsi="宋体" w:eastAsia="宋体" w:cs="宋体"/>
                <w:sz w:val="24"/>
                <w:szCs w:val="24"/>
              </w:rPr>
            </w:pPr>
          </w:p>
        </w:tc>
        <w:tc>
          <w:tcPr>
            <w:tcW w:w="1869" w:type="dxa"/>
            <w:vAlign w:val="center"/>
          </w:tcPr>
          <w:p>
            <w:pPr>
              <w:widowControl/>
              <w:jc w:val="center"/>
              <w:rPr>
                <w:rFonts w:hint="eastAsia" w:ascii="宋体" w:hAnsi="宋体" w:eastAsia="宋体" w:cs="宋体"/>
                <w:sz w:val="24"/>
                <w:szCs w:val="24"/>
              </w:rPr>
            </w:pPr>
          </w:p>
        </w:tc>
        <w:tc>
          <w:tcPr>
            <w:tcW w:w="1164" w:type="dxa"/>
          </w:tcPr>
          <w:p>
            <w:pPr>
              <w:widowControl/>
              <w:jc w:val="center"/>
              <w:rPr>
                <w:rFonts w:hint="eastAsia" w:ascii="宋体" w:hAnsi="宋体" w:eastAsia="宋体" w:cs="宋体"/>
                <w:sz w:val="24"/>
                <w:szCs w:val="24"/>
              </w:rPr>
            </w:pPr>
          </w:p>
        </w:tc>
      </w:tr>
    </w:tbl>
    <w:p>
      <w:pPr>
        <w:spacing w:line="360" w:lineRule="auto"/>
        <w:ind w:right="-1"/>
        <w:rPr>
          <w:rFonts w:hint="eastAsia" w:ascii="宋体" w:hAnsi="宋体" w:eastAsia="宋体" w:cs="宋体"/>
          <w:b/>
          <w:bCs/>
          <w:sz w:val="28"/>
          <w:szCs w:val="28"/>
        </w:rPr>
      </w:pPr>
      <w:r>
        <w:rPr>
          <w:rFonts w:hint="eastAsia" w:ascii="宋体" w:hAnsi="宋体" w:eastAsia="宋体" w:cs="宋体"/>
          <w:b/>
          <w:bCs/>
          <w:sz w:val="28"/>
          <w:szCs w:val="28"/>
        </w:rPr>
        <w:t>注：后附中标通知书和合同</w:t>
      </w: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pStyle w:val="10"/>
        <w:ind w:left="440" w:firstLine="510"/>
        <w:rPr>
          <w:rFonts w:hint="eastAsia" w:ascii="宋体" w:hAnsi="宋体" w:eastAsia="宋体" w:cs="宋体"/>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146" w:lineRule="auto"/>
        <w:jc w:val="both"/>
        <w:rPr>
          <w:rFonts w:hint="eastAsia" w:ascii="宋体" w:hAnsi="宋体" w:eastAsia="宋体" w:cs="宋体"/>
          <w:color w:val="000000" w:themeColor="text1"/>
          <w:sz w:val="20"/>
          <w14:textFill>
            <w14:solidFill>
              <w14:schemeClr w14:val="tx1"/>
            </w14:solidFill>
          </w14:textFill>
        </w:rPr>
      </w:pPr>
    </w:p>
    <w:p>
      <w:pPr>
        <w:spacing w:line="440" w:lineRule="exact"/>
        <w:ind w:left="2880" w:hanging="2880"/>
        <w:jc w:val="center"/>
        <w:outlineLvl w:val="0"/>
        <w:rPr>
          <w:rFonts w:hint="eastAsia" w:ascii="宋体" w:hAnsi="宋体" w:eastAsia="宋体" w:cs="宋体"/>
          <w:b/>
          <w:color w:val="000000" w:themeColor="text1"/>
          <w:sz w:val="28"/>
          <w:szCs w:val="28"/>
          <w14:textFill>
            <w14:solidFill>
              <w14:schemeClr w14:val="tx1"/>
            </w14:solidFill>
          </w14:textFill>
        </w:rPr>
      </w:pPr>
      <w:bookmarkStart w:id="113" w:name="_Toc12701"/>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 xml:space="preserve">   技术参数偏离表</w:t>
      </w:r>
      <w:bookmarkEnd w:id="113"/>
    </w:p>
    <w:p>
      <w:pPr>
        <w:spacing w:line="440" w:lineRule="exact"/>
        <w:rPr>
          <w:rFonts w:hint="eastAsia" w:ascii="宋体" w:hAnsi="宋体" w:eastAsia="宋体" w:cs="宋体"/>
          <w:color w:val="000000" w:themeColor="text1"/>
          <w:sz w:val="24"/>
          <w14:textFill>
            <w14:solidFill>
              <w14:schemeClr w14:val="tx1"/>
            </w14:solidFill>
          </w14:textFill>
        </w:rPr>
      </w:pPr>
    </w:p>
    <w:p>
      <w:pPr>
        <w:pStyle w:val="34"/>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投标人名称（公章）：         　　　　 　  招标文件编号：                   </w:t>
      </w:r>
    </w:p>
    <w:tbl>
      <w:tblPr>
        <w:tblStyle w:val="18"/>
        <w:tblpPr w:leftFromText="180" w:rightFromText="180" w:vertAnchor="text" w:horzAnchor="page" w:tblpX="1256" w:tblpY="409"/>
        <w:tblOverlap w:val="never"/>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10"/>
        <w:gridCol w:w="1559"/>
        <w:gridCol w:w="2005"/>
        <w:gridCol w:w="1243"/>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59" w:type="dxa"/>
            <w:vAlign w:val="center"/>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2410" w:type="dxa"/>
            <w:vAlign w:val="center"/>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招标文件条目号</w:t>
            </w:r>
          </w:p>
        </w:tc>
        <w:tc>
          <w:tcPr>
            <w:tcW w:w="1559" w:type="dxa"/>
            <w:vAlign w:val="center"/>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招标内容</w:t>
            </w:r>
          </w:p>
        </w:tc>
        <w:tc>
          <w:tcPr>
            <w:tcW w:w="2005" w:type="dxa"/>
            <w:vAlign w:val="center"/>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投标内容</w:t>
            </w:r>
          </w:p>
        </w:tc>
        <w:tc>
          <w:tcPr>
            <w:tcW w:w="1243" w:type="dxa"/>
            <w:vAlign w:val="center"/>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w:t>
            </w:r>
          </w:p>
        </w:tc>
        <w:tc>
          <w:tcPr>
            <w:tcW w:w="1165" w:type="dxa"/>
            <w:vAlign w:val="center"/>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2410"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5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200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243"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16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2410"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5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200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243"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16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410"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5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200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243"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16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9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2410"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559"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200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243"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c>
          <w:tcPr>
            <w:tcW w:w="1165" w:type="dxa"/>
          </w:tcPr>
          <w:p>
            <w:pPr>
              <w:pStyle w:val="34"/>
              <w:spacing w:line="500" w:lineRule="exact"/>
              <w:ind w:firstLine="240" w:firstLineChars="100"/>
              <w:jc w:val="center"/>
              <w:rPr>
                <w:rFonts w:hint="eastAsia" w:ascii="宋体" w:hAnsi="宋体" w:eastAsia="宋体" w:cs="宋体"/>
                <w:color w:val="000000" w:themeColor="text1"/>
                <w:sz w:val="24"/>
                <w:szCs w:val="24"/>
                <w14:textFill>
                  <w14:solidFill>
                    <w14:schemeClr w14:val="tx1"/>
                  </w14:solidFill>
                </w14:textFill>
              </w:rPr>
            </w:pPr>
          </w:p>
        </w:tc>
      </w:tr>
    </w:tbl>
    <w:p>
      <w:pPr>
        <w:pStyle w:val="34"/>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p>
    <w:p>
      <w:pPr>
        <w:pStyle w:val="34"/>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注：与招标文件要求逐条对应填写。</w:t>
      </w:r>
    </w:p>
    <w:p>
      <w:pPr>
        <w:pStyle w:val="34"/>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法人代表签字：　　　　 　　　　 　</w:t>
      </w:r>
    </w:p>
    <w:p>
      <w:pPr>
        <w:pStyle w:val="34"/>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日期：20    年　  月 　 日</w:t>
      </w:r>
    </w:p>
    <w:p>
      <w:pPr>
        <w:pStyle w:val="34"/>
        <w:spacing w:line="500" w:lineRule="exact"/>
        <w:ind w:firstLine="24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4"/>
        <w:spacing w:line="500" w:lineRule="exact"/>
        <w:ind w:firstLine="240" w:firstLineChars="100"/>
        <w:rPr>
          <w:rFonts w:hint="eastAsia" w:ascii="宋体" w:hAnsi="宋体" w:eastAsia="宋体" w:cs="宋体"/>
          <w:color w:val="000000" w:themeColor="text1"/>
          <w14:textFill>
            <w14:solidFill>
              <w14:schemeClr w14:val="tx1"/>
            </w14:solidFill>
          </w14:textFill>
        </w:rPr>
      </w:pPr>
    </w:p>
    <w:p>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114" w:name="四．投标函"/>
      <w:bookmarkEnd w:id="114"/>
      <w:bookmarkStart w:id="115" w:name="_bookmark16"/>
      <w:bookmarkEnd w:id="115"/>
      <w:bookmarkStart w:id="116" w:name="_Toc6975"/>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 xml:space="preserve">   商务条款偏离表</w:t>
      </w:r>
      <w:bookmarkEnd w:id="116"/>
    </w:p>
    <w:p>
      <w:pPr>
        <w:spacing w:line="440" w:lineRule="exact"/>
        <w:jc w:val="center"/>
        <w:rPr>
          <w:rFonts w:hint="eastAsia" w:ascii="宋体" w:hAnsi="宋体" w:eastAsia="宋体" w:cs="宋体"/>
          <w:b/>
          <w:color w:val="000000" w:themeColor="text1"/>
          <w:sz w:val="28"/>
          <w:szCs w:val="28"/>
          <w14:textFill>
            <w14:solidFill>
              <w14:schemeClr w14:val="tx1"/>
            </w14:solidFill>
          </w14:textFill>
        </w:rPr>
      </w:pPr>
    </w:p>
    <w:p>
      <w:pPr>
        <w:spacing w:line="500" w:lineRule="exact"/>
        <w:ind w:firstLine="120" w:firstLineChars="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投标人名称（公章）：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招标文件编号：</w:t>
      </w:r>
    </w:p>
    <w:p>
      <w:pPr>
        <w:spacing w:line="500" w:lineRule="exact"/>
        <w:ind w:firstLine="120" w:firstLineChars="50"/>
        <w:jc w:val="center"/>
        <w:rPr>
          <w:rFonts w:hint="eastAsia" w:ascii="宋体" w:hAnsi="宋体" w:eastAsia="宋体" w:cs="宋体"/>
          <w:color w:val="000000" w:themeColor="text1"/>
          <w:sz w:val="24"/>
          <w:u w:val="single"/>
          <w14:textFill>
            <w14:solidFill>
              <w14:schemeClr w14:val="tx1"/>
            </w14:solidFill>
          </w14:textFill>
        </w:rPr>
      </w:pP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052"/>
        <w:gridCol w:w="2552"/>
        <w:gridCol w:w="2693"/>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052" w:type="dxa"/>
            <w:vAlign w:val="center"/>
          </w:tcPr>
          <w:p>
            <w:pPr>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招标文件条目号</w:t>
            </w:r>
          </w:p>
        </w:tc>
        <w:tc>
          <w:tcPr>
            <w:tcW w:w="2552" w:type="dxa"/>
            <w:vAlign w:val="center"/>
          </w:tcPr>
          <w:p>
            <w:pPr>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招标文件的商务条款</w:t>
            </w:r>
          </w:p>
        </w:tc>
        <w:tc>
          <w:tcPr>
            <w:tcW w:w="2693" w:type="dxa"/>
            <w:vAlign w:val="center"/>
          </w:tcPr>
          <w:p>
            <w:pPr>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响应性文件的商务条款</w:t>
            </w:r>
          </w:p>
        </w:tc>
        <w:tc>
          <w:tcPr>
            <w:tcW w:w="1666" w:type="dxa"/>
            <w:vAlign w:val="center"/>
          </w:tcPr>
          <w:p>
            <w:pPr>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20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5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693"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1666" w:type="dxa"/>
          </w:tcPr>
          <w:p>
            <w:pPr>
              <w:spacing w:line="500" w:lineRule="exact"/>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5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20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5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693"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1666" w:type="dxa"/>
          </w:tcPr>
          <w:p>
            <w:pPr>
              <w:spacing w:line="500" w:lineRule="exact"/>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20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5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693"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1666" w:type="dxa"/>
          </w:tcPr>
          <w:p>
            <w:pPr>
              <w:spacing w:line="500" w:lineRule="exact"/>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5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20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552"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2693" w:type="dxa"/>
          </w:tcPr>
          <w:p>
            <w:pPr>
              <w:spacing w:line="500" w:lineRule="exact"/>
              <w:rPr>
                <w:rFonts w:hint="eastAsia" w:ascii="宋体" w:hAnsi="宋体" w:eastAsia="宋体" w:cs="宋体"/>
                <w:color w:val="000000" w:themeColor="text1"/>
                <w:sz w:val="24"/>
                <w14:textFill>
                  <w14:solidFill>
                    <w14:schemeClr w14:val="tx1"/>
                  </w14:solidFill>
                </w14:textFill>
              </w:rPr>
            </w:pPr>
          </w:p>
        </w:tc>
        <w:tc>
          <w:tcPr>
            <w:tcW w:w="1666" w:type="dxa"/>
          </w:tcPr>
          <w:p>
            <w:pPr>
              <w:spacing w:line="500" w:lineRule="exact"/>
              <w:rPr>
                <w:rFonts w:hint="eastAsia" w:ascii="宋体" w:hAnsi="宋体" w:eastAsia="宋体" w:cs="宋体"/>
                <w:color w:val="000000" w:themeColor="text1"/>
                <w:sz w:val="24"/>
                <w14:textFill>
                  <w14:solidFill>
                    <w14:schemeClr w14:val="tx1"/>
                  </w14:solidFill>
                </w14:textFill>
              </w:rPr>
            </w:pPr>
          </w:p>
        </w:tc>
      </w:tr>
    </w:tbl>
    <w:p>
      <w:pPr>
        <w:spacing w:line="5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法人代表签字：</w:t>
      </w:r>
    </w:p>
    <w:p>
      <w:pPr>
        <w:spacing w:line="500" w:lineRule="exac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日期：20</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　</w:t>
      </w: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117" w:name="_Toc9289"/>
      <w:r>
        <w:rPr>
          <w:rFonts w:hint="eastAsia" w:ascii="宋体" w:hAnsi="宋体" w:eastAsia="宋体" w:cs="宋体"/>
          <w:b/>
          <w:color w:val="000000" w:themeColor="text1"/>
          <w:sz w:val="28"/>
          <w:szCs w:val="28"/>
          <w14:textFill>
            <w14:solidFill>
              <w14:schemeClr w14:val="tx1"/>
            </w14:solidFill>
          </w14:textFill>
        </w:rPr>
        <w:t>附件</w:t>
      </w:r>
      <w:r>
        <w:rPr>
          <w:rFonts w:hint="eastAsia" w:ascii="宋体" w:hAnsi="宋体" w:eastAsia="宋体" w:cs="宋体"/>
          <w:b/>
          <w:color w:val="000000" w:themeColor="text1"/>
          <w:sz w:val="28"/>
          <w:szCs w:val="28"/>
          <w:lang w:eastAsia="zh-CN"/>
          <w14:textFill>
            <w14:solidFill>
              <w14:schemeClr w14:val="tx1"/>
            </w14:solidFill>
          </w14:textFill>
        </w:rPr>
        <w:t>十</w:t>
      </w:r>
      <w:r>
        <w:rPr>
          <w:rFonts w:hint="eastAsia" w:ascii="宋体" w:hAnsi="宋体" w:eastAsia="宋体" w:cs="宋体"/>
          <w:b/>
          <w:color w:val="000000" w:themeColor="text1"/>
          <w:sz w:val="28"/>
          <w:szCs w:val="28"/>
          <w14:textFill>
            <w14:solidFill>
              <w14:schemeClr w14:val="tx1"/>
            </w14:solidFill>
          </w14:textFill>
        </w:rPr>
        <w:t xml:space="preserve">   诚信承诺书</w:t>
      </w:r>
      <w:bookmarkEnd w:id="117"/>
    </w:p>
    <w:p>
      <w:pPr>
        <w:spacing w:line="440" w:lineRule="exact"/>
        <w:jc w:val="center"/>
        <w:rPr>
          <w:rFonts w:hint="eastAsia" w:ascii="宋体" w:hAnsi="宋体" w:eastAsia="宋体" w:cs="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我公司承诺在</w:t>
      </w:r>
      <w:r>
        <w:rPr>
          <w:rFonts w:hint="eastAsia" w:ascii="宋体" w:hAnsi="宋体" w:eastAsia="宋体" w:cs="宋体"/>
          <w:bCs/>
          <w:color w:val="000000" w:themeColor="text1"/>
          <w:sz w:val="24"/>
          <w:szCs w:val="24"/>
          <w:u w:val="single"/>
          <w14:textFill>
            <w14:solidFill>
              <w14:schemeClr w14:val="tx1"/>
            </w14:solidFill>
          </w14:textFill>
        </w:rPr>
        <w:t>（项    目    名    称、项  目  编  号</w:t>
      </w:r>
      <w:r>
        <w:rPr>
          <w:rFonts w:hint="eastAsia" w:ascii="宋体" w:hAnsi="宋体" w:eastAsia="宋体" w:cs="宋体"/>
          <w:bCs/>
          <w:color w:val="000000" w:themeColor="text1"/>
          <w:sz w:val="24"/>
          <w:szCs w:val="24"/>
          <w14:textFill>
            <w14:solidFill>
              <w14:schemeClr w14:val="tx1"/>
            </w14:solidFill>
          </w14:textFill>
        </w:rPr>
        <w:t>）招标活动前1年内（20</w:t>
      </w:r>
      <w:r>
        <w:rPr>
          <w:rFonts w:hint="eastAsia" w:ascii="宋体" w:hAnsi="宋体" w:eastAsia="宋体" w:cs="宋体"/>
          <w:bCs/>
          <w:color w:val="000000" w:themeColor="text1"/>
          <w:sz w:val="24"/>
          <w:szCs w:val="24"/>
          <w:lang w:val="en-US" w:eastAsia="zh-CN"/>
          <w14:textFill>
            <w14:solidFill>
              <w14:schemeClr w14:val="tx1"/>
            </w14:solidFill>
          </w14:textFill>
        </w:rPr>
        <w:t>21</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月-20</w:t>
      </w:r>
      <w:r>
        <w:rPr>
          <w:rFonts w:hint="eastAsia" w:ascii="宋体" w:hAnsi="宋体" w:eastAsia="宋体" w:cs="宋体"/>
          <w:bCs/>
          <w:color w:val="000000" w:themeColor="text1"/>
          <w:sz w:val="24"/>
          <w:szCs w:val="24"/>
          <w:lang w:val="en-US" w:eastAsia="zh-CN"/>
          <w14:textFill>
            <w14:solidFill>
              <w14:schemeClr w14:val="tx1"/>
            </w14:solidFill>
          </w14:textFill>
        </w:rPr>
        <w:t>22</w:t>
      </w:r>
      <w:r>
        <w:rPr>
          <w:rFonts w:hint="eastAsia" w:ascii="宋体" w:hAnsi="宋体" w:eastAsia="宋体" w:cs="宋体"/>
          <w:bCs/>
          <w:color w:val="000000" w:themeColor="text1"/>
          <w:sz w:val="24"/>
          <w:szCs w:val="24"/>
          <w14:textFill>
            <w14:solidFill>
              <w14:schemeClr w14:val="tx1"/>
            </w14:solidFill>
          </w14:textFill>
        </w:rPr>
        <w:t>年</w:t>
      </w:r>
      <w:r>
        <w:rPr>
          <w:rFonts w:hint="eastAsia" w:ascii="宋体" w:hAnsi="宋体" w:eastAsia="宋体" w:cs="宋体"/>
          <w:bCs/>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月期间，我公司未被“信用中国”网站（http://www.creditchina.gov.cn）、中国政府采购网（http://www.ccgp.gov.cn）、国家企业信用信息公示系统(http://www.gsxt.gov.cn)列入失信被执行人、重大税收违法案件当事人名单、政府采购严重违法失信行为记录名单（尚在处罚期内的）。如有上述失信行为，我公司及项目参与人员愿意按有关规定接受处罚，并退出投标。</w:t>
      </w: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投标人名称（公章）：</w:t>
      </w: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公司法人代表</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00" w:lineRule="exact"/>
        <w:ind w:firstLine="2640" w:firstLineChars="1100"/>
        <w:jc w:val="both"/>
        <w:textAlignment w:val="auto"/>
        <w:rPr>
          <w:rFonts w:hint="eastAsia" w:ascii="宋体" w:hAnsi="宋体" w:eastAsia="宋体" w:cs="宋体"/>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法人授权代表</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500" w:lineRule="exact"/>
        <w:ind w:firstLine="2640" w:firstLineChars="1100"/>
        <w:jc w:val="both"/>
        <w:textAlignment w:val="auto"/>
        <w:rPr>
          <w:rFonts w:hint="eastAsia" w:ascii="宋体" w:hAnsi="宋体" w:eastAsia="宋体" w:cs="宋体"/>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00" w:lineRule="exact"/>
        <w:ind w:right="480" w:firstLine="6240" w:firstLineChars="26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  年    月    日</w:t>
      </w:r>
    </w:p>
    <w:p>
      <w:pPr>
        <w:spacing w:line="440" w:lineRule="exact"/>
        <w:jc w:val="both"/>
        <w:rPr>
          <w:rFonts w:hint="eastAsia" w:ascii="宋体" w:hAnsi="宋体" w:eastAsia="宋体" w:cs="宋体"/>
          <w:color w:val="000000" w:themeColor="text1"/>
          <w:sz w:val="32"/>
          <w:szCs w:val="32"/>
          <w14:textFill>
            <w14:solidFill>
              <w14:schemeClr w14:val="tx1"/>
            </w14:solidFill>
          </w14:textFill>
        </w:rPr>
      </w:pPr>
    </w:p>
    <w:p>
      <w:pPr>
        <w:spacing w:line="440" w:lineRule="exact"/>
        <w:jc w:val="both"/>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jc w:val="center"/>
        <w:rPr>
          <w:rFonts w:hint="eastAsia" w:ascii="宋体" w:hAnsi="宋体" w:eastAsia="宋体" w:cs="宋体"/>
          <w:b/>
          <w:color w:val="000000" w:themeColor="text1"/>
          <w:sz w:val="32"/>
          <w:szCs w:val="32"/>
          <w14:textFill>
            <w14:solidFill>
              <w14:schemeClr w14:val="tx1"/>
            </w14:solidFill>
          </w14:textFill>
        </w:rPr>
      </w:pPr>
    </w:p>
    <w:p>
      <w:pPr>
        <w:spacing w:line="440" w:lineRule="exact"/>
        <w:rPr>
          <w:rFonts w:hint="eastAsia" w:ascii="宋体" w:hAnsi="宋体" w:eastAsia="宋体" w:cs="宋体"/>
          <w:b/>
          <w:color w:val="000000" w:themeColor="text1"/>
          <w:sz w:val="32"/>
          <w:szCs w:val="32"/>
          <w14:textFill>
            <w14:solidFill>
              <w14:schemeClr w14:val="tx1"/>
            </w14:solidFill>
          </w14:textFill>
        </w:rPr>
      </w:pPr>
    </w:p>
    <w:p>
      <w:pPr>
        <w:pStyle w:val="8"/>
        <w:tabs>
          <w:tab w:val="left" w:pos="851"/>
        </w:tabs>
        <w:jc w:val="center"/>
        <w:rPr>
          <w:rFonts w:hint="eastAsia" w:ascii="宋体" w:hAnsi="宋体" w:eastAsia="宋体" w:cs="宋体"/>
          <w:color w:val="000000" w:themeColor="text1"/>
          <w:sz w:val="28"/>
          <w:szCs w:val="28"/>
          <w14:textFill>
            <w14:solidFill>
              <w14:schemeClr w14:val="tx1"/>
            </w14:solidFill>
          </w14:textFill>
        </w:rPr>
      </w:pPr>
    </w:p>
    <w:p>
      <w:pPr>
        <w:pStyle w:val="8"/>
        <w:tabs>
          <w:tab w:val="left" w:pos="851"/>
        </w:tabs>
        <w:jc w:val="center"/>
        <w:rPr>
          <w:rFonts w:hint="eastAsia" w:ascii="宋体" w:hAnsi="宋体" w:eastAsia="宋体" w:cs="宋体"/>
          <w:sz w:val="30"/>
          <w:szCs w:val="30"/>
        </w:rPr>
      </w:pPr>
      <w:r>
        <w:rPr>
          <w:rFonts w:hint="eastAsia" w:ascii="宋体" w:hAnsi="宋体" w:eastAsia="宋体" w:cs="宋体"/>
          <w:color w:val="000000" w:themeColor="text1"/>
          <w:sz w:val="28"/>
          <w:szCs w:val="28"/>
          <w14:textFill>
            <w14:solidFill>
              <w14:schemeClr w14:val="tx1"/>
            </w14:solidFill>
          </w14:textFill>
        </w:rPr>
        <w:t>附件十</w:t>
      </w:r>
      <w:r>
        <w:rPr>
          <w:rFonts w:hint="eastAsia" w:ascii="宋体" w:hAnsi="宋体" w:eastAsia="宋体" w:cs="宋体"/>
          <w:color w:val="000000" w:themeColor="text1"/>
          <w:sz w:val="28"/>
          <w:szCs w:val="28"/>
          <w:lang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sz w:val="30"/>
          <w:szCs w:val="30"/>
        </w:rPr>
        <w:t>本项目</w:t>
      </w:r>
      <w:r>
        <w:rPr>
          <w:rFonts w:hint="eastAsia" w:ascii="宋体" w:hAnsi="宋体" w:eastAsia="宋体" w:cs="宋体"/>
          <w:sz w:val="30"/>
          <w:szCs w:val="30"/>
          <w:lang w:eastAsia="zh-CN"/>
        </w:rPr>
        <w:t>实施</w:t>
      </w:r>
      <w:r>
        <w:rPr>
          <w:rFonts w:hint="eastAsia" w:ascii="宋体" w:hAnsi="宋体" w:eastAsia="宋体" w:cs="宋体"/>
          <w:sz w:val="30"/>
          <w:szCs w:val="30"/>
        </w:rPr>
        <w:t>方案</w:t>
      </w:r>
    </w:p>
    <w:p>
      <w:pPr>
        <w:spacing w:line="500" w:lineRule="exact"/>
        <w:jc w:val="center"/>
        <w:rPr>
          <w:rFonts w:hint="eastAsia" w:ascii="宋体" w:hAnsi="宋体" w:eastAsia="宋体" w:cs="宋体"/>
          <w:b/>
          <w:bCs/>
          <w:sz w:val="24"/>
        </w:rPr>
      </w:pPr>
      <w:r>
        <w:rPr>
          <w:rFonts w:hint="eastAsia" w:ascii="宋体" w:hAnsi="宋体" w:eastAsia="宋体" w:cs="宋体"/>
          <w:b/>
          <w:bCs/>
          <w:sz w:val="24"/>
        </w:rPr>
        <w:t>（投标人自拟）</w:t>
      </w:r>
    </w:p>
    <w:p>
      <w:pPr>
        <w:spacing w:line="500" w:lineRule="exact"/>
        <w:jc w:val="center"/>
        <w:rPr>
          <w:rFonts w:hint="eastAsia" w:ascii="宋体" w:hAnsi="宋体" w:eastAsia="宋体" w:cs="宋体"/>
          <w:b/>
          <w:bCs/>
          <w:sz w:val="24"/>
        </w:rPr>
      </w:pPr>
    </w:p>
    <w:p>
      <w:pPr>
        <w:spacing w:beforeLines="50" w:afterLines="50" w:line="500" w:lineRule="exact"/>
        <w:jc w:val="center"/>
        <w:rPr>
          <w:rFonts w:hint="eastAsia" w:ascii="宋体" w:hAnsi="宋体" w:eastAsia="宋体" w:cs="宋体"/>
          <w:b/>
          <w:color w:val="000000" w:themeColor="text1"/>
          <w:sz w:val="24"/>
          <w:szCs w:val="24"/>
          <w14:textFill>
            <w14:solidFill>
              <w14:schemeClr w14:val="tx1"/>
            </w14:solidFill>
          </w14:textFill>
        </w:rPr>
      </w:pPr>
    </w:p>
    <w:p>
      <w:pPr>
        <w:spacing w:beforeLines="50" w:afterLines="50" w:line="50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118" w:name="_Toc1161"/>
      <w:r>
        <w:rPr>
          <w:rFonts w:hint="eastAsia" w:ascii="宋体" w:hAnsi="宋体" w:eastAsia="宋体" w:cs="宋体"/>
          <w:b/>
          <w:color w:val="000000" w:themeColor="text1"/>
          <w:sz w:val="28"/>
          <w:szCs w:val="28"/>
          <w14:textFill>
            <w14:solidFill>
              <w14:schemeClr w14:val="tx1"/>
            </w14:solidFill>
          </w14:textFill>
        </w:rPr>
        <w:t>附件十</w:t>
      </w:r>
      <w:r>
        <w:rPr>
          <w:rFonts w:hint="eastAsia" w:ascii="宋体" w:hAnsi="宋体" w:eastAsia="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14:textFill>
            <w14:solidFill>
              <w14:schemeClr w14:val="tx1"/>
            </w14:solidFill>
          </w14:textFill>
        </w:rPr>
        <w:t xml:space="preserve">   《反商业贿赂承诺书》</w:t>
      </w:r>
      <w:bookmarkEnd w:id="118"/>
    </w:p>
    <w:p>
      <w:pPr>
        <w:spacing w:beforeLines="50" w:afterLines="50" w:line="500" w:lineRule="exact"/>
        <w:jc w:val="center"/>
        <w:rPr>
          <w:rFonts w:hint="eastAsia" w:ascii="宋体" w:hAnsi="宋体" w:eastAsia="宋体" w:cs="宋体"/>
          <w:b/>
          <w:color w:val="000000" w:themeColor="text1"/>
          <w:sz w:val="24"/>
          <w:szCs w:val="24"/>
          <w14:textFill>
            <w14:solidFill>
              <w14:schemeClr w14:val="tx1"/>
            </w14:solidFill>
          </w14:textFill>
        </w:rPr>
      </w:pPr>
    </w:p>
    <w:p>
      <w:pPr>
        <w:pStyle w:val="9"/>
        <w:spacing w:line="500" w:lineRule="exact"/>
        <w:ind w:left="440" w:firstLine="54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我公司承诺在</w:t>
      </w:r>
      <w:r>
        <w:rPr>
          <w:rFonts w:hint="eastAsia" w:ascii="宋体" w:hAnsi="宋体" w:eastAsia="宋体" w:cs="宋体"/>
          <w:color w:val="000000" w:themeColor="text1"/>
          <w:sz w:val="24"/>
          <w:szCs w:val="24"/>
          <w:u w:val="single"/>
          <w14:textFill>
            <w14:solidFill>
              <w14:schemeClr w14:val="tx1"/>
            </w14:solidFill>
          </w14:textFill>
        </w:rPr>
        <w:t>（项目名称、项目编号）</w:t>
      </w:r>
      <w:r>
        <w:rPr>
          <w:rFonts w:hint="eastAsia" w:ascii="宋体" w:hAnsi="宋体" w:eastAsia="宋体" w:cs="宋体"/>
          <w:color w:val="000000" w:themeColor="text1"/>
          <w:sz w:val="24"/>
          <w:szCs w:val="24"/>
          <w14:textFill>
            <w14:solidFill>
              <w14:schemeClr w14:val="tx1"/>
            </w14:solidFill>
          </w14:textFill>
        </w:rPr>
        <w:t>招标活动中，不给予采购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9"/>
        <w:spacing w:line="500" w:lineRule="exact"/>
        <w:ind w:left="440" w:firstLine="540"/>
        <w:rPr>
          <w:rFonts w:hint="eastAsia" w:ascii="宋体" w:hAnsi="宋体" w:eastAsia="宋体" w:cs="宋体"/>
          <w:color w:val="000000" w:themeColor="text1"/>
          <w:sz w:val="24"/>
          <w:szCs w:val="24"/>
          <w14:textFill>
            <w14:solidFill>
              <w14:schemeClr w14:val="tx1"/>
            </w14:solidFill>
          </w14:textFill>
        </w:rPr>
      </w:pPr>
    </w:p>
    <w:p>
      <w:pPr>
        <w:pStyle w:val="9"/>
        <w:spacing w:line="500" w:lineRule="exact"/>
        <w:ind w:left="440" w:firstLine="540"/>
        <w:rPr>
          <w:rFonts w:hint="eastAsia" w:ascii="宋体" w:hAnsi="宋体" w:eastAsia="宋体" w:cs="宋体"/>
          <w:color w:val="000000" w:themeColor="text1"/>
          <w:sz w:val="24"/>
          <w:szCs w:val="24"/>
          <w14:textFill>
            <w14:solidFill>
              <w14:schemeClr w14:val="tx1"/>
            </w14:solidFill>
          </w14:textFill>
        </w:rPr>
      </w:pPr>
    </w:p>
    <w:p>
      <w:pPr>
        <w:spacing w:line="440" w:lineRule="exact"/>
        <w:jc w:val="both"/>
        <w:rPr>
          <w:rFonts w:hint="eastAsia" w:ascii="宋体" w:hAnsi="宋体" w:eastAsia="宋体" w:cs="宋体"/>
          <w:bCs/>
          <w:color w:val="000000" w:themeColor="text1"/>
          <w:sz w:val="24"/>
          <w:szCs w:val="24"/>
          <w14:textFill>
            <w14:solidFill>
              <w14:schemeClr w14:val="tx1"/>
            </w14:solidFill>
          </w14:textFill>
        </w:rPr>
      </w:pPr>
    </w:p>
    <w:p>
      <w:pPr>
        <w:spacing w:line="440" w:lineRule="exact"/>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投标人名称（公章）：</w:t>
      </w:r>
    </w:p>
    <w:p>
      <w:pPr>
        <w:spacing w:line="440" w:lineRule="exact"/>
        <w:jc w:val="both"/>
        <w:rPr>
          <w:rFonts w:hint="eastAsia" w:ascii="宋体" w:hAnsi="宋体" w:eastAsia="宋体" w:cs="宋体"/>
          <w:bCs/>
          <w:color w:val="000000" w:themeColor="text1"/>
          <w:sz w:val="24"/>
          <w:szCs w:val="24"/>
          <w14:textFill>
            <w14:solidFill>
              <w14:schemeClr w14:val="tx1"/>
            </w14:solidFill>
          </w14:textFill>
        </w:rPr>
      </w:pPr>
    </w:p>
    <w:p>
      <w:pPr>
        <w:spacing w:line="44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公司法人代表</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14:textFill>
            <w14:solidFill>
              <w14:schemeClr w14:val="tx1"/>
            </w14:solidFill>
          </w14:textFill>
        </w:rPr>
        <w:t>：</w:t>
      </w:r>
    </w:p>
    <w:p>
      <w:pPr>
        <w:spacing w:line="440" w:lineRule="exact"/>
        <w:ind w:firstLine="2640" w:firstLineChars="1100"/>
        <w:jc w:val="both"/>
        <w:rPr>
          <w:rFonts w:hint="eastAsia" w:ascii="宋体" w:hAnsi="宋体" w:eastAsia="宋体" w:cs="宋体"/>
          <w:bCs/>
          <w:color w:val="000000" w:themeColor="text1"/>
          <w:sz w:val="24"/>
          <w:szCs w:val="24"/>
          <w14:textFill>
            <w14:solidFill>
              <w14:schemeClr w14:val="tx1"/>
            </w14:solidFill>
          </w14:textFill>
        </w:rPr>
      </w:pPr>
    </w:p>
    <w:p>
      <w:pPr>
        <w:spacing w:line="440" w:lineRule="exact"/>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法人授权代表</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14:textFill>
            <w14:solidFill>
              <w14:schemeClr w14:val="tx1"/>
            </w14:solidFill>
          </w14:textFill>
        </w:rPr>
        <w:t>：</w:t>
      </w:r>
    </w:p>
    <w:p>
      <w:pPr>
        <w:pStyle w:val="9"/>
        <w:spacing w:line="500" w:lineRule="exact"/>
        <w:ind w:left="44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20  年    月    日</w:t>
      </w:r>
    </w:p>
    <w:p>
      <w:pPr>
        <w:spacing w:line="500" w:lineRule="exact"/>
        <w:jc w:val="center"/>
        <w:rPr>
          <w:rFonts w:hint="eastAsia" w:ascii="宋体" w:hAnsi="宋体" w:eastAsia="宋体" w:cs="宋体"/>
          <w:b/>
          <w:color w:val="000000" w:themeColor="text1"/>
          <w:sz w:val="24"/>
          <w:szCs w:val="24"/>
          <w14:textFill>
            <w14:solidFill>
              <w14:schemeClr w14:val="tx1"/>
            </w14:solidFill>
          </w14:textFill>
        </w:rPr>
      </w:pPr>
    </w:p>
    <w:p>
      <w:pPr>
        <w:spacing w:line="500" w:lineRule="exact"/>
        <w:jc w:val="center"/>
        <w:rPr>
          <w:rFonts w:hint="eastAsia" w:ascii="宋体" w:hAnsi="宋体" w:eastAsia="宋体" w:cs="宋体"/>
          <w:b/>
          <w:color w:val="000000" w:themeColor="text1"/>
          <w:sz w:val="24"/>
          <w:szCs w:val="24"/>
          <w14:textFill>
            <w14:solidFill>
              <w14:schemeClr w14:val="tx1"/>
            </w14:solidFill>
          </w14:textFill>
        </w:rPr>
      </w:pPr>
    </w:p>
    <w:p>
      <w:pPr>
        <w:spacing w:line="500" w:lineRule="exact"/>
        <w:jc w:val="center"/>
        <w:rPr>
          <w:rFonts w:hint="eastAsia" w:ascii="宋体" w:hAnsi="宋体" w:eastAsia="宋体" w:cs="宋体"/>
          <w:b/>
          <w:color w:val="000000" w:themeColor="text1"/>
          <w:sz w:val="24"/>
          <w:szCs w:val="24"/>
          <w14:textFill>
            <w14:solidFill>
              <w14:schemeClr w14:val="tx1"/>
            </w14:solidFill>
          </w14:textFill>
        </w:rPr>
      </w:pPr>
    </w:p>
    <w:p>
      <w:pPr>
        <w:spacing w:line="500" w:lineRule="exact"/>
        <w:jc w:val="center"/>
        <w:rPr>
          <w:rFonts w:hint="eastAsia" w:ascii="宋体" w:hAnsi="宋体" w:eastAsia="宋体" w:cs="宋体"/>
          <w:b/>
          <w:color w:val="000000" w:themeColor="text1"/>
          <w:sz w:val="24"/>
          <w:szCs w:val="24"/>
          <w14:textFill>
            <w14:solidFill>
              <w14:schemeClr w14:val="tx1"/>
            </w14:solidFill>
          </w14:textFill>
        </w:rPr>
      </w:pPr>
    </w:p>
    <w:p>
      <w:pPr>
        <w:pStyle w:val="10"/>
        <w:ind w:left="440" w:firstLine="512"/>
        <w:rPr>
          <w:rFonts w:hint="eastAsia" w:ascii="宋体" w:hAnsi="宋体" w:eastAsia="宋体" w:cs="宋体"/>
          <w:b/>
          <w:color w:val="000000" w:themeColor="text1"/>
          <w14:textFill>
            <w14:solidFill>
              <w14:schemeClr w14:val="tx1"/>
            </w14:solidFill>
          </w14:textFill>
        </w:rPr>
      </w:pPr>
    </w:p>
    <w:p>
      <w:pPr>
        <w:pStyle w:val="2"/>
        <w:ind w:firstLine="241"/>
        <w:rPr>
          <w:rFonts w:hint="eastAsia" w:ascii="宋体" w:hAnsi="宋体" w:eastAsia="宋体" w:cs="宋体"/>
          <w:b/>
          <w:color w:val="000000" w:themeColor="text1"/>
          <w:sz w:val="24"/>
          <w14:textFill>
            <w14:solidFill>
              <w14:schemeClr w14:val="tx1"/>
            </w14:solidFill>
          </w14:textFill>
        </w:rPr>
      </w:pPr>
    </w:p>
    <w:p>
      <w:pPr>
        <w:pStyle w:val="2"/>
        <w:ind w:firstLine="241"/>
        <w:rPr>
          <w:rFonts w:hint="eastAsia" w:ascii="宋体" w:hAnsi="宋体" w:eastAsia="宋体" w:cs="宋体"/>
          <w:b/>
          <w:color w:val="000000" w:themeColor="text1"/>
          <w:sz w:val="24"/>
          <w14:textFill>
            <w14:solidFill>
              <w14:schemeClr w14:val="tx1"/>
            </w14:solidFill>
          </w14:textFill>
        </w:rPr>
      </w:pPr>
    </w:p>
    <w:p>
      <w:pPr>
        <w:spacing w:line="500" w:lineRule="exact"/>
        <w:jc w:val="both"/>
        <w:rPr>
          <w:rFonts w:hint="eastAsia" w:ascii="宋体" w:hAnsi="宋体" w:eastAsia="宋体" w:cs="宋体"/>
          <w:b/>
          <w:color w:val="000000" w:themeColor="text1"/>
          <w:sz w:val="24"/>
          <w:szCs w:val="24"/>
          <w14:textFill>
            <w14:solidFill>
              <w14:schemeClr w14:val="tx1"/>
            </w14:solidFill>
          </w14:textFill>
        </w:rPr>
      </w:pPr>
    </w:p>
    <w:p>
      <w:pPr>
        <w:spacing w:line="500" w:lineRule="exact"/>
        <w:jc w:val="center"/>
        <w:outlineLvl w:val="0"/>
        <w:rPr>
          <w:rFonts w:hint="eastAsia" w:ascii="宋体" w:hAnsi="宋体" w:eastAsia="宋体" w:cs="宋体"/>
          <w:b/>
          <w:color w:val="000000" w:themeColor="text1"/>
          <w:sz w:val="24"/>
          <w:szCs w:val="24"/>
          <w14:textFill>
            <w14:solidFill>
              <w14:schemeClr w14:val="tx1"/>
            </w14:solidFill>
          </w14:textFill>
        </w:rPr>
      </w:pPr>
      <w:bookmarkStart w:id="119" w:name="_Toc18982"/>
      <w:r>
        <w:rPr>
          <w:rFonts w:hint="eastAsia" w:ascii="宋体" w:hAnsi="宋体" w:eastAsia="宋体" w:cs="宋体"/>
          <w:b/>
          <w:color w:val="000000" w:themeColor="text1"/>
          <w:sz w:val="28"/>
          <w:szCs w:val="28"/>
          <w14:textFill>
            <w14:solidFill>
              <w14:schemeClr w14:val="tx1"/>
            </w14:solidFill>
          </w14:textFill>
        </w:rPr>
        <w:t>附件十</w:t>
      </w:r>
      <w:r>
        <w:rPr>
          <w:rFonts w:hint="eastAsia" w:ascii="宋体" w:hAnsi="宋体" w:eastAsia="宋体" w:cs="宋体"/>
          <w:b/>
          <w:color w:val="000000" w:themeColor="text1"/>
          <w:sz w:val="28"/>
          <w:szCs w:val="28"/>
          <w:lang w:eastAsia="zh-CN"/>
          <w14:textFill>
            <w14:solidFill>
              <w14:schemeClr w14:val="tx1"/>
            </w14:solidFill>
          </w14:textFill>
        </w:rPr>
        <w:t>三</w:t>
      </w:r>
      <w:r>
        <w:rPr>
          <w:rFonts w:hint="eastAsia" w:ascii="宋体" w:hAnsi="宋体" w:eastAsia="宋体" w:cs="宋体"/>
          <w:b/>
          <w:color w:val="000000" w:themeColor="text1"/>
          <w:sz w:val="28"/>
          <w:szCs w:val="28"/>
          <w14:textFill>
            <w14:solidFill>
              <w14:schemeClr w14:val="tx1"/>
            </w14:solidFill>
          </w14:textFill>
        </w:rPr>
        <w:t xml:space="preserve">   售后服务承诺书</w:t>
      </w:r>
      <w:bookmarkEnd w:id="119"/>
    </w:p>
    <w:p>
      <w:pPr>
        <w:adjustRightInd w:val="0"/>
        <w:spacing w:line="600" w:lineRule="atLeast"/>
        <w:jc w:val="center"/>
        <w:rPr>
          <w:rFonts w:hint="eastAsia" w:ascii="宋体" w:hAnsi="宋体" w:eastAsia="宋体" w:cs="宋体"/>
          <w:b/>
          <w:bCs/>
          <w:sz w:val="24"/>
        </w:rPr>
      </w:pPr>
      <w:r>
        <w:rPr>
          <w:rFonts w:hint="eastAsia" w:ascii="宋体" w:hAnsi="宋体" w:eastAsia="宋体" w:cs="宋体"/>
          <w:b/>
          <w:bCs/>
          <w:sz w:val="24"/>
        </w:rPr>
        <w:t>（投标人自拟）</w:t>
      </w:r>
    </w:p>
    <w:p>
      <w:pPr>
        <w:adjustRightInd w:val="0"/>
        <w:spacing w:line="600" w:lineRule="atLeast"/>
        <w:jc w:val="center"/>
        <w:rPr>
          <w:rFonts w:hint="eastAsia" w:ascii="宋体" w:hAnsi="宋体" w:eastAsia="宋体" w:cs="宋体"/>
          <w:b/>
          <w:bCs/>
          <w:sz w:val="24"/>
        </w:rPr>
      </w:pPr>
    </w:p>
    <w:p>
      <w:pPr>
        <w:adjustRightInd w:val="0"/>
        <w:spacing w:line="600" w:lineRule="atLeast"/>
        <w:jc w:val="center"/>
        <w:rPr>
          <w:rFonts w:hint="eastAsia" w:ascii="宋体" w:hAnsi="宋体" w:eastAsia="宋体" w:cs="宋体"/>
          <w:b/>
          <w:bCs/>
          <w:sz w:val="24"/>
        </w:rPr>
      </w:pPr>
    </w:p>
    <w:p>
      <w:pPr>
        <w:adjustRightInd w:val="0"/>
        <w:spacing w:line="360" w:lineRule="auto"/>
        <w:jc w:val="center"/>
        <w:outlineLvl w:val="0"/>
        <w:rPr>
          <w:rFonts w:hint="eastAsia" w:ascii="宋体" w:hAnsi="宋体" w:eastAsia="宋体" w:cs="宋体"/>
          <w:b/>
          <w:bCs/>
          <w:sz w:val="30"/>
          <w:szCs w:val="30"/>
        </w:rPr>
      </w:pPr>
      <w:bookmarkStart w:id="120" w:name="_Toc31973"/>
      <w:r>
        <w:rPr>
          <w:rFonts w:hint="eastAsia" w:ascii="宋体" w:hAnsi="宋体" w:eastAsia="宋体" w:cs="宋体"/>
          <w:b/>
          <w:color w:val="000000" w:themeColor="text1"/>
          <w:sz w:val="28"/>
          <w:szCs w:val="28"/>
          <w14:textFill>
            <w14:solidFill>
              <w14:schemeClr w14:val="tx1"/>
            </w14:solidFill>
          </w14:textFill>
        </w:rPr>
        <w:t>附件十</w:t>
      </w:r>
      <w:r>
        <w:rPr>
          <w:rFonts w:hint="eastAsia" w:ascii="宋体" w:hAnsi="宋体" w:eastAsia="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14:textFill>
            <w14:solidFill>
              <w14:schemeClr w14:val="tx1"/>
            </w14:solidFill>
          </w14:textFill>
        </w:rPr>
        <w:t xml:space="preserve">  </w:t>
      </w:r>
      <w:r>
        <w:rPr>
          <w:rFonts w:hint="eastAsia" w:ascii="宋体" w:hAnsi="宋体" w:eastAsia="宋体" w:cs="宋体"/>
          <w:b/>
          <w:bCs/>
          <w:sz w:val="30"/>
          <w:szCs w:val="30"/>
        </w:rPr>
        <w:t>其他相关材料</w:t>
      </w:r>
      <w:bookmarkEnd w:id="120"/>
    </w:p>
    <w:p>
      <w:pPr>
        <w:adjustRightInd w:val="0"/>
        <w:spacing w:line="600" w:lineRule="atLeast"/>
        <w:jc w:val="center"/>
        <w:rPr>
          <w:rFonts w:hint="eastAsia" w:ascii="宋体" w:hAnsi="宋体" w:eastAsia="宋体" w:cs="宋体"/>
          <w:b/>
          <w:bCs/>
          <w:sz w:val="24"/>
        </w:rPr>
      </w:pPr>
      <w:r>
        <w:rPr>
          <w:rFonts w:hint="eastAsia" w:ascii="宋体" w:hAnsi="宋体" w:eastAsia="宋体" w:cs="宋体"/>
          <w:b/>
          <w:bCs/>
          <w:sz w:val="24"/>
        </w:rPr>
        <w:t>（投标人自拟）</w:t>
      </w:r>
    </w:p>
    <w:p>
      <w:pPr>
        <w:spacing w:line="360" w:lineRule="auto"/>
        <w:ind w:left="845" w:leftChars="1" w:hanging="843" w:hangingChars="350"/>
        <w:jc w:val="center"/>
        <w:rPr>
          <w:rFonts w:hint="eastAsia" w:ascii="宋体" w:hAnsi="宋体" w:eastAsia="宋体" w:cs="宋体"/>
          <w:sz w:val="24"/>
        </w:rPr>
      </w:pPr>
      <w:r>
        <w:rPr>
          <w:rFonts w:hint="eastAsia" w:ascii="宋体" w:hAnsi="宋体" w:eastAsia="宋体" w:cs="宋体"/>
          <w:b/>
          <w:bCs/>
          <w:sz w:val="24"/>
        </w:rPr>
        <w:t>（投标人认为需要提供的其他相关材料）</w:t>
      </w:r>
    </w:p>
    <w:p>
      <w:pPr>
        <w:widowControl/>
        <w:textAlignment w:val="center"/>
        <w:rPr>
          <w:rFonts w:hint="eastAsia" w:ascii="宋体" w:hAnsi="宋体" w:eastAsia="宋体" w:cs="宋体"/>
          <w:b/>
          <w:color w:val="000000" w:themeColor="text1"/>
          <w:szCs w:val="21"/>
          <w14:textFill>
            <w14:solidFill>
              <w14:schemeClr w14:val="tx1"/>
            </w14:solidFill>
          </w14:textFill>
        </w:rPr>
      </w:pPr>
      <w:bookmarkStart w:id="121" w:name="第八章_安徽合肥公共资源交易中心网上招投标操作规程（暂行）"/>
      <w:bookmarkEnd w:id="121"/>
      <w:bookmarkStart w:id="122" w:name="_bookmark29"/>
      <w:bookmarkEnd w:id="122"/>
      <w:bookmarkStart w:id="123" w:name="十三．中小企业声明函"/>
      <w:bookmarkEnd w:id="123"/>
      <w:bookmarkStart w:id="124" w:name="_bookmark25"/>
      <w:bookmarkEnd w:id="124"/>
      <w:bookmarkStart w:id="125" w:name="十六．投标响应表"/>
      <w:bookmarkEnd w:id="125"/>
      <w:bookmarkStart w:id="126" w:name="_bookmark28"/>
      <w:bookmarkEnd w:id="126"/>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pStyle w:val="3"/>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b/>
          <w:color w:val="000000" w:themeColor="text1"/>
          <w:szCs w:val="21"/>
          <w14:textFill>
            <w14:solidFill>
              <w14:schemeClr w14:val="tx1"/>
            </w14:solidFill>
          </w14:textFill>
        </w:rPr>
      </w:pPr>
    </w:p>
    <w:p>
      <w:pPr>
        <w:rPr>
          <w:rFonts w:hint="eastAsia" w:ascii="宋体" w:hAnsi="宋体" w:eastAsia="宋体" w:cs="宋体"/>
        </w:rPr>
      </w:pPr>
    </w:p>
    <w:sectPr>
      <w:pgSz w:w="11910" w:h="16850"/>
      <w:pgMar w:top="1080" w:right="1440" w:bottom="1080" w:left="1440" w:header="877" w:footer="1068"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59264" behindDoc="0" locked="0" layoutInCell="1" allowOverlap="1">
              <wp:simplePos x="0" y="0"/>
              <wp:positionH relativeFrom="page">
                <wp:posOffset>3104515</wp:posOffset>
              </wp:positionH>
              <wp:positionV relativeFrom="page">
                <wp:posOffset>9876155</wp:posOffset>
              </wp:positionV>
              <wp:extent cx="1353185" cy="190500"/>
              <wp:effectExtent l="0" t="0" r="0" b="0"/>
              <wp:wrapNone/>
              <wp:docPr id="9" name="Text Box 1"/>
              <wp:cNvGraphicFramePr/>
              <a:graphic xmlns:a="http://schemas.openxmlformats.org/drawingml/2006/main">
                <a:graphicData uri="http://schemas.microsoft.com/office/word/2010/wordprocessingShape">
                  <wps:wsp>
                    <wps:cNvSpPr txBox="1">
                      <a:spLocks noChangeArrowheads="1"/>
                    </wps:cNvSpPr>
                    <wps:spPr bwMode="auto">
                      <a:xfrm>
                        <a:off x="0" y="0"/>
                        <a:ext cx="1353185" cy="190500"/>
                      </a:xfrm>
                      <a:prstGeom prst="rect">
                        <a:avLst/>
                      </a:prstGeom>
                      <a:noFill/>
                      <a:ln>
                        <a:noFill/>
                      </a:ln>
                      <a:effectLst/>
                    </wps:spPr>
                    <wps:txbx>
                      <w:txbxContent>
                        <w:p>
                          <w:pPr>
                            <w:pStyle w:val="3"/>
                            <w:spacing w:line="300" w:lineRule="exact"/>
                            <w:ind w:left="20"/>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44.45pt;margin-top:777.65pt;height:15pt;width:106.55pt;mso-position-horizontal-relative:page;mso-position-vertical-relative:page;z-index:251659264;mso-width-relative:page;mso-height-relative:page;" filled="f" stroked="f" coordsize="21600,21600" o:gfxdata="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1RDlNoAAAANAQAADwAAAAAAAAABACAAAAAiAAAAZHJz&#10;L2Rvd25yZXYueG1sUEsBAhQAFAAAAAgAh07iQGuNG4MCAgAAEgQAAA4AAAAAAAAAAQAgAAAAKQEA&#10;AGRycy9lMm9Eb2MueG1sUEsFBgAAAAAGAAYAWQEAAJ0FAAAAAA==&#10;">
              <v:fill on="f" focussize="0,0"/>
              <v:stroke on="f"/>
              <v:imagedata o:title=""/>
              <o:lock v:ext="edit" aspectratio="f"/>
              <v:textbox inset="0mm,0mm,0mm,0mm">
                <w:txbxContent>
                  <w:p>
                    <w:pPr>
                      <w:pStyle w:val="3"/>
                      <w:spacing w:line="300" w:lineRule="exact"/>
                      <w:ind w:left="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page">
                <wp:posOffset>3104515</wp:posOffset>
              </wp:positionH>
              <wp:positionV relativeFrom="page">
                <wp:posOffset>9876155</wp:posOffset>
              </wp:positionV>
              <wp:extent cx="1353185" cy="190500"/>
              <wp:effectExtent l="0" t="0" r="0" b="0"/>
              <wp:wrapNone/>
              <wp:docPr id="15" name="Text Box 1"/>
              <wp:cNvGraphicFramePr/>
              <a:graphic xmlns:a="http://schemas.openxmlformats.org/drawingml/2006/main">
                <a:graphicData uri="http://schemas.microsoft.com/office/word/2010/wordprocessingShape">
                  <wps:wsp>
                    <wps:cNvSpPr txBox="1">
                      <a:spLocks noChangeArrowheads="1"/>
                    </wps:cNvSpPr>
                    <wps:spPr bwMode="auto">
                      <a:xfrm>
                        <a:off x="0" y="0"/>
                        <a:ext cx="1353185" cy="190500"/>
                      </a:xfrm>
                      <a:prstGeom prst="rect">
                        <a:avLst/>
                      </a:prstGeom>
                      <a:noFill/>
                      <a:ln>
                        <a:noFill/>
                      </a:ln>
                      <a:effectLst/>
                    </wps:spPr>
                    <wps:txbx>
                      <w:txbxContent>
                        <w:p>
                          <w:pPr>
                            <w:pStyle w:val="3"/>
                            <w:spacing w:line="300" w:lineRule="exact"/>
                            <w:ind w:left="20"/>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44.45pt;margin-top:777.65pt;height:15pt;width:106.55pt;mso-position-horizontal-relative:page;mso-position-vertical-relative:page;z-index:251661312;mso-width-relative:page;mso-height-relative:page;" filled="f" stroked="f" coordsize="21600,21600" o:gfxdata="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1RDlNoAAAANAQAADwAAAAAAAAABACAAAAAiAAAAZHJz&#10;L2Rvd25yZXYueG1sUEsBAhQAFAAAAAgAh07iQAKSppgCAgAAEwQAAA4AAAAAAAAAAQAgAAAAKQEA&#10;AGRycy9lMm9Eb2MueG1sUEsFBgAAAAAGAAYAWQEAAJ0FAAAAAA==&#10;">
              <v:fill on="f" focussize="0,0"/>
              <v:stroke on="f"/>
              <v:imagedata o:title=""/>
              <o:lock v:ext="edit" aspectratio="f"/>
              <v:textbox inset="0mm,0mm,0mm,0mm">
                <w:txbxContent>
                  <w:p>
                    <w:pPr>
                      <w:pStyle w:val="3"/>
                      <w:spacing w:line="300" w:lineRule="exact"/>
                      <w:ind w:left="2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14" w:lineRule="auto"/>
      <w:ind w:left="0"/>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774065</wp:posOffset>
              </wp:positionH>
              <wp:positionV relativeFrom="page">
                <wp:posOffset>705485</wp:posOffset>
              </wp:positionV>
              <wp:extent cx="6015355" cy="0"/>
              <wp:effectExtent l="0" t="0" r="0" b="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6015355" cy="0"/>
                      </a:xfrm>
                      <a:prstGeom prst="line">
                        <a:avLst/>
                      </a:prstGeom>
                      <a:noFill/>
                      <a:ln w="9144">
                        <a:solidFill>
                          <a:srgbClr val="000000"/>
                        </a:solidFill>
                        <a:prstDash val="solid"/>
                        <a:round/>
                      </a:ln>
                      <a:effectLst/>
                    </wps:spPr>
                    <wps:bodyPr/>
                  </wps:wsp>
                </a:graphicData>
              </a:graphic>
            </wp:anchor>
          </w:drawing>
        </mc:Choice>
        <mc:Fallback>
          <w:pict>
            <v:line id="Line 3" o:spid="_x0000_s1026" o:spt="20" style="position:absolute;left:0pt;margin-left:60.95pt;margin-top:55.55pt;height:0pt;width:473.65pt;mso-position-horizontal-relative:page;mso-position-vertical-relative:page;z-index:-251656192;mso-width-relative:page;mso-height-relative:page;" filled="f" stroked="t" coordsize="21600,21600" o:gfxdata="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16OKLVAAAADAEAAA8AAAAAAAAAAQAg&#10;AAAAIgAAAGRycy9kb3ducmV2LnhtbFBLAQIUABQAAAAIAIdO4kDqHYnD2AEAAMYDAAAOAAAAAAAA&#10;AAEAIAAAACQBAABkcnMvZTJvRG9jLnhtbFBLBQYAAAAABgAGAFkBAABuBQ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A602A"/>
    <w:multiLevelType w:val="singleLevel"/>
    <w:tmpl w:val="BBDA602A"/>
    <w:lvl w:ilvl="0" w:tentative="0">
      <w:start w:val="1"/>
      <w:numFmt w:val="chineseCounting"/>
      <w:suff w:val="nothing"/>
      <w:lvlText w:val="%1、"/>
      <w:lvlJc w:val="left"/>
      <w:rPr>
        <w:rFonts w:hint="eastAsia"/>
      </w:rPr>
    </w:lvl>
  </w:abstractNum>
  <w:abstractNum w:abstractNumId="1">
    <w:nsid w:val="FDAB0316"/>
    <w:multiLevelType w:val="singleLevel"/>
    <w:tmpl w:val="FDAB0316"/>
    <w:lvl w:ilvl="0" w:tentative="0">
      <w:start w:val="1"/>
      <w:numFmt w:val="decimal"/>
      <w:suff w:val="nothing"/>
      <w:lvlText w:val="%1、"/>
      <w:lvlJc w:val="left"/>
    </w:lvl>
  </w:abstractNum>
  <w:abstractNum w:abstractNumId="2">
    <w:nsid w:val="01472624"/>
    <w:multiLevelType w:val="multilevel"/>
    <w:tmpl w:val="01472624"/>
    <w:lvl w:ilvl="0" w:tentative="0">
      <w:start w:val="28"/>
      <w:numFmt w:val="decimal"/>
      <w:lvlText w:val="%1"/>
      <w:lvlJc w:val="left"/>
      <w:pPr>
        <w:ind w:left="528" w:hanging="531"/>
      </w:pPr>
      <w:rPr>
        <w:rFonts w:hint="default"/>
        <w:lang w:val="zh-CN" w:eastAsia="zh-CN" w:bidi="zh-CN"/>
      </w:rPr>
    </w:lvl>
    <w:lvl w:ilvl="1" w:tentative="0">
      <w:start w:val="1"/>
      <w:numFmt w:val="none"/>
      <w:lvlText w:val="30.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
    <w:nsid w:val="01B22FF8"/>
    <w:multiLevelType w:val="multilevel"/>
    <w:tmpl w:val="01B22FF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
    <w:nsid w:val="03370B84"/>
    <w:multiLevelType w:val="multilevel"/>
    <w:tmpl w:val="03370B84"/>
    <w:lvl w:ilvl="0" w:tentative="0">
      <w:start w:val="28"/>
      <w:numFmt w:val="decimal"/>
      <w:lvlText w:val="%1"/>
      <w:lvlJc w:val="left"/>
      <w:pPr>
        <w:ind w:left="528" w:hanging="531"/>
      </w:pPr>
      <w:rPr>
        <w:rFonts w:hint="default"/>
        <w:lang w:val="zh-CN" w:eastAsia="zh-CN" w:bidi="zh-CN"/>
      </w:rPr>
    </w:lvl>
    <w:lvl w:ilvl="1" w:tentative="0">
      <w:start w:val="1"/>
      <w:numFmt w:val="none"/>
      <w:lvlText w:val="30.8.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
    <w:nsid w:val="062F6F25"/>
    <w:multiLevelType w:val="multilevel"/>
    <w:tmpl w:val="062F6F2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
    <w:nsid w:val="06F16F3A"/>
    <w:multiLevelType w:val="multilevel"/>
    <w:tmpl w:val="06F16F3A"/>
    <w:lvl w:ilvl="0" w:tentative="0">
      <w:start w:val="34"/>
      <w:numFmt w:val="decimal"/>
      <w:lvlText w:val="%1"/>
      <w:lvlJc w:val="left"/>
      <w:pPr>
        <w:ind w:left="528" w:hanging="531"/>
      </w:pPr>
      <w:rPr>
        <w:rFonts w:hint="default"/>
        <w:lang w:val="zh-CN" w:eastAsia="zh-CN" w:bidi="zh-CN"/>
      </w:rPr>
    </w:lvl>
    <w:lvl w:ilvl="1" w:tentative="0">
      <w:start w:val="1"/>
      <w:numFmt w:val="none"/>
      <w:lvlText w:val="3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
    <w:nsid w:val="07D53A18"/>
    <w:multiLevelType w:val="multilevel"/>
    <w:tmpl w:val="07D53A18"/>
    <w:lvl w:ilvl="0" w:tentative="0">
      <w:start w:val="6"/>
      <w:numFmt w:val="decimal"/>
      <w:lvlText w:val="%1"/>
      <w:lvlJc w:val="left"/>
      <w:pPr>
        <w:ind w:left="528" w:hanging="375"/>
      </w:pPr>
      <w:rPr>
        <w:rFonts w:hint="default"/>
        <w:lang w:val="zh-CN" w:eastAsia="zh-CN" w:bidi="zh-CN"/>
      </w:rPr>
    </w:lvl>
    <w:lvl w:ilvl="1" w:tentative="0">
      <w:start w:val="1"/>
      <w:numFmt w:val="none"/>
      <w:lvlText w:val="7.3.2"/>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8">
    <w:nsid w:val="084B5FDC"/>
    <w:multiLevelType w:val="multilevel"/>
    <w:tmpl w:val="084B5FDC"/>
    <w:lvl w:ilvl="0" w:tentative="0">
      <w:start w:val="23"/>
      <w:numFmt w:val="decimal"/>
      <w:lvlText w:val="%1"/>
      <w:lvlJc w:val="left"/>
      <w:pPr>
        <w:ind w:left="528" w:hanging="507"/>
      </w:pPr>
      <w:rPr>
        <w:rFonts w:hint="default"/>
        <w:lang w:val="zh-CN" w:eastAsia="zh-CN" w:bidi="zh-CN"/>
      </w:rPr>
    </w:lvl>
    <w:lvl w:ilvl="1" w:tentative="0">
      <w:start w:val="1"/>
      <w:numFmt w:val="none"/>
      <w:lvlText w:val="23"/>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
    <w:nsid w:val="08874946"/>
    <w:multiLevelType w:val="multilevel"/>
    <w:tmpl w:val="08874946"/>
    <w:lvl w:ilvl="0" w:tentative="0">
      <w:start w:val="17"/>
      <w:numFmt w:val="decimal"/>
      <w:lvlText w:val="%1"/>
      <w:lvlJc w:val="left"/>
      <w:pPr>
        <w:ind w:left="528" w:hanging="531"/>
      </w:pPr>
      <w:rPr>
        <w:rFonts w:hint="default"/>
        <w:lang w:val="zh-CN" w:eastAsia="zh-CN" w:bidi="zh-CN"/>
      </w:rPr>
    </w:lvl>
    <w:lvl w:ilvl="1" w:tentative="0">
      <w:start w:val="1"/>
      <w:numFmt w:val="none"/>
      <w:lvlText w:val="17.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0">
    <w:nsid w:val="09BF152C"/>
    <w:multiLevelType w:val="multilevel"/>
    <w:tmpl w:val="09BF152C"/>
    <w:lvl w:ilvl="0" w:tentative="0">
      <w:start w:val="28"/>
      <w:numFmt w:val="decimal"/>
      <w:lvlText w:val="%1"/>
      <w:lvlJc w:val="left"/>
      <w:pPr>
        <w:ind w:left="528" w:hanging="531"/>
      </w:pPr>
      <w:rPr>
        <w:rFonts w:hint="default"/>
        <w:lang w:val="zh-CN" w:eastAsia="zh-CN" w:bidi="zh-CN"/>
      </w:rPr>
    </w:lvl>
    <w:lvl w:ilvl="1" w:tentative="0">
      <w:start w:val="1"/>
      <w:numFmt w:val="none"/>
      <w:lvlText w:val="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1">
    <w:nsid w:val="09DE4003"/>
    <w:multiLevelType w:val="multilevel"/>
    <w:tmpl w:val="09DE4003"/>
    <w:lvl w:ilvl="0" w:tentative="0">
      <w:start w:val="28"/>
      <w:numFmt w:val="decimal"/>
      <w:lvlText w:val="%1"/>
      <w:lvlJc w:val="left"/>
      <w:pPr>
        <w:ind w:left="528" w:hanging="531"/>
      </w:pPr>
      <w:rPr>
        <w:rFonts w:hint="default"/>
        <w:lang w:val="zh-CN" w:eastAsia="zh-CN" w:bidi="zh-CN"/>
      </w:rPr>
    </w:lvl>
    <w:lvl w:ilvl="1" w:tentative="0">
      <w:start w:val="1"/>
      <w:numFmt w:val="none"/>
      <w:lvlText w:val="30.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2">
    <w:nsid w:val="0AB3175D"/>
    <w:multiLevelType w:val="multilevel"/>
    <w:tmpl w:val="0AB3175D"/>
    <w:lvl w:ilvl="0" w:tentative="0">
      <w:start w:val="25"/>
      <w:numFmt w:val="decimal"/>
      <w:lvlText w:val="%1"/>
      <w:lvlJc w:val="left"/>
      <w:pPr>
        <w:ind w:left="1514" w:hanging="507"/>
      </w:pPr>
      <w:rPr>
        <w:rFonts w:hint="default"/>
        <w:lang w:val="zh-CN" w:eastAsia="zh-CN" w:bidi="zh-CN"/>
      </w:rPr>
    </w:lvl>
    <w:lvl w:ilvl="1" w:tentative="0">
      <w:start w:val="2"/>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3">
    <w:nsid w:val="0BC1130D"/>
    <w:multiLevelType w:val="multilevel"/>
    <w:tmpl w:val="0BC1130D"/>
    <w:lvl w:ilvl="0" w:tentative="0">
      <w:start w:val="34"/>
      <w:numFmt w:val="decimal"/>
      <w:lvlText w:val="%1"/>
      <w:lvlJc w:val="left"/>
      <w:pPr>
        <w:ind w:left="528" w:hanging="531"/>
      </w:pPr>
      <w:rPr>
        <w:rFonts w:hint="default"/>
        <w:lang w:val="zh-CN" w:eastAsia="zh-CN" w:bidi="zh-CN"/>
      </w:rPr>
    </w:lvl>
    <w:lvl w:ilvl="1" w:tentative="0">
      <w:start w:val="1"/>
      <w:numFmt w:val="none"/>
      <w:lvlText w:val="36.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4">
    <w:nsid w:val="0DAB1331"/>
    <w:multiLevelType w:val="multilevel"/>
    <w:tmpl w:val="0DAB1331"/>
    <w:lvl w:ilvl="0" w:tentative="0">
      <w:start w:val="34"/>
      <w:numFmt w:val="decimal"/>
      <w:lvlText w:val="%1"/>
      <w:lvlJc w:val="left"/>
      <w:pPr>
        <w:ind w:left="528" w:hanging="531"/>
      </w:pPr>
      <w:rPr>
        <w:rFonts w:hint="default"/>
        <w:lang w:val="zh-CN" w:eastAsia="zh-CN" w:bidi="zh-CN"/>
      </w:rPr>
    </w:lvl>
    <w:lvl w:ilvl="1" w:tentative="0">
      <w:start w:val="1"/>
      <w:numFmt w:val="none"/>
      <w:lvlText w:val="36.4.9"/>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
    <w:nsid w:val="0DE962E4"/>
    <w:multiLevelType w:val="multilevel"/>
    <w:tmpl w:val="0DE962E4"/>
    <w:lvl w:ilvl="0" w:tentative="0">
      <w:start w:val="34"/>
      <w:numFmt w:val="decimal"/>
      <w:lvlText w:val="%1"/>
      <w:lvlJc w:val="left"/>
      <w:pPr>
        <w:ind w:left="528" w:hanging="531"/>
      </w:pPr>
      <w:rPr>
        <w:rFonts w:hint="default"/>
        <w:lang w:val="zh-CN" w:eastAsia="zh-CN" w:bidi="zh-CN"/>
      </w:rPr>
    </w:lvl>
    <w:lvl w:ilvl="1" w:tentative="0">
      <w:start w:val="1"/>
      <w:numFmt w:val="none"/>
      <w:lvlText w:val="36.5.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
    <w:nsid w:val="0DFB121F"/>
    <w:multiLevelType w:val="multilevel"/>
    <w:tmpl w:val="0DFB121F"/>
    <w:lvl w:ilvl="0" w:tentative="0">
      <w:start w:val="14"/>
      <w:numFmt w:val="decimal"/>
      <w:lvlText w:val="%1"/>
      <w:lvlJc w:val="left"/>
      <w:pPr>
        <w:ind w:left="1514" w:hanging="507"/>
      </w:pPr>
      <w:rPr>
        <w:rFonts w:hint="default"/>
        <w:lang w:val="zh-CN" w:eastAsia="zh-CN" w:bidi="zh-CN"/>
      </w:rPr>
    </w:lvl>
    <w:lvl w:ilvl="1" w:tentative="0">
      <w:start w:val="1"/>
      <w:numFmt w:val="none"/>
      <w:lvlText w:val="15.6"/>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7">
    <w:nsid w:val="0E2F42D9"/>
    <w:multiLevelType w:val="multilevel"/>
    <w:tmpl w:val="0E2F42D9"/>
    <w:lvl w:ilvl="0" w:tentative="0">
      <w:start w:val="28"/>
      <w:numFmt w:val="decimal"/>
      <w:lvlText w:val="%1"/>
      <w:lvlJc w:val="left"/>
      <w:pPr>
        <w:ind w:left="528" w:hanging="531"/>
      </w:pPr>
      <w:rPr>
        <w:rFonts w:hint="default"/>
        <w:lang w:val="zh-CN" w:eastAsia="zh-CN" w:bidi="zh-CN"/>
      </w:rPr>
    </w:lvl>
    <w:lvl w:ilvl="1" w:tentative="0">
      <w:start w:val="1"/>
      <w:numFmt w:val="none"/>
      <w:lvlText w:val="30.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8">
    <w:nsid w:val="0E3B1D3C"/>
    <w:multiLevelType w:val="multilevel"/>
    <w:tmpl w:val="0E3B1D3C"/>
    <w:lvl w:ilvl="0" w:tentative="0">
      <w:start w:val="24"/>
      <w:numFmt w:val="decimal"/>
      <w:lvlText w:val="%1"/>
      <w:lvlJc w:val="left"/>
      <w:pPr>
        <w:ind w:left="528" w:hanging="531"/>
      </w:pPr>
      <w:rPr>
        <w:rFonts w:hint="default"/>
        <w:lang w:val="zh-CN" w:eastAsia="zh-CN" w:bidi="zh-CN"/>
      </w:rPr>
    </w:lvl>
    <w:lvl w:ilvl="1" w:tentative="0">
      <w:start w:val="1"/>
      <w:numFmt w:val="none"/>
      <w:lvlText w:val="2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9">
    <w:nsid w:val="1064704A"/>
    <w:multiLevelType w:val="multilevel"/>
    <w:tmpl w:val="1064704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0">
    <w:nsid w:val="10B63CEF"/>
    <w:multiLevelType w:val="multilevel"/>
    <w:tmpl w:val="10B63CEF"/>
    <w:lvl w:ilvl="0" w:tentative="0">
      <w:start w:val="30"/>
      <w:numFmt w:val="decimal"/>
      <w:lvlText w:val="%1"/>
      <w:lvlJc w:val="left"/>
      <w:pPr>
        <w:ind w:left="528" w:hanging="543"/>
      </w:pPr>
      <w:rPr>
        <w:rFonts w:hint="default"/>
        <w:lang w:val="zh-CN" w:eastAsia="zh-CN" w:bidi="zh-CN"/>
      </w:rPr>
    </w:lvl>
    <w:lvl w:ilvl="1" w:tentative="0">
      <w:start w:val="1"/>
      <w:numFmt w:val="none"/>
      <w:lvlText w:val="32.2"/>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21">
    <w:nsid w:val="115219E0"/>
    <w:multiLevelType w:val="multilevel"/>
    <w:tmpl w:val="115219E0"/>
    <w:lvl w:ilvl="0" w:tentative="0">
      <w:start w:val="18"/>
      <w:numFmt w:val="decimal"/>
      <w:lvlText w:val="%1"/>
      <w:lvlJc w:val="left"/>
      <w:pPr>
        <w:ind w:left="528" w:hanging="507"/>
      </w:pPr>
      <w:rPr>
        <w:rFonts w:hint="default"/>
        <w:lang w:val="zh-CN" w:eastAsia="zh-CN" w:bidi="zh-CN"/>
      </w:rPr>
    </w:lvl>
    <w:lvl w:ilvl="1" w:tentative="0">
      <w:start w:val="1"/>
      <w:numFmt w:val="none"/>
      <w:lvlText w:val="19.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2">
    <w:nsid w:val="11D142B9"/>
    <w:multiLevelType w:val="multilevel"/>
    <w:tmpl w:val="11D142B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3">
    <w:nsid w:val="12C12480"/>
    <w:multiLevelType w:val="multilevel"/>
    <w:tmpl w:val="12C12480"/>
    <w:lvl w:ilvl="0" w:tentative="0">
      <w:start w:val="28"/>
      <w:numFmt w:val="decimal"/>
      <w:lvlText w:val="%1"/>
      <w:lvlJc w:val="left"/>
      <w:pPr>
        <w:ind w:left="528" w:hanging="531"/>
      </w:pPr>
      <w:rPr>
        <w:rFonts w:hint="default"/>
        <w:lang w:val="zh-CN" w:eastAsia="zh-CN" w:bidi="zh-CN"/>
      </w:rPr>
    </w:lvl>
    <w:lvl w:ilvl="1" w:tentative="0">
      <w:start w:val="1"/>
      <w:numFmt w:val="none"/>
      <w:lvlText w:val="31.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24">
    <w:nsid w:val="135B4071"/>
    <w:multiLevelType w:val="multilevel"/>
    <w:tmpl w:val="135B4071"/>
    <w:lvl w:ilvl="0" w:tentative="0">
      <w:start w:val="18"/>
      <w:numFmt w:val="decimal"/>
      <w:lvlText w:val="%1"/>
      <w:lvlJc w:val="left"/>
      <w:pPr>
        <w:ind w:left="528" w:hanging="507"/>
      </w:pPr>
      <w:rPr>
        <w:rFonts w:hint="default"/>
        <w:lang w:val="zh-CN" w:eastAsia="zh-CN" w:bidi="zh-CN"/>
      </w:rPr>
    </w:lvl>
    <w:lvl w:ilvl="1" w:tentative="0">
      <w:start w:val="1"/>
      <w:numFmt w:val="none"/>
      <w:lvlText w:val="19.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25">
    <w:nsid w:val="13DB6558"/>
    <w:multiLevelType w:val="multilevel"/>
    <w:tmpl w:val="13DB655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6">
    <w:nsid w:val="14187EE0"/>
    <w:multiLevelType w:val="multilevel"/>
    <w:tmpl w:val="14187EE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7">
    <w:nsid w:val="16904410"/>
    <w:multiLevelType w:val="multilevel"/>
    <w:tmpl w:val="16904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28">
    <w:nsid w:val="16B7188D"/>
    <w:multiLevelType w:val="multilevel"/>
    <w:tmpl w:val="16B7188D"/>
    <w:lvl w:ilvl="0" w:tentative="0">
      <w:start w:val="33"/>
      <w:numFmt w:val="decimal"/>
      <w:lvlText w:val="%1"/>
      <w:lvlJc w:val="left"/>
      <w:pPr>
        <w:ind w:left="1505" w:hanging="507"/>
      </w:pPr>
      <w:rPr>
        <w:rFonts w:hint="default"/>
        <w:lang w:val="zh-CN" w:eastAsia="zh-CN" w:bidi="zh-CN"/>
      </w:rPr>
    </w:lvl>
    <w:lvl w:ilvl="1" w:tentative="0">
      <w:start w:val="1"/>
      <w:numFmt w:val="none"/>
      <w:lvlText w:val="36"/>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29">
    <w:nsid w:val="16DB787C"/>
    <w:multiLevelType w:val="multilevel"/>
    <w:tmpl w:val="16DB787C"/>
    <w:lvl w:ilvl="0" w:tentative="0">
      <w:start w:val="28"/>
      <w:numFmt w:val="decimal"/>
      <w:lvlText w:val="%1"/>
      <w:lvlJc w:val="left"/>
      <w:pPr>
        <w:ind w:left="528" w:hanging="531"/>
      </w:pPr>
      <w:rPr>
        <w:rFonts w:hint="default"/>
        <w:lang w:val="zh-CN" w:eastAsia="zh-CN" w:bidi="zh-CN"/>
      </w:rPr>
    </w:lvl>
    <w:lvl w:ilvl="1" w:tentative="0">
      <w:start w:val="1"/>
      <w:numFmt w:val="none"/>
      <w:lvlText w:val="30.9.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0">
    <w:nsid w:val="17206139"/>
    <w:multiLevelType w:val="multilevel"/>
    <w:tmpl w:val="17206139"/>
    <w:lvl w:ilvl="0" w:tentative="0">
      <w:start w:val="18"/>
      <w:numFmt w:val="decimal"/>
      <w:lvlText w:val="%1"/>
      <w:lvlJc w:val="left"/>
      <w:pPr>
        <w:ind w:left="528" w:hanging="507"/>
      </w:pPr>
      <w:rPr>
        <w:rFonts w:hint="default"/>
        <w:lang w:val="zh-CN" w:eastAsia="zh-CN" w:bidi="zh-CN"/>
      </w:rPr>
    </w:lvl>
    <w:lvl w:ilvl="1" w:tentative="0">
      <w:start w:val="1"/>
      <w:numFmt w:val="none"/>
      <w:lvlText w:val="20.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1">
    <w:nsid w:val="186C1DE2"/>
    <w:multiLevelType w:val="multilevel"/>
    <w:tmpl w:val="186C1DE2"/>
    <w:lvl w:ilvl="0" w:tentative="0">
      <w:start w:val="34"/>
      <w:numFmt w:val="decimal"/>
      <w:lvlText w:val="%1"/>
      <w:lvlJc w:val="left"/>
      <w:pPr>
        <w:ind w:left="528" w:hanging="531"/>
      </w:pPr>
      <w:rPr>
        <w:rFonts w:hint="default"/>
        <w:lang w:val="zh-CN" w:eastAsia="zh-CN" w:bidi="zh-CN"/>
      </w:rPr>
    </w:lvl>
    <w:lvl w:ilvl="1" w:tentative="0">
      <w:start w:val="1"/>
      <w:numFmt w:val="none"/>
      <w:lvlText w:val="36.9.3"/>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2">
    <w:nsid w:val="18890540"/>
    <w:multiLevelType w:val="multilevel"/>
    <w:tmpl w:val="18890540"/>
    <w:lvl w:ilvl="0" w:tentative="0">
      <w:start w:val="18"/>
      <w:numFmt w:val="decimal"/>
      <w:lvlText w:val="%1"/>
      <w:lvlJc w:val="left"/>
      <w:pPr>
        <w:ind w:left="528" w:hanging="507"/>
      </w:pPr>
      <w:rPr>
        <w:rFonts w:hint="default"/>
        <w:lang w:val="zh-CN" w:eastAsia="zh-CN" w:bidi="zh-CN"/>
      </w:rPr>
    </w:lvl>
    <w:lvl w:ilvl="1" w:tentative="0">
      <w:start w:val="1"/>
      <w:numFmt w:val="none"/>
      <w:lvlText w:val="20.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33">
    <w:nsid w:val="1A7539B6"/>
    <w:multiLevelType w:val="multilevel"/>
    <w:tmpl w:val="1A7539B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4">
    <w:nsid w:val="1B194483"/>
    <w:multiLevelType w:val="multilevel"/>
    <w:tmpl w:val="1B194483"/>
    <w:lvl w:ilvl="0" w:tentative="0">
      <w:start w:val="34"/>
      <w:numFmt w:val="decimal"/>
      <w:lvlText w:val="%1"/>
      <w:lvlJc w:val="left"/>
      <w:pPr>
        <w:ind w:left="528" w:hanging="531"/>
      </w:pPr>
      <w:rPr>
        <w:rFonts w:hint="default"/>
        <w:lang w:val="zh-CN" w:eastAsia="zh-CN" w:bidi="zh-CN"/>
      </w:rPr>
    </w:lvl>
    <w:lvl w:ilvl="1" w:tentative="0">
      <w:start w:val="1"/>
      <w:numFmt w:val="none"/>
      <w:lvlText w:val="36.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5">
    <w:nsid w:val="1DF913EB"/>
    <w:multiLevelType w:val="multilevel"/>
    <w:tmpl w:val="1DF913EB"/>
    <w:lvl w:ilvl="0" w:tentative="0">
      <w:start w:val="34"/>
      <w:numFmt w:val="decimal"/>
      <w:lvlText w:val="%1"/>
      <w:lvlJc w:val="left"/>
      <w:pPr>
        <w:ind w:left="528" w:hanging="531"/>
      </w:pPr>
      <w:rPr>
        <w:rFonts w:hint="default"/>
        <w:lang w:val="zh-CN" w:eastAsia="zh-CN" w:bidi="zh-CN"/>
      </w:rPr>
    </w:lvl>
    <w:lvl w:ilvl="1" w:tentative="0">
      <w:start w:val="1"/>
      <w:numFmt w:val="none"/>
      <w:lvlText w:val="38.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6">
    <w:nsid w:val="1E5136DB"/>
    <w:multiLevelType w:val="multilevel"/>
    <w:tmpl w:val="1E5136DB"/>
    <w:lvl w:ilvl="0" w:tentative="0">
      <w:start w:val="28"/>
      <w:numFmt w:val="decimal"/>
      <w:lvlText w:val="%1"/>
      <w:lvlJc w:val="left"/>
      <w:pPr>
        <w:ind w:left="528" w:hanging="531"/>
      </w:pPr>
      <w:rPr>
        <w:rFonts w:hint="default"/>
        <w:lang w:val="zh-CN" w:eastAsia="zh-CN" w:bidi="zh-CN"/>
      </w:rPr>
    </w:lvl>
    <w:lvl w:ilvl="1" w:tentative="0">
      <w:start w:val="1"/>
      <w:numFmt w:val="none"/>
      <w:lvlText w:val="3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37">
    <w:nsid w:val="1E8630DC"/>
    <w:multiLevelType w:val="multilevel"/>
    <w:tmpl w:val="1E8630DC"/>
    <w:lvl w:ilvl="0" w:tentative="0">
      <w:start w:val="34"/>
      <w:numFmt w:val="decimal"/>
      <w:lvlText w:val="%1"/>
      <w:lvlJc w:val="left"/>
      <w:pPr>
        <w:ind w:left="528" w:hanging="531"/>
      </w:pPr>
      <w:rPr>
        <w:rFonts w:hint="default"/>
        <w:lang w:val="zh-CN" w:eastAsia="zh-CN" w:bidi="zh-CN"/>
      </w:rPr>
    </w:lvl>
    <w:lvl w:ilvl="1" w:tentative="0">
      <w:start w:val="1"/>
      <w:numFmt w:val="none"/>
      <w:lvlText w:val="36.5.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38">
    <w:nsid w:val="1E8C0B24"/>
    <w:multiLevelType w:val="multilevel"/>
    <w:tmpl w:val="1E8C0B2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39">
    <w:nsid w:val="1F400B39"/>
    <w:multiLevelType w:val="multilevel"/>
    <w:tmpl w:val="1F400B39"/>
    <w:lvl w:ilvl="0" w:tentative="0">
      <w:start w:val="6"/>
      <w:numFmt w:val="decimal"/>
      <w:lvlText w:val="%1"/>
      <w:lvlJc w:val="left"/>
      <w:pPr>
        <w:ind w:left="528" w:hanging="375"/>
      </w:pPr>
      <w:rPr>
        <w:rFonts w:hint="default"/>
        <w:lang w:val="zh-CN" w:eastAsia="zh-CN" w:bidi="zh-CN"/>
      </w:rPr>
    </w:lvl>
    <w:lvl w:ilvl="1" w:tentative="0">
      <w:start w:val="1"/>
      <w:numFmt w:val="none"/>
      <w:lvlText w:val="7.3.6"/>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0">
    <w:nsid w:val="1FF22BEA"/>
    <w:multiLevelType w:val="multilevel"/>
    <w:tmpl w:val="1FF22BEA"/>
    <w:lvl w:ilvl="0" w:tentative="0">
      <w:start w:val="6"/>
      <w:numFmt w:val="decimal"/>
      <w:lvlText w:val="%1"/>
      <w:lvlJc w:val="left"/>
      <w:pPr>
        <w:ind w:left="528" w:hanging="375"/>
      </w:pPr>
      <w:rPr>
        <w:rFonts w:hint="default"/>
        <w:lang w:val="zh-CN" w:eastAsia="zh-CN" w:bidi="zh-CN"/>
      </w:rPr>
    </w:lvl>
    <w:lvl w:ilvl="1" w:tentative="0">
      <w:start w:val="1"/>
      <w:numFmt w:val="none"/>
      <w:lvlText w:val="7.3.5"/>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41">
    <w:nsid w:val="1FF7067A"/>
    <w:multiLevelType w:val="multilevel"/>
    <w:tmpl w:val="1FF7067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2">
    <w:nsid w:val="20871CEA"/>
    <w:multiLevelType w:val="multilevel"/>
    <w:tmpl w:val="20871CEA"/>
    <w:lvl w:ilvl="0" w:tentative="0">
      <w:start w:val="34"/>
      <w:numFmt w:val="decimal"/>
      <w:lvlText w:val="%1"/>
      <w:lvlJc w:val="left"/>
      <w:pPr>
        <w:ind w:left="528" w:hanging="531"/>
      </w:pPr>
      <w:rPr>
        <w:rFonts w:hint="default"/>
        <w:lang w:val="zh-CN" w:eastAsia="zh-CN" w:bidi="zh-CN"/>
      </w:rPr>
    </w:lvl>
    <w:lvl w:ilvl="1" w:tentative="0">
      <w:start w:val="1"/>
      <w:numFmt w:val="none"/>
      <w:lvlText w:val="36.9.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3">
    <w:nsid w:val="20FF1279"/>
    <w:multiLevelType w:val="multilevel"/>
    <w:tmpl w:val="20FF127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44">
    <w:nsid w:val="213D637C"/>
    <w:multiLevelType w:val="multilevel"/>
    <w:tmpl w:val="213D637C"/>
    <w:lvl w:ilvl="0" w:tentative="0">
      <w:start w:val="34"/>
      <w:numFmt w:val="decimal"/>
      <w:lvlText w:val="%1"/>
      <w:lvlJc w:val="left"/>
      <w:pPr>
        <w:ind w:left="528" w:hanging="531"/>
      </w:pPr>
      <w:rPr>
        <w:rFonts w:hint="default"/>
        <w:lang w:val="zh-CN" w:eastAsia="zh-CN" w:bidi="zh-CN"/>
      </w:rPr>
    </w:lvl>
    <w:lvl w:ilvl="1" w:tentative="0">
      <w:start w:val="1"/>
      <w:numFmt w:val="none"/>
      <w:lvlText w:val="36.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5">
    <w:nsid w:val="22A67624"/>
    <w:multiLevelType w:val="multilevel"/>
    <w:tmpl w:val="22A67624"/>
    <w:lvl w:ilvl="0" w:tentative="0">
      <w:start w:val="34"/>
      <w:numFmt w:val="decimal"/>
      <w:lvlText w:val="%1"/>
      <w:lvlJc w:val="left"/>
      <w:pPr>
        <w:ind w:left="528" w:hanging="531"/>
      </w:pPr>
      <w:rPr>
        <w:rFonts w:hint="default"/>
        <w:lang w:val="zh-CN" w:eastAsia="zh-CN" w:bidi="zh-CN"/>
      </w:rPr>
    </w:lvl>
    <w:lvl w:ilvl="1" w:tentative="0">
      <w:start w:val="1"/>
      <w:numFmt w:val="none"/>
      <w:lvlText w:val="36.4.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6">
    <w:nsid w:val="23577EF5"/>
    <w:multiLevelType w:val="multilevel"/>
    <w:tmpl w:val="23577EF5"/>
    <w:lvl w:ilvl="0" w:tentative="0">
      <w:start w:val="34"/>
      <w:numFmt w:val="decimal"/>
      <w:lvlText w:val="%1"/>
      <w:lvlJc w:val="left"/>
      <w:pPr>
        <w:ind w:left="528" w:hanging="531"/>
      </w:pPr>
      <w:rPr>
        <w:rFonts w:hint="default"/>
        <w:lang w:val="zh-CN" w:eastAsia="zh-CN" w:bidi="zh-CN"/>
      </w:rPr>
    </w:lvl>
    <w:lvl w:ilvl="1" w:tentative="0">
      <w:start w:val="1"/>
      <w:numFmt w:val="none"/>
      <w:lvlText w:val="37.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7">
    <w:nsid w:val="24F44DB4"/>
    <w:multiLevelType w:val="multilevel"/>
    <w:tmpl w:val="24F44DB4"/>
    <w:lvl w:ilvl="0" w:tentative="0">
      <w:start w:val="28"/>
      <w:numFmt w:val="decimal"/>
      <w:lvlText w:val="%1"/>
      <w:lvlJc w:val="left"/>
      <w:pPr>
        <w:ind w:left="528" w:hanging="531"/>
      </w:pPr>
      <w:rPr>
        <w:rFonts w:hint="default"/>
        <w:lang w:val="zh-CN" w:eastAsia="zh-CN" w:bidi="zh-CN"/>
      </w:rPr>
    </w:lvl>
    <w:lvl w:ilvl="1" w:tentative="0">
      <w:start w:val="1"/>
      <w:numFmt w:val="none"/>
      <w:lvlText w:val="30.9.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48">
    <w:nsid w:val="25340488"/>
    <w:multiLevelType w:val="multilevel"/>
    <w:tmpl w:val="25340488"/>
    <w:lvl w:ilvl="0" w:tentative="0">
      <w:start w:val="34"/>
      <w:numFmt w:val="decimal"/>
      <w:lvlText w:val="%1"/>
      <w:lvlJc w:val="left"/>
      <w:pPr>
        <w:ind w:left="528" w:hanging="531"/>
      </w:pPr>
      <w:rPr>
        <w:rFonts w:hint="default"/>
        <w:lang w:val="zh-CN" w:eastAsia="zh-CN" w:bidi="zh-CN"/>
      </w:rPr>
    </w:lvl>
    <w:lvl w:ilvl="1" w:tentative="0">
      <w:start w:val="1"/>
      <w:numFmt w:val="none"/>
      <w:lvlText w:val="36.5.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49">
    <w:nsid w:val="25BF55E3"/>
    <w:multiLevelType w:val="multilevel"/>
    <w:tmpl w:val="25BF55E3"/>
    <w:lvl w:ilvl="0" w:tentative="0">
      <w:start w:val="15"/>
      <w:numFmt w:val="decimal"/>
      <w:lvlText w:val="%1"/>
      <w:lvlJc w:val="left"/>
      <w:pPr>
        <w:ind w:left="528" w:hanging="531"/>
      </w:pPr>
      <w:rPr>
        <w:rFonts w:hint="default" w:ascii="Times New Roman" w:hAnsi="Times New Roman"/>
        <w:sz w:val="21"/>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0">
    <w:nsid w:val="26D27A40"/>
    <w:multiLevelType w:val="multilevel"/>
    <w:tmpl w:val="26D27A40"/>
    <w:lvl w:ilvl="0" w:tentative="0">
      <w:start w:val="30"/>
      <w:numFmt w:val="decimal"/>
      <w:lvlText w:val="%1"/>
      <w:lvlJc w:val="left"/>
      <w:pPr>
        <w:ind w:left="528" w:hanging="543"/>
      </w:pPr>
      <w:rPr>
        <w:rFonts w:hint="default"/>
        <w:lang w:val="zh-CN" w:eastAsia="zh-CN" w:bidi="zh-CN"/>
      </w:rPr>
    </w:lvl>
    <w:lvl w:ilvl="1" w:tentative="0">
      <w:start w:val="1"/>
      <w:numFmt w:val="none"/>
      <w:lvlText w:val="34"/>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51">
    <w:nsid w:val="26E67995"/>
    <w:multiLevelType w:val="multilevel"/>
    <w:tmpl w:val="26E67995"/>
    <w:lvl w:ilvl="0" w:tentative="0">
      <w:start w:val="34"/>
      <w:numFmt w:val="decimal"/>
      <w:lvlText w:val="%1"/>
      <w:lvlJc w:val="left"/>
      <w:pPr>
        <w:ind w:left="528" w:hanging="531"/>
      </w:pPr>
      <w:rPr>
        <w:rFonts w:hint="default"/>
        <w:lang w:val="zh-CN" w:eastAsia="zh-CN" w:bidi="zh-CN"/>
      </w:rPr>
    </w:lvl>
    <w:lvl w:ilvl="1" w:tentative="0">
      <w:start w:val="1"/>
      <w:numFmt w:val="none"/>
      <w:lvlText w:val="36.4.1"/>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52">
    <w:nsid w:val="279E1381"/>
    <w:multiLevelType w:val="multilevel"/>
    <w:tmpl w:val="279E1381"/>
    <w:lvl w:ilvl="0" w:tentative="0">
      <w:start w:val="32"/>
      <w:numFmt w:val="decimal"/>
      <w:lvlText w:val="%1"/>
      <w:lvlJc w:val="left"/>
      <w:pPr>
        <w:ind w:left="528" w:hanging="531"/>
      </w:pPr>
      <w:rPr>
        <w:rFonts w:hint="default"/>
        <w:lang w:val="zh-CN" w:eastAsia="zh-CN" w:bidi="zh-CN"/>
      </w:rPr>
    </w:lvl>
    <w:lvl w:ilvl="1" w:tentative="0">
      <w:start w:val="1"/>
      <w:numFmt w:val="none"/>
      <w:lvlText w:val="34.2"/>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3">
    <w:nsid w:val="28C7266F"/>
    <w:multiLevelType w:val="multilevel"/>
    <w:tmpl w:val="28C7266F"/>
    <w:lvl w:ilvl="0" w:tentative="0">
      <w:start w:val="28"/>
      <w:numFmt w:val="decimal"/>
      <w:lvlText w:val="%1"/>
      <w:lvlJc w:val="left"/>
      <w:pPr>
        <w:ind w:left="528" w:hanging="531"/>
      </w:pPr>
      <w:rPr>
        <w:rFonts w:hint="default"/>
        <w:lang w:val="zh-CN" w:eastAsia="zh-CN" w:bidi="zh-CN"/>
      </w:rPr>
    </w:lvl>
    <w:lvl w:ilvl="1" w:tentative="0">
      <w:start w:val="1"/>
      <w:numFmt w:val="none"/>
      <w:lvlText w:val="30.9.7"/>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4">
    <w:nsid w:val="29DE6A8D"/>
    <w:multiLevelType w:val="multilevel"/>
    <w:tmpl w:val="29DE6A8D"/>
    <w:lvl w:ilvl="0" w:tentative="0">
      <w:start w:val="28"/>
      <w:numFmt w:val="decimal"/>
      <w:lvlText w:val="%1"/>
      <w:lvlJc w:val="left"/>
      <w:pPr>
        <w:ind w:left="528" w:hanging="531"/>
      </w:pPr>
      <w:rPr>
        <w:rFonts w:hint="default"/>
        <w:lang w:val="zh-CN" w:eastAsia="zh-CN" w:bidi="zh-CN"/>
      </w:rPr>
    </w:lvl>
    <w:lvl w:ilvl="1" w:tentative="0">
      <w:start w:val="1"/>
      <w:numFmt w:val="none"/>
      <w:lvlText w:val="30.6"/>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5">
    <w:nsid w:val="2C986BD6"/>
    <w:multiLevelType w:val="multilevel"/>
    <w:tmpl w:val="2C986BD6"/>
    <w:lvl w:ilvl="0" w:tentative="0">
      <w:start w:val="28"/>
      <w:numFmt w:val="decimal"/>
      <w:lvlText w:val="%1"/>
      <w:lvlJc w:val="left"/>
      <w:pPr>
        <w:ind w:left="528" w:hanging="531"/>
      </w:pPr>
      <w:rPr>
        <w:rFonts w:hint="default"/>
        <w:lang w:val="zh-CN" w:eastAsia="zh-CN" w:bidi="zh-CN"/>
      </w:rPr>
    </w:lvl>
    <w:lvl w:ilvl="1" w:tentative="0">
      <w:start w:val="1"/>
      <w:numFmt w:val="none"/>
      <w:lvlText w:val="30.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56">
    <w:nsid w:val="2E302A13"/>
    <w:multiLevelType w:val="multilevel"/>
    <w:tmpl w:val="2E302A13"/>
    <w:lvl w:ilvl="0" w:tentative="0">
      <w:start w:val="32"/>
      <w:numFmt w:val="decimal"/>
      <w:lvlText w:val="%1"/>
      <w:lvlJc w:val="left"/>
      <w:pPr>
        <w:ind w:left="528" w:hanging="531"/>
      </w:pPr>
      <w:rPr>
        <w:rFonts w:hint="default"/>
        <w:lang w:val="zh-CN" w:eastAsia="zh-CN" w:bidi="zh-CN"/>
      </w:rPr>
    </w:lvl>
    <w:lvl w:ilvl="1" w:tentative="0">
      <w:start w:val="1"/>
      <w:numFmt w:val="none"/>
      <w:lvlText w:val="34.4"/>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57">
    <w:nsid w:val="2E372C0F"/>
    <w:multiLevelType w:val="multilevel"/>
    <w:tmpl w:val="2E372C0F"/>
    <w:lvl w:ilvl="0" w:tentative="0">
      <w:start w:val="6"/>
      <w:numFmt w:val="decimal"/>
      <w:lvlText w:val="%1"/>
      <w:lvlJc w:val="left"/>
      <w:pPr>
        <w:ind w:left="528" w:hanging="375"/>
      </w:pPr>
      <w:rPr>
        <w:rFonts w:hint="default"/>
        <w:lang w:val="zh-CN" w:eastAsia="zh-CN" w:bidi="zh-CN"/>
      </w:rPr>
    </w:lvl>
    <w:lvl w:ilvl="1" w:tentative="0">
      <w:start w:val="1"/>
      <w:numFmt w:val="none"/>
      <w:lvlText w:val="7.3.4"/>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58">
    <w:nsid w:val="2EC91641"/>
    <w:multiLevelType w:val="multilevel"/>
    <w:tmpl w:val="2EC91641"/>
    <w:lvl w:ilvl="0" w:tentative="0">
      <w:start w:val="1"/>
      <w:numFmt w:val="japaneseCounting"/>
      <w:lvlText w:val="第%1章"/>
      <w:lvlJc w:val="left"/>
      <w:pPr>
        <w:ind w:left="4460" w:hanging="1080"/>
      </w:pPr>
      <w:rPr>
        <w:rFonts w:hint="default" w:eastAsia="Noto Sans Mono CJK JP Regular"/>
      </w:rPr>
    </w:lvl>
    <w:lvl w:ilvl="1" w:tentative="0">
      <w:start w:val="1"/>
      <w:numFmt w:val="lowerLetter"/>
      <w:lvlText w:val="%2)"/>
      <w:lvlJc w:val="left"/>
      <w:pPr>
        <w:ind w:left="4220" w:hanging="420"/>
      </w:pPr>
    </w:lvl>
    <w:lvl w:ilvl="2" w:tentative="0">
      <w:start w:val="1"/>
      <w:numFmt w:val="lowerRoman"/>
      <w:lvlText w:val="%3."/>
      <w:lvlJc w:val="right"/>
      <w:pPr>
        <w:ind w:left="4640" w:hanging="420"/>
      </w:pPr>
    </w:lvl>
    <w:lvl w:ilvl="3" w:tentative="0">
      <w:start w:val="1"/>
      <w:numFmt w:val="decimal"/>
      <w:lvlText w:val="%4."/>
      <w:lvlJc w:val="left"/>
      <w:pPr>
        <w:ind w:left="5060" w:hanging="420"/>
      </w:pPr>
    </w:lvl>
    <w:lvl w:ilvl="4" w:tentative="0">
      <w:start w:val="1"/>
      <w:numFmt w:val="lowerLetter"/>
      <w:lvlText w:val="%5)"/>
      <w:lvlJc w:val="left"/>
      <w:pPr>
        <w:ind w:left="5480" w:hanging="420"/>
      </w:pPr>
    </w:lvl>
    <w:lvl w:ilvl="5" w:tentative="0">
      <w:start w:val="1"/>
      <w:numFmt w:val="lowerRoman"/>
      <w:lvlText w:val="%6."/>
      <w:lvlJc w:val="right"/>
      <w:pPr>
        <w:ind w:left="5900" w:hanging="420"/>
      </w:pPr>
    </w:lvl>
    <w:lvl w:ilvl="6" w:tentative="0">
      <w:start w:val="1"/>
      <w:numFmt w:val="decimal"/>
      <w:lvlText w:val="%7."/>
      <w:lvlJc w:val="left"/>
      <w:pPr>
        <w:ind w:left="6320" w:hanging="420"/>
      </w:pPr>
    </w:lvl>
    <w:lvl w:ilvl="7" w:tentative="0">
      <w:start w:val="1"/>
      <w:numFmt w:val="lowerLetter"/>
      <w:lvlText w:val="%8)"/>
      <w:lvlJc w:val="left"/>
      <w:pPr>
        <w:ind w:left="6740" w:hanging="420"/>
      </w:pPr>
    </w:lvl>
    <w:lvl w:ilvl="8" w:tentative="0">
      <w:start w:val="1"/>
      <w:numFmt w:val="lowerRoman"/>
      <w:lvlText w:val="%9."/>
      <w:lvlJc w:val="right"/>
      <w:pPr>
        <w:ind w:left="7160" w:hanging="420"/>
      </w:pPr>
    </w:lvl>
  </w:abstractNum>
  <w:abstractNum w:abstractNumId="59">
    <w:nsid w:val="2FEA4DC6"/>
    <w:multiLevelType w:val="multilevel"/>
    <w:tmpl w:val="2FEA4DC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0">
    <w:nsid w:val="3102550A"/>
    <w:multiLevelType w:val="multilevel"/>
    <w:tmpl w:val="3102550A"/>
    <w:lvl w:ilvl="0" w:tentative="0">
      <w:start w:val="18"/>
      <w:numFmt w:val="decimal"/>
      <w:lvlText w:val="%1"/>
      <w:lvlJc w:val="left"/>
      <w:pPr>
        <w:ind w:left="528" w:hanging="507"/>
      </w:pPr>
      <w:rPr>
        <w:rFonts w:hint="default"/>
        <w:lang w:val="zh-CN" w:eastAsia="zh-CN" w:bidi="zh-CN"/>
      </w:rPr>
    </w:lvl>
    <w:lvl w:ilvl="1" w:tentative="0">
      <w:start w:val="1"/>
      <w:numFmt w:val="none"/>
      <w:lvlText w:val="18.8"/>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1">
    <w:nsid w:val="31EA1686"/>
    <w:multiLevelType w:val="multilevel"/>
    <w:tmpl w:val="31EA1686"/>
    <w:lvl w:ilvl="0" w:tentative="0">
      <w:start w:val="18"/>
      <w:numFmt w:val="decimal"/>
      <w:lvlText w:val="%1"/>
      <w:lvlJc w:val="left"/>
      <w:pPr>
        <w:ind w:left="528" w:hanging="507"/>
      </w:pPr>
      <w:rPr>
        <w:rFonts w:hint="default"/>
        <w:lang w:val="zh-CN" w:eastAsia="zh-CN" w:bidi="zh-CN"/>
      </w:rPr>
    </w:lvl>
    <w:lvl w:ilvl="1" w:tentative="0">
      <w:start w:val="1"/>
      <w:numFmt w:val="none"/>
      <w:lvlText w:val="18.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62">
    <w:nsid w:val="3262212A"/>
    <w:multiLevelType w:val="multilevel"/>
    <w:tmpl w:val="3262212A"/>
    <w:lvl w:ilvl="0" w:tentative="0">
      <w:start w:val="12"/>
      <w:numFmt w:val="decimal"/>
      <w:lvlText w:val="%1"/>
      <w:lvlJc w:val="left"/>
      <w:pPr>
        <w:ind w:left="1514" w:hanging="507"/>
      </w:pPr>
      <w:rPr>
        <w:rFonts w:hint="default"/>
        <w:lang w:val="zh-CN" w:eastAsia="zh-CN" w:bidi="zh-CN"/>
      </w:rPr>
    </w:lvl>
    <w:lvl w:ilvl="1" w:tentative="0">
      <w:start w:val="1"/>
      <w:numFmt w:val="decimal"/>
      <w:lvlText w:val="%1.%2"/>
      <w:lvlJc w:val="left"/>
      <w:pPr>
        <w:ind w:left="1514" w:hanging="507"/>
      </w:pPr>
      <w:rPr>
        <w:rFonts w:hint="default" w:ascii="Times New Roman" w:hAnsi="Times New Roman" w:eastAsia="Times New Roman"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Times New Roman"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63">
    <w:nsid w:val="32C4548E"/>
    <w:multiLevelType w:val="multilevel"/>
    <w:tmpl w:val="32C4548E"/>
    <w:lvl w:ilvl="0" w:tentative="0">
      <w:start w:val="28"/>
      <w:numFmt w:val="decimal"/>
      <w:lvlText w:val="%1"/>
      <w:lvlJc w:val="left"/>
      <w:pPr>
        <w:ind w:left="528" w:hanging="531"/>
      </w:pPr>
      <w:rPr>
        <w:rFonts w:hint="default"/>
        <w:lang w:val="zh-CN" w:eastAsia="zh-CN" w:bidi="zh-CN"/>
      </w:rPr>
    </w:lvl>
    <w:lvl w:ilvl="1" w:tentative="0">
      <w:start w:val="1"/>
      <w:numFmt w:val="none"/>
      <w:lvlText w:val="30.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4">
    <w:nsid w:val="33144023"/>
    <w:multiLevelType w:val="multilevel"/>
    <w:tmpl w:val="33144023"/>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65">
    <w:nsid w:val="33627153"/>
    <w:multiLevelType w:val="multilevel"/>
    <w:tmpl w:val="33627153"/>
    <w:lvl w:ilvl="0" w:tentative="0">
      <w:start w:val="28"/>
      <w:numFmt w:val="decimal"/>
      <w:lvlText w:val="%1"/>
      <w:lvlJc w:val="left"/>
      <w:pPr>
        <w:ind w:left="528" w:hanging="531"/>
      </w:pPr>
      <w:rPr>
        <w:rFonts w:hint="default"/>
        <w:lang w:val="zh-CN" w:eastAsia="zh-CN" w:bidi="zh-CN"/>
      </w:rPr>
    </w:lvl>
    <w:lvl w:ilvl="1" w:tentative="0">
      <w:start w:val="1"/>
      <w:numFmt w:val="none"/>
      <w:lvlText w:val="30.9.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6">
    <w:nsid w:val="337978B1"/>
    <w:multiLevelType w:val="multilevel"/>
    <w:tmpl w:val="337978B1"/>
    <w:lvl w:ilvl="0" w:tentative="0">
      <w:start w:val="15"/>
      <w:numFmt w:val="decimal"/>
      <w:lvlText w:val="%1"/>
      <w:lvlJc w:val="left"/>
      <w:pPr>
        <w:ind w:left="528" w:hanging="531"/>
      </w:pPr>
      <w:rPr>
        <w:rFonts w:hint="default" w:ascii="Times New Roman" w:hAnsi="Times New Roman"/>
        <w:sz w:val="21"/>
      </w:rPr>
    </w:lvl>
    <w:lvl w:ilvl="1" w:tentative="0">
      <w:start w:val="4"/>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67">
    <w:nsid w:val="3582FEF4"/>
    <w:multiLevelType w:val="singleLevel"/>
    <w:tmpl w:val="3582FEF4"/>
    <w:lvl w:ilvl="0" w:tentative="0">
      <w:start w:val="6"/>
      <w:numFmt w:val="chineseCounting"/>
      <w:suff w:val="space"/>
      <w:lvlText w:val="第%1章"/>
      <w:lvlJc w:val="left"/>
      <w:rPr>
        <w:rFonts w:hint="eastAsia"/>
      </w:rPr>
    </w:lvl>
  </w:abstractNum>
  <w:abstractNum w:abstractNumId="68">
    <w:nsid w:val="35B06053"/>
    <w:multiLevelType w:val="multilevel"/>
    <w:tmpl w:val="35B06053"/>
    <w:lvl w:ilvl="0" w:tentative="0">
      <w:start w:val="28"/>
      <w:numFmt w:val="decimal"/>
      <w:lvlText w:val="%1"/>
      <w:lvlJc w:val="left"/>
      <w:pPr>
        <w:ind w:left="528" w:hanging="531"/>
      </w:pPr>
      <w:rPr>
        <w:rFonts w:hint="default"/>
        <w:lang w:val="zh-CN" w:eastAsia="zh-CN" w:bidi="zh-CN"/>
      </w:rPr>
    </w:lvl>
    <w:lvl w:ilvl="1" w:tentative="0">
      <w:start w:val="1"/>
      <w:numFmt w:val="none"/>
      <w:lvlText w:val="32.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69">
    <w:nsid w:val="362E47DE"/>
    <w:multiLevelType w:val="multilevel"/>
    <w:tmpl w:val="362E47DE"/>
    <w:lvl w:ilvl="0" w:tentative="0">
      <w:start w:val="28"/>
      <w:numFmt w:val="decimal"/>
      <w:lvlText w:val="%1"/>
      <w:lvlJc w:val="left"/>
      <w:pPr>
        <w:ind w:left="528" w:hanging="531"/>
      </w:pPr>
      <w:rPr>
        <w:rFonts w:hint="default"/>
        <w:lang w:val="zh-CN" w:eastAsia="zh-CN" w:bidi="zh-CN"/>
      </w:rPr>
    </w:lvl>
    <w:lvl w:ilvl="1" w:tentative="0">
      <w:start w:val="1"/>
      <w:numFmt w:val="none"/>
      <w:lvlText w:val="30.9"/>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70">
    <w:nsid w:val="37B60C35"/>
    <w:multiLevelType w:val="multilevel"/>
    <w:tmpl w:val="37B60C35"/>
    <w:lvl w:ilvl="0" w:tentative="0">
      <w:start w:val="6"/>
      <w:numFmt w:val="decimal"/>
      <w:lvlText w:val="%1"/>
      <w:lvlJc w:val="left"/>
      <w:pPr>
        <w:ind w:left="528" w:hanging="375"/>
      </w:pPr>
      <w:rPr>
        <w:rFonts w:hint="default"/>
        <w:lang w:val="zh-CN" w:eastAsia="zh-CN" w:bidi="zh-CN"/>
      </w:rPr>
    </w:lvl>
    <w:lvl w:ilvl="1" w:tentative="0">
      <w:start w:val="1"/>
      <w:numFmt w:val="none"/>
      <w:lvlText w:val="7.3.1"/>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1">
    <w:nsid w:val="39857353"/>
    <w:multiLevelType w:val="multilevel"/>
    <w:tmpl w:val="39857353"/>
    <w:lvl w:ilvl="0" w:tentative="0">
      <w:start w:val="34"/>
      <w:numFmt w:val="decimal"/>
      <w:lvlText w:val="%1"/>
      <w:lvlJc w:val="left"/>
      <w:pPr>
        <w:ind w:left="528" w:hanging="531"/>
      </w:pPr>
      <w:rPr>
        <w:rFonts w:hint="default"/>
        <w:lang w:val="zh-CN" w:eastAsia="zh-CN" w:bidi="zh-CN"/>
      </w:rPr>
    </w:lvl>
    <w:lvl w:ilvl="1" w:tentative="0">
      <w:start w:val="1"/>
      <w:numFmt w:val="none"/>
      <w:lvlText w:val="36.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2">
    <w:nsid w:val="39C74871"/>
    <w:multiLevelType w:val="multilevel"/>
    <w:tmpl w:val="39C74871"/>
    <w:lvl w:ilvl="0" w:tentative="0">
      <w:start w:val="34"/>
      <w:numFmt w:val="decimal"/>
      <w:lvlText w:val="%1"/>
      <w:lvlJc w:val="left"/>
      <w:pPr>
        <w:ind w:left="528" w:hanging="531"/>
      </w:pPr>
      <w:rPr>
        <w:rFonts w:hint="default"/>
        <w:lang w:val="zh-CN" w:eastAsia="zh-CN" w:bidi="zh-CN"/>
      </w:rPr>
    </w:lvl>
    <w:lvl w:ilvl="1" w:tentative="0">
      <w:start w:val="1"/>
      <w:numFmt w:val="none"/>
      <w:lvlText w:val="36.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73">
    <w:nsid w:val="3A6C050B"/>
    <w:multiLevelType w:val="multilevel"/>
    <w:tmpl w:val="3A6C050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4">
    <w:nsid w:val="3AFC139D"/>
    <w:multiLevelType w:val="multilevel"/>
    <w:tmpl w:val="3AFC139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75">
    <w:nsid w:val="3B9A4AA3"/>
    <w:multiLevelType w:val="multilevel"/>
    <w:tmpl w:val="3B9A4AA3"/>
    <w:lvl w:ilvl="0" w:tentative="0">
      <w:start w:val="18"/>
      <w:numFmt w:val="decimal"/>
      <w:lvlText w:val="%1"/>
      <w:lvlJc w:val="left"/>
      <w:pPr>
        <w:ind w:left="528" w:hanging="507"/>
      </w:pPr>
      <w:rPr>
        <w:rFonts w:hint="default"/>
        <w:lang w:val="zh-CN" w:eastAsia="zh-CN" w:bidi="zh-CN"/>
      </w:rPr>
    </w:lvl>
    <w:lvl w:ilvl="1" w:tentative="0">
      <w:start w:val="1"/>
      <w:numFmt w:val="none"/>
      <w:lvlText w:val="19.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76">
    <w:nsid w:val="3BFB5B77"/>
    <w:multiLevelType w:val="multilevel"/>
    <w:tmpl w:val="3BFB5B77"/>
    <w:lvl w:ilvl="0" w:tentative="0">
      <w:start w:val="13"/>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77">
    <w:nsid w:val="3CE31580"/>
    <w:multiLevelType w:val="multilevel"/>
    <w:tmpl w:val="3CE31580"/>
    <w:lvl w:ilvl="0" w:tentative="0">
      <w:start w:val="7"/>
      <w:numFmt w:val="decimal"/>
      <w:lvlText w:val="%1"/>
      <w:lvlJc w:val="left"/>
      <w:pPr>
        <w:ind w:left="528" w:hanging="375"/>
      </w:pPr>
      <w:rPr>
        <w:rFonts w:hint="default"/>
        <w:lang w:val="zh-CN" w:eastAsia="zh-CN" w:bidi="zh-CN"/>
      </w:rPr>
    </w:lvl>
    <w:lvl w:ilvl="1" w:tentative="0">
      <w:start w:val="4"/>
      <w:numFmt w:val="decimal"/>
      <w:lvlText w:val="%1.%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78">
    <w:nsid w:val="3D273A35"/>
    <w:multiLevelType w:val="multilevel"/>
    <w:tmpl w:val="3D273A35"/>
    <w:lvl w:ilvl="0" w:tentative="0">
      <w:start w:val="25"/>
      <w:numFmt w:val="decimal"/>
      <w:lvlText w:val="%1"/>
      <w:lvlJc w:val="left"/>
      <w:pPr>
        <w:ind w:left="1514" w:hanging="507"/>
      </w:pPr>
      <w:rPr>
        <w:rFonts w:hint="default"/>
        <w:lang w:val="zh-CN" w:eastAsia="zh-CN" w:bidi="zh-CN"/>
      </w:rPr>
    </w:lvl>
    <w:lvl w:ilvl="1" w:tentative="0">
      <w:start w:val="1"/>
      <w:numFmt w:val="decimal"/>
      <w:lvlText w:val="24.%2"/>
      <w:lvlJc w:val="left"/>
      <w:pPr>
        <w:ind w:left="1514" w:hanging="507"/>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79">
    <w:nsid w:val="3DF76223"/>
    <w:multiLevelType w:val="multilevel"/>
    <w:tmpl w:val="3DF76223"/>
    <w:lvl w:ilvl="0" w:tentative="0">
      <w:start w:val="28"/>
      <w:numFmt w:val="decimal"/>
      <w:lvlText w:val="%1"/>
      <w:lvlJc w:val="left"/>
      <w:pPr>
        <w:ind w:left="528" w:hanging="531"/>
      </w:pPr>
      <w:rPr>
        <w:rFonts w:hint="default"/>
        <w:lang w:val="zh-CN" w:eastAsia="zh-CN" w:bidi="zh-CN"/>
      </w:rPr>
    </w:lvl>
    <w:lvl w:ilvl="1" w:tentative="0">
      <w:start w:val="1"/>
      <w:numFmt w:val="none"/>
      <w:lvlText w:val="30.9.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0">
    <w:nsid w:val="3E15629F"/>
    <w:multiLevelType w:val="multilevel"/>
    <w:tmpl w:val="3E15629F"/>
    <w:lvl w:ilvl="0" w:tentative="0">
      <w:start w:val="28"/>
      <w:numFmt w:val="decimal"/>
      <w:lvlText w:val="%1"/>
      <w:lvlJc w:val="left"/>
      <w:pPr>
        <w:ind w:left="528" w:hanging="531"/>
      </w:pPr>
      <w:rPr>
        <w:rFonts w:hint="default"/>
        <w:lang w:val="zh-CN" w:eastAsia="zh-CN" w:bidi="zh-CN"/>
      </w:rPr>
    </w:lvl>
    <w:lvl w:ilvl="1" w:tentative="0">
      <w:start w:val="1"/>
      <w:numFmt w:val="none"/>
      <w:lvlText w:val="30.9.3"/>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1">
    <w:nsid w:val="3E3665B1"/>
    <w:multiLevelType w:val="multilevel"/>
    <w:tmpl w:val="3E3665B1"/>
    <w:lvl w:ilvl="0" w:tentative="0">
      <w:start w:val="10"/>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82">
    <w:nsid w:val="40DA1D51"/>
    <w:multiLevelType w:val="multilevel"/>
    <w:tmpl w:val="40DA1D51"/>
    <w:lvl w:ilvl="0" w:tentative="0">
      <w:start w:val="18"/>
      <w:numFmt w:val="decimal"/>
      <w:lvlText w:val="%1"/>
      <w:lvlJc w:val="left"/>
      <w:pPr>
        <w:ind w:left="528"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3">
    <w:nsid w:val="41AB7992"/>
    <w:multiLevelType w:val="multilevel"/>
    <w:tmpl w:val="41AB7992"/>
    <w:lvl w:ilvl="0" w:tentative="0">
      <w:start w:val="28"/>
      <w:numFmt w:val="decimal"/>
      <w:lvlText w:val="%1"/>
      <w:lvlJc w:val="left"/>
      <w:pPr>
        <w:ind w:left="528" w:hanging="531"/>
      </w:pPr>
      <w:rPr>
        <w:rFonts w:hint="default"/>
        <w:lang w:val="zh-CN" w:eastAsia="zh-CN" w:bidi="zh-CN"/>
      </w:rPr>
    </w:lvl>
    <w:lvl w:ilvl="1" w:tentative="0">
      <w:start w:val="1"/>
      <w:numFmt w:val="none"/>
      <w:lvlText w:val="30.8.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84">
    <w:nsid w:val="420E52C0"/>
    <w:multiLevelType w:val="multilevel"/>
    <w:tmpl w:val="420E52C0"/>
    <w:lvl w:ilvl="0" w:tentative="0">
      <w:start w:val="8"/>
      <w:numFmt w:val="decimal"/>
      <w:lvlText w:val="%1"/>
      <w:lvlJc w:val="left"/>
      <w:pPr>
        <w:ind w:left="1259" w:hanging="375"/>
      </w:pPr>
      <w:rPr>
        <w:rFonts w:hint="default"/>
        <w:lang w:val="zh-CN" w:eastAsia="zh-CN" w:bidi="zh-CN"/>
      </w:rPr>
    </w:lvl>
    <w:lvl w:ilvl="1" w:tentative="0">
      <w:start w:val="1"/>
      <w:numFmt w:val="none"/>
      <w:lvlText w:val="9.1"/>
      <w:lvlJc w:val="left"/>
      <w:pPr>
        <w:ind w:left="1259"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3384" w:hanging="375"/>
      </w:pPr>
      <w:rPr>
        <w:rFonts w:hint="default"/>
        <w:lang w:val="zh-CN" w:eastAsia="zh-CN" w:bidi="zh-CN"/>
      </w:rPr>
    </w:lvl>
    <w:lvl w:ilvl="3" w:tentative="0">
      <w:start w:val="0"/>
      <w:numFmt w:val="bullet"/>
      <w:lvlText w:val="•"/>
      <w:lvlJc w:val="left"/>
      <w:pPr>
        <w:ind w:left="4450" w:hanging="375"/>
      </w:pPr>
      <w:rPr>
        <w:rFonts w:hint="default"/>
        <w:lang w:val="zh-CN" w:eastAsia="zh-CN" w:bidi="zh-CN"/>
      </w:rPr>
    </w:lvl>
    <w:lvl w:ilvl="4" w:tentative="0">
      <w:start w:val="0"/>
      <w:numFmt w:val="bullet"/>
      <w:lvlText w:val="•"/>
      <w:lvlJc w:val="left"/>
      <w:pPr>
        <w:ind w:left="5517" w:hanging="375"/>
      </w:pPr>
      <w:rPr>
        <w:rFonts w:hint="default"/>
        <w:lang w:val="zh-CN" w:eastAsia="zh-CN" w:bidi="zh-CN"/>
      </w:rPr>
    </w:lvl>
    <w:lvl w:ilvl="5" w:tentative="0">
      <w:start w:val="0"/>
      <w:numFmt w:val="bullet"/>
      <w:lvlText w:val="•"/>
      <w:lvlJc w:val="left"/>
      <w:pPr>
        <w:ind w:left="6584" w:hanging="375"/>
      </w:pPr>
      <w:rPr>
        <w:rFonts w:hint="default"/>
        <w:lang w:val="zh-CN" w:eastAsia="zh-CN" w:bidi="zh-CN"/>
      </w:rPr>
    </w:lvl>
    <w:lvl w:ilvl="6" w:tentative="0">
      <w:start w:val="0"/>
      <w:numFmt w:val="bullet"/>
      <w:lvlText w:val="•"/>
      <w:lvlJc w:val="left"/>
      <w:pPr>
        <w:ind w:left="7650" w:hanging="375"/>
      </w:pPr>
      <w:rPr>
        <w:rFonts w:hint="default"/>
        <w:lang w:val="zh-CN" w:eastAsia="zh-CN" w:bidi="zh-CN"/>
      </w:rPr>
    </w:lvl>
    <w:lvl w:ilvl="7" w:tentative="0">
      <w:start w:val="0"/>
      <w:numFmt w:val="bullet"/>
      <w:lvlText w:val="•"/>
      <w:lvlJc w:val="left"/>
      <w:pPr>
        <w:ind w:left="8717" w:hanging="375"/>
      </w:pPr>
      <w:rPr>
        <w:rFonts w:hint="default"/>
        <w:lang w:val="zh-CN" w:eastAsia="zh-CN" w:bidi="zh-CN"/>
      </w:rPr>
    </w:lvl>
    <w:lvl w:ilvl="8" w:tentative="0">
      <w:start w:val="0"/>
      <w:numFmt w:val="bullet"/>
      <w:lvlText w:val="•"/>
      <w:lvlJc w:val="left"/>
      <w:pPr>
        <w:ind w:left="9784" w:hanging="375"/>
      </w:pPr>
      <w:rPr>
        <w:rFonts w:hint="default"/>
        <w:lang w:val="zh-CN" w:eastAsia="zh-CN" w:bidi="zh-CN"/>
      </w:rPr>
    </w:lvl>
  </w:abstractNum>
  <w:abstractNum w:abstractNumId="85">
    <w:nsid w:val="442E4BB4"/>
    <w:multiLevelType w:val="multilevel"/>
    <w:tmpl w:val="442E4BB4"/>
    <w:lvl w:ilvl="0" w:tentative="0">
      <w:start w:val="16"/>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spacing w:val="-1"/>
        <w:w w:val="82"/>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86">
    <w:nsid w:val="44390B39"/>
    <w:multiLevelType w:val="multilevel"/>
    <w:tmpl w:val="44390B39"/>
    <w:lvl w:ilvl="0" w:tentative="0">
      <w:start w:val="34"/>
      <w:numFmt w:val="decimal"/>
      <w:lvlText w:val="%1"/>
      <w:lvlJc w:val="left"/>
      <w:pPr>
        <w:ind w:left="528" w:hanging="531"/>
      </w:pPr>
      <w:rPr>
        <w:rFonts w:hint="default"/>
        <w:lang w:val="zh-CN" w:eastAsia="zh-CN" w:bidi="zh-CN"/>
      </w:rPr>
    </w:lvl>
    <w:lvl w:ilvl="1" w:tentative="0">
      <w:start w:val="1"/>
      <w:numFmt w:val="none"/>
      <w:lvlText w:val="36.5.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87">
    <w:nsid w:val="447A51C2"/>
    <w:multiLevelType w:val="multilevel"/>
    <w:tmpl w:val="447A51C2"/>
    <w:lvl w:ilvl="0" w:tentative="0">
      <w:start w:val="34"/>
      <w:numFmt w:val="decimal"/>
      <w:lvlText w:val="%1"/>
      <w:lvlJc w:val="left"/>
      <w:pPr>
        <w:ind w:left="528" w:hanging="531"/>
      </w:pPr>
      <w:rPr>
        <w:rFonts w:hint="default"/>
        <w:lang w:val="zh-CN" w:eastAsia="zh-CN" w:bidi="zh-CN"/>
      </w:rPr>
    </w:lvl>
    <w:lvl w:ilvl="1" w:tentative="0">
      <w:start w:val="1"/>
      <w:numFmt w:val="none"/>
      <w:lvlText w:val="36.4.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88">
    <w:nsid w:val="463A749B"/>
    <w:multiLevelType w:val="multilevel"/>
    <w:tmpl w:val="463A749B"/>
    <w:lvl w:ilvl="0" w:tentative="0">
      <w:start w:val="18"/>
      <w:numFmt w:val="decimal"/>
      <w:lvlText w:val="%1"/>
      <w:lvlJc w:val="left"/>
      <w:pPr>
        <w:ind w:left="528" w:hanging="507"/>
      </w:pPr>
      <w:rPr>
        <w:rFonts w:hint="default"/>
        <w:lang w:val="zh-CN" w:eastAsia="zh-CN" w:bidi="zh-CN"/>
      </w:rPr>
    </w:lvl>
    <w:lvl w:ilvl="1" w:tentative="0">
      <w:start w:val="1"/>
      <w:numFmt w:val="none"/>
      <w:lvlText w:val="19.1"/>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89">
    <w:nsid w:val="47234B8A"/>
    <w:multiLevelType w:val="multilevel"/>
    <w:tmpl w:val="47234B8A"/>
    <w:lvl w:ilvl="0" w:tentative="0">
      <w:start w:val="34"/>
      <w:numFmt w:val="decimal"/>
      <w:lvlText w:val="%1"/>
      <w:lvlJc w:val="left"/>
      <w:pPr>
        <w:ind w:left="528" w:hanging="531"/>
      </w:pPr>
      <w:rPr>
        <w:rFonts w:hint="default"/>
        <w:lang w:val="zh-CN" w:eastAsia="zh-CN" w:bidi="zh-CN"/>
      </w:rPr>
    </w:lvl>
    <w:lvl w:ilvl="1" w:tentative="0">
      <w:start w:val="1"/>
      <w:numFmt w:val="none"/>
      <w:lvlText w:val="36.4.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90">
    <w:nsid w:val="473804C3"/>
    <w:multiLevelType w:val="multilevel"/>
    <w:tmpl w:val="473804C3"/>
    <w:lvl w:ilvl="0" w:tentative="0">
      <w:start w:val="28"/>
      <w:numFmt w:val="decimal"/>
      <w:lvlText w:val="%1"/>
      <w:lvlJc w:val="left"/>
      <w:pPr>
        <w:ind w:left="528" w:hanging="531"/>
      </w:pPr>
      <w:rPr>
        <w:rFonts w:hint="default"/>
        <w:lang w:val="zh-CN" w:eastAsia="zh-CN" w:bidi="zh-CN"/>
      </w:rPr>
    </w:lvl>
    <w:lvl w:ilvl="1" w:tentative="0">
      <w:start w:val="1"/>
      <w:numFmt w:val="none"/>
      <w:lvlText w:val="30.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91">
    <w:nsid w:val="477E7844"/>
    <w:multiLevelType w:val="multilevel"/>
    <w:tmpl w:val="477E7844"/>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92">
    <w:nsid w:val="48ED7310"/>
    <w:multiLevelType w:val="multilevel"/>
    <w:tmpl w:val="48ED7310"/>
    <w:lvl w:ilvl="0" w:tentative="0">
      <w:start w:val="25"/>
      <w:numFmt w:val="decimal"/>
      <w:lvlText w:val="%1"/>
      <w:lvlJc w:val="left"/>
      <w:pPr>
        <w:ind w:left="1514" w:hanging="507"/>
      </w:pPr>
      <w:rPr>
        <w:rFonts w:hint="default"/>
        <w:lang w:val="zh-CN" w:eastAsia="zh-CN" w:bidi="zh-CN"/>
      </w:rPr>
    </w:lvl>
    <w:lvl w:ilvl="1" w:tentative="0">
      <w:start w:val="1"/>
      <w:numFmt w:val="decimal"/>
      <w:lvlText w:val="24.2.%2"/>
      <w:lvlJc w:val="left"/>
      <w:pPr>
        <w:ind w:left="1514" w:hanging="507"/>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528" w:hanging="74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668" w:hanging="749"/>
      </w:pPr>
      <w:rPr>
        <w:rFonts w:hint="default"/>
        <w:lang w:val="zh-CN" w:eastAsia="zh-CN" w:bidi="zh-CN"/>
      </w:rPr>
    </w:lvl>
    <w:lvl w:ilvl="4" w:tentative="0">
      <w:start w:val="0"/>
      <w:numFmt w:val="bullet"/>
      <w:lvlText w:val="•"/>
      <w:lvlJc w:val="left"/>
      <w:pPr>
        <w:ind w:left="4742" w:hanging="749"/>
      </w:pPr>
      <w:rPr>
        <w:rFonts w:hint="default"/>
        <w:lang w:val="zh-CN" w:eastAsia="zh-CN" w:bidi="zh-CN"/>
      </w:rPr>
    </w:lvl>
    <w:lvl w:ilvl="5" w:tentative="0">
      <w:start w:val="0"/>
      <w:numFmt w:val="bullet"/>
      <w:lvlText w:val="•"/>
      <w:lvlJc w:val="left"/>
      <w:pPr>
        <w:ind w:left="5816" w:hanging="749"/>
      </w:pPr>
      <w:rPr>
        <w:rFonts w:hint="default"/>
        <w:lang w:val="zh-CN" w:eastAsia="zh-CN" w:bidi="zh-CN"/>
      </w:rPr>
    </w:lvl>
    <w:lvl w:ilvl="6" w:tentative="0">
      <w:start w:val="0"/>
      <w:numFmt w:val="bullet"/>
      <w:lvlText w:val="•"/>
      <w:lvlJc w:val="left"/>
      <w:pPr>
        <w:ind w:left="6890" w:hanging="749"/>
      </w:pPr>
      <w:rPr>
        <w:rFonts w:hint="default"/>
        <w:lang w:val="zh-CN" w:eastAsia="zh-CN" w:bidi="zh-CN"/>
      </w:rPr>
    </w:lvl>
    <w:lvl w:ilvl="7" w:tentative="0">
      <w:start w:val="0"/>
      <w:numFmt w:val="bullet"/>
      <w:lvlText w:val="•"/>
      <w:lvlJc w:val="left"/>
      <w:pPr>
        <w:ind w:left="7964" w:hanging="749"/>
      </w:pPr>
      <w:rPr>
        <w:rFonts w:hint="default"/>
        <w:lang w:val="zh-CN" w:eastAsia="zh-CN" w:bidi="zh-CN"/>
      </w:rPr>
    </w:lvl>
    <w:lvl w:ilvl="8" w:tentative="0">
      <w:start w:val="0"/>
      <w:numFmt w:val="bullet"/>
      <w:lvlText w:val="•"/>
      <w:lvlJc w:val="left"/>
      <w:pPr>
        <w:ind w:left="9038" w:hanging="749"/>
      </w:pPr>
      <w:rPr>
        <w:rFonts w:hint="default"/>
        <w:lang w:val="zh-CN" w:eastAsia="zh-CN" w:bidi="zh-CN"/>
      </w:rPr>
    </w:lvl>
  </w:abstractNum>
  <w:abstractNum w:abstractNumId="93">
    <w:nsid w:val="48FF25C2"/>
    <w:multiLevelType w:val="multilevel"/>
    <w:tmpl w:val="48FF25C2"/>
    <w:lvl w:ilvl="0" w:tentative="0">
      <w:start w:val="16"/>
      <w:numFmt w:val="decimal"/>
      <w:lvlText w:val="%1"/>
      <w:lvlJc w:val="left"/>
      <w:pPr>
        <w:ind w:left="528" w:hanging="531"/>
      </w:pPr>
      <w:rPr>
        <w:rFonts w:hint="default" w:ascii="Times New Roman" w:hAnsi="Times New Roman"/>
        <w:sz w:val="21"/>
      </w:rPr>
    </w:lvl>
    <w:lvl w:ilvl="1" w:tentative="0">
      <w:start w:val="6"/>
      <w:numFmt w:val="decimal"/>
      <w:lvlText w:val="%1.%2"/>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94">
    <w:nsid w:val="495E5D6B"/>
    <w:multiLevelType w:val="multilevel"/>
    <w:tmpl w:val="495E5D6B"/>
    <w:lvl w:ilvl="0" w:tentative="0">
      <w:start w:val="23"/>
      <w:numFmt w:val="decimal"/>
      <w:lvlText w:val="%1"/>
      <w:lvlJc w:val="left"/>
      <w:pPr>
        <w:ind w:left="528" w:hanging="507"/>
      </w:pPr>
      <w:rPr>
        <w:rFonts w:hint="default"/>
        <w:lang w:val="zh-CN" w:eastAsia="zh-CN" w:bidi="zh-CN"/>
      </w:rPr>
    </w:lvl>
    <w:lvl w:ilvl="1" w:tentative="0">
      <w:start w:val="1"/>
      <w:numFmt w:val="decimal"/>
      <w:lvlText w:val="22.%2"/>
      <w:lvlJc w:val="left"/>
      <w:pPr>
        <w:ind w:left="1925"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95">
    <w:nsid w:val="4B5119E1"/>
    <w:multiLevelType w:val="multilevel"/>
    <w:tmpl w:val="4B5119E1"/>
    <w:lvl w:ilvl="0" w:tentative="0">
      <w:start w:val="33"/>
      <w:numFmt w:val="decimal"/>
      <w:lvlText w:val="%1"/>
      <w:lvlJc w:val="left"/>
      <w:pPr>
        <w:ind w:left="1505" w:hanging="507"/>
      </w:pPr>
      <w:rPr>
        <w:rFonts w:hint="default"/>
        <w:lang w:val="zh-CN" w:eastAsia="zh-CN" w:bidi="zh-CN"/>
      </w:rPr>
    </w:lvl>
    <w:lvl w:ilvl="1" w:tentative="0">
      <w:start w:val="1"/>
      <w:numFmt w:val="none"/>
      <w:lvlText w:val="35.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96">
    <w:nsid w:val="4B536A78"/>
    <w:multiLevelType w:val="multilevel"/>
    <w:tmpl w:val="4B536A7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97">
    <w:nsid w:val="4CC44EC9"/>
    <w:multiLevelType w:val="multilevel"/>
    <w:tmpl w:val="4CC44EC9"/>
    <w:lvl w:ilvl="0" w:tentative="0">
      <w:start w:val="17"/>
      <w:numFmt w:val="decimal"/>
      <w:lvlText w:val="%1"/>
      <w:lvlJc w:val="left"/>
      <w:pPr>
        <w:ind w:left="528" w:hanging="531"/>
      </w:pPr>
      <w:rPr>
        <w:rFonts w:hint="default"/>
        <w:lang w:val="zh-CN" w:eastAsia="zh-CN" w:bidi="zh-CN"/>
      </w:rPr>
    </w:lvl>
    <w:lvl w:ilvl="1" w:tentative="0">
      <w:start w:val="1"/>
      <w:numFmt w:val="none"/>
      <w:lvlText w:val="18"/>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98">
    <w:nsid w:val="4E711518"/>
    <w:multiLevelType w:val="multilevel"/>
    <w:tmpl w:val="4E711518"/>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99">
    <w:nsid w:val="4EEA2568"/>
    <w:multiLevelType w:val="multilevel"/>
    <w:tmpl w:val="4EEA2568"/>
    <w:lvl w:ilvl="0" w:tentative="0">
      <w:start w:val="6"/>
      <w:numFmt w:val="decimal"/>
      <w:lvlText w:val="%1"/>
      <w:lvlJc w:val="left"/>
      <w:pPr>
        <w:ind w:left="528" w:hanging="375"/>
      </w:pPr>
      <w:rPr>
        <w:rFonts w:hint="default"/>
        <w:lang w:val="zh-CN" w:eastAsia="zh-CN" w:bidi="zh-CN"/>
      </w:rPr>
    </w:lvl>
    <w:lvl w:ilvl="1" w:tentative="0">
      <w:start w:val="1"/>
      <w:numFmt w:val="decimal"/>
      <w:lvlText w:val="%1.%2"/>
      <w:lvlJc w:val="left"/>
      <w:pPr>
        <w:ind w:left="528" w:hanging="375"/>
        <w:jc w:val="right"/>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0">
    <w:nsid w:val="4EF84411"/>
    <w:multiLevelType w:val="multilevel"/>
    <w:tmpl w:val="4EF84411"/>
    <w:lvl w:ilvl="0" w:tentative="0">
      <w:start w:val="18"/>
      <w:numFmt w:val="decimal"/>
      <w:lvlText w:val="%1"/>
      <w:lvlJc w:val="left"/>
      <w:pPr>
        <w:ind w:left="528" w:hanging="507"/>
      </w:pPr>
      <w:rPr>
        <w:rFonts w:hint="default"/>
        <w:lang w:val="zh-CN" w:eastAsia="zh-CN" w:bidi="zh-CN"/>
      </w:rPr>
    </w:lvl>
    <w:lvl w:ilvl="1" w:tentative="0">
      <w:start w:val="1"/>
      <w:numFmt w:val="decimal"/>
      <w:lvlText w:val="%1.4.%2"/>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1">
    <w:nsid w:val="4F924AF9"/>
    <w:multiLevelType w:val="multilevel"/>
    <w:tmpl w:val="4F924AF9"/>
    <w:lvl w:ilvl="0" w:tentative="0">
      <w:start w:val="34"/>
      <w:numFmt w:val="decimal"/>
      <w:lvlText w:val="%1"/>
      <w:lvlJc w:val="left"/>
      <w:pPr>
        <w:ind w:left="528" w:hanging="531"/>
      </w:pPr>
      <w:rPr>
        <w:rFonts w:hint="default"/>
        <w:lang w:val="zh-CN" w:eastAsia="zh-CN" w:bidi="zh-CN"/>
      </w:rPr>
    </w:lvl>
    <w:lvl w:ilvl="1" w:tentative="0">
      <w:start w:val="1"/>
      <w:numFmt w:val="none"/>
      <w:lvlText w:val="36.9.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02">
    <w:nsid w:val="50C71AB9"/>
    <w:multiLevelType w:val="multilevel"/>
    <w:tmpl w:val="50C71AB9"/>
    <w:lvl w:ilvl="0" w:tentative="0">
      <w:start w:val="33"/>
      <w:numFmt w:val="decimal"/>
      <w:lvlText w:val="%1"/>
      <w:lvlJc w:val="left"/>
      <w:pPr>
        <w:ind w:left="1505" w:hanging="507"/>
      </w:pPr>
      <w:rPr>
        <w:rFonts w:hint="default"/>
        <w:lang w:val="zh-CN" w:eastAsia="zh-CN" w:bidi="zh-CN"/>
      </w:rPr>
    </w:lvl>
    <w:lvl w:ilvl="1" w:tentative="0">
      <w:start w:val="1"/>
      <w:numFmt w:val="none"/>
      <w:lvlText w:val="35.2"/>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3">
    <w:nsid w:val="50F75E17"/>
    <w:multiLevelType w:val="multilevel"/>
    <w:tmpl w:val="50F75E17"/>
    <w:lvl w:ilvl="0" w:tentative="0">
      <w:start w:val="6"/>
      <w:numFmt w:val="decimal"/>
      <w:lvlText w:val="%1"/>
      <w:lvlJc w:val="left"/>
      <w:pPr>
        <w:ind w:left="528" w:hanging="375"/>
      </w:pPr>
      <w:rPr>
        <w:rFonts w:hint="default"/>
        <w:lang w:val="zh-CN" w:eastAsia="zh-CN" w:bidi="zh-CN"/>
      </w:rPr>
    </w:lvl>
    <w:lvl w:ilvl="1" w:tentative="0">
      <w:start w:val="1"/>
      <w:numFmt w:val="decimal"/>
      <w:lvlText w:val="7.%2"/>
      <w:lvlJc w:val="left"/>
      <w:pPr>
        <w:ind w:left="528" w:hanging="375"/>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4">
    <w:nsid w:val="518C1C41"/>
    <w:multiLevelType w:val="multilevel"/>
    <w:tmpl w:val="518C1C41"/>
    <w:lvl w:ilvl="0" w:tentative="0">
      <w:start w:val="6"/>
      <w:numFmt w:val="decimal"/>
      <w:lvlText w:val="%1"/>
      <w:lvlJc w:val="left"/>
      <w:pPr>
        <w:ind w:left="528" w:hanging="375"/>
      </w:pPr>
      <w:rPr>
        <w:rFonts w:hint="default"/>
        <w:lang w:val="zh-CN" w:eastAsia="zh-CN" w:bidi="zh-CN"/>
      </w:rPr>
    </w:lvl>
    <w:lvl w:ilvl="1" w:tentative="0">
      <w:start w:val="1"/>
      <w:numFmt w:val="none"/>
      <w:lvlText w:val="7.3.3"/>
      <w:lvlJc w:val="left"/>
      <w:pPr>
        <w:ind w:left="528" w:hanging="375"/>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375"/>
      </w:pPr>
      <w:rPr>
        <w:rFonts w:hint="default"/>
        <w:lang w:val="zh-CN" w:eastAsia="zh-CN" w:bidi="zh-CN"/>
      </w:rPr>
    </w:lvl>
    <w:lvl w:ilvl="3" w:tentative="0">
      <w:start w:val="0"/>
      <w:numFmt w:val="bullet"/>
      <w:lvlText w:val="•"/>
      <w:lvlJc w:val="left"/>
      <w:pPr>
        <w:ind w:left="3719" w:hanging="375"/>
      </w:pPr>
      <w:rPr>
        <w:rFonts w:hint="default"/>
        <w:lang w:val="zh-CN" w:eastAsia="zh-CN" w:bidi="zh-CN"/>
      </w:rPr>
    </w:lvl>
    <w:lvl w:ilvl="4" w:tentative="0">
      <w:start w:val="0"/>
      <w:numFmt w:val="bullet"/>
      <w:lvlText w:val="•"/>
      <w:lvlJc w:val="left"/>
      <w:pPr>
        <w:ind w:left="4786" w:hanging="375"/>
      </w:pPr>
      <w:rPr>
        <w:rFonts w:hint="default"/>
        <w:lang w:val="zh-CN" w:eastAsia="zh-CN" w:bidi="zh-CN"/>
      </w:rPr>
    </w:lvl>
    <w:lvl w:ilvl="5" w:tentative="0">
      <w:start w:val="0"/>
      <w:numFmt w:val="bullet"/>
      <w:lvlText w:val="•"/>
      <w:lvlJc w:val="left"/>
      <w:pPr>
        <w:ind w:left="5853" w:hanging="375"/>
      </w:pPr>
      <w:rPr>
        <w:rFonts w:hint="default"/>
        <w:lang w:val="zh-CN" w:eastAsia="zh-CN" w:bidi="zh-CN"/>
      </w:rPr>
    </w:lvl>
    <w:lvl w:ilvl="6" w:tentative="0">
      <w:start w:val="0"/>
      <w:numFmt w:val="bullet"/>
      <w:lvlText w:val="•"/>
      <w:lvlJc w:val="left"/>
      <w:pPr>
        <w:ind w:left="6919" w:hanging="375"/>
      </w:pPr>
      <w:rPr>
        <w:rFonts w:hint="default"/>
        <w:lang w:val="zh-CN" w:eastAsia="zh-CN" w:bidi="zh-CN"/>
      </w:rPr>
    </w:lvl>
    <w:lvl w:ilvl="7" w:tentative="0">
      <w:start w:val="0"/>
      <w:numFmt w:val="bullet"/>
      <w:lvlText w:val="•"/>
      <w:lvlJc w:val="left"/>
      <w:pPr>
        <w:ind w:left="7986" w:hanging="375"/>
      </w:pPr>
      <w:rPr>
        <w:rFonts w:hint="default"/>
        <w:lang w:val="zh-CN" w:eastAsia="zh-CN" w:bidi="zh-CN"/>
      </w:rPr>
    </w:lvl>
    <w:lvl w:ilvl="8" w:tentative="0">
      <w:start w:val="0"/>
      <w:numFmt w:val="bullet"/>
      <w:lvlText w:val="•"/>
      <w:lvlJc w:val="left"/>
      <w:pPr>
        <w:ind w:left="9053" w:hanging="375"/>
      </w:pPr>
      <w:rPr>
        <w:rFonts w:hint="default"/>
        <w:lang w:val="zh-CN" w:eastAsia="zh-CN" w:bidi="zh-CN"/>
      </w:rPr>
    </w:lvl>
  </w:abstractNum>
  <w:abstractNum w:abstractNumId="105">
    <w:nsid w:val="518C3908"/>
    <w:multiLevelType w:val="multilevel"/>
    <w:tmpl w:val="518C3908"/>
    <w:lvl w:ilvl="0" w:tentative="0">
      <w:start w:val="21"/>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06">
    <w:nsid w:val="531F1B50"/>
    <w:multiLevelType w:val="multilevel"/>
    <w:tmpl w:val="531F1B50"/>
    <w:lvl w:ilvl="0" w:tentative="0">
      <w:start w:val="1"/>
      <w:numFmt w:val="decimal"/>
      <w:lvlText w:val="%1."/>
      <w:lvlJc w:val="left"/>
      <w:pPr>
        <w:ind w:left="1181" w:hanging="180"/>
      </w:pPr>
      <w:rPr>
        <w:rFonts w:hint="default" w:ascii="Times New Roman" w:eastAsia="Times New Roman"/>
        <w:b/>
      </w:rPr>
    </w:lvl>
    <w:lvl w:ilvl="1" w:tentative="0">
      <w:start w:val="1"/>
      <w:numFmt w:val="decimal"/>
      <w:isLgl/>
      <w:lvlText w:val="%1.%2"/>
      <w:lvlJc w:val="left"/>
      <w:pPr>
        <w:ind w:left="1346" w:hanging="345"/>
      </w:pPr>
      <w:rPr>
        <w:rFonts w:hint="default" w:ascii="Times New Roman" w:eastAsia="Times New Roman"/>
      </w:rPr>
    </w:lvl>
    <w:lvl w:ilvl="2" w:tentative="0">
      <w:start w:val="1"/>
      <w:numFmt w:val="decimal"/>
      <w:isLgl/>
      <w:lvlText w:val="%1.%2.%3"/>
      <w:lvlJc w:val="left"/>
      <w:pPr>
        <w:ind w:left="1346" w:hanging="345"/>
      </w:pPr>
      <w:rPr>
        <w:rFonts w:hint="default" w:ascii="Times New Roman" w:eastAsia="Times New Roman"/>
      </w:rPr>
    </w:lvl>
    <w:lvl w:ilvl="3" w:tentative="0">
      <w:start w:val="1"/>
      <w:numFmt w:val="decimal"/>
      <w:isLgl/>
      <w:lvlText w:val="%1.%2.%3.%4"/>
      <w:lvlJc w:val="left"/>
      <w:pPr>
        <w:ind w:left="1346" w:hanging="345"/>
      </w:pPr>
      <w:rPr>
        <w:rFonts w:hint="default" w:ascii="Times New Roman" w:eastAsia="Times New Roman"/>
      </w:rPr>
    </w:lvl>
    <w:lvl w:ilvl="4" w:tentative="0">
      <w:start w:val="1"/>
      <w:numFmt w:val="decimal"/>
      <w:isLgl/>
      <w:lvlText w:val="%1.%2.%3.%4.%5"/>
      <w:lvlJc w:val="left"/>
      <w:pPr>
        <w:ind w:left="1346" w:hanging="345"/>
      </w:pPr>
      <w:rPr>
        <w:rFonts w:hint="default" w:ascii="Times New Roman" w:eastAsia="Times New Roman"/>
      </w:rPr>
    </w:lvl>
    <w:lvl w:ilvl="5" w:tentative="0">
      <w:start w:val="1"/>
      <w:numFmt w:val="decimal"/>
      <w:isLgl/>
      <w:lvlText w:val="%1.%2.%3.%4.%5.%6"/>
      <w:lvlJc w:val="left"/>
      <w:pPr>
        <w:ind w:left="1346" w:hanging="345"/>
      </w:pPr>
      <w:rPr>
        <w:rFonts w:hint="default" w:ascii="Times New Roman" w:eastAsia="Times New Roman"/>
      </w:rPr>
    </w:lvl>
    <w:lvl w:ilvl="6" w:tentative="0">
      <w:start w:val="1"/>
      <w:numFmt w:val="decimal"/>
      <w:isLgl/>
      <w:lvlText w:val="%1.%2.%3.%4.%5.%6.%7"/>
      <w:lvlJc w:val="left"/>
      <w:pPr>
        <w:ind w:left="1346" w:hanging="345"/>
      </w:pPr>
      <w:rPr>
        <w:rFonts w:hint="default" w:ascii="Times New Roman" w:eastAsia="Times New Roman"/>
      </w:rPr>
    </w:lvl>
    <w:lvl w:ilvl="7" w:tentative="0">
      <w:start w:val="1"/>
      <w:numFmt w:val="decimal"/>
      <w:isLgl/>
      <w:lvlText w:val="%1.%2.%3.%4.%5.%6.%7.%8"/>
      <w:lvlJc w:val="left"/>
      <w:pPr>
        <w:ind w:left="1346" w:hanging="345"/>
      </w:pPr>
      <w:rPr>
        <w:rFonts w:hint="default" w:ascii="Times New Roman" w:eastAsia="Times New Roman"/>
      </w:rPr>
    </w:lvl>
    <w:lvl w:ilvl="8" w:tentative="0">
      <w:start w:val="1"/>
      <w:numFmt w:val="decimal"/>
      <w:isLgl/>
      <w:lvlText w:val="%1.%2.%3.%4.%5.%6.%7.%8.%9"/>
      <w:lvlJc w:val="left"/>
      <w:pPr>
        <w:ind w:left="1346" w:hanging="345"/>
      </w:pPr>
      <w:rPr>
        <w:rFonts w:hint="default" w:ascii="Times New Roman" w:eastAsia="Times New Roman"/>
      </w:rPr>
    </w:lvl>
  </w:abstractNum>
  <w:abstractNum w:abstractNumId="107">
    <w:nsid w:val="5343058A"/>
    <w:multiLevelType w:val="multilevel"/>
    <w:tmpl w:val="5343058A"/>
    <w:lvl w:ilvl="0" w:tentative="0">
      <w:start w:val="33"/>
      <w:numFmt w:val="decimal"/>
      <w:lvlText w:val="%1"/>
      <w:lvlJc w:val="left"/>
      <w:pPr>
        <w:ind w:left="1505" w:hanging="507"/>
      </w:pPr>
      <w:rPr>
        <w:rFonts w:hint="default"/>
        <w:lang w:val="zh-CN" w:eastAsia="zh-CN" w:bidi="zh-CN"/>
      </w:rPr>
    </w:lvl>
    <w:lvl w:ilvl="1" w:tentative="0">
      <w:start w:val="1"/>
      <w:numFmt w:val="none"/>
      <w:lvlText w:val="36.1"/>
      <w:lvlJc w:val="left"/>
      <w:pPr>
        <w:ind w:left="528" w:hanging="507"/>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576" w:hanging="507"/>
      </w:pPr>
      <w:rPr>
        <w:rFonts w:hint="default"/>
        <w:lang w:val="zh-CN" w:eastAsia="zh-CN" w:bidi="zh-CN"/>
      </w:rPr>
    </w:lvl>
    <w:lvl w:ilvl="3" w:tentative="0">
      <w:start w:val="0"/>
      <w:numFmt w:val="bullet"/>
      <w:lvlText w:val="•"/>
      <w:lvlJc w:val="left"/>
      <w:pPr>
        <w:ind w:left="3652" w:hanging="507"/>
      </w:pPr>
      <w:rPr>
        <w:rFonts w:hint="default"/>
        <w:lang w:val="zh-CN" w:eastAsia="zh-CN" w:bidi="zh-CN"/>
      </w:rPr>
    </w:lvl>
    <w:lvl w:ilvl="4" w:tentative="0">
      <w:start w:val="0"/>
      <w:numFmt w:val="bullet"/>
      <w:lvlText w:val="•"/>
      <w:lvlJc w:val="left"/>
      <w:pPr>
        <w:ind w:left="4728" w:hanging="507"/>
      </w:pPr>
      <w:rPr>
        <w:rFonts w:hint="default"/>
        <w:lang w:val="zh-CN" w:eastAsia="zh-CN" w:bidi="zh-CN"/>
      </w:rPr>
    </w:lvl>
    <w:lvl w:ilvl="5" w:tentative="0">
      <w:start w:val="0"/>
      <w:numFmt w:val="bullet"/>
      <w:lvlText w:val="•"/>
      <w:lvlJc w:val="left"/>
      <w:pPr>
        <w:ind w:left="5805" w:hanging="507"/>
      </w:pPr>
      <w:rPr>
        <w:rFonts w:hint="default"/>
        <w:lang w:val="zh-CN" w:eastAsia="zh-CN" w:bidi="zh-CN"/>
      </w:rPr>
    </w:lvl>
    <w:lvl w:ilvl="6" w:tentative="0">
      <w:start w:val="0"/>
      <w:numFmt w:val="bullet"/>
      <w:lvlText w:val="•"/>
      <w:lvlJc w:val="left"/>
      <w:pPr>
        <w:ind w:left="6881" w:hanging="507"/>
      </w:pPr>
      <w:rPr>
        <w:rFonts w:hint="default"/>
        <w:lang w:val="zh-CN" w:eastAsia="zh-CN" w:bidi="zh-CN"/>
      </w:rPr>
    </w:lvl>
    <w:lvl w:ilvl="7" w:tentative="0">
      <w:start w:val="0"/>
      <w:numFmt w:val="bullet"/>
      <w:lvlText w:val="•"/>
      <w:lvlJc w:val="left"/>
      <w:pPr>
        <w:ind w:left="7957" w:hanging="507"/>
      </w:pPr>
      <w:rPr>
        <w:rFonts w:hint="default"/>
        <w:lang w:val="zh-CN" w:eastAsia="zh-CN" w:bidi="zh-CN"/>
      </w:rPr>
    </w:lvl>
    <w:lvl w:ilvl="8" w:tentative="0">
      <w:start w:val="0"/>
      <w:numFmt w:val="bullet"/>
      <w:lvlText w:val="•"/>
      <w:lvlJc w:val="left"/>
      <w:pPr>
        <w:ind w:left="9033" w:hanging="507"/>
      </w:pPr>
      <w:rPr>
        <w:rFonts w:hint="default"/>
        <w:lang w:val="zh-CN" w:eastAsia="zh-CN" w:bidi="zh-CN"/>
      </w:rPr>
    </w:lvl>
  </w:abstractNum>
  <w:abstractNum w:abstractNumId="108">
    <w:nsid w:val="54F0464A"/>
    <w:multiLevelType w:val="multilevel"/>
    <w:tmpl w:val="54F0464A"/>
    <w:lvl w:ilvl="0" w:tentative="0">
      <w:start w:val="18"/>
      <w:numFmt w:val="decimal"/>
      <w:lvlText w:val="%1"/>
      <w:lvlJc w:val="left"/>
      <w:pPr>
        <w:ind w:left="528" w:hanging="507"/>
      </w:pPr>
      <w:rPr>
        <w:rFonts w:hint="default"/>
        <w:lang w:val="zh-CN" w:eastAsia="zh-CN" w:bidi="zh-CN"/>
      </w:rPr>
    </w:lvl>
    <w:lvl w:ilvl="1" w:tentative="0">
      <w:start w:val="1"/>
      <w:numFmt w:val="none"/>
      <w:lvlText w:val="20.4"/>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09">
    <w:nsid w:val="557814F6"/>
    <w:multiLevelType w:val="multilevel"/>
    <w:tmpl w:val="557814F6"/>
    <w:lvl w:ilvl="0" w:tentative="0">
      <w:start w:val="34"/>
      <w:numFmt w:val="decimal"/>
      <w:lvlText w:val="%1"/>
      <w:lvlJc w:val="left"/>
      <w:pPr>
        <w:ind w:left="528" w:hanging="531"/>
      </w:pPr>
      <w:rPr>
        <w:rFonts w:hint="default"/>
        <w:lang w:val="zh-CN" w:eastAsia="zh-CN" w:bidi="zh-CN"/>
      </w:rPr>
    </w:lvl>
    <w:lvl w:ilvl="1" w:tentative="0">
      <w:start w:val="1"/>
      <w:numFmt w:val="none"/>
      <w:lvlText w:val="36.4"/>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10">
    <w:nsid w:val="55AF521C"/>
    <w:multiLevelType w:val="multilevel"/>
    <w:tmpl w:val="55AF521C"/>
    <w:lvl w:ilvl="0" w:tentative="0">
      <w:start w:val="32"/>
      <w:numFmt w:val="decimal"/>
      <w:lvlText w:val="%1"/>
      <w:lvlJc w:val="left"/>
      <w:pPr>
        <w:ind w:left="528" w:hanging="531"/>
      </w:pPr>
      <w:rPr>
        <w:rFonts w:hint="default"/>
        <w:lang w:val="zh-CN" w:eastAsia="zh-CN" w:bidi="zh-CN"/>
      </w:rPr>
    </w:lvl>
    <w:lvl w:ilvl="1" w:tentative="0">
      <w:start w:val="1"/>
      <w:numFmt w:val="none"/>
      <w:lvlText w:val="34.3"/>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11">
    <w:nsid w:val="58F90A5D"/>
    <w:multiLevelType w:val="multilevel"/>
    <w:tmpl w:val="58F90A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2">
    <w:nsid w:val="5A025724"/>
    <w:multiLevelType w:val="multilevel"/>
    <w:tmpl w:val="5A025724"/>
    <w:lvl w:ilvl="0" w:tentative="0">
      <w:start w:val="34"/>
      <w:numFmt w:val="decimal"/>
      <w:lvlText w:val="%1"/>
      <w:lvlJc w:val="left"/>
      <w:pPr>
        <w:ind w:left="528" w:hanging="531"/>
      </w:pPr>
      <w:rPr>
        <w:rFonts w:hint="default"/>
        <w:lang w:val="zh-CN" w:eastAsia="zh-CN" w:bidi="zh-CN"/>
      </w:rPr>
    </w:lvl>
    <w:lvl w:ilvl="1" w:tentative="0">
      <w:start w:val="1"/>
      <w:numFmt w:val="none"/>
      <w:lvlText w:val="36.4.5"/>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13">
    <w:nsid w:val="5AF829D5"/>
    <w:multiLevelType w:val="multilevel"/>
    <w:tmpl w:val="5AF829D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4">
    <w:nsid w:val="5E400B5F"/>
    <w:multiLevelType w:val="multilevel"/>
    <w:tmpl w:val="5E400B5F"/>
    <w:lvl w:ilvl="0" w:tentative="0">
      <w:start w:val="30"/>
      <w:numFmt w:val="decimal"/>
      <w:lvlText w:val="%1"/>
      <w:lvlJc w:val="left"/>
      <w:pPr>
        <w:ind w:left="528" w:hanging="543"/>
      </w:pPr>
      <w:rPr>
        <w:rFonts w:hint="default"/>
        <w:lang w:val="zh-CN" w:eastAsia="zh-CN" w:bidi="zh-CN"/>
      </w:rPr>
    </w:lvl>
    <w:lvl w:ilvl="1" w:tentative="0">
      <w:start w:val="1"/>
      <w:numFmt w:val="none"/>
      <w:lvlText w:val="34.1"/>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15">
    <w:nsid w:val="5F8E2631"/>
    <w:multiLevelType w:val="multilevel"/>
    <w:tmpl w:val="5F8E2631"/>
    <w:lvl w:ilvl="0" w:tentative="0">
      <w:start w:val="34"/>
      <w:numFmt w:val="decimal"/>
      <w:lvlText w:val="%1"/>
      <w:lvlJc w:val="left"/>
      <w:pPr>
        <w:ind w:left="528" w:hanging="531"/>
      </w:pPr>
      <w:rPr>
        <w:rFonts w:hint="default"/>
        <w:lang w:val="zh-CN" w:eastAsia="zh-CN" w:bidi="zh-CN"/>
      </w:rPr>
    </w:lvl>
    <w:lvl w:ilvl="1" w:tentative="0">
      <w:start w:val="1"/>
      <w:numFmt w:val="none"/>
      <w:lvlText w:val="36.4.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16">
    <w:nsid w:val="5FEF16EF"/>
    <w:multiLevelType w:val="multilevel"/>
    <w:tmpl w:val="5FEF16EF"/>
    <w:lvl w:ilvl="0" w:tentative="0">
      <w:start w:val="18"/>
      <w:numFmt w:val="decimal"/>
      <w:lvlText w:val="%1"/>
      <w:lvlJc w:val="left"/>
      <w:pPr>
        <w:ind w:left="528" w:hanging="507"/>
      </w:pPr>
      <w:rPr>
        <w:rFonts w:hint="default"/>
        <w:lang w:val="zh-CN" w:eastAsia="zh-CN" w:bidi="zh-CN"/>
      </w:rPr>
    </w:lvl>
    <w:lvl w:ilvl="1" w:tentative="0">
      <w:start w:val="1"/>
      <w:numFmt w:val="none"/>
      <w:lvlText w:val="19"/>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7">
    <w:nsid w:val="5FFC079F"/>
    <w:multiLevelType w:val="multilevel"/>
    <w:tmpl w:val="5FFC079F"/>
    <w:lvl w:ilvl="0" w:tentative="0">
      <w:start w:val="18"/>
      <w:numFmt w:val="decimal"/>
      <w:lvlText w:val="%1"/>
      <w:lvlJc w:val="left"/>
      <w:pPr>
        <w:ind w:left="528" w:hanging="507"/>
      </w:pPr>
      <w:rPr>
        <w:rFonts w:hint="default"/>
        <w:lang w:val="zh-CN" w:eastAsia="zh-CN" w:bidi="zh-CN"/>
      </w:rPr>
    </w:lvl>
    <w:lvl w:ilvl="1" w:tentative="0">
      <w:start w:val="1"/>
      <w:numFmt w:val="none"/>
      <w:lvlText w:val="20"/>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18">
    <w:nsid w:val="60253EBB"/>
    <w:multiLevelType w:val="multilevel"/>
    <w:tmpl w:val="60253EBB"/>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5"/>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19">
    <w:nsid w:val="623F4C85"/>
    <w:multiLevelType w:val="multilevel"/>
    <w:tmpl w:val="623F4C8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0">
    <w:nsid w:val="647C2D4F"/>
    <w:multiLevelType w:val="multilevel"/>
    <w:tmpl w:val="647C2D4F"/>
    <w:lvl w:ilvl="0" w:tentative="0">
      <w:start w:val="12"/>
      <w:numFmt w:val="decimal"/>
      <w:lvlText w:val="%1"/>
      <w:lvlJc w:val="left"/>
      <w:pPr>
        <w:ind w:left="1514" w:hanging="507"/>
      </w:pPr>
      <w:rPr>
        <w:rFonts w:hint="default"/>
        <w:lang w:val="zh-CN" w:eastAsia="zh-CN" w:bidi="zh-CN"/>
      </w:rPr>
    </w:lvl>
    <w:lvl w:ilvl="1" w:tentative="0">
      <w:start w:val="0"/>
      <w:numFmt w:val="decimal"/>
      <w:lvlText w:val="%1"/>
      <w:lvlJc w:val="left"/>
      <w:pPr>
        <w:ind w:left="1514" w:hanging="507"/>
      </w:pPr>
      <w:rPr>
        <w:rFonts w:hint="default" w:ascii="Times New Roman" w:hAnsi="Times New Roman" w:eastAsia="宋体" w:cs="Times New Roman"/>
        <w:spacing w:val="-1"/>
        <w:w w:val="101"/>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101"/>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21">
    <w:nsid w:val="64A83C8F"/>
    <w:multiLevelType w:val="multilevel"/>
    <w:tmpl w:val="64A83C8F"/>
    <w:lvl w:ilvl="0" w:tentative="0">
      <w:start w:val="14"/>
      <w:numFmt w:val="decimal"/>
      <w:lvlText w:val="%1"/>
      <w:lvlJc w:val="left"/>
      <w:pPr>
        <w:ind w:left="1514" w:hanging="507"/>
      </w:pPr>
      <w:rPr>
        <w:rFonts w:hint="default"/>
        <w:lang w:val="zh-CN" w:eastAsia="zh-CN" w:bidi="zh-CN"/>
      </w:rPr>
    </w:lvl>
    <w:lvl w:ilvl="1" w:tentative="0">
      <w:start w:val="1"/>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22">
    <w:nsid w:val="66330EA0"/>
    <w:multiLevelType w:val="multilevel"/>
    <w:tmpl w:val="66330EA0"/>
    <w:lvl w:ilvl="0" w:tentative="0">
      <w:start w:val="14"/>
      <w:numFmt w:val="decimal"/>
      <w:lvlText w:val="%1"/>
      <w:lvlJc w:val="left"/>
      <w:pPr>
        <w:ind w:left="1514" w:hanging="507"/>
      </w:pPr>
      <w:rPr>
        <w:rFonts w:hint="default"/>
        <w:lang w:val="zh-CN" w:eastAsia="zh-CN" w:bidi="zh-CN"/>
      </w:rPr>
    </w:lvl>
    <w:lvl w:ilvl="1" w:tentative="0">
      <w:start w:val="1"/>
      <w:numFmt w:val="none"/>
      <w:lvlText w:val="1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23">
    <w:nsid w:val="66940415"/>
    <w:multiLevelType w:val="multilevel"/>
    <w:tmpl w:val="6694041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8.1.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24">
    <w:nsid w:val="67684CB2"/>
    <w:multiLevelType w:val="multilevel"/>
    <w:tmpl w:val="67684CB2"/>
    <w:lvl w:ilvl="0" w:tentative="0">
      <w:start w:val="34"/>
      <w:numFmt w:val="decimal"/>
      <w:lvlText w:val="%1"/>
      <w:lvlJc w:val="left"/>
      <w:pPr>
        <w:ind w:left="528" w:hanging="531"/>
      </w:pPr>
      <w:rPr>
        <w:rFonts w:hint="default"/>
        <w:lang w:val="zh-CN" w:eastAsia="zh-CN" w:bidi="zh-CN"/>
      </w:rPr>
    </w:lvl>
    <w:lvl w:ilvl="1" w:tentative="0">
      <w:start w:val="1"/>
      <w:numFmt w:val="none"/>
      <w:lvlText w:val="36.5.6"/>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25">
    <w:nsid w:val="6783560D"/>
    <w:multiLevelType w:val="multilevel"/>
    <w:tmpl w:val="6783560D"/>
    <w:lvl w:ilvl="0" w:tentative="0">
      <w:start w:val="30"/>
      <w:numFmt w:val="decimal"/>
      <w:lvlText w:val="%1"/>
      <w:lvlJc w:val="left"/>
      <w:pPr>
        <w:ind w:left="528" w:hanging="543"/>
      </w:pPr>
      <w:rPr>
        <w:rFonts w:hint="default"/>
        <w:lang w:val="zh-CN" w:eastAsia="zh-CN" w:bidi="zh-CN"/>
      </w:rPr>
    </w:lvl>
    <w:lvl w:ilvl="1" w:tentative="0">
      <w:start w:val="1"/>
      <w:numFmt w:val="none"/>
      <w:lvlText w:val="33"/>
      <w:lvlJc w:val="left"/>
      <w:pPr>
        <w:ind w:left="528" w:hanging="543"/>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43"/>
      </w:pPr>
      <w:rPr>
        <w:rFonts w:hint="default"/>
        <w:lang w:val="zh-CN" w:eastAsia="zh-CN" w:bidi="zh-CN"/>
      </w:rPr>
    </w:lvl>
    <w:lvl w:ilvl="3" w:tentative="0">
      <w:start w:val="0"/>
      <w:numFmt w:val="bullet"/>
      <w:lvlText w:val="•"/>
      <w:lvlJc w:val="left"/>
      <w:pPr>
        <w:ind w:left="3719" w:hanging="543"/>
      </w:pPr>
      <w:rPr>
        <w:rFonts w:hint="default"/>
        <w:lang w:val="zh-CN" w:eastAsia="zh-CN" w:bidi="zh-CN"/>
      </w:rPr>
    </w:lvl>
    <w:lvl w:ilvl="4" w:tentative="0">
      <w:start w:val="0"/>
      <w:numFmt w:val="bullet"/>
      <w:lvlText w:val="•"/>
      <w:lvlJc w:val="left"/>
      <w:pPr>
        <w:ind w:left="4786" w:hanging="543"/>
      </w:pPr>
      <w:rPr>
        <w:rFonts w:hint="default"/>
        <w:lang w:val="zh-CN" w:eastAsia="zh-CN" w:bidi="zh-CN"/>
      </w:rPr>
    </w:lvl>
    <w:lvl w:ilvl="5" w:tentative="0">
      <w:start w:val="0"/>
      <w:numFmt w:val="bullet"/>
      <w:lvlText w:val="•"/>
      <w:lvlJc w:val="left"/>
      <w:pPr>
        <w:ind w:left="5853" w:hanging="543"/>
      </w:pPr>
      <w:rPr>
        <w:rFonts w:hint="default"/>
        <w:lang w:val="zh-CN" w:eastAsia="zh-CN" w:bidi="zh-CN"/>
      </w:rPr>
    </w:lvl>
    <w:lvl w:ilvl="6" w:tentative="0">
      <w:start w:val="0"/>
      <w:numFmt w:val="bullet"/>
      <w:lvlText w:val="•"/>
      <w:lvlJc w:val="left"/>
      <w:pPr>
        <w:ind w:left="6919" w:hanging="543"/>
      </w:pPr>
      <w:rPr>
        <w:rFonts w:hint="default"/>
        <w:lang w:val="zh-CN" w:eastAsia="zh-CN" w:bidi="zh-CN"/>
      </w:rPr>
    </w:lvl>
    <w:lvl w:ilvl="7" w:tentative="0">
      <w:start w:val="0"/>
      <w:numFmt w:val="bullet"/>
      <w:lvlText w:val="•"/>
      <w:lvlJc w:val="left"/>
      <w:pPr>
        <w:ind w:left="7986" w:hanging="543"/>
      </w:pPr>
      <w:rPr>
        <w:rFonts w:hint="default"/>
        <w:lang w:val="zh-CN" w:eastAsia="zh-CN" w:bidi="zh-CN"/>
      </w:rPr>
    </w:lvl>
    <w:lvl w:ilvl="8" w:tentative="0">
      <w:start w:val="0"/>
      <w:numFmt w:val="bullet"/>
      <w:lvlText w:val="•"/>
      <w:lvlJc w:val="left"/>
      <w:pPr>
        <w:ind w:left="9053" w:hanging="543"/>
      </w:pPr>
      <w:rPr>
        <w:rFonts w:hint="default"/>
        <w:lang w:val="zh-CN" w:eastAsia="zh-CN" w:bidi="zh-CN"/>
      </w:rPr>
    </w:lvl>
  </w:abstractNum>
  <w:abstractNum w:abstractNumId="126">
    <w:nsid w:val="6794690E"/>
    <w:multiLevelType w:val="multilevel"/>
    <w:tmpl w:val="6794690E"/>
    <w:lvl w:ilvl="0" w:tentative="0">
      <w:start w:val="34"/>
      <w:numFmt w:val="decimal"/>
      <w:lvlText w:val="%1"/>
      <w:lvlJc w:val="left"/>
      <w:pPr>
        <w:ind w:left="528" w:hanging="531"/>
      </w:pPr>
      <w:rPr>
        <w:rFonts w:hint="default"/>
        <w:lang w:val="zh-CN" w:eastAsia="zh-CN" w:bidi="zh-CN"/>
      </w:rPr>
    </w:lvl>
    <w:lvl w:ilvl="1" w:tentative="0">
      <w:start w:val="1"/>
      <w:numFmt w:val="none"/>
      <w:lvlText w:val="36.8"/>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27">
    <w:nsid w:val="679B7EF2"/>
    <w:multiLevelType w:val="multilevel"/>
    <w:tmpl w:val="679B7EF2"/>
    <w:lvl w:ilvl="0" w:tentative="0">
      <w:start w:val="24"/>
      <w:numFmt w:val="decimal"/>
      <w:lvlText w:val="%1"/>
      <w:lvlJc w:val="left"/>
      <w:pPr>
        <w:ind w:left="528" w:hanging="531"/>
      </w:pPr>
      <w:rPr>
        <w:rFonts w:hint="default"/>
        <w:lang w:val="zh-CN" w:eastAsia="zh-CN" w:bidi="zh-CN"/>
      </w:rPr>
    </w:lvl>
    <w:lvl w:ilvl="1" w:tentative="0">
      <w:start w:val="1"/>
      <w:numFmt w:val="decimal"/>
      <w:lvlText w:val="23.%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528"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719" w:hanging="689"/>
      </w:pPr>
      <w:rPr>
        <w:rFonts w:hint="default"/>
        <w:lang w:val="zh-CN" w:eastAsia="zh-CN" w:bidi="zh-CN"/>
      </w:rPr>
    </w:lvl>
    <w:lvl w:ilvl="4" w:tentative="0">
      <w:start w:val="0"/>
      <w:numFmt w:val="bullet"/>
      <w:lvlText w:val="•"/>
      <w:lvlJc w:val="left"/>
      <w:pPr>
        <w:ind w:left="4786" w:hanging="689"/>
      </w:pPr>
      <w:rPr>
        <w:rFonts w:hint="default"/>
        <w:lang w:val="zh-CN" w:eastAsia="zh-CN" w:bidi="zh-CN"/>
      </w:rPr>
    </w:lvl>
    <w:lvl w:ilvl="5" w:tentative="0">
      <w:start w:val="0"/>
      <w:numFmt w:val="bullet"/>
      <w:lvlText w:val="•"/>
      <w:lvlJc w:val="left"/>
      <w:pPr>
        <w:ind w:left="5853" w:hanging="689"/>
      </w:pPr>
      <w:rPr>
        <w:rFonts w:hint="default"/>
        <w:lang w:val="zh-CN" w:eastAsia="zh-CN" w:bidi="zh-CN"/>
      </w:rPr>
    </w:lvl>
    <w:lvl w:ilvl="6" w:tentative="0">
      <w:start w:val="0"/>
      <w:numFmt w:val="bullet"/>
      <w:lvlText w:val="•"/>
      <w:lvlJc w:val="left"/>
      <w:pPr>
        <w:ind w:left="6919" w:hanging="689"/>
      </w:pPr>
      <w:rPr>
        <w:rFonts w:hint="default"/>
        <w:lang w:val="zh-CN" w:eastAsia="zh-CN" w:bidi="zh-CN"/>
      </w:rPr>
    </w:lvl>
    <w:lvl w:ilvl="7" w:tentative="0">
      <w:start w:val="0"/>
      <w:numFmt w:val="bullet"/>
      <w:lvlText w:val="•"/>
      <w:lvlJc w:val="left"/>
      <w:pPr>
        <w:ind w:left="7986" w:hanging="689"/>
      </w:pPr>
      <w:rPr>
        <w:rFonts w:hint="default"/>
        <w:lang w:val="zh-CN" w:eastAsia="zh-CN" w:bidi="zh-CN"/>
      </w:rPr>
    </w:lvl>
    <w:lvl w:ilvl="8" w:tentative="0">
      <w:start w:val="0"/>
      <w:numFmt w:val="bullet"/>
      <w:lvlText w:val="•"/>
      <w:lvlJc w:val="left"/>
      <w:pPr>
        <w:ind w:left="9053" w:hanging="689"/>
      </w:pPr>
      <w:rPr>
        <w:rFonts w:hint="default"/>
        <w:lang w:val="zh-CN" w:eastAsia="zh-CN" w:bidi="zh-CN"/>
      </w:rPr>
    </w:lvl>
  </w:abstractNum>
  <w:abstractNum w:abstractNumId="128">
    <w:nsid w:val="691A5814"/>
    <w:multiLevelType w:val="multilevel"/>
    <w:tmpl w:val="691A5814"/>
    <w:lvl w:ilvl="0" w:tentative="0">
      <w:start w:val="28"/>
      <w:numFmt w:val="decimal"/>
      <w:lvlText w:val="%1"/>
      <w:lvlJc w:val="left"/>
      <w:pPr>
        <w:ind w:left="528" w:hanging="531"/>
      </w:pPr>
      <w:rPr>
        <w:rFonts w:hint="default"/>
        <w:lang w:val="zh-CN" w:eastAsia="zh-CN" w:bidi="zh-CN"/>
      </w:rPr>
    </w:lvl>
    <w:lvl w:ilvl="1" w:tentative="0">
      <w:start w:val="1"/>
      <w:numFmt w:val="none"/>
      <w:lvlText w:val="3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29">
    <w:nsid w:val="69397F9A"/>
    <w:multiLevelType w:val="multilevel"/>
    <w:tmpl w:val="69397F9A"/>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0">
    <w:nsid w:val="69E37025"/>
    <w:multiLevelType w:val="multilevel"/>
    <w:tmpl w:val="69E37025"/>
    <w:lvl w:ilvl="0" w:tentative="0">
      <w:start w:val="14"/>
      <w:numFmt w:val="decimal"/>
      <w:lvlText w:val="%1"/>
      <w:lvlJc w:val="left"/>
      <w:pPr>
        <w:ind w:left="1514" w:hanging="507"/>
      </w:pPr>
      <w:rPr>
        <w:rFonts w:hint="default"/>
        <w:lang w:val="zh-CN" w:eastAsia="zh-CN" w:bidi="zh-CN"/>
      </w:rPr>
    </w:lvl>
    <w:lvl w:ilvl="1" w:tentative="0">
      <w:start w:val="1"/>
      <w:numFmt w:val="none"/>
      <w:lvlText w:val="15.5"/>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31">
    <w:nsid w:val="6A755D30"/>
    <w:multiLevelType w:val="multilevel"/>
    <w:tmpl w:val="6A755D3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2">
    <w:nsid w:val="6AE5179C"/>
    <w:multiLevelType w:val="multilevel"/>
    <w:tmpl w:val="6AE5179C"/>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3">
    <w:nsid w:val="6B294470"/>
    <w:multiLevelType w:val="multilevel"/>
    <w:tmpl w:val="6B294470"/>
    <w:lvl w:ilvl="0" w:tentative="0">
      <w:start w:val="28"/>
      <w:numFmt w:val="decimal"/>
      <w:lvlText w:val="%1"/>
      <w:lvlJc w:val="left"/>
      <w:pPr>
        <w:ind w:left="528" w:hanging="531"/>
      </w:pPr>
      <w:rPr>
        <w:rFonts w:hint="default"/>
        <w:lang w:val="zh-CN" w:eastAsia="zh-CN" w:bidi="zh-CN"/>
      </w:rPr>
    </w:lvl>
    <w:lvl w:ilvl="1" w:tentative="0">
      <w:start w:val="1"/>
      <w:numFmt w:val="none"/>
      <w:lvlText w:val="30.9.8"/>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34">
    <w:nsid w:val="6B4D3886"/>
    <w:multiLevelType w:val="multilevel"/>
    <w:tmpl w:val="6B4D3886"/>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1"/>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5">
    <w:nsid w:val="6C414B15"/>
    <w:multiLevelType w:val="multilevel"/>
    <w:tmpl w:val="6C414B15"/>
    <w:lvl w:ilvl="0" w:tentative="0">
      <w:start w:val="34"/>
      <w:numFmt w:val="decimal"/>
      <w:lvlText w:val="%1"/>
      <w:lvlJc w:val="left"/>
      <w:pPr>
        <w:ind w:left="528" w:hanging="531"/>
      </w:pPr>
      <w:rPr>
        <w:rFonts w:hint="default"/>
        <w:lang w:val="zh-CN" w:eastAsia="zh-CN" w:bidi="zh-CN"/>
      </w:rPr>
    </w:lvl>
    <w:lvl w:ilvl="1" w:tentative="0">
      <w:start w:val="1"/>
      <w:numFmt w:val="none"/>
      <w:lvlText w:val="36.5.4"/>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36">
    <w:nsid w:val="6C641962"/>
    <w:multiLevelType w:val="multilevel"/>
    <w:tmpl w:val="6C641962"/>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7">
    <w:nsid w:val="6C9D15DD"/>
    <w:multiLevelType w:val="multilevel"/>
    <w:tmpl w:val="6C9D15D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decimal"/>
      <w:lvlText w:val="24.%2.%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38">
    <w:nsid w:val="6CD571AD"/>
    <w:multiLevelType w:val="multilevel"/>
    <w:tmpl w:val="6CD571AD"/>
    <w:lvl w:ilvl="0" w:tentative="0">
      <w:start w:val="12"/>
      <w:numFmt w:val="decimal"/>
      <w:lvlText w:val="%1"/>
      <w:lvlJc w:val="left"/>
      <w:pPr>
        <w:ind w:left="528" w:hanging="507"/>
      </w:pPr>
      <w:rPr>
        <w:rFonts w:hint="default"/>
        <w:lang w:val="zh-CN" w:eastAsia="zh-CN" w:bidi="zh-CN"/>
      </w:rPr>
    </w:lvl>
    <w:lvl w:ilvl="1" w:tentative="0">
      <w:start w:val="2"/>
      <w:numFmt w:val="decimal"/>
      <w:lvlText w:val="%1.%2"/>
      <w:lvlJc w:val="left"/>
      <w:pPr>
        <w:ind w:left="528" w:hanging="507"/>
      </w:pPr>
      <w:rPr>
        <w:rFonts w:hint="default" w:ascii="Times New Roman" w:hAnsi="Times New Roman" w:eastAsia="Times New Roman"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39">
    <w:nsid w:val="6D651410"/>
    <w:multiLevelType w:val="multilevel"/>
    <w:tmpl w:val="6D6514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3"/>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0">
    <w:nsid w:val="6E3C35DB"/>
    <w:multiLevelType w:val="multilevel"/>
    <w:tmpl w:val="6E3C35DB"/>
    <w:lvl w:ilvl="0" w:tentative="0">
      <w:start w:val="12"/>
      <w:numFmt w:val="decimal"/>
      <w:lvlText w:val="%1"/>
      <w:lvlJc w:val="left"/>
      <w:pPr>
        <w:ind w:left="528" w:hanging="507"/>
      </w:pPr>
      <w:rPr>
        <w:rFonts w:hint="default"/>
        <w:lang w:val="zh-CN" w:eastAsia="zh-CN" w:bidi="zh-CN"/>
      </w:rPr>
    </w:lvl>
    <w:lvl w:ilvl="1" w:tentative="0">
      <w:start w:val="2"/>
      <w:numFmt w:val="none"/>
      <w:lvlText w:val="1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41">
    <w:nsid w:val="6E3E125E"/>
    <w:multiLevelType w:val="multilevel"/>
    <w:tmpl w:val="6E3E125E"/>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7.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42">
    <w:nsid w:val="6E934A17"/>
    <w:multiLevelType w:val="multilevel"/>
    <w:tmpl w:val="6E934A17"/>
    <w:lvl w:ilvl="0" w:tentative="0">
      <w:start w:val="16"/>
      <w:numFmt w:val="decimal"/>
      <w:lvlText w:val="%1"/>
      <w:lvlJc w:val="left"/>
      <w:pPr>
        <w:ind w:left="528" w:hanging="531"/>
      </w:pPr>
      <w:rPr>
        <w:rFonts w:hint="default" w:ascii="Times New Roman" w:hAnsi="Times New Roman"/>
        <w:sz w:val="21"/>
      </w:rPr>
    </w:lvl>
    <w:lvl w:ilvl="1" w:tentative="0">
      <w:start w:val="17"/>
      <w:numFmt w:val="none"/>
      <w:lvlText w:val="17"/>
      <w:lvlJc w:val="left"/>
      <w:pPr>
        <w:ind w:left="528" w:hanging="531"/>
      </w:pPr>
      <w:rPr>
        <w:rFonts w:hint="default" w:ascii="Times New Roman" w:hAnsi="Times New Roman" w:eastAsia="宋体" w:cs="Times New Roman"/>
        <w:spacing w:val="-1"/>
        <w:w w:val="82"/>
        <w:sz w:val="24"/>
        <w:szCs w:val="24"/>
      </w:rPr>
    </w:lvl>
    <w:lvl w:ilvl="2" w:tentative="0">
      <w:start w:val="0"/>
      <w:numFmt w:val="bullet"/>
      <w:lvlText w:val="•"/>
      <w:lvlJc w:val="left"/>
      <w:pPr>
        <w:ind w:left="2653" w:hanging="531"/>
      </w:pPr>
      <w:rPr>
        <w:rFonts w:hint="default"/>
      </w:rPr>
    </w:lvl>
    <w:lvl w:ilvl="3" w:tentative="0">
      <w:start w:val="0"/>
      <w:numFmt w:val="bullet"/>
      <w:lvlText w:val="•"/>
      <w:lvlJc w:val="left"/>
      <w:pPr>
        <w:ind w:left="3719" w:hanging="531"/>
      </w:pPr>
      <w:rPr>
        <w:rFonts w:hint="default"/>
      </w:rPr>
    </w:lvl>
    <w:lvl w:ilvl="4" w:tentative="0">
      <w:start w:val="0"/>
      <w:numFmt w:val="bullet"/>
      <w:lvlText w:val="•"/>
      <w:lvlJc w:val="left"/>
      <w:pPr>
        <w:ind w:left="4786" w:hanging="531"/>
      </w:pPr>
      <w:rPr>
        <w:rFonts w:hint="default"/>
      </w:rPr>
    </w:lvl>
    <w:lvl w:ilvl="5" w:tentative="0">
      <w:start w:val="0"/>
      <w:numFmt w:val="bullet"/>
      <w:lvlText w:val="•"/>
      <w:lvlJc w:val="left"/>
      <w:pPr>
        <w:ind w:left="5853" w:hanging="531"/>
      </w:pPr>
      <w:rPr>
        <w:rFonts w:hint="default"/>
      </w:rPr>
    </w:lvl>
    <w:lvl w:ilvl="6" w:tentative="0">
      <w:start w:val="0"/>
      <w:numFmt w:val="bullet"/>
      <w:lvlText w:val="•"/>
      <w:lvlJc w:val="left"/>
      <w:pPr>
        <w:ind w:left="6919" w:hanging="531"/>
      </w:pPr>
      <w:rPr>
        <w:rFonts w:hint="default"/>
      </w:rPr>
    </w:lvl>
    <w:lvl w:ilvl="7" w:tentative="0">
      <w:start w:val="0"/>
      <w:numFmt w:val="bullet"/>
      <w:lvlText w:val="•"/>
      <w:lvlJc w:val="left"/>
      <w:pPr>
        <w:ind w:left="7986" w:hanging="531"/>
      </w:pPr>
      <w:rPr>
        <w:rFonts w:hint="default"/>
      </w:rPr>
    </w:lvl>
    <w:lvl w:ilvl="8" w:tentative="0">
      <w:start w:val="0"/>
      <w:numFmt w:val="bullet"/>
      <w:lvlText w:val="•"/>
      <w:lvlJc w:val="left"/>
      <w:pPr>
        <w:ind w:left="9053" w:hanging="531"/>
      </w:pPr>
      <w:rPr>
        <w:rFonts w:hint="default"/>
      </w:rPr>
    </w:lvl>
  </w:abstractNum>
  <w:abstractNum w:abstractNumId="143">
    <w:nsid w:val="6F902AD9"/>
    <w:multiLevelType w:val="multilevel"/>
    <w:tmpl w:val="6F902AD9"/>
    <w:lvl w:ilvl="0" w:tentative="0">
      <w:start w:val="28"/>
      <w:numFmt w:val="decimal"/>
      <w:lvlText w:val="%1"/>
      <w:lvlJc w:val="left"/>
      <w:pPr>
        <w:ind w:left="528" w:hanging="531"/>
      </w:pPr>
      <w:rPr>
        <w:rFonts w:hint="default"/>
        <w:lang w:val="zh-CN" w:eastAsia="zh-CN" w:bidi="zh-CN"/>
      </w:rPr>
    </w:lvl>
    <w:lvl w:ilvl="1" w:tentative="0">
      <w:start w:val="1"/>
      <w:numFmt w:val="none"/>
      <w:lvlText w:val="30.9.2"/>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44">
    <w:nsid w:val="7052373A"/>
    <w:multiLevelType w:val="multilevel"/>
    <w:tmpl w:val="7052373A"/>
    <w:lvl w:ilvl="0" w:tentative="0">
      <w:start w:val="10"/>
      <w:numFmt w:val="decimal"/>
      <w:lvlText w:val="%1"/>
      <w:lvlJc w:val="left"/>
      <w:pPr>
        <w:ind w:left="528" w:hanging="531"/>
      </w:pPr>
      <w:rPr>
        <w:rFonts w:hint="default"/>
        <w:lang w:val="zh-CN" w:eastAsia="zh-CN" w:bidi="zh-CN"/>
      </w:rPr>
    </w:lvl>
    <w:lvl w:ilvl="1" w:tentative="0">
      <w:start w:val="1"/>
      <w:numFmt w:val="none"/>
      <w:lvlText w:val="1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45">
    <w:nsid w:val="70884F8F"/>
    <w:multiLevelType w:val="multilevel"/>
    <w:tmpl w:val="70884F8F"/>
    <w:lvl w:ilvl="0" w:tentative="0">
      <w:start w:val="17"/>
      <w:numFmt w:val="decimal"/>
      <w:lvlText w:val="%1"/>
      <w:lvlJc w:val="left"/>
      <w:pPr>
        <w:ind w:left="528" w:hanging="531"/>
      </w:pPr>
      <w:rPr>
        <w:rFonts w:hint="default"/>
        <w:lang w:val="zh-CN" w:eastAsia="zh-CN" w:bidi="zh-CN"/>
      </w:rPr>
    </w:lvl>
    <w:lvl w:ilvl="1" w:tentative="0">
      <w:start w:val="1"/>
      <w:numFmt w:val="decimal"/>
      <w:lvlText w:val="%1.%2"/>
      <w:lvlJc w:val="left"/>
      <w:pPr>
        <w:ind w:left="528" w:hanging="531"/>
      </w:pPr>
      <w:rPr>
        <w:rFonts w:hint="default" w:ascii="Times New Roman" w:hAnsi="Times New Roman" w:eastAsia="宋体" w:cs="Times New Roman"/>
        <w:spacing w:val="-1"/>
        <w:w w:val="70"/>
        <w:sz w:val="24"/>
        <w:szCs w:val="24"/>
        <w:lang w:val="zh-CN" w:eastAsia="zh-CN" w:bidi="zh-CN"/>
      </w:rPr>
    </w:lvl>
    <w:lvl w:ilvl="2" w:tentative="0">
      <w:start w:val="1"/>
      <w:numFmt w:val="decimal"/>
      <w:lvlText w:val="%1.%2.%3"/>
      <w:lvlJc w:val="left"/>
      <w:pPr>
        <w:ind w:left="1824" w:hanging="689"/>
      </w:pPr>
      <w:rPr>
        <w:rFonts w:hint="default" w:ascii="Times New Roman" w:hAnsi="Times New Roman" w:eastAsia="宋体" w:cs="Times New Roman"/>
        <w:spacing w:val="-1"/>
        <w:w w:val="82"/>
        <w:sz w:val="24"/>
        <w:szCs w:val="24"/>
        <w:lang w:val="zh-CN" w:eastAsia="zh-CN" w:bidi="zh-CN"/>
      </w:rPr>
    </w:lvl>
    <w:lvl w:ilvl="3" w:tentative="0">
      <w:start w:val="0"/>
      <w:numFmt w:val="bullet"/>
      <w:lvlText w:val="•"/>
      <w:lvlJc w:val="left"/>
      <w:pPr>
        <w:ind w:left="3808" w:hanging="689"/>
      </w:pPr>
      <w:rPr>
        <w:rFonts w:hint="default"/>
        <w:lang w:val="zh-CN" w:eastAsia="zh-CN" w:bidi="zh-CN"/>
      </w:rPr>
    </w:lvl>
    <w:lvl w:ilvl="4" w:tentative="0">
      <w:start w:val="0"/>
      <w:numFmt w:val="bullet"/>
      <w:lvlText w:val="•"/>
      <w:lvlJc w:val="left"/>
      <w:pPr>
        <w:ind w:left="4862" w:hanging="689"/>
      </w:pPr>
      <w:rPr>
        <w:rFonts w:hint="default"/>
        <w:lang w:val="zh-CN" w:eastAsia="zh-CN" w:bidi="zh-CN"/>
      </w:rPr>
    </w:lvl>
    <w:lvl w:ilvl="5" w:tentative="0">
      <w:start w:val="0"/>
      <w:numFmt w:val="bullet"/>
      <w:lvlText w:val="•"/>
      <w:lvlJc w:val="left"/>
      <w:pPr>
        <w:ind w:left="5916" w:hanging="689"/>
      </w:pPr>
      <w:rPr>
        <w:rFonts w:hint="default"/>
        <w:lang w:val="zh-CN" w:eastAsia="zh-CN" w:bidi="zh-CN"/>
      </w:rPr>
    </w:lvl>
    <w:lvl w:ilvl="6" w:tentative="0">
      <w:start w:val="0"/>
      <w:numFmt w:val="bullet"/>
      <w:lvlText w:val="•"/>
      <w:lvlJc w:val="left"/>
      <w:pPr>
        <w:ind w:left="6970" w:hanging="689"/>
      </w:pPr>
      <w:rPr>
        <w:rFonts w:hint="default"/>
        <w:lang w:val="zh-CN" w:eastAsia="zh-CN" w:bidi="zh-CN"/>
      </w:rPr>
    </w:lvl>
    <w:lvl w:ilvl="7" w:tentative="0">
      <w:start w:val="0"/>
      <w:numFmt w:val="bullet"/>
      <w:lvlText w:val="•"/>
      <w:lvlJc w:val="left"/>
      <w:pPr>
        <w:ind w:left="8024" w:hanging="689"/>
      </w:pPr>
      <w:rPr>
        <w:rFonts w:hint="default"/>
        <w:lang w:val="zh-CN" w:eastAsia="zh-CN" w:bidi="zh-CN"/>
      </w:rPr>
    </w:lvl>
    <w:lvl w:ilvl="8" w:tentative="0">
      <w:start w:val="0"/>
      <w:numFmt w:val="bullet"/>
      <w:lvlText w:val="•"/>
      <w:lvlJc w:val="left"/>
      <w:pPr>
        <w:ind w:left="9078" w:hanging="689"/>
      </w:pPr>
      <w:rPr>
        <w:rFonts w:hint="default"/>
        <w:lang w:val="zh-CN" w:eastAsia="zh-CN" w:bidi="zh-CN"/>
      </w:rPr>
    </w:lvl>
  </w:abstractNum>
  <w:abstractNum w:abstractNumId="146">
    <w:nsid w:val="71CB43EA"/>
    <w:multiLevelType w:val="multilevel"/>
    <w:tmpl w:val="71CB43EA"/>
    <w:lvl w:ilvl="0" w:tentative="0">
      <w:start w:val="14"/>
      <w:numFmt w:val="decimal"/>
      <w:lvlText w:val="%1"/>
      <w:lvlJc w:val="left"/>
      <w:pPr>
        <w:ind w:left="1514" w:hanging="507"/>
      </w:pPr>
      <w:rPr>
        <w:rFonts w:hint="default"/>
        <w:lang w:val="zh-CN" w:eastAsia="zh-CN" w:bidi="zh-CN"/>
      </w:rPr>
    </w:lvl>
    <w:lvl w:ilvl="1" w:tentative="0">
      <w:start w:val="1"/>
      <w:numFmt w:val="none"/>
      <w:lvlText w:val="15.3"/>
      <w:lvlJc w:val="left"/>
      <w:pPr>
        <w:ind w:left="528" w:hanging="507"/>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594" w:hanging="507"/>
      </w:pPr>
      <w:rPr>
        <w:rFonts w:hint="default"/>
        <w:lang w:val="zh-CN" w:eastAsia="zh-CN" w:bidi="zh-CN"/>
      </w:rPr>
    </w:lvl>
    <w:lvl w:ilvl="3" w:tentative="0">
      <w:start w:val="0"/>
      <w:numFmt w:val="bullet"/>
      <w:lvlText w:val="•"/>
      <w:lvlJc w:val="left"/>
      <w:pPr>
        <w:ind w:left="3668" w:hanging="507"/>
      </w:pPr>
      <w:rPr>
        <w:rFonts w:hint="default"/>
        <w:lang w:val="zh-CN" w:eastAsia="zh-CN" w:bidi="zh-CN"/>
      </w:rPr>
    </w:lvl>
    <w:lvl w:ilvl="4" w:tentative="0">
      <w:start w:val="0"/>
      <w:numFmt w:val="bullet"/>
      <w:lvlText w:val="•"/>
      <w:lvlJc w:val="left"/>
      <w:pPr>
        <w:ind w:left="4742" w:hanging="507"/>
      </w:pPr>
      <w:rPr>
        <w:rFonts w:hint="default"/>
        <w:lang w:val="zh-CN" w:eastAsia="zh-CN" w:bidi="zh-CN"/>
      </w:rPr>
    </w:lvl>
    <w:lvl w:ilvl="5" w:tentative="0">
      <w:start w:val="0"/>
      <w:numFmt w:val="bullet"/>
      <w:lvlText w:val="•"/>
      <w:lvlJc w:val="left"/>
      <w:pPr>
        <w:ind w:left="5816" w:hanging="507"/>
      </w:pPr>
      <w:rPr>
        <w:rFonts w:hint="default"/>
        <w:lang w:val="zh-CN" w:eastAsia="zh-CN" w:bidi="zh-CN"/>
      </w:rPr>
    </w:lvl>
    <w:lvl w:ilvl="6" w:tentative="0">
      <w:start w:val="0"/>
      <w:numFmt w:val="bullet"/>
      <w:lvlText w:val="•"/>
      <w:lvlJc w:val="left"/>
      <w:pPr>
        <w:ind w:left="6890" w:hanging="507"/>
      </w:pPr>
      <w:rPr>
        <w:rFonts w:hint="default"/>
        <w:lang w:val="zh-CN" w:eastAsia="zh-CN" w:bidi="zh-CN"/>
      </w:rPr>
    </w:lvl>
    <w:lvl w:ilvl="7" w:tentative="0">
      <w:start w:val="0"/>
      <w:numFmt w:val="bullet"/>
      <w:lvlText w:val="•"/>
      <w:lvlJc w:val="left"/>
      <w:pPr>
        <w:ind w:left="7964" w:hanging="507"/>
      </w:pPr>
      <w:rPr>
        <w:rFonts w:hint="default"/>
        <w:lang w:val="zh-CN" w:eastAsia="zh-CN" w:bidi="zh-CN"/>
      </w:rPr>
    </w:lvl>
    <w:lvl w:ilvl="8" w:tentative="0">
      <w:start w:val="0"/>
      <w:numFmt w:val="bullet"/>
      <w:lvlText w:val="•"/>
      <w:lvlJc w:val="left"/>
      <w:pPr>
        <w:ind w:left="9038" w:hanging="507"/>
      </w:pPr>
      <w:rPr>
        <w:rFonts w:hint="default"/>
        <w:lang w:val="zh-CN" w:eastAsia="zh-CN" w:bidi="zh-CN"/>
      </w:rPr>
    </w:lvl>
  </w:abstractNum>
  <w:abstractNum w:abstractNumId="147">
    <w:nsid w:val="7285694D"/>
    <w:multiLevelType w:val="singleLevel"/>
    <w:tmpl w:val="7285694D"/>
    <w:lvl w:ilvl="0" w:tentative="0">
      <w:start w:val="2"/>
      <w:numFmt w:val="decimal"/>
      <w:suff w:val="nothing"/>
      <w:lvlText w:val="%1、"/>
      <w:lvlJc w:val="left"/>
    </w:lvl>
  </w:abstractNum>
  <w:abstractNum w:abstractNumId="148">
    <w:nsid w:val="73584998"/>
    <w:multiLevelType w:val="multilevel"/>
    <w:tmpl w:val="73584998"/>
    <w:lvl w:ilvl="0" w:tentative="0">
      <w:start w:val="34"/>
      <w:numFmt w:val="decimal"/>
      <w:lvlText w:val="%1"/>
      <w:lvlJc w:val="left"/>
      <w:pPr>
        <w:ind w:left="528" w:hanging="531"/>
      </w:pPr>
      <w:rPr>
        <w:rFonts w:hint="default"/>
        <w:lang w:val="zh-CN" w:eastAsia="zh-CN" w:bidi="zh-CN"/>
      </w:rPr>
    </w:lvl>
    <w:lvl w:ilvl="1" w:tentative="0">
      <w:start w:val="1"/>
      <w:numFmt w:val="none"/>
      <w:lvlText w:val="36.9.2"/>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49">
    <w:nsid w:val="73B95B61"/>
    <w:multiLevelType w:val="multilevel"/>
    <w:tmpl w:val="73B95B61"/>
    <w:lvl w:ilvl="0" w:tentative="0">
      <w:start w:val="18"/>
      <w:numFmt w:val="decimal"/>
      <w:lvlText w:val="%1"/>
      <w:lvlJc w:val="left"/>
      <w:pPr>
        <w:ind w:left="528" w:hanging="507"/>
      </w:pPr>
      <w:rPr>
        <w:rFonts w:hint="default"/>
        <w:lang w:val="zh-CN" w:eastAsia="zh-CN" w:bidi="zh-CN"/>
      </w:rPr>
    </w:lvl>
    <w:lvl w:ilvl="1" w:tentative="0">
      <w:start w:val="1"/>
      <w:numFmt w:val="none"/>
      <w:lvlText w:val="20.3"/>
      <w:lvlJc w:val="left"/>
      <w:pPr>
        <w:ind w:left="528" w:hanging="507"/>
      </w:pPr>
      <w:rPr>
        <w:rFonts w:hint="default" w:ascii="Times New Roman" w:hAnsi="Times New Roman" w:eastAsia="宋体" w:cs="Times New Roman"/>
        <w:spacing w:val="-1"/>
        <w:w w:val="66"/>
        <w:sz w:val="24"/>
        <w:szCs w:val="24"/>
        <w:lang w:val="zh-CN" w:eastAsia="zh-CN" w:bidi="zh-CN"/>
      </w:rPr>
    </w:lvl>
    <w:lvl w:ilvl="2" w:tentative="0">
      <w:start w:val="0"/>
      <w:numFmt w:val="bullet"/>
      <w:lvlText w:val="•"/>
      <w:lvlJc w:val="left"/>
      <w:pPr>
        <w:ind w:left="2653" w:hanging="507"/>
      </w:pPr>
      <w:rPr>
        <w:rFonts w:hint="default"/>
        <w:lang w:val="zh-CN" w:eastAsia="zh-CN" w:bidi="zh-CN"/>
      </w:rPr>
    </w:lvl>
    <w:lvl w:ilvl="3" w:tentative="0">
      <w:start w:val="0"/>
      <w:numFmt w:val="bullet"/>
      <w:lvlText w:val="•"/>
      <w:lvlJc w:val="left"/>
      <w:pPr>
        <w:ind w:left="3719" w:hanging="507"/>
      </w:pPr>
      <w:rPr>
        <w:rFonts w:hint="default"/>
        <w:lang w:val="zh-CN" w:eastAsia="zh-CN" w:bidi="zh-CN"/>
      </w:rPr>
    </w:lvl>
    <w:lvl w:ilvl="4" w:tentative="0">
      <w:start w:val="0"/>
      <w:numFmt w:val="bullet"/>
      <w:lvlText w:val="•"/>
      <w:lvlJc w:val="left"/>
      <w:pPr>
        <w:ind w:left="4786" w:hanging="507"/>
      </w:pPr>
      <w:rPr>
        <w:rFonts w:hint="default"/>
        <w:lang w:val="zh-CN" w:eastAsia="zh-CN" w:bidi="zh-CN"/>
      </w:rPr>
    </w:lvl>
    <w:lvl w:ilvl="5" w:tentative="0">
      <w:start w:val="0"/>
      <w:numFmt w:val="bullet"/>
      <w:lvlText w:val="•"/>
      <w:lvlJc w:val="left"/>
      <w:pPr>
        <w:ind w:left="5853" w:hanging="507"/>
      </w:pPr>
      <w:rPr>
        <w:rFonts w:hint="default"/>
        <w:lang w:val="zh-CN" w:eastAsia="zh-CN" w:bidi="zh-CN"/>
      </w:rPr>
    </w:lvl>
    <w:lvl w:ilvl="6" w:tentative="0">
      <w:start w:val="0"/>
      <w:numFmt w:val="bullet"/>
      <w:lvlText w:val="•"/>
      <w:lvlJc w:val="left"/>
      <w:pPr>
        <w:ind w:left="6919" w:hanging="507"/>
      </w:pPr>
      <w:rPr>
        <w:rFonts w:hint="default"/>
        <w:lang w:val="zh-CN" w:eastAsia="zh-CN" w:bidi="zh-CN"/>
      </w:rPr>
    </w:lvl>
    <w:lvl w:ilvl="7" w:tentative="0">
      <w:start w:val="0"/>
      <w:numFmt w:val="bullet"/>
      <w:lvlText w:val="•"/>
      <w:lvlJc w:val="left"/>
      <w:pPr>
        <w:ind w:left="7986" w:hanging="507"/>
      </w:pPr>
      <w:rPr>
        <w:rFonts w:hint="default"/>
        <w:lang w:val="zh-CN" w:eastAsia="zh-CN" w:bidi="zh-CN"/>
      </w:rPr>
    </w:lvl>
    <w:lvl w:ilvl="8" w:tentative="0">
      <w:start w:val="0"/>
      <w:numFmt w:val="bullet"/>
      <w:lvlText w:val="•"/>
      <w:lvlJc w:val="left"/>
      <w:pPr>
        <w:ind w:left="9053" w:hanging="507"/>
      </w:pPr>
      <w:rPr>
        <w:rFonts w:hint="default"/>
        <w:lang w:val="zh-CN" w:eastAsia="zh-CN" w:bidi="zh-CN"/>
      </w:rPr>
    </w:lvl>
  </w:abstractNum>
  <w:abstractNum w:abstractNumId="150">
    <w:nsid w:val="74A22B63"/>
    <w:multiLevelType w:val="multilevel"/>
    <w:tmpl w:val="74A22B63"/>
    <w:lvl w:ilvl="0" w:tentative="0">
      <w:start w:val="2"/>
      <w:numFmt w:val="decimal"/>
      <w:lvlText w:val="%1"/>
      <w:lvlJc w:val="left"/>
      <w:pPr>
        <w:ind w:left="1373" w:hanging="375"/>
      </w:pPr>
      <w:rPr>
        <w:rFonts w:hint="default"/>
        <w:lang w:val="zh-CN" w:eastAsia="zh-CN" w:bidi="zh-CN"/>
      </w:rPr>
    </w:lvl>
    <w:lvl w:ilvl="1" w:tentative="0">
      <w:start w:val="1"/>
      <w:numFmt w:val="decimal"/>
      <w:lvlText w:val="%1.%2"/>
      <w:lvlJc w:val="left"/>
      <w:pPr>
        <w:ind w:left="528" w:hanging="375"/>
      </w:pPr>
      <w:rPr>
        <w:rFonts w:hint="default"/>
        <w:color w:val="000000" w:themeColor="text1"/>
        <w:spacing w:val="-1"/>
        <w:w w:val="82"/>
        <w:lang w:val="zh-CN" w:eastAsia="zh-CN" w:bidi="zh-CN"/>
        <w14:textFill>
          <w14:solidFill>
            <w14:schemeClr w14:val="tx1"/>
          </w14:solidFill>
        </w14:textFill>
      </w:rPr>
    </w:lvl>
    <w:lvl w:ilvl="2" w:tentative="0">
      <w:start w:val="0"/>
      <w:numFmt w:val="bullet"/>
      <w:lvlText w:val="•"/>
      <w:lvlJc w:val="left"/>
      <w:pPr>
        <w:ind w:left="2469" w:hanging="375"/>
      </w:pPr>
      <w:rPr>
        <w:rFonts w:hint="default"/>
        <w:lang w:val="zh-CN" w:eastAsia="zh-CN" w:bidi="zh-CN"/>
      </w:rPr>
    </w:lvl>
    <w:lvl w:ilvl="3" w:tentative="0">
      <w:start w:val="0"/>
      <w:numFmt w:val="bullet"/>
      <w:lvlText w:val="•"/>
      <w:lvlJc w:val="left"/>
      <w:pPr>
        <w:ind w:left="3559" w:hanging="375"/>
      </w:pPr>
      <w:rPr>
        <w:rFonts w:hint="default"/>
        <w:lang w:val="zh-CN" w:eastAsia="zh-CN" w:bidi="zh-CN"/>
      </w:rPr>
    </w:lvl>
    <w:lvl w:ilvl="4" w:tentative="0">
      <w:start w:val="0"/>
      <w:numFmt w:val="bullet"/>
      <w:lvlText w:val="•"/>
      <w:lvlJc w:val="left"/>
      <w:pPr>
        <w:ind w:left="4648" w:hanging="375"/>
      </w:pPr>
      <w:rPr>
        <w:rFonts w:hint="default"/>
        <w:lang w:val="zh-CN" w:eastAsia="zh-CN" w:bidi="zh-CN"/>
      </w:rPr>
    </w:lvl>
    <w:lvl w:ilvl="5" w:tentative="0">
      <w:start w:val="0"/>
      <w:numFmt w:val="bullet"/>
      <w:lvlText w:val="•"/>
      <w:lvlJc w:val="left"/>
      <w:pPr>
        <w:ind w:left="5738" w:hanging="375"/>
      </w:pPr>
      <w:rPr>
        <w:rFonts w:hint="default"/>
        <w:lang w:val="zh-CN" w:eastAsia="zh-CN" w:bidi="zh-CN"/>
      </w:rPr>
    </w:lvl>
    <w:lvl w:ilvl="6" w:tentative="0">
      <w:start w:val="0"/>
      <w:numFmt w:val="bullet"/>
      <w:lvlText w:val="•"/>
      <w:lvlJc w:val="left"/>
      <w:pPr>
        <w:ind w:left="6828" w:hanging="375"/>
      </w:pPr>
      <w:rPr>
        <w:rFonts w:hint="default"/>
        <w:lang w:val="zh-CN" w:eastAsia="zh-CN" w:bidi="zh-CN"/>
      </w:rPr>
    </w:lvl>
    <w:lvl w:ilvl="7" w:tentative="0">
      <w:start w:val="0"/>
      <w:numFmt w:val="bullet"/>
      <w:lvlText w:val="•"/>
      <w:lvlJc w:val="left"/>
      <w:pPr>
        <w:ind w:left="7917" w:hanging="375"/>
      </w:pPr>
      <w:rPr>
        <w:rFonts w:hint="default"/>
        <w:lang w:val="zh-CN" w:eastAsia="zh-CN" w:bidi="zh-CN"/>
      </w:rPr>
    </w:lvl>
    <w:lvl w:ilvl="8" w:tentative="0">
      <w:start w:val="0"/>
      <w:numFmt w:val="bullet"/>
      <w:lvlText w:val="•"/>
      <w:lvlJc w:val="left"/>
      <w:pPr>
        <w:ind w:left="9007" w:hanging="375"/>
      </w:pPr>
      <w:rPr>
        <w:rFonts w:hint="default"/>
        <w:lang w:val="zh-CN" w:eastAsia="zh-CN" w:bidi="zh-CN"/>
      </w:rPr>
    </w:lvl>
  </w:abstractNum>
  <w:abstractNum w:abstractNumId="151">
    <w:nsid w:val="74D84169"/>
    <w:multiLevelType w:val="multilevel"/>
    <w:tmpl w:val="74D84169"/>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2">
    <w:nsid w:val="74FA598B"/>
    <w:multiLevelType w:val="multilevel"/>
    <w:tmpl w:val="74FA598B"/>
    <w:lvl w:ilvl="0" w:tentative="0">
      <w:start w:val="28"/>
      <w:numFmt w:val="decimal"/>
      <w:lvlText w:val="%1"/>
      <w:lvlJc w:val="left"/>
      <w:pPr>
        <w:ind w:left="528" w:hanging="531"/>
      </w:pPr>
      <w:rPr>
        <w:rFonts w:hint="default"/>
        <w:lang w:val="zh-CN" w:eastAsia="zh-CN" w:bidi="zh-CN"/>
      </w:rPr>
    </w:lvl>
    <w:lvl w:ilvl="1" w:tentative="0">
      <w:start w:val="1"/>
      <w:numFmt w:val="none"/>
      <w:lvlText w:val="30.9.5"/>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3">
    <w:nsid w:val="75F22937"/>
    <w:multiLevelType w:val="multilevel"/>
    <w:tmpl w:val="75F22937"/>
    <w:lvl w:ilvl="0" w:tentative="0">
      <w:start w:val="32"/>
      <w:numFmt w:val="decimal"/>
      <w:lvlText w:val="%1"/>
      <w:lvlJc w:val="left"/>
      <w:pPr>
        <w:ind w:left="528" w:hanging="531"/>
      </w:pPr>
      <w:rPr>
        <w:rFonts w:hint="default"/>
        <w:lang w:val="zh-CN" w:eastAsia="zh-CN" w:bidi="zh-CN"/>
      </w:rPr>
    </w:lvl>
    <w:lvl w:ilvl="1" w:tentative="0">
      <w:start w:val="1"/>
      <w:numFmt w:val="none"/>
      <w:lvlText w:val="35"/>
      <w:lvlJc w:val="left"/>
      <w:pPr>
        <w:ind w:left="528" w:hanging="531"/>
      </w:pPr>
      <w:rPr>
        <w:rFonts w:hint="default" w:ascii="Times New Roman" w:hAnsi="Times New Roman" w:eastAsia="宋体" w:cs="Times New Roman"/>
        <w:spacing w:val="-1"/>
        <w:w w:val="101"/>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54">
    <w:nsid w:val="783719C5"/>
    <w:multiLevelType w:val="multilevel"/>
    <w:tmpl w:val="783719C5"/>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4"/>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5">
    <w:nsid w:val="7ACE16FE"/>
    <w:multiLevelType w:val="multilevel"/>
    <w:tmpl w:val="7ACE16FE"/>
    <w:lvl w:ilvl="0" w:tentative="0">
      <w:start w:val="10"/>
      <w:numFmt w:val="decimal"/>
      <w:lvlText w:val="%1"/>
      <w:lvlJc w:val="left"/>
      <w:pPr>
        <w:ind w:left="528" w:hanging="531"/>
      </w:pPr>
      <w:rPr>
        <w:rFonts w:hint="default"/>
        <w:lang w:val="zh-CN" w:eastAsia="zh-CN" w:bidi="zh-CN"/>
      </w:rPr>
    </w:lvl>
    <w:lvl w:ilvl="1" w:tentative="0">
      <w:start w:val="1"/>
      <w:numFmt w:val="none"/>
      <w:lvlText w:val="11.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0"/>
      <w:numFmt w:val="bullet"/>
      <w:lvlText w:val="•"/>
      <w:lvlJc w:val="left"/>
      <w:pPr>
        <w:ind w:left="2653" w:hanging="531"/>
      </w:pPr>
      <w:rPr>
        <w:rFonts w:hint="default"/>
        <w:lang w:val="zh-CN" w:eastAsia="zh-CN" w:bidi="zh-CN"/>
      </w:rPr>
    </w:lvl>
    <w:lvl w:ilvl="3" w:tentative="0">
      <w:start w:val="0"/>
      <w:numFmt w:val="bullet"/>
      <w:lvlText w:val="•"/>
      <w:lvlJc w:val="left"/>
      <w:pPr>
        <w:ind w:left="3719" w:hanging="531"/>
      </w:pPr>
      <w:rPr>
        <w:rFonts w:hint="default"/>
        <w:lang w:val="zh-CN" w:eastAsia="zh-CN" w:bidi="zh-CN"/>
      </w:rPr>
    </w:lvl>
    <w:lvl w:ilvl="4" w:tentative="0">
      <w:start w:val="0"/>
      <w:numFmt w:val="bullet"/>
      <w:lvlText w:val="•"/>
      <w:lvlJc w:val="left"/>
      <w:pPr>
        <w:ind w:left="4786" w:hanging="531"/>
      </w:pPr>
      <w:rPr>
        <w:rFonts w:hint="default"/>
        <w:lang w:val="zh-CN" w:eastAsia="zh-CN" w:bidi="zh-CN"/>
      </w:rPr>
    </w:lvl>
    <w:lvl w:ilvl="5" w:tentative="0">
      <w:start w:val="0"/>
      <w:numFmt w:val="bullet"/>
      <w:lvlText w:val="•"/>
      <w:lvlJc w:val="left"/>
      <w:pPr>
        <w:ind w:left="5853" w:hanging="531"/>
      </w:pPr>
      <w:rPr>
        <w:rFonts w:hint="default"/>
        <w:lang w:val="zh-CN" w:eastAsia="zh-CN" w:bidi="zh-CN"/>
      </w:rPr>
    </w:lvl>
    <w:lvl w:ilvl="6" w:tentative="0">
      <w:start w:val="0"/>
      <w:numFmt w:val="bullet"/>
      <w:lvlText w:val="•"/>
      <w:lvlJc w:val="left"/>
      <w:pPr>
        <w:ind w:left="6919" w:hanging="531"/>
      </w:pPr>
      <w:rPr>
        <w:rFonts w:hint="default"/>
        <w:lang w:val="zh-CN" w:eastAsia="zh-CN" w:bidi="zh-CN"/>
      </w:rPr>
    </w:lvl>
    <w:lvl w:ilvl="7" w:tentative="0">
      <w:start w:val="0"/>
      <w:numFmt w:val="bullet"/>
      <w:lvlText w:val="•"/>
      <w:lvlJc w:val="left"/>
      <w:pPr>
        <w:ind w:left="7986" w:hanging="531"/>
      </w:pPr>
      <w:rPr>
        <w:rFonts w:hint="default"/>
        <w:lang w:val="zh-CN" w:eastAsia="zh-CN" w:bidi="zh-CN"/>
      </w:rPr>
    </w:lvl>
    <w:lvl w:ilvl="8" w:tentative="0">
      <w:start w:val="0"/>
      <w:numFmt w:val="bullet"/>
      <w:lvlText w:val="•"/>
      <w:lvlJc w:val="left"/>
      <w:pPr>
        <w:ind w:left="9053" w:hanging="531"/>
      </w:pPr>
      <w:rPr>
        <w:rFonts w:hint="default"/>
        <w:lang w:val="zh-CN" w:eastAsia="zh-CN" w:bidi="zh-CN"/>
      </w:rPr>
    </w:lvl>
  </w:abstractNum>
  <w:abstractNum w:abstractNumId="156">
    <w:nsid w:val="7C0102D4"/>
    <w:multiLevelType w:val="multilevel"/>
    <w:tmpl w:val="7C0102D4"/>
    <w:lvl w:ilvl="0" w:tentative="0">
      <w:start w:val="28"/>
      <w:numFmt w:val="decimal"/>
      <w:lvlText w:val="%1"/>
      <w:lvlJc w:val="left"/>
      <w:pPr>
        <w:ind w:left="528" w:hanging="531"/>
      </w:pPr>
      <w:rPr>
        <w:rFonts w:hint="default"/>
        <w:lang w:val="zh-CN" w:eastAsia="zh-CN" w:bidi="zh-CN"/>
      </w:rPr>
    </w:lvl>
    <w:lvl w:ilvl="1" w:tentative="0">
      <w:start w:val="1"/>
      <w:numFmt w:val="none"/>
      <w:lvlText w:val="30.1"/>
      <w:lvlJc w:val="left"/>
      <w:pPr>
        <w:ind w:left="528" w:hanging="531"/>
      </w:pPr>
      <w:rPr>
        <w:rFonts w:hint="default" w:ascii="Times New Roman" w:hAnsi="Times New Roman" w:eastAsia="宋体" w:cs="Times New Roman"/>
        <w:spacing w:val="-1"/>
        <w:w w:val="82"/>
        <w:sz w:val="24"/>
        <w:szCs w:val="24"/>
        <w:lang w:val="zh-CN" w:eastAsia="zh-CN" w:bidi="zh-CN"/>
      </w:rPr>
    </w:lvl>
    <w:lvl w:ilvl="2" w:tentative="0">
      <w:start w:val="1"/>
      <w:numFmt w:val="decimal"/>
      <w:lvlText w:val="%1.%2.%3"/>
      <w:lvlJc w:val="left"/>
      <w:pPr>
        <w:ind w:left="1697" w:hanging="689"/>
      </w:pPr>
      <w:rPr>
        <w:rFonts w:hint="default" w:ascii="Times New Roman" w:hAnsi="Times New Roman" w:eastAsia="宋体" w:cs="Times New Roman"/>
        <w:spacing w:val="-1"/>
        <w:w w:val="82"/>
        <w:sz w:val="24"/>
        <w:szCs w:val="24"/>
        <w:lang w:val="zh-CN" w:eastAsia="zh-CN" w:bidi="zh-CN"/>
      </w:rPr>
    </w:lvl>
    <w:lvl w:ilvl="3" w:tentative="0">
      <w:start w:val="1"/>
      <w:numFmt w:val="decimal"/>
      <w:lvlText w:val="%1.%2.%3.%4"/>
      <w:lvlJc w:val="left"/>
      <w:pPr>
        <w:ind w:left="1879" w:hanging="872"/>
      </w:pPr>
      <w:rPr>
        <w:rFonts w:hint="default" w:ascii="Times New Roman" w:hAnsi="Times New Roman" w:eastAsia="宋体" w:cs="Times New Roman"/>
        <w:spacing w:val="-1"/>
        <w:w w:val="82"/>
        <w:sz w:val="24"/>
        <w:szCs w:val="24"/>
        <w:lang w:val="zh-CN" w:eastAsia="zh-CN" w:bidi="zh-CN"/>
      </w:rPr>
    </w:lvl>
    <w:lvl w:ilvl="4" w:tentative="0">
      <w:start w:val="1"/>
      <w:numFmt w:val="decimal"/>
      <w:lvlText w:val="%1.%2.%3.%4.%5"/>
      <w:lvlJc w:val="left"/>
      <w:pPr>
        <w:ind w:left="2062" w:hanging="1054"/>
      </w:pPr>
      <w:rPr>
        <w:rFonts w:hint="default" w:ascii="Times New Roman" w:hAnsi="Times New Roman" w:eastAsia="宋体" w:cs="Times New Roman"/>
        <w:spacing w:val="-1"/>
        <w:w w:val="82"/>
        <w:sz w:val="24"/>
        <w:szCs w:val="24"/>
        <w:lang w:val="zh-CN" w:eastAsia="zh-CN" w:bidi="zh-CN"/>
      </w:rPr>
    </w:lvl>
    <w:lvl w:ilvl="5" w:tentative="0">
      <w:start w:val="0"/>
      <w:numFmt w:val="bullet"/>
      <w:lvlText w:val="•"/>
      <w:lvlJc w:val="left"/>
      <w:pPr>
        <w:ind w:left="4667" w:hanging="1054"/>
      </w:pPr>
      <w:rPr>
        <w:rFonts w:hint="default"/>
        <w:lang w:val="zh-CN" w:eastAsia="zh-CN" w:bidi="zh-CN"/>
      </w:rPr>
    </w:lvl>
    <w:lvl w:ilvl="6" w:tentative="0">
      <w:start w:val="0"/>
      <w:numFmt w:val="bullet"/>
      <w:lvlText w:val="•"/>
      <w:lvlJc w:val="left"/>
      <w:pPr>
        <w:ind w:left="5971" w:hanging="1054"/>
      </w:pPr>
      <w:rPr>
        <w:rFonts w:hint="default"/>
        <w:lang w:val="zh-CN" w:eastAsia="zh-CN" w:bidi="zh-CN"/>
      </w:rPr>
    </w:lvl>
    <w:lvl w:ilvl="7" w:tentative="0">
      <w:start w:val="0"/>
      <w:numFmt w:val="bullet"/>
      <w:lvlText w:val="•"/>
      <w:lvlJc w:val="left"/>
      <w:pPr>
        <w:ind w:left="7275" w:hanging="1054"/>
      </w:pPr>
      <w:rPr>
        <w:rFonts w:hint="default"/>
        <w:lang w:val="zh-CN" w:eastAsia="zh-CN" w:bidi="zh-CN"/>
      </w:rPr>
    </w:lvl>
    <w:lvl w:ilvl="8" w:tentative="0">
      <w:start w:val="0"/>
      <w:numFmt w:val="bullet"/>
      <w:lvlText w:val="•"/>
      <w:lvlJc w:val="left"/>
      <w:pPr>
        <w:ind w:left="8578" w:hanging="1054"/>
      </w:pPr>
      <w:rPr>
        <w:rFonts w:hint="default"/>
        <w:lang w:val="zh-CN" w:eastAsia="zh-CN" w:bidi="zh-CN"/>
      </w:rPr>
    </w:lvl>
  </w:abstractNum>
  <w:abstractNum w:abstractNumId="157">
    <w:nsid w:val="7C55124F"/>
    <w:multiLevelType w:val="multilevel"/>
    <w:tmpl w:val="7C55124F"/>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6.3.6"/>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58">
    <w:nsid w:val="7D3406AC"/>
    <w:multiLevelType w:val="multilevel"/>
    <w:tmpl w:val="7D3406AC"/>
    <w:lvl w:ilvl="0" w:tentative="0">
      <w:start w:val="34"/>
      <w:numFmt w:val="decimal"/>
      <w:lvlText w:val="%1"/>
      <w:lvlJc w:val="left"/>
      <w:pPr>
        <w:ind w:left="528" w:hanging="531"/>
      </w:pPr>
      <w:rPr>
        <w:rFonts w:hint="default"/>
        <w:lang w:val="zh-CN" w:eastAsia="zh-CN" w:bidi="zh-CN"/>
      </w:rPr>
    </w:lvl>
    <w:lvl w:ilvl="1" w:tentative="0">
      <w:start w:val="1"/>
      <w:numFmt w:val="none"/>
      <w:lvlText w:val="37"/>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59">
    <w:nsid w:val="7D8E079D"/>
    <w:multiLevelType w:val="multilevel"/>
    <w:tmpl w:val="7D8E079D"/>
    <w:lvl w:ilvl="0" w:tentative="0">
      <w:start w:val="34"/>
      <w:numFmt w:val="decimal"/>
      <w:lvlText w:val="%1"/>
      <w:lvlJc w:val="left"/>
      <w:pPr>
        <w:ind w:left="528" w:hanging="531"/>
      </w:pPr>
      <w:rPr>
        <w:rFonts w:hint="default"/>
        <w:lang w:val="zh-CN" w:eastAsia="zh-CN" w:bidi="zh-CN"/>
      </w:rPr>
    </w:lvl>
    <w:lvl w:ilvl="1" w:tentative="0">
      <w:start w:val="1"/>
      <w:numFmt w:val="none"/>
      <w:lvlText w:val="36.9"/>
      <w:lvlJc w:val="left"/>
      <w:pPr>
        <w:ind w:left="528" w:hanging="531"/>
      </w:pPr>
      <w:rPr>
        <w:rFonts w:hint="default" w:ascii="Times New Roman" w:hAnsi="Times New Roman" w:eastAsia="宋体" w:cs="Times New Roman"/>
        <w:spacing w:val="-1"/>
        <w:w w:val="66"/>
        <w:sz w:val="24"/>
        <w:szCs w:val="24"/>
        <w:lang w:val="zh-CN" w:eastAsia="zh-CN" w:bidi="zh-CN"/>
      </w:rPr>
    </w:lvl>
    <w:lvl w:ilvl="2" w:tentative="0">
      <w:start w:val="1"/>
      <w:numFmt w:val="decimal"/>
      <w:lvlText w:val="%1.%2.%3"/>
      <w:lvlJc w:val="left"/>
      <w:pPr>
        <w:ind w:left="1788" w:hanging="780"/>
      </w:pPr>
      <w:rPr>
        <w:rFonts w:hint="default" w:ascii="Noto Sans Mono CJK JP Regular" w:hAnsi="Noto Sans Mono CJK JP Regular" w:eastAsia="宋体" w:cs="Noto Sans Mono CJK JP Regular"/>
        <w:w w:val="100"/>
        <w:sz w:val="24"/>
        <w:szCs w:val="24"/>
        <w:lang w:val="zh-CN" w:eastAsia="zh-CN" w:bidi="zh-CN"/>
      </w:rPr>
    </w:lvl>
    <w:lvl w:ilvl="3" w:tentative="0">
      <w:start w:val="0"/>
      <w:numFmt w:val="bullet"/>
      <w:lvlText w:val="•"/>
      <w:lvlJc w:val="left"/>
      <w:pPr>
        <w:ind w:left="3870" w:hanging="780"/>
      </w:pPr>
      <w:rPr>
        <w:rFonts w:hint="default"/>
        <w:lang w:val="zh-CN" w:eastAsia="zh-CN" w:bidi="zh-CN"/>
      </w:rPr>
    </w:lvl>
    <w:lvl w:ilvl="4" w:tentative="0">
      <w:start w:val="0"/>
      <w:numFmt w:val="bullet"/>
      <w:lvlText w:val="•"/>
      <w:lvlJc w:val="left"/>
      <w:pPr>
        <w:ind w:left="4915" w:hanging="780"/>
      </w:pPr>
      <w:rPr>
        <w:rFonts w:hint="default"/>
        <w:lang w:val="zh-CN" w:eastAsia="zh-CN" w:bidi="zh-CN"/>
      </w:rPr>
    </w:lvl>
    <w:lvl w:ilvl="5" w:tentative="0">
      <w:start w:val="0"/>
      <w:numFmt w:val="bullet"/>
      <w:lvlText w:val="•"/>
      <w:lvlJc w:val="left"/>
      <w:pPr>
        <w:ind w:left="5960" w:hanging="780"/>
      </w:pPr>
      <w:rPr>
        <w:rFonts w:hint="default"/>
        <w:lang w:val="zh-CN" w:eastAsia="zh-CN" w:bidi="zh-CN"/>
      </w:rPr>
    </w:lvl>
    <w:lvl w:ilvl="6" w:tentative="0">
      <w:start w:val="0"/>
      <w:numFmt w:val="bullet"/>
      <w:lvlText w:val="•"/>
      <w:lvlJc w:val="left"/>
      <w:pPr>
        <w:ind w:left="7005" w:hanging="780"/>
      </w:pPr>
      <w:rPr>
        <w:rFonts w:hint="default"/>
        <w:lang w:val="zh-CN" w:eastAsia="zh-CN" w:bidi="zh-CN"/>
      </w:rPr>
    </w:lvl>
    <w:lvl w:ilvl="7" w:tentative="0">
      <w:start w:val="0"/>
      <w:numFmt w:val="bullet"/>
      <w:lvlText w:val="•"/>
      <w:lvlJc w:val="left"/>
      <w:pPr>
        <w:ind w:left="8050" w:hanging="780"/>
      </w:pPr>
      <w:rPr>
        <w:rFonts w:hint="default"/>
        <w:lang w:val="zh-CN" w:eastAsia="zh-CN" w:bidi="zh-CN"/>
      </w:rPr>
    </w:lvl>
    <w:lvl w:ilvl="8" w:tentative="0">
      <w:start w:val="0"/>
      <w:numFmt w:val="bullet"/>
      <w:lvlText w:val="•"/>
      <w:lvlJc w:val="left"/>
      <w:pPr>
        <w:ind w:left="9096" w:hanging="780"/>
      </w:pPr>
      <w:rPr>
        <w:rFonts w:hint="default"/>
        <w:lang w:val="zh-CN" w:eastAsia="zh-CN" w:bidi="zh-CN"/>
      </w:rPr>
    </w:lvl>
  </w:abstractNum>
  <w:abstractNum w:abstractNumId="160">
    <w:nsid w:val="7DED525D"/>
    <w:multiLevelType w:val="multilevel"/>
    <w:tmpl w:val="7DED525D"/>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4.3.2"/>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abstractNum w:abstractNumId="161">
    <w:nsid w:val="7E793510"/>
    <w:multiLevelType w:val="multilevel"/>
    <w:tmpl w:val="7E793510"/>
    <w:lvl w:ilvl="0" w:tentative="0">
      <w:start w:val="25"/>
      <w:numFmt w:val="decimal"/>
      <w:lvlText w:val="%1"/>
      <w:lvlJc w:val="left"/>
      <w:pPr>
        <w:ind w:left="1514" w:hanging="507"/>
      </w:pPr>
      <w:rPr>
        <w:rFonts w:hint="default"/>
      </w:rPr>
    </w:lvl>
    <w:lvl w:ilvl="1" w:tentative="0">
      <w:start w:val="2"/>
      <w:numFmt w:val="decimal"/>
      <w:lvlText w:val="%1.%2"/>
      <w:lvlJc w:val="left"/>
      <w:pPr>
        <w:ind w:left="1514" w:hanging="507"/>
      </w:pPr>
      <w:rPr>
        <w:rFonts w:hint="default" w:ascii="Times New Roman" w:hAnsi="Times New Roman" w:eastAsia="宋体" w:cs="Times New Roman"/>
        <w:spacing w:val="-1"/>
        <w:w w:val="82"/>
        <w:sz w:val="24"/>
        <w:szCs w:val="24"/>
      </w:rPr>
    </w:lvl>
    <w:lvl w:ilvl="2" w:tentative="0">
      <w:start w:val="2"/>
      <w:numFmt w:val="none"/>
      <w:lvlText w:val="29"/>
      <w:lvlJc w:val="left"/>
      <w:pPr>
        <w:ind w:left="1697" w:hanging="689"/>
      </w:pPr>
      <w:rPr>
        <w:rFonts w:hint="default" w:ascii="Times New Roman" w:hAnsi="Times New Roman" w:eastAsia="宋体" w:cs="Times New Roman"/>
        <w:spacing w:val="-1"/>
        <w:w w:val="82"/>
        <w:sz w:val="24"/>
        <w:szCs w:val="24"/>
      </w:rPr>
    </w:lvl>
    <w:lvl w:ilvl="3" w:tentative="0">
      <w:start w:val="0"/>
      <w:numFmt w:val="bullet"/>
      <w:lvlText w:val="•"/>
      <w:lvlJc w:val="left"/>
      <w:pPr>
        <w:ind w:left="3808" w:hanging="689"/>
      </w:pPr>
      <w:rPr>
        <w:rFonts w:hint="default"/>
      </w:rPr>
    </w:lvl>
    <w:lvl w:ilvl="4" w:tentative="0">
      <w:start w:val="0"/>
      <w:numFmt w:val="bullet"/>
      <w:lvlText w:val="•"/>
      <w:lvlJc w:val="left"/>
      <w:pPr>
        <w:ind w:left="4862" w:hanging="689"/>
      </w:pPr>
      <w:rPr>
        <w:rFonts w:hint="default"/>
      </w:rPr>
    </w:lvl>
    <w:lvl w:ilvl="5" w:tentative="0">
      <w:start w:val="0"/>
      <w:numFmt w:val="bullet"/>
      <w:lvlText w:val="•"/>
      <w:lvlJc w:val="left"/>
      <w:pPr>
        <w:ind w:left="5916" w:hanging="689"/>
      </w:pPr>
      <w:rPr>
        <w:rFonts w:hint="default"/>
      </w:rPr>
    </w:lvl>
    <w:lvl w:ilvl="6" w:tentative="0">
      <w:start w:val="0"/>
      <w:numFmt w:val="bullet"/>
      <w:lvlText w:val="•"/>
      <w:lvlJc w:val="left"/>
      <w:pPr>
        <w:ind w:left="6970" w:hanging="689"/>
      </w:pPr>
      <w:rPr>
        <w:rFonts w:hint="default"/>
      </w:rPr>
    </w:lvl>
    <w:lvl w:ilvl="7" w:tentative="0">
      <w:start w:val="0"/>
      <w:numFmt w:val="bullet"/>
      <w:lvlText w:val="•"/>
      <w:lvlJc w:val="left"/>
      <w:pPr>
        <w:ind w:left="8024" w:hanging="689"/>
      </w:pPr>
      <w:rPr>
        <w:rFonts w:hint="default"/>
      </w:rPr>
    </w:lvl>
    <w:lvl w:ilvl="8" w:tentative="0">
      <w:start w:val="0"/>
      <w:numFmt w:val="bullet"/>
      <w:lvlText w:val="•"/>
      <w:lvlJc w:val="left"/>
      <w:pPr>
        <w:ind w:left="9078" w:hanging="689"/>
      </w:pPr>
      <w:rPr>
        <w:rFonts w:hint="default"/>
      </w:rPr>
    </w:lvl>
  </w:abstractNum>
  <w:num w:numId="1">
    <w:abstractNumId w:val="58"/>
  </w:num>
  <w:num w:numId="2">
    <w:abstractNumId w:val="147"/>
  </w:num>
  <w:num w:numId="3">
    <w:abstractNumId w:val="106"/>
  </w:num>
  <w:num w:numId="4">
    <w:abstractNumId w:val="150"/>
  </w:num>
  <w:num w:numId="5">
    <w:abstractNumId w:val="99"/>
  </w:num>
  <w:num w:numId="6">
    <w:abstractNumId w:val="103"/>
  </w:num>
  <w:num w:numId="7">
    <w:abstractNumId w:val="70"/>
  </w:num>
  <w:num w:numId="8">
    <w:abstractNumId w:val="7"/>
  </w:num>
  <w:num w:numId="9">
    <w:abstractNumId w:val="104"/>
  </w:num>
  <w:num w:numId="10">
    <w:abstractNumId w:val="57"/>
  </w:num>
  <w:num w:numId="11">
    <w:abstractNumId w:val="40"/>
  </w:num>
  <w:num w:numId="12">
    <w:abstractNumId w:val="39"/>
  </w:num>
  <w:num w:numId="13">
    <w:abstractNumId w:val="77"/>
  </w:num>
  <w:num w:numId="14">
    <w:abstractNumId w:val="84"/>
  </w:num>
  <w:num w:numId="15">
    <w:abstractNumId w:val="81"/>
  </w:num>
  <w:num w:numId="16">
    <w:abstractNumId w:val="144"/>
  </w:num>
  <w:num w:numId="17">
    <w:abstractNumId w:val="155"/>
  </w:num>
  <w:num w:numId="18">
    <w:abstractNumId w:val="120"/>
  </w:num>
  <w:num w:numId="19">
    <w:abstractNumId w:val="62"/>
  </w:num>
  <w:num w:numId="20">
    <w:abstractNumId w:val="138"/>
  </w:num>
  <w:num w:numId="21">
    <w:abstractNumId w:val="140"/>
  </w:num>
  <w:num w:numId="22">
    <w:abstractNumId w:val="76"/>
  </w:num>
  <w:num w:numId="23">
    <w:abstractNumId w:val="121"/>
  </w:num>
  <w:num w:numId="24">
    <w:abstractNumId w:val="122"/>
  </w:num>
  <w:num w:numId="25">
    <w:abstractNumId w:val="49"/>
  </w:num>
  <w:num w:numId="26">
    <w:abstractNumId w:val="146"/>
  </w:num>
  <w:num w:numId="27">
    <w:abstractNumId w:val="66"/>
  </w:num>
  <w:num w:numId="28">
    <w:abstractNumId w:val="130"/>
  </w:num>
  <w:num w:numId="29">
    <w:abstractNumId w:val="16"/>
  </w:num>
  <w:num w:numId="30">
    <w:abstractNumId w:val="93"/>
  </w:num>
  <w:num w:numId="31">
    <w:abstractNumId w:val="85"/>
  </w:num>
  <w:num w:numId="32">
    <w:abstractNumId w:val="142"/>
  </w:num>
  <w:num w:numId="33">
    <w:abstractNumId w:val="145"/>
  </w:num>
  <w:num w:numId="34">
    <w:abstractNumId w:val="9"/>
  </w:num>
  <w:num w:numId="35">
    <w:abstractNumId w:val="97"/>
  </w:num>
  <w:num w:numId="36">
    <w:abstractNumId w:val="82"/>
  </w:num>
  <w:num w:numId="37">
    <w:abstractNumId w:val="100"/>
  </w:num>
  <w:num w:numId="38">
    <w:abstractNumId w:val="60"/>
  </w:num>
  <w:num w:numId="39">
    <w:abstractNumId w:val="61"/>
  </w:num>
  <w:num w:numId="40">
    <w:abstractNumId w:val="116"/>
  </w:num>
  <w:num w:numId="41">
    <w:abstractNumId w:val="88"/>
  </w:num>
  <w:num w:numId="42">
    <w:abstractNumId w:val="21"/>
  </w:num>
  <w:num w:numId="43">
    <w:abstractNumId w:val="75"/>
  </w:num>
  <w:num w:numId="44">
    <w:abstractNumId w:val="24"/>
  </w:num>
  <w:num w:numId="45">
    <w:abstractNumId w:val="117"/>
  </w:num>
  <w:num w:numId="46">
    <w:abstractNumId w:val="32"/>
  </w:num>
  <w:num w:numId="47">
    <w:abstractNumId w:val="30"/>
  </w:num>
  <w:num w:numId="48">
    <w:abstractNumId w:val="149"/>
  </w:num>
  <w:num w:numId="49">
    <w:abstractNumId w:val="108"/>
  </w:num>
  <w:num w:numId="50">
    <w:abstractNumId w:val="105"/>
  </w:num>
  <w:num w:numId="51">
    <w:abstractNumId w:val="94"/>
  </w:num>
  <w:num w:numId="52">
    <w:abstractNumId w:val="8"/>
  </w:num>
  <w:num w:numId="53">
    <w:abstractNumId w:val="127"/>
  </w:num>
  <w:num w:numId="54">
    <w:abstractNumId w:val="18"/>
  </w:num>
  <w:num w:numId="55">
    <w:abstractNumId w:val="78"/>
  </w:num>
  <w:num w:numId="56">
    <w:abstractNumId w:val="12"/>
  </w:num>
  <w:num w:numId="57">
    <w:abstractNumId w:val="92"/>
  </w:num>
  <w:num w:numId="58">
    <w:abstractNumId w:val="137"/>
  </w:num>
  <w:num w:numId="59">
    <w:abstractNumId w:val="43"/>
  </w:num>
  <w:num w:numId="60">
    <w:abstractNumId w:val="74"/>
  </w:num>
  <w:num w:numId="61">
    <w:abstractNumId w:val="160"/>
  </w:num>
  <w:num w:numId="62">
    <w:abstractNumId w:val="132"/>
  </w:num>
  <w:num w:numId="63">
    <w:abstractNumId w:val="33"/>
  </w:num>
  <w:num w:numId="64">
    <w:abstractNumId w:val="151"/>
  </w:num>
  <w:num w:numId="65">
    <w:abstractNumId w:val="134"/>
  </w:num>
  <w:num w:numId="66">
    <w:abstractNumId w:val="38"/>
  </w:num>
  <w:num w:numId="67">
    <w:abstractNumId w:val="59"/>
  </w:num>
  <w:num w:numId="68">
    <w:abstractNumId w:val="131"/>
  </w:num>
  <w:num w:numId="69">
    <w:abstractNumId w:val="119"/>
  </w:num>
  <w:num w:numId="70">
    <w:abstractNumId w:val="113"/>
  </w:num>
  <w:num w:numId="71">
    <w:abstractNumId w:val="41"/>
  </w:num>
  <w:num w:numId="72">
    <w:abstractNumId w:val="136"/>
  </w:num>
  <w:num w:numId="73">
    <w:abstractNumId w:val="139"/>
  </w:num>
  <w:num w:numId="74">
    <w:abstractNumId w:val="154"/>
  </w:num>
  <w:num w:numId="75">
    <w:abstractNumId w:val="118"/>
  </w:num>
  <w:num w:numId="76">
    <w:abstractNumId w:val="157"/>
  </w:num>
  <w:num w:numId="77">
    <w:abstractNumId w:val="3"/>
  </w:num>
  <w:num w:numId="78">
    <w:abstractNumId w:val="26"/>
  </w:num>
  <w:num w:numId="79">
    <w:abstractNumId w:val="5"/>
  </w:num>
  <w:num w:numId="80">
    <w:abstractNumId w:val="27"/>
  </w:num>
  <w:num w:numId="81">
    <w:abstractNumId w:val="141"/>
  </w:num>
  <w:num w:numId="82">
    <w:abstractNumId w:val="98"/>
  </w:num>
  <w:num w:numId="83">
    <w:abstractNumId w:val="73"/>
  </w:num>
  <w:num w:numId="84">
    <w:abstractNumId w:val="96"/>
  </w:num>
  <w:num w:numId="85">
    <w:abstractNumId w:val="64"/>
  </w:num>
  <w:num w:numId="86">
    <w:abstractNumId w:val="111"/>
  </w:num>
  <w:num w:numId="87">
    <w:abstractNumId w:val="123"/>
  </w:num>
  <w:num w:numId="88">
    <w:abstractNumId w:val="22"/>
  </w:num>
  <w:num w:numId="89">
    <w:abstractNumId w:val="91"/>
  </w:num>
  <w:num w:numId="90">
    <w:abstractNumId w:val="25"/>
  </w:num>
  <w:num w:numId="91">
    <w:abstractNumId w:val="161"/>
  </w:num>
  <w:num w:numId="92">
    <w:abstractNumId w:val="129"/>
  </w:num>
  <w:num w:numId="93">
    <w:abstractNumId w:val="19"/>
  </w:num>
  <w:num w:numId="94">
    <w:abstractNumId w:val="156"/>
  </w:num>
  <w:num w:numId="95">
    <w:abstractNumId w:val="63"/>
  </w:num>
  <w:num w:numId="96">
    <w:abstractNumId w:val="55"/>
  </w:num>
  <w:num w:numId="97">
    <w:abstractNumId w:val="90"/>
  </w:num>
  <w:num w:numId="98">
    <w:abstractNumId w:val="11"/>
  </w:num>
  <w:num w:numId="99">
    <w:abstractNumId w:val="54"/>
  </w:num>
  <w:num w:numId="100">
    <w:abstractNumId w:val="2"/>
  </w:num>
  <w:num w:numId="101">
    <w:abstractNumId w:val="17"/>
  </w:num>
  <w:num w:numId="102">
    <w:abstractNumId w:val="4"/>
  </w:num>
  <w:num w:numId="103">
    <w:abstractNumId w:val="83"/>
  </w:num>
  <w:num w:numId="104">
    <w:abstractNumId w:val="69"/>
  </w:num>
  <w:num w:numId="105">
    <w:abstractNumId w:val="65"/>
  </w:num>
  <w:num w:numId="106">
    <w:abstractNumId w:val="143"/>
  </w:num>
  <w:num w:numId="107">
    <w:abstractNumId w:val="80"/>
  </w:num>
  <w:num w:numId="108">
    <w:abstractNumId w:val="79"/>
  </w:num>
  <w:num w:numId="109">
    <w:abstractNumId w:val="152"/>
  </w:num>
  <w:num w:numId="110">
    <w:abstractNumId w:val="47"/>
  </w:num>
  <w:num w:numId="111">
    <w:abstractNumId w:val="53"/>
  </w:num>
  <w:num w:numId="112">
    <w:abstractNumId w:val="133"/>
  </w:num>
  <w:num w:numId="113">
    <w:abstractNumId w:val="29"/>
  </w:num>
  <w:num w:numId="114">
    <w:abstractNumId w:val="128"/>
  </w:num>
  <w:num w:numId="115">
    <w:abstractNumId w:val="23"/>
  </w:num>
  <w:num w:numId="116">
    <w:abstractNumId w:val="36"/>
  </w:num>
  <w:num w:numId="117">
    <w:abstractNumId w:val="10"/>
  </w:num>
  <w:num w:numId="118">
    <w:abstractNumId w:val="68"/>
  </w:num>
  <w:num w:numId="119">
    <w:abstractNumId w:val="20"/>
  </w:num>
  <w:num w:numId="120">
    <w:abstractNumId w:val="125"/>
  </w:num>
  <w:num w:numId="121">
    <w:abstractNumId w:val="50"/>
  </w:num>
  <w:num w:numId="122">
    <w:abstractNumId w:val="114"/>
  </w:num>
  <w:num w:numId="123">
    <w:abstractNumId w:val="52"/>
  </w:num>
  <w:num w:numId="124">
    <w:abstractNumId w:val="110"/>
  </w:num>
  <w:num w:numId="125">
    <w:abstractNumId w:val="56"/>
  </w:num>
  <w:num w:numId="126">
    <w:abstractNumId w:val="153"/>
  </w:num>
  <w:num w:numId="127">
    <w:abstractNumId w:val="95"/>
  </w:num>
  <w:num w:numId="128">
    <w:abstractNumId w:val="102"/>
  </w:num>
  <w:num w:numId="129">
    <w:abstractNumId w:val="28"/>
  </w:num>
  <w:num w:numId="130">
    <w:abstractNumId w:val="107"/>
  </w:num>
  <w:num w:numId="131">
    <w:abstractNumId w:val="44"/>
  </w:num>
  <w:num w:numId="132">
    <w:abstractNumId w:val="72"/>
  </w:num>
  <w:num w:numId="133">
    <w:abstractNumId w:val="109"/>
  </w:num>
  <w:num w:numId="134">
    <w:abstractNumId w:val="51"/>
  </w:num>
  <w:num w:numId="135">
    <w:abstractNumId w:val="45"/>
  </w:num>
  <w:num w:numId="136">
    <w:abstractNumId w:val="112"/>
  </w:num>
  <w:num w:numId="137">
    <w:abstractNumId w:val="89"/>
  </w:num>
  <w:num w:numId="138">
    <w:abstractNumId w:val="115"/>
  </w:num>
  <w:num w:numId="139">
    <w:abstractNumId w:val="87"/>
  </w:num>
  <w:num w:numId="140">
    <w:abstractNumId w:val="14"/>
  </w:num>
  <w:num w:numId="141">
    <w:abstractNumId w:val="71"/>
  </w:num>
  <w:num w:numId="142">
    <w:abstractNumId w:val="37"/>
  </w:num>
  <w:num w:numId="143">
    <w:abstractNumId w:val="86"/>
  </w:num>
  <w:num w:numId="144">
    <w:abstractNumId w:val="15"/>
  </w:num>
  <w:num w:numId="145">
    <w:abstractNumId w:val="135"/>
  </w:num>
  <w:num w:numId="146">
    <w:abstractNumId w:val="48"/>
  </w:num>
  <w:num w:numId="147">
    <w:abstractNumId w:val="124"/>
  </w:num>
  <w:num w:numId="148">
    <w:abstractNumId w:val="13"/>
  </w:num>
  <w:num w:numId="149">
    <w:abstractNumId w:val="34"/>
  </w:num>
  <w:num w:numId="150">
    <w:abstractNumId w:val="126"/>
  </w:num>
  <w:num w:numId="151">
    <w:abstractNumId w:val="159"/>
  </w:num>
  <w:num w:numId="152">
    <w:abstractNumId w:val="42"/>
  </w:num>
  <w:num w:numId="153">
    <w:abstractNumId w:val="148"/>
  </w:num>
  <w:num w:numId="154">
    <w:abstractNumId w:val="31"/>
  </w:num>
  <w:num w:numId="155">
    <w:abstractNumId w:val="101"/>
  </w:num>
  <w:num w:numId="156">
    <w:abstractNumId w:val="158"/>
  </w:num>
  <w:num w:numId="157">
    <w:abstractNumId w:val="46"/>
  </w:num>
  <w:num w:numId="158">
    <w:abstractNumId w:val="6"/>
  </w:num>
  <w:num w:numId="159">
    <w:abstractNumId w:val="35"/>
  </w:num>
  <w:num w:numId="160">
    <w:abstractNumId w:val="1"/>
  </w:num>
  <w:num w:numId="161">
    <w:abstractNumId w:val="0"/>
  </w:num>
  <w:num w:numId="162">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hdrShapeDefaults>
    <o:shapelayout v:ext="edit">
      <o:idmap v:ext="edit" data="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NjNiMjFmY2NhMjkyY2UxMTVmYzI1Mzc1Zjc5NjcifQ=="/>
  </w:docVars>
  <w:rsids>
    <w:rsidRoot w:val="00C70BD0"/>
    <w:rsid w:val="00003A4F"/>
    <w:rsid w:val="0003000B"/>
    <w:rsid w:val="000358DF"/>
    <w:rsid w:val="000364F1"/>
    <w:rsid w:val="00036577"/>
    <w:rsid w:val="00037E1E"/>
    <w:rsid w:val="00050EB0"/>
    <w:rsid w:val="00053D47"/>
    <w:rsid w:val="00055AED"/>
    <w:rsid w:val="00055FBB"/>
    <w:rsid w:val="00066023"/>
    <w:rsid w:val="00083B1E"/>
    <w:rsid w:val="000939AD"/>
    <w:rsid w:val="000A0F55"/>
    <w:rsid w:val="000A24C1"/>
    <w:rsid w:val="000A50AD"/>
    <w:rsid w:val="000A5206"/>
    <w:rsid w:val="000B44AC"/>
    <w:rsid w:val="000C468F"/>
    <w:rsid w:val="000D08EA"/>
    <w:rsid w:val="000F1B13"/>
    <w:rsid w:val="000F25FB"/>
    <w:rsid w:val="000F62B0"/>
    <w:rsid w:val="001046AF"/>
    <w:rsid w:val="001067C0"/>
    <w:rsid w:val="0011672F"/>
    <w:rsid w:val="0013634F"/>
    <w:rsid w:val="00141315"/>
    <w:rsid w:val="00144B1B"/>
    <w:rsid w:val="00154197"/>
    <w:rsid w:val="001553F8"/>
    <w:rsid w:val="0016196E"/>
    <w:rsid w:val="00163B01"/>
    <w:rsid w:val="0016444D"/>
    <w:rsid w:val="0017386E"/>
    <w:rsid w:val="0018044E"/>
    <w:rsid w:val="001831FD"/>
    <w:rsid w:val="00194193"/>
    <w:rsid w:val="001A7F66"/>
    <w:rsid w:val="001B0280"/>
    <w:rsid w:val="001B0A9D"/>
    <w:rsid w:val="001B27D6"/>
    <w:rsid w:val="001B3B28"/>
    <w:rsid w:val="001B7810"/>
    <w:rsid w:val="001C2A11"/>
    <w:rsid w:val="001C63C1"/>
    <w:rsid w:val="001E028F"/>
    <w:rsid w:val="001E59F3"/>
    <w:rsid w:val="001E646A"/>
    <w:rsid w:val="001F1662"/>
    <w:rsid w:val="001F7C6D"/>
    <w:rsid w:val="002160FD"/>
    <w:rsid w:val="00220D92"/>
    <w:rsid w:val="0022320A"/>
    <w:rsid w:val="002378BE"/>
    <w:rsid w:val="002450A4"/>
    <w:rsid w:val="00264355"/>
    <w:rsid w:val="00282C17"/>
    <w:rsid w:val="00283A6C"/>
    <w:rsid w:val="00286E85"/>
    <w:rsid w:val="002918E9"/>
    <w:rsid w:val="0029302F"/>
    <w:rsid w:val="0029531E"/>
    <w:rsid w:val="002A0E4C"/>
    <w:rsid w:val="002A34C5"/>
    <w:rsid w:val="002A3C1B"/>
    <w:rsid w:val="002A551D"/>
    <w:rsid w:val="002A68CF"/>
    <w:rsid w:val="002A6F09"/>
    <w:rsid w:val="002B1328"/>
    <w:rsid w:val="002B2343"/>
    <w:rsid w:val="002B23DB"/>
    <w:rsid w:val="002B3953"/>
    <w:rsid w:val="002B5E14"/>
    <w:rsid w:val="002B671D"/>
    <w:rsid w:val="002D16A1"/>
    <w:rsid w:val="002D2E75"/>
    <w:rsid w:val="002D6F13"/>
    <w:rsid w:val="002E1341"/>
    <w:rsid w:val="002E34CC"/>
    <w:rsid w:val="002F347B"/>
    <w:rsid w:val="0030571D"/>
    <w:rsid w:val="003117E5"/>
    <w:rsid w:val="00311CDF"/>
    <w:rsid w:val="00321184"/>
    <w:rsid w:val="00324EE3"/>
    <w:rsid w:val="00331A10"/>
    <w:rsid w:val="00332AE0"/>
    <w:rsid w:val="00333FAE"/>
    <w:rsid w:val="003373F3"/>
    <w:rsid w:val="00351F5A"/>
    <w:rsid w:val="00354E70"/>
    <w:rsid w:val="00356E87"/>
    <w:rsid w:val="00357276"/>
    <w:rsid w:val="00357561"/>
    <w:rsid w:val="00362261"/>
    <w:rsid w:val="00363E41"/>
    <w:rsid w:val="00370858"/>
    <w:rsid w:val="00381244"/>
    <w:rsid w:val="003A2185"/>
    <w:rsid w:val="003A77CC"/>
    <w:rsid w:val="003B0435"/>
    <w:rsid w:val="003B6DF7"/>
    <w:rsid w:val="003C21A6"/>
    <w:rsid w:val="003C4C64"/>
    <w:rsid w:val="003D46B3"/>
    <w:rsid w:val="003D5497"/>
    <w:rsid w:val="003D6D25"/>
    <w:rsid w:val="003E0B5D"/>
    <w:rsid w:val="003E1ED8"/>
    <w:rsid w:val="003E3E1A"/>
    <w:rsid w:val="003E57A8"/>
    <w:rsid w:val="003F108C"/>
    <w:rsid w:val="003F53EF"/>
    <w:rsid w:val="003F70A7"/>
    <w:rsid w:val="00400450"/>
    <w:rsid w:val="00400E5B"/>
    <w:rsid w:val="004046C6"/>
    <w:rsid w:val="00406F43"/>
    <w:rsid w:val="004173C8"/>
    <w:rsid w:val="004177A7"/>
    <w:rsid w:val="00417A12"/>
    <w:rsid w:val="00424416"/>
    <w:rsid w:val="00424DFB"/>
    <w:rsid w:val="004333ED"/>
    <w:rsid w:val="0043773C"/>
    <w:rsid w:val="004410DB"/>
    <w:rsid w:val="00445F00"/>
    <w:rsid w:val="00452084"/>
    <w:rsid w:val="004664EB"/>
    <w:rsid w:val="0047029D"/>
    <w:rsid w:val="004718E7"/>
    <w:rsid w:val="0047411B"/>
    <w:rsid w:val="00481620"/>
    <w:rsid w:val="004833EC"/>
    <w:rsid w:val="00492CBD"/>
    <w:rsid w:val="004952DE"/>
    <w:rsid w:val="004A10EB"/>
    <w:rsid w:val="004A5F93"/>
    <w:rsid w:val="004C08E3"/>
    <w:rsid w:val="004C1F88"/>
    <w:rsid w:val="004C4EB5"/>
    <w:rsid w:val="004C694B"/>
    <w:rsid w:val="004D3927"/>
    <w:rsid w:val="004E045D"/>
    <w:rsid w:val="004F1427"/>
    <w:rsid w:val="004F64B3"/>
    <w:rsid w:val="00500C1F"/>
    <w:rsid w:val="00513DED"/>
    <w:rsid w:val="0053294D"/>
    <w:rsid w:val="00535E8E"/>
    <w:rsid w:val="00540DA0"/>
    <w:rsid w:val="005525FF"/>
    <w:rsid w:val="0056601E"/>
    <w:rsid w:val="005715B5"/>
    <w:rsid w:val="00573B2A"/>
    <w:rsid w:val="0057451D"/>
    <w:rsid w:val="0057791A"/>
    <w:rsid w:val="0058475D"/>
    <w:rsid w:val="00584C7E"/>
    <w:rsid w:val="00587781"/>
    <w:rsid w:val="00595DAE"/>
    <w:rsid w:val="005A357B"/>
    <w:rsid w:val="005A6868"/>
    <w:rsid w:val="005B6F13"/>
    <w:rsid w:val="005C46B3"/>
    <w:rsid w:val="005D1E59"/>
    <w:rsid w:val="005D6DA3"/>
    <w:rsid w:val="005D7DB5"/>
    <w:rsid w:val="005E1D20"/>
    <w:rsid w:val="005E2D4C"/>
    <w:rsid w:val="005E378D"/>
    <w:rsid w:val="005E6CC2"/>
    <w:rsid w:val="005E7C1F"/>
    <w:rsid w:val="005F0921"/>
    <w:rsid w:val="005F3DE3"/>
    <w:rsid w:val="00601336"/>
    <w:rsid w:val="006044EE"/>
    <w:rsid w:val="00605A90"/>
    <w:rsid w:val="006129CB"/>
    <w:rsid w:val="006136E3"/>
    <w:rsid w:val="00625176"/>
    <w:rsid w:val="00631CD4"/>
    <w:rsid w:val="006401F9"/>
    <w:rsid w:val="00643FF2"/>
    <w:rsid w:val="00646897"/>
    <w:rsid w:val="006656C7"/>
    <w:rsid w:val="0066644A"/>
    <w:rsid w:val="0067330B"/>
    <w:rsid w:val="0068650D"/>
    <w:rsid w:val="00694645"/>
    <w:rsid w:val="006957D1"/>
    <w:rsid w:val="006A2911"/>
    <w:rsid w:val="006B1144"/>
    <w:rsid w:val="006C6C8D"/>
    <w:rsid w:val="006D4486"/>
    <w:rsid w:val="006D59EC"/>
    <w:rsid w:val="006E2D5F"/>
    <w:rsid w:val="006F776B"/>
    <w:rsid w:val="00704998"/>
    <w:rsid w:val="007112A8"/>
    <w:rsid w:val="0071692D"/>
    <w:rsid w:val="00724D78"/>
    <w:rsid w:val="0073209A"/>
    <w:rsid w:val="007747CC"/>
    <w:rsid w:val="00787476"/>
    <w:rsid w:val="007A608E"/>
    <w:rsid w:val="007A656C"/>
    <w:rsid w:val="007B51BD"/>
    <w:rsid w:val="007D288E"/>
    <w:rsid w:val="007D5969"/>
    <w:rsid w:val="008046E3"/>
    <w:rsid w:val="008063FE"/>
    <w:rsid w:val="00811FAC"/>
    <w:rsid w:val="00816646"/>
    <w:rsid w:val="00820021"/>
    <w:rsid w:val="00826B89"/>
    <w:rsid w:val="00827100"/>
    <w:rsid w:val="00827B18"/>
    <w:rsid w:val="00835100"/>
    <w:rsid w:val="00837375"/>
    <w:rsid w:val="00843E55"/>
    <w:rsid w:val="00850F69"/>
    <w:rsid w:val="008722C4"/>
    <w:rsid w:val="00872C01"/>
    <w:rsid w:val="00883419"/>
    <w:rsid w:val="0088743C"/>
    <w:rsid w:val="0089726F"/>
    <w:rsid w:val="008A0388"/>
    <w:rsid w:val="008B733A"/>
    <w:rsid w:val="008C16F3"/>
    <w:rsid w:val="008C2C5B"/>
    <w:rsid w:val="008C7DA9"/>
    <w:rsid w:val="008F0DE8"/>
    <w:rsid w:val="008F111A"/>
    <w:rsid w:val="008F1147"/>
    <w:rsid w:val="008F1242"/>
    <w:rsid w:val="008F1EC6"/>
    <w:rsid w:val="00902F15"/>
    <w:rsid w:val="0090738A"/>
    <w:rsid w:val="00920C96"/>
    <w:rsid w:val="009357C9"/>
    <w:rsid w:val="00947144"/>
    <w:rsid w:val="009655D6"/>
    <w:rsid w:val="00971D29"/>
    <w:rsid w:val="00973D71"/>
    <w:rsid w:val="0097551A"/>
    <w:rsid w:val="00976B04"/>
    <w:rsid w:val="0099141F"/>
    <w:rsid w:val="0099771A"/>
    <w:rsid w:val="00997D44"/>
    <w:rsid w:val="009B1761"/>
    <w:rsid w:val="009C2BA0"/>
    <w:rsid w:val="009C2F9C"/>
    <w:rsid w:val="009D0009"/>
    <w:rsid w:val="009D6BB9"/>
    <w:rsid w:val="009D75FE"/>
    <w:rsid w:val="009E03AE"/>
    <w:rsid w:val="009E5E0A"/>
    <w:rsid w:val="009E5EF6"/>
    <w:rsid w:val="009F16F1"/>
    <w:rsid w:val="00A02895"/>
    <w:rsid w:val="00A155AA"/>
    <w:rsid w:val="00A21545"/>
    <w:rsid w:val="00A26367"/>
    <w:rsid w:val="00A33F7C"/>
    <w:rsid w:val="00A50AA3"/>
    <w:rsid w:val="00A50CE8"/>
    <w:rsid w:val="00A57732"/>
    <w:rsid w:val="00A638CE"/>
    <w:rsid w:val="00A71125"/>
    <w:rsid w:val="00A82931"/>
    <w:rsid w:val="00A8376B"/>
    <w:rsid w:val="00A97C8E"/>
    <w:rsid w:val="00AA11D9"/>
    <w:rsid w:val="00AA374D"/>
    <w:rsid w:val="00AB5505"/>
    <w:rsid w:val="00AD6654"/>
    <w:rsid w:val="00AE6286"/>
    <w:rsid w:val="00AF54F3"/>
    <w:rsid w:val="00B00CD8"/>
    <w:rsid w:val="00B43A7F"/>
    <w:rsid w:val="00B46E97"/>
    <w:rsid w:val="00B477FC"/>
    <w:rsid w:val="00B57809"/>
    <w:rsid w:val="00B57909"/>
    <w:rsid w:val="00B57FF8"/>
    <w:rsid w:val="00B962AF"/>
    <w:rsid w:val="00BB1041"/>
    <w:rsid w:val="00BC4630"/>
    <w:rsid w:val="00BD4815"/>
    <w:rsid w:val="00BD72DB"/>
    <w:rsid w:val="00BF372C"/>
    <w:rsid w:val="00BF3F45"/>
    <w:rsid w:val="00BF5CF3"/>
    <w:rsid w:val="00C01AD4"/>
    <w:rsid w:val="00C01D18"/>
    <w:rsid w:val="00C04084"/>
    <w:rsid w:val="00C32670"/>
    <w:rsid w:val="00C34996"/>
    <w:rsid w:val="00C35692"/>
    <w:rsid w:val="00C3798B"/>
    <w:rsid w:val="00C40D75"/>
    <w:rsid w:val="00C43C34"/>
    <w:rsid w:val="00C536B9"/>
    <w:rsid w:val="00C62420"/>
    <w:rsid w:val="00C62BB4"/>
    <w:rsid w:val="00C63765"/>
    <w:rsid w:val="00C70BD0"/>
    <w:rsid w:val="00C87947"/>
    <w:rsid w:val="00C925F1"/>
    <w:rsid w:val="00C93B1A"/>
    <w:rsid w:val="00CA1244"/>
    <w:rsid w:val="00CC0BFE"/>
    <w:rsid w:val="00CC2AD8"/>
    <w:rsid w:val="00CD5474"/>
    <w:rsid w:val="00CD55ED"/>
    <w:rsid w:val="00CE5C66"/>
    <w:rsid w:val="00CF38A7"/>
    <w:rsid w:val="00CF3D50"/>
    <w:rsid w:val="00D0197C"/>
    <w:rsid w:val="00D0383B"/>
    <w:rsid w:val="00D05D08"/>
    <w:rsid w:val="00D07059"/>
    <w:rsid w:val="00D126BA"/>
    <w:rsid w:val="00D1787C"/>
    <w:rsid w:val="00D17A49"/>
    <w:rsid w:val="00D21B02"/>
    <w:rsid w:val="00D22CB5"/>
    <w:rsid w:val="00D239B2"/>
    <w:rsid w:val="00D46454"/>
    <w:rsid w:val="00D50EED"/>
    <w:rsid w:val="00D547B3"/>
    <w:rsid w:val="00D570EF"/>
    <w:rsid w:val="00D617E2"/>
    <w:rsid w:val="00D63924"/>
    <w:rsid w:val="00D6463D"/>
    <w:rsid w:val="00D64651"/>
    <w:rsid w:val="00D732BB"/>
    <w:rsid w:val="00D74081"/>
    <w:rsid w:val="00D8366B"/>
    <w:rsid w:val="00D90C39"/>
    <w:rsid w:val="00D93C58"/>
    <w:rsid w:val="00D93D2D"/>
    <w:rsid w:val="00DA089D"/>
    <w:rsid w:val="00DA2085"/>
    <w:rsid w:val="00DA4410"/>
    <w:rsid w:val="00DA6812"/>
    <w:rsid w:val="00DA7F79"/>
    <w:rsid w:val="00DB01F0"/>
    <w:rsid w:val="00DB18A9"/>
    <w:rsid w:val="00DB2213"/>
    <w:rsid w:val="00DB649C"/>
    <w:rsid w:val="00DC2C1B"/>
    <w:rsid w:val="00DC359C"/>
    <w:rsid w:val="00DC40C1"/>
    <w:rsid w:val="00DC69E5"/>
    <w:rsid w:val="00DD0238"/>
    <w:rsid w:val="00DE1D6E"/>
    <w:rsid w:val="00DE25C1"/>
    <w:rsid w:val="00DE386F"/>
    <w:rsid w:val="00DF033E"/>
    <w:rsid w:val="00DF769C"/>
    <w:rsid w:val="00E03E05"/>
    <w:rsid w:val="00E149BB"/>
    <w:rsid w:val="00E279AB"/>
    <w:rsid w:val="00E30BAB"/>
    <w:rsid w:val="00E43C74"/>
    <w:rsid w:val="00E444DD"/>
    <w:rsid w:val="00E4451C"/>
    <w:rsid w:val="00E5302F"/>
    <w:rsid w:val="00E63626"/>
    <w:rsid w:val="00E70F37"/>
    <w:rsid w:val="00E71850"/>
    <w:rsid w:val="00E75C55"/>
    <w:rsid w:val="00E7620F"/>
    <w:rsid w:val="00E77260"/>
    <w:rsid w:val="00E82EE5"/>
    <w:rsid w:val="00E96FB0"/>
    <w:rsid w:val="00E9746D"/>
    <w:rsid w:val="00EA55F6"/>
    <w:rsid w:val="00EA7754"/>
    <w:rsid w:val="00EB104B"/>
    <w:rsid w:val="00EC2A0D"/>
    <w:rsid w:val="00EC746B"/>
    <w:rsid w:val="00ED3F0C"/>
    <w:rsid w:val="00EE056D"/>
    <w:rsid w:val="00EE395B"/>
    <w:rsid w:val="00EF3966"/>
    <w:rsid w:val="00F033EF"/>
    <w:rsid w:val="00F110EE"/>
    <w:rsid w:val="00F1164E"/>
    <w:rsid w:val="00F15752"/>
    <w:rsid w:val="00F215A2"/>
    <w:rsid w:val="00F23388"/>
    <w:rsid w:val="00F30EE2"/>
    <w:rsid w:val="00F32C98"/>
    <w:rsid w:val="00F34542"/>
    <w:rsid w:val="00F4144C"/>
    <w:rsid w:val="00F41BAD"/>
    <w:rsid w:val="00F47A67"/>
    <w:rsid w:val="00F503D2"/>
    <w:rsid w:val="00F66436"/>
    <w:rsid w:val="00F82E8C"/>
    <w:rsid w:val="00F9188A"/>
    <w:rsid w:val="00F92793"/>
    <w:rsid w:val="00F9631E"/>
    <w:rsid w:val="00FA4D9F"/>
    <w:rsid w:val="00FB1DC3"/>
    <w:rsid w:val="00FC1B08"/>
    <w:rsid w:val="00FC31E1"/>
    <w:rsid w:val="00FC3666"/>
    <w:rsid w:val="00FC4578"/>
    <w:rsid w:val="00FC50BD"/>
    <w:rsid w:val="00FC7A15"/>
    <w:rsid w:val="00FD2CC2"/>
    <w:rsid w:val="00FE2536"/>
    <w:rsid w:val="00FE28BC"/>
    <w:rsid w:val="00FE651F"/>
    <w:rsid w:val="00FF6D80"/>
    <w:rsid w:val="017A36FD"/>
    <w:rsid w:val="01DE6D50"/>
    <w:rsid w:val="01E7118A"/>
    <w:rsid w:val="022E68A3"/>
    <w:rsid w:val="027260EE"/>
    <w:rsid w:val="02D81655"/>
    <w:rsid w:val="030F30EB"/>
    <w:rsid w:val="03631737"/>
    <w:rsid w:val="03E73353"/>
    <w:rsid w:val="04BE5046"/>
    <w:rsid w:val="04DD2A00"/>
    <w:rsid w:val="05D04828"/>
    <w:rsid w:val="05E87345"/>
    <w:rsid w:val="06E51FB2"/>
    <w:rsid w:val="095E4960"/>
    <w:rsid w:val="09F7404D"/>
    <w:rsid w:val="0A4C2747"/>
    <w:rsid w:val="0ABC4E58"/>
    <w:rsid w:val="0BDA7B3F"/>
    <w:rsid w:val="0C4C7A46"/>
    <w:rsid w:val="0C54228B"/>
    <w:rsid w:val="0CD76580"/>
    <w:rsid w:val="0D0D4018"/>
    <w:rsid w:val="0D6145E8"/>
    <w:rsid w:val="0E381373"/>
    <w:rsid w:val="0FC1656B"/>
    <w:rsid w:val="11A31E83"/>
    <w:rsid w:val="16750783"/>
    <w:rsid w:val="16D17044"/>
    <w:rsid w:val="177F2525"/>
    <w:rsid w:val="178C2567"/>
    <w:rsid w:val="18963FAD"/>
    <w:rsid w:val="19860C55"/>
    <w:rsid w:val="1DF20508"/>
    <w:rsid w:val="1E0049E3"/>
    <w:rsid w:val="1E065D7B"/>
    <w:rsid w:val="1EF03686"/>
    <w:rsid w:val="1F91028E"/>
    <w:rsid w:val="1FA523B7"/>
    <w:rsid w:val="213655CD"/>
    <w:rsid w:val="23D40AB1"/>
    <w:rsid w:val="248A7F54"/>
    <w:rsid w:val="24BA4A97"/>
    <w:rsid w:val="25545534"/>
    <w:rsid w:val="25A05477"/>
    <w:rsid w:val="284140AC"/>
    <w:rsid w:val="284502F2"/>
    <w:rsid w:val="28FD34E7"/>
    <w:rsid w:val="29075C0A"/>
    <w:rsid w:val="294E6611"/>
    <w:rsid w:val="295E532E"/>
    <w:rsid w:val="2AC434E0"/>
    <w:rsid w:val="2AF8071F"/>
    <w:rsid w:val="2AFF1E09"/>
    <w:rsid w:val="2E9909A7"/>
    <w:rsid w:val="2EAB3ABE"/>
    <w:rsid w:val="2F737636"/>
    <w:rsid w:val="304A05FB"/>
    <w:rsid w:val="312F0022"/>
    <w:rsid w:val="320B140B"/>
    <w:rsid w:val="3338086A"/>
    <w:rsid w:val="358B340C"/>
    <w:rsid w:val="367F31BF"/>
    <w:rsid w:val="37401B6C"/>
    <w:rsid w:val="37C15933"/>
    <w:rsid w:val="37F8602C"/>
    <w:rsid w:val="381C322F"/>
    <w:rsid w:val="38424DBD"/>
    <w:rsid w:val="38867708"/>
    <w:rsid w:val="390374CB"/>
    <w:rsid w:val="393D3F83"/>
    <w:rsid w:val="3A1F0675"/>
    <w:rsid w:val="3A401425"/>
    <w:rsid w:val="3B4230F4"/>
    <w:rsid w:val="3BCA0594"/>
    <w:rsid w:val="3E830E04"/>
    <w:rsid w:val="3F22592B"/>
    <w:rsid w:val="3F323C14"/>
    <w:rsid w:val="3FAA43B4"/>
    <w:rsid w:val="3FCC262F"/>
    <w:rsid w:val="403A45B9"/>
    <w:rsid w:val="41235F48"/>
    <w:rsid w:val="41813F7E"/>
    <w:rsid w:val="419E08D1"/>
    <w:rsid w:val="41BC3F70"/>
    <w:rsid w:val="41F7438E"/>
    <w:rsid w:val="42F565E0"/>
    <w:rsid w:val="439B2C19"/>
    <w:rsid w:val="44452A9A"/>
    <w:rsid w:val="45B14F77"/>
    <w:rsid w:val="469F567F"/>
    <w:rsid w:val="473D1E71"/>
    <w:rsid w:val="47BC3FD8"/>
    <w:rsid w:val="482403D9"/>
    <w:rsid w:val="484000D7"/>
    <w:rsid w:val="48802D04"/>
    <w:rsid w:val="491B353A"/>
    <w:rsid w:val="49775C06"/>
    <w:rsid w:val="49B93C25"/>
    <w:rsid w:val="4AC909AA"/>
    <w:rsid w:val="4BA22B17"/>
    <w:rsid w:val="4C303134"/>
    <w:rsid w:val="4C395064"/>
    <w:rsid w:val="4D8C2B8D"/>
    <w:rsid w:val="4DC43404"/>
    <w:rsid w:val="4DFF2E66"/>
    <w:rsid w:val="4E046968"/>
    <w:rsid w:val="4E981F31"/>
    <w:rsid w:val="4EC30EE5"/>
    <w:rsid w:val="50CD624F"/>
    <w:rsid w:val="51793678"/>
    <w:rsid w:val="51ED4DB3"/>
    <w:rsid w:val="527D572D"/>
    <w:rsid w:val="5465649D"/>
    <w:rsid w:val="547F1EF5"/>
    <w:rsid w:val="551E457C"/>
    <w:rsid w:val="56137F50"/>
    <w:rsid w:val="564773F3"/>
    <w:rsid w:val="568B13AB"/>
    <w:rsid w:val="59213154"/>
    <w:rsid w:val="59D577A4"/>
    <w:rsid w:val="59F71441"/>
    <w:rsid w:val="59F81919"/>
    <w:rsid w:val="5A8D5027"/>
    <w:rsid w:val="5B551634"/>
    <w:rsid w:val="5BDF6AD3"/>
    <w:rsid w:val="5CB40EEF"/>
    <w:rsid w:val="5CBC4EF0"/>
    <w:rsid w:val="5CD54E71"/>
    <w:rsid w:val="5DDE7FC6"/>
    <w:rsid w:val="61047D6D"/>
    <w:rsid w:val="620E1108"/>
    <w:rsid w:val="62143047"/>
    <w:rsid w:val="62166F2F"/>
    <w:rsid w:val="631A125C"/>
    <w:rsid w:val="63997BFF"/>
    <w:rsid w:val="63DB761B"/>
    <w:rsid w:val="65214508"/>
    <w:rsid w:val="65AD396F"/>
    <w:rsid w:val="66621D57"/>
    <w:rsid w:val="66A27075"/>
    <w:rsid w:val="66E62263"/>
    <w:rsid w:val="67070024"/>
    <w:rsid w:val="67702284"/>
    <w:rsid w:val="686355F4"/>
    <w:rsid w:val="69B217B9"/>
    <w:rsid w:val="6A0E1BC9"/>
    <w:rsid w:val="6A3C71A4"/>
    <w:rsid w:val="6AC02FAF"/>
    <w:rsid w:val="6B4C5305"/>
    <w:rsid w:val="6BEB6700"/>
    <w:rsid w:val="6D2B0E97"/>
    <w:rsid w:val="6D864164"/>
    <w:rsid w:val="6E801908"/>
    <w:rsid w:val="70A25267"/>
    <w:rsid w:val="72926DE4"/>
    <w:rsid w:val="7853765F"/>
    <w:rsid w:val="796B5673"/>
    <w:rsid w:val="797556FD"/>
    <w:rsid w:val="79A30919"/>
    <w:rsid w:val="7A215045"/>
    <w:rsid w:val="7A6B43E4"/>
    <w:rsid w:val="7A720316"/>
    <w:rsid w:val="7BD34AE4"/>
    <w:rsid w:val="7C734DDB"/>
    <w:rsid w:val="7C9D2B9D"/>
    <w:rsid w:val="7CA13403"/>
    <w:rsid w:val="7DAC6A5C"/>
    <w:rsid w:val="7E503E50"/>
    <w:rsid w:val="7E723B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Noto Sans Mono CJK JP Regular" w:hAnsi="Noto Sans Mono CJK JP Regular" w:eastAsia="Noto Sans Mono CJK JP Regular" w:cs="Noto Sans Mono CJK JP Regular"/>
      <w:sz w:val="22"/>
      <w:szCs w:val="22"/>
      <w:lang w:val="zh-CN" w:eastAsia="zh-CN" w:bidi="zh-CN"/>
    </w:rPr>
  </w:style>
  <w:style w:type="paragraph" w:styleId="5">
    <w:name w:val="heading 1"/>
    <w:basedOn w:val="1"/>
    <w:next w:val="1"/>
    <w:qFormat/>
    <w:uiPriority w:val="1"/>
    <w:pPr>
      <w:spacing w:line="580" w:lineRule="exact"/>
      <w:outlineLvl w:val="0"/>
    </w:pPr>
    <w:rPr>
      <w:sz w:val="32"/>
      <w:szCs w:val="32"/>
    </w:rPr>
  </w:style>
  <w:style w:type="paragraph" w:styleId="6">
    <w:name w:val="heading 2"/>
    <w:basedOn w:val="1"/>
    <w:next w:val="7"/>
    <w:qFormat/>
    <w:uiPriority w:val="1"/>
    <w:pPr>
      <w:spacing w:line="521" w:lineRule="exact"/>
      <w:jc w:val="center"/>
      <w:outlineLvl w:val="1"/>
    </w:pPr>
    <w:rPr>
      <w:sz w:val="28"/>
      <w:szCs w:val="28"/>
    </w:rPr>
  </w:style>
  <w:style w:type="paragraph" w:styleId="8">
    <w:name w:val="heading 3"/>
    <w:basedOn w:val="1"/>
    <w:next w:val="1"/>
    <w:link w:val="31"/>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after="120"/>
      <w:ind w:firstLine="420" w:firstLineChars="100"/>
    </w:pPr>
    <w:rPr>
      <w:sz w:val="21"/>
    </w:rPr>
  </w:style>
  <w:style w:type="paragraph" w:styleId="3">
    <w:name w:val="Body Text"/>
    <w:basedOn w:val="1"/>
    <w:next w:val="4"/>
    <w:qFormat/>
    <w:uiPriority w:val="1"/>
    <w:pPr>
      <w:ind w:left="528"/>
    </w:pPr>
    <w:rPr>
      <w:sz w:val="24"/>
      <w:szCs w:val="24"/>
    </w:rPr>
  </w:style>
  <w:style w:type="paragraph" w:styleId="4">
    <w:name w:val="Body Text 2"/>
    <w:basedOn w:val="1"/>
    <w:qFormat/>
    <w:uiPriority w:val="0"/>
    <w:pPr>
      <w:spacing w:after="120" w:line="480" w:lineRule="auto"/>
    </w:pPr>
    <w:rPr>
      <w:rFonts w:hint="default"/>
      <w:szCs w:val="24"/>
    </w:rPr>
  </w:style>
  <w:style w:type="paragraph" w:styleId="7">
    <w:name w:val="Normal Indent"/>
    <w:basedOn w:val="1"/>
    <w:qFormat/>
    <w:uiPriority w:val="0"/>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9">
    <w:name w:val="Body Text Indent"/>
    <w:basedOn w:val="1"/>
    <w:next w:val="10"/>
    <w:link w:val="33"/>
    <w:semiHidden/>
    <w:unhideWhenUsed/>
    <w:qFormat/>
    <w:uiPriority w:val="99"/>
    <w:pPr>
      <w:spacing w:after="120"/>
      <w:ind w:left="420" w:leftChars="200"/>
    </w:pPr>
  </w:style>
  <w:style w:type="paragraph" w:styleId="10">
    <w:name w:val="Body Text First Indent 2"/>
    <w:basedOn w:val="9"/>
    <w:next w:val="2"/>
    <w:qFormat/>
    <w:uiPriority w:val="0"/>
    <w:pPr>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11">
    <w:name w:val="Plain Text"/>
    <w:basedOn w:val="1"/>
    <w:link w:val="29"/>
    <w:qFormat/>
    <w:uiPriority w:val="0"/>
    <w:pPr>
      <w:autoSpaceDE/>
      <w:autoSpaceDN/>
      <w:jc w:val="both"/>
    </w:pPr>
    <w:rPr>
      <w:rFonts w:ascii="宋体" w:hAnsi="Courier New" w:eastAsia="宋体" w:cstheme="minorBidi"/>
      <w:kern w:val="2"/>
      <w:sz w:val="21"/>
      <w:lang w:val="en-US" w:bidi="ar-SA"/>
    </w:rPr>
  </w:style>
  <w:style w:type="paragraph" w:styleId="12">
    <w:name w:val="Body Text Indent 2"/>
    <w:basedOn w:val="1"/>
    <w:link w:val="32"/>
    <w:semiHidden/>
    <w:unhideWhenUsed/>
    <w:qFormat/>
    <w:uiPriority w:val="99"/>
    <w:pPr>
      <w:spacing w:after="120" w:line="480" w:lineRule="auto"/>
      <w:ind w:left="420" w:leftChars="200"/>
    </w:pPr>
  </w:style>
  <w:style w:type="paragraph" w:styleId="13">
    <w:name w:val="Balloon Text"/>
    <w:basedOn w:val="1"/>
    <w:link w:val="28"/>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footnote text"/>
    <w:basedOn w:val="1"/>
    <w:qFormat/>
    <w:uiPriority w:val="99"/>
    <w:pPr>
      <w:snapToGrid w:val="0"/>
      <w:jc w:val="left"/>
    </w:pPr>
    <w:rPr>
      <w:sz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列出段落1"/>
    <w:basedOn w:val="1"/>
    <w:qFormat/>
    <w:uiPriority w:val="34"/>
    <w:pPr>
      <w:ind w:firstLine="420"/>
    </w:pPr>
    <w:rPr>
      <w:szCs w:val="20"/>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528" w:firstLine="480"/>
    </w:pPr>
  </w:style>
  <w:style w:type="paragraph" w:customStyle="1" w:styleId="25">
    <w:name w:val="Table Paragraph"/>
    <w:basedOn w:val="1"/>
    <w:qFormat/>
    <w:uiPriority w:val="1"/>
  </w:style>
  <w:style w:type="character" w:customStyle="1" w:styleId="26">
    <w:name w:val="页眉 Char"/>
    <w:basedOn w:val="20"/>
    <w:link w:val="15"/>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27">
    <w:name w:val="页脚 Char"/>
    <w:basedOn w:val="20"/>
    <w:link w:val="14"/>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28">
    <w:name w:val="批注框文本 Char"/>
    <w:basedOn w:val="20"/>
    <w:link w:val="13"/>
    <w:semiHidden/>
    <w:qFormat/>
    <w:uiPriority w:val="99"/>
    <w:rPr>
      <w:rFonts w:ascii="Noto Sans Mono CJK JP Regular" w:hAnsi="Noto Sans Mono CJK JP Regular" w:eastAsia="Noto Sans Mono CJK JP Regular" w:cs="Noto Sans Mono CJK JP Regular"/>
      <w:sz w:val="18"/>
      <w:szCs w:val="18"/>
      <w:lang w:val="zh-CN" w:eastAsia="zh-CN" w:bidi="zh-CN"/>
    </w:rPr>
  </w:style>
  <w:style w:type="character" w:customStyle="1" w:styleId="29">
    <w:name w:val="纯文本 Char"/>
    <w:link w:val="11"/>
    <w:qFormat/>
    <w:uiPriority w:val="0"/>
    <w:rPr>
      <w:rFonts w:ascii="宋体" w:hAnsi="Courier New" w:eastAsia="宋体"/>
      <w:kern w:val="2"/>
      <w:sz w:val="21"/>
      <w:lang w:eastAsia="zh-CN"/>
    </w:rPr>
  </w:style>
  <w:style w:type="character" w:customStyle="1" w:styleId="30">
    <w:name w:val="纯文本 Char1"/>
    <w:basedOn w:val="20"/>
    <w:semiHidden/>
    <w:qFormat/>
    <w:uiPriority w:val="99"/>
    <w:rPr>
      <w:rFonts w:ascii="宋体" w:hAnsi="Courier New" w:eastAsia="宋体" w:cs="Courier New"/>
      <w:sz w:val="21"/>
      <w:szCs w:val="21"/>
      <w:lang w:val="zh-CN" w:eastAsia="zh-CN" w:bidi="zh-CN"/>
    </w:rPr>
  </w:style>
  <w:style w:type="character" w:customStyle="1" w:styleId="31">
    <w:name w:val="标题 3 Char"/>
    <w:basedOn w:val="20"/>
    <w:link w:val="8"/>
    <w:semiHidden/>
    <w:qFormat/>
    <w:uiPriority w:val="9"/>
    <w:rPr>
      <w:rFonts w:ascii="Noto Sans Mono CJK JP Regular" w:hAnsi="Noto Sans Mono CJK JP Regular" w:eastAsia="Noto Sans Mono CJK JP Regular" w:cs="Noto Sans Mono CJK JP Regular"/>
      <w:b/>
      <w:bCs/>
      <w:sz w:val="32"/>
      <w:szCs w:val="32"/>
      <w:lang w:val="zh-CN" w:eastAsia="zh-CN" w:bidi="zh-CN"/>
    </w:rPr>
  </w:style>
  <w:style w:type="character" w:customStyle="1" w:styleId="32">
    <w:name w:val="正文文本缩进 2 Char"/>
    <w:basedOn w:val="20"/>
    <w:link w:val="12"/>
    <w:semiHidden/>
    <w:qFormat/>
    <w:uiPriority w:val="99"/>
    <w:rPr>
      <w:rFonts w:ascii="Noto Sans Mono CJK JP Regular" w:hAnsi="Noto Sans Mono CJK JP Regular" w:eastAsia="Noto Sans Mono CJK JP Regular" w:cs="Noto Sans Mono CJK JP Regular"/>
      <w:lang w:val="zh-CN" w:eastAsia="zh-CN" w:bidi="zh-CN"/>
    </w:rPr>
  </w:style>
  <w:style w:type="character" w:customStyle="1" w:styleId="33">
    <w:name w:val="正文文本缩进 Char"/>
    <w:basedOn w:val="20"/>
    <w:link w:val="9"/>
    <w:semiHidden/>
    <w:qFormat/>
    <w:uiPriority w:val="99"/>
    <w:rPr>
      <w:rFonts w:ascii="Noto Sans Mono CJK JP Regular" w:hAnsi="Noto Sans Mono CJK JP Regular" w:eastAsia="Noto Sans Mono CJK JP Regular" w:cs="Noto Sans Mono CJK JP Regular"/>
      <w:lang w:val="zh-CN" w:eastAsia="zh-CN" w:bidi="zh-CN"/>
    </w:rPr>
  </w:style>
  <w:style w:type="paragraph" w:customStyle="1" w:styleId="3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5">
    <w:name w:val="样式 样式 样式 样式 标题 2 + 宋体 五号 非加粗 黑色 + 段前: 6 磅 段后: 0 磅 行距: 单倍行距 + 段前:..."/>
    <w:basedOn w:val="1"/>
    <w:qFormat/>
    <w:uiPriority w:val="0"/>
    <w:pPr>
      <w:keepNext/>
      <w:keepLines/>
      <w:autoSpaceDE/>
      <w:autoSpaceDN/>
      <w:adjustRightInd w:val="0"/>
      <w:spacing w:before="240"/>
      <w:jc w:val="both"/>
      <w:textAlignment w:val="baseline"/>
      <w:outlineLvl w:val="1"/>
    </w:pPr>
    <w:rPr>
      <w:rFonts w:ascii="宋体" w:hAnsi="宋体" w:eastAsia="宋体" w:cs="Times New Roman"/>
      <w:b/>
      <w:bCs/>
      <w:sz w:val="21"/>
      <w:szCs w:val="20"/>
      <w:lang w:val="en-US" w:bidi="ar-SA"/>
    </w:rPr>
  </w:style>
  <w:style w:type="character" w:customStyle="1" w:styleId="36">
    <w:name w:val="font31"/>
    <w:qFormat/>
    <w:uiPriority w:val="0"/>
    <w:rPr>
      <w:rFonts w:hint="eastAsia" w:ascii="宋体" w:hAnsi="宋体" w:eastAsia="宋体" w:cs="宋体"/>
      <w:b/>
      <w:color w:val="000000"/>
      <w:sz w:val="20"/>
      <w:szCs w:val="20"/>
      <w:u w:val="none"/>
    </w:rPr>
  </w:style>
  <w:style w:type="paragraph" w:customStyle="1" w:styleId="37">
    <w:name w:val="样式 标题 2 + 黑色"/>
    <w:basedOn w:val="6"/>
    <w:qFormat/>
    <w:uiPriority w:val="99"/>
    <w:rPr>
      <w:bCs/>
      <w:color w:val="000000"/>
      <w:sz w:val="32"/>
      <w:szCs w:val="32"/>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775CD-809F-4E3D-BB15-7A924F39038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54</Pages>
  <Words>24372</Words>
  <Characters>25221</Characters>
  <Lines>195</Lines>
  <Paragraphs>54</Paragraphs>
  <TotalTime>0</TotalTime>
  <ScaleCrop>false</ScaleCrop>
  <LinksUpToDate>false</LinksUpToDate>
  <CharactersWithSpaces>26125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2019-03-28T04:56:00Z</dcterms:created>
  <dc:creator>Administrator</dc:creator>
  <cp:lastModifiedBy>Administrator</cp:lastModifiedBy>
  <cp:lastPrinted>2022-04-25T09:22:00Z</cp:lastPrinted>
  <dcterms:modified xsi:type="dcterms:W3CDTF">2022-06-27T10:32:23Z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2019-01-26T00:00:00Z</vt:filetime>
  </property>
  <property fmtid="{D5CDD505-2E9C-101B-9397-08002B2CF9AE}" pid="5" name="KSOProductBuildVer">
    <vt:lpwstr>2052-11.1.0.11744</vt:lpwstr>
  </property>
  <property fmtid="{D5CDD505-2E9C-101B-9397-08002B2CF9AE}" pid="6" name="ICV">
    <vt:lpwstr>9736666C5F1144149048DF3B8AE6DECC</vt:lpwstr>
  </property>
</Properties>
</file>