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56"/>
          <w:szCs w:val="56"/>
        </w:rPr>
      </w:pPr>
      <w:r>
        <w:rPr>
          <w:rFonts w:hint="eastAsia" w:ascii="宋体" w:hAnsi="宋体" w:eastAsia="宋体" w:cs="宋体"/>
          <w:b/>
          <w:bCs w:val="0"/>
          <w:sz w:val="56"/>
          <w:szCs w:val="56"/>
        </w:rPr>
        <w:t>新和县疾病预防控制中心实验室设备采购项目</w:t>
      </w:r>
    </w:p>
    <w:p>
      <w:pPr>
        <w:tabs>
          <w:tab w:val="left" w:pos="8040"/>
        </w:tabs>
        <w:jc w:val="left"/>
        <w:rPr>
          <w:rFonts w:hint="eastAsia" w:ascii="宋体" w:hAnsi="宋体" w:eastAsia="宋体" w:cs="宋体"/>
          <w:bCs/>
          <w:sz w:val="24"/>
          <w:szCs w:val="24"/>
        </w:rPr>
      </w:pPr>
      <w:r>
        <w:rPr>
          <w:rFonts w:hint="eastAsia" w:ascii="宋体" w:hAnsi="宋体" w:eastAsia="宋体" w:cs="宋体"/>
          <w:bCs/>
          <w:sz w:val="24"/>
          <w:szCs w:val="24"/>
        </w:rPr>
        <w:tab/>
      </w:r>
    </w:p>
    <w:p>
      <w:pPr>
        <w:jc w:val="both"/>
        <w:rPr>
          <w:rFonts w:hint="eastAsia" w:ascii="宋体" w:hAnsi="宋体" w:eastAsia="宋体" w:cs="宋体"/>
          <w:bCs/>
          <w:sz w:val="24"/>
          <w:szCs w:val="24"/>
        </w:rPr>
      </w:pPr>
    </w:p>
    <w:p>
      <w:pPr>
        <w:pStyle w:val="5"/>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Cs/>
          <w:sz w:val="24"/>
          <w:szCs w:val="24"/>
        </w:rPr>
      </w:pPr>
    </w:p>
    <w:p>
      <w:pPr>
        <w:jc w:val="center"/>
        <w:rPr>
          <w:rFonts w:hint="eastAsia" w:ascii="宋体" w:hAnsi="宋体" w:eastAsia="宋体" w:cs="宋体"/>
          <w:bCs/>
          <w:sz w:val="24"/>
          <w:szCs w:val="24"/>
        </w:rPr>
      </w:pPr>
    </w:p>
    <w:p>
      <w:pPr>
        <w:jc w:val="center"/>
        <w:outlineLvl w:val="0"/>
        <w:rPr>
          <w:rFonts w:hint="eastAsia" w:ascii="宋体" w:hAnsi="宋体" w:eastAsia="宋体" w:cs="宋体"/>
          <w:b/>
          <w:bCs/>
          <w:sz w:val="96"/>
          <w:szCs w:val="96"/>
        </w:rPr>
      </w:pPr>
      <w:bookmarkStart w:id="0" w:name="_Toc3515"/>
      <w:bookmarkStart w:id="1" w:name="_Toc15592"/>
      <w:bookmarkStart w:id="2" w:name="_Toc31878"/>
      <w:r>
        <w:rPr>
          <w:rFonts w:hint="eastAsia" w:ascii="宋体" w:hAnsi="宋体" w:eastAsia="宋体" w:cs="宋体"/>
          <w:b/>
          <w:bCs/>
          <w:sz w:val="96"/>
          <w:szCs w:val="96"/>
        </w:rPr>
        <w:t>招</w:t>
      </w:r>
      <w:r>
        <w:rPr>
          <w:rFonts w:hint="eastAsia" w:ascii="宋体" w:hAnsi="宋体" w:cs="宋体"/>
          <w:b/>
          <w:bCs/>
          <w:sz w:val="96"/>
          <w:szCs w:val="96"/>
          <w:lang w:val="en-US" w:eastAsia="zh-CN"/>
        </w:rPr>
        <w:t xml:space="preserve"> </w:t>
      </w:r>
      <w:r>
        <w:rPr>
          <w:rFonts w:hint="eastAsia" w:ascii="宋体" w:hAnsi="宋体" w:eastAsia="宋体" w:cs="宋体"/>
          <w:b/>
          <w:bCs/>
          <w:sz w:val="96"/>
          <w:szCs w:val="96"/>
        </w:rPr>
        <w:t>标</w:t>
      </w:r>
      <w:r>
        <w:rPr>
          <w:rFonts w:hint="eastAsia" w:ascii="宋体" w:hAnsi="宋体" w:cs="宋体"/>
          <w:b/>
          <w:bCs/>
          <w:sz w:val="96"/>
          <w:szCs w:val="96"/>
          <w:lang w:val="en-US" w:eastAsia="zh-CN"/>
        </w:rPr>
        <w:t xml:space="preserve"> </w:t>
      </w:r>
      <w:r>
        <w:rPr>
          <w:rFonts w:hint="eastAsia" w:ascii="宋体" w:hAnsi="宋体" w:eastAsia="宋体" w:cs="宋体"/>
          <w:b/>
          <w:bCs/>
          <w:sz w:val="96"/>
          <w:szCs w:val="96"/>
        </w:rPr>
        <w:t>文</w:t>
      </w:r>
      <w:r>
        <w:rPr>
          <w:rFonts w:hint="eastAsia" w:ascii="宋体" w:hAnsi="宋体" w:cs="宋体"/>
          <w:b/>
          <w:bCs/>
          <w:sz w:val="96"/>
          <w:szCs w:val="96"/>
          <w:lang w:val="en-US" w:eastAsia="zh-CN"/>
        </w:rPr>
        <w:t xml:space="preserve"> </w:t>
      </w:r>
      <w:r>
        <w:rPr>
          <w:rFonts w:hint="eastAsia" w:ascii="宋体" w:hAnsi="宋体" w:eastAsia="宋体" w:cs="宋体"/>
          <w:b/>
          <w:bCs/>
          <w:sz w:val="96"/>
          <w:szCs w:val="96"/>
        </w:rPr>
        <w:t>件</w:t>
      </w:r>
      <w:bookmarkEnd w:id="0"/>
      <w:bookmarkEnd w:id="1"/>
      <w:bookmarkEnd w:id="2"/>
    </w:p>
    <w:p>
      <w:pPr>
        <w:jc w:val="center"/>
        <w:rPr>
          <w:rFonts w:hint="eastAsia" w:ascii="宋体" w:hAnsi="宋体" w:eastAsia="宋体" w:cs="宋体"/>
          <w:bCs/>
          <w:sz w:val="24"/>
          <w:szCs w:val="24"/>
        </w:rPr>
      </w:pPr>
    </w:p>
    <w:p>
      <w:pPr>
        <w:jc w:val="center"/>
        <w:rPr>
          <w:rFonts w:hint="eastAsia" w:ascii="宋体" w:hAnsi="宋体" w:eastAsia="宋体" w:cs="宋体"/>
          <w:bCs/>
          <w:sz w:val="24"/>
          <w:szCs w:val="24"/>
        </w:rPr>
      </w:pPr>
    </w:p>
    <w:p>
      <w:pPr>
        <w:jc w:val="center"/>
        <w:rPr>
          <w:rFonts w:hint="eastAsia" w:ascii="宋体" w:hAnsi="宋体" w:eastAsia="宋体" w:cs="宋体"/>
          <w:bCs/>
          <w:sz w:val="24"/>
          <w:szCs w:val="24"/>
        </w:rPr>
      </w:pPr>
    </w:p>
    <w:p>
      <w:pPr>
        <w:pStyle w:val="5"/>
        <w:rPr>
          <w:rFonts w:hint="eastAsia" w:ascii="宋体" w:hAnsi="宋体" w:eastAsia="宋体" w:cs="宋体"/>
        </w:rPr>
      </w:pPr>
    </w:p>
    <w:p>
      <w:pPr>
        <w:jc w:val="cente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jc w:val="center"/>
        <w:rPr>
          <w:rFonts w:hint="eastAsia" w:ascii="宋体" w:hAnsi="宋体" w:eastAsia="宋体" w:cs="宋体"/>
          <w:bCs/>
          <w:sz w:val="24"/>
          <w:szCs w:val="24"/>
        </w:rPr>
      </w:pPr>
    </w:p>
    <w:p>
      <w:pPr>
        <w:jc w:val="both"/>
        <w:rPr>
          <w:rFonts w:hint="eastAsia" w:ascii="宋体" w:hAnsi="宋体" w:eastAsia="宋体" w:cs="宋体"/>
          <w:bCs/>
          <w:sz w:val="24"/>
          <w:szCs w:val="24"/>
        </w:rPr>
      </w:pPr>
    </w:p>
    <w:p>
      <w:pPr>
        <w:spacing w:line="60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项目编号：XHX-ZY-GKZB-2022-001</w:t>
      </w:r>
    </w:p>
    <w:p>
      <w:pPr>
        <w:spacing w:line="60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rPr>
        <w:t>采 购 人：</w:t>
      </w:r>
      <w:r>
        <w:rPr>
          <w:rFonts w:hint="eastAsia" w:ascii="宋体" w:hAnsi="宋体" w:eastAsia="宋体" w:cs="宋体"/>
          <w:b/>
          <w:bCs/>
          <w:sz w:val="28"/>
          <w:szCs w:val="28"/>
          <w:lang w:val="en-US" w:eastAsia="zh-CN"/>
        </w:rPr>
        <w:t>新和县疾病预防控制中心</w:t>
      </w:r>
    </w:p>
    <w:p>
      <w:pPr>
        <w:spacing w:line="60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阿克苏地区振远项目咨询管理有限公司</w:t>
      </w:r>
    </w:p>
    <w:p>
      <w:pPr>
        <w:spacing w:line="600" w:lineRule="auto"/>
        <w:jc w:val="center"/>
        <w:rPr>
          <w:rFonts w:hint="eastAsia" w:ascii="宋体" w:hAnsi="宋体" w:eastAsia="宋体" w:cs="宋体"/>
          <w:b/>
          <w:bCs/>
          <w:sz w:val="28"/>
          <w:szCs w:val="28"/>
        </w:rPr>
      </w:pPr>
    </w:p>
    <w:p>
      <w:pPr>
        <w:spacing w:line="600" w:lineRule="auto"/>
        <w:jc w:val="center"/>
        <w:rPr>
          <w:rFonts w:hint="eastAsia" w:ascii="宋体" w:hAnsi="宋体" w:eastAsia="宋体" w:cs="宋体"/>
          <w:b/>
          <w:bCs/>
          <w:sz w:val="28"/>
          <w:szCs w:val="28"/>
        </w:rPr>
        <w:sectPr>
          <w:pgSz w:w="11906" w:h="16838"/>
          <w:pgMar w:top="1440" w:right="1440" w:bottom="1440" w:left="1440" w:header="851" w:footer="992" w:gutter="0"/>
          <w:cols w:space="0" w:num="1"/>
          <w:docGrid w:type="lines" w:linePitch="317" w:charSpace="0"/>
        </w:sectPr>
      </w:pPr>
      <w:r>
        <w:rPr>
          <w:rFonts w:hint="eastAsia" w:ascii="宋体" w:hAnsi="宋体" w:eastAsia="宋体" w:cs="宋体"/>
          <w:b/>
          <w:bCs/>
          <w:sz w:val="28"/>
          <w:szCs w:val="28"/>
        </w:rPr>
        <w:t>二0二</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年</w:t>
      </w:r>
      <w:r>
        <w:rPr>
          <w:rFonts w:hint="eastAsia" w:ascii="宋体" w:hAnsi="宋体" w:eastAsia="宋体" w:cs="宋体"/>
          <w:b/>
          <w:bCs/>
          <w:sz w:val="28"/>
          <w:szCs w:val="28"/>
          <w:lang w:eastAsia="zh-CN"/>
        </w:rPr>
        <w:t>五月</w:t>
      </w:r>
    </w:p>
    <w:p>
      <w:pPr>
        <w:spacing w:beforeLines="100"/>
        <w:jc w:val="center"/>
        <w:outlineLvl w:val="0"/>
        <w:rPr>
          <w:rFonts w:hint="eastAsia" w:ascii="宋体" w:hAnsi="宋体" w:eastAsia="宋体" w:cs="宋体"/>
          <w:b/>
          <w:bCs/>
          <w:sz w:val="40"/>
          <w:szCs w:val="40"/>
        </w:rPr>
      </w:pPr>
      <w:bookmarkStart w:id="3" w:name="_Toc26978"/>
      <w:bookmarkStart w:id="4" w:name="_Toc12764"/>
      <w:bookmarkStart w:id="5" w:name="_Toc16835"/>
      <w:r>
        <w:rPr>
          <w:rFonts w:hint="eastAsia" w:ascii="宋体" w:hAnsi="宋体" w:eastAsia="宋体" w:cs="宋体"/>
          <w:b/>
          <w:bCs/>
          <w:sz w:val="40"/>
          <w:szCs w:val="40"/>
        </w:rPr>
        <w:t>采购招标文件</w:t>
      </w:r>
      <w:bookmarkEnd w:id="3"/>
      <w:bookmarkEnd w:id="4"/>
      <w:bookmarkEnd w:id="5"/>
    </w:p>
    <w:p>
      <w:pPr>
        <w:rPr>
          <w:rFonts w:hint="eastAsia" w:ascii="宋体" w:hAnsi="宋体" w:eastAsia="宋体" w:cs="宋体"/>
          <w:sz w:val="28"/>
          <w:szCs w:val="28"/>
        </w:rPr>
      </w:pPr>
    </w:p>
    <w:p>
      <w:pPr>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rPr>
        <w:t>项目名称：</w:t>
      </w:r>
      <w:r>
        <w:rPr>
          <w:rFonts w:hint="eastAsia" w:ascii="宋体" w:hAnsi="宋体" w:eastAsia="宋体" w:cs="宋体"/>
          <w:sz w:val="28"/>
          <w:szCs w:val="28"/>
          <w:lang w:val="en-US" w:eastAsia="zh-CN"/>
        </w:rPr>
        <w:t>新和县疾病预防控制中心实验室设备采购项目</w:t>
      </w:r>
    </w:p>
    <w:p>
      <w:pPr>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rPr>
        <w:t>采购 人（公章）：</w:t>
      </w:r>
      <w:r>
        <w:rPr>
          <w:rFonts w:hint="eastAsia" w:ascii="宋体" w:hAnsi="宋体" w:eastAsia="宋体" w:cs="宋体"/>
          <w:sz w:val="28"/>
          <w:szCs w:val="28"/>
          <w:lang w:val="en-US" w:eastAsia="zh-CN"/>
        </w:rPr>
        <w:t>新和县疾病预防控制中心</w:t>
      </w:r>
    </w:p>
    <w:p>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法定代表人（签字或盖章）： </w:t>
      </w:r>
    </w:p>
    <w:p>
      <w:pPr>
        <w:spacing w:line="48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系</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人：</w:t>
      </w:r>
      <w:r>
        <w:rPr>
          <w:rFonts w:hint="eastAsia" w:ascii="宋体" w:hAnsi="宋体" w:eastAsia="宋体" w:cs="宋体"/>
          <w:i w:val="0"/>
          <w:caps w:val="0"/>
          <w:color w:val="000000"/>
          <w:spacing w:val="0"/>
          <w:sz w:val="28"/>
          <w:szCs w:val="28"/>
          <w:lang w:val="en-US" w:eastAsia="zh-CN"/>
        </w:rPr>
        <w:t>豆生东</w:t>
      </w:r>
    </w:p>
    <w:p>
      <w:pPr>
        <w:spacing w:line="480" w:lineRule="auto"/>
        <w:rPr>
          <w:rFonts w:hint="eastAsia" w:ascii="宋体" w:hAnsi="宋体" w:eastAsia="宋体" w:cs="宋体"/>
          <w:sz w:val="28"/>
          <w:szCs w:val="28"/>
        </w:rPr>
      </w:pPr>
      <w:r>
        <w:rPr>
          <w:rFonts w:hint="eastAsia" w:ascii="宋体" w:hAnsi="宋体" w:eastAsia="宋体" w:cs="宋体"/>
          <w:sz w:val="28"/>
          <w:szCs w:val="28"/>
        </w:rPr>
        <w:t>电      话：15599901906</w:t>
      </w:r>
    </w:p>
    <w:p>
      <w:pPr>
        <w:spacing w:line="480" w:lineRule="auto"/>
        <w:rPr>
          <w:rFonts w:hint="eastAsia" w:ascii="宋体" w:hAnsi="宋体" w:eastAsia="宋体" w:cs="宋体"/>
          <w:sz w:val="28"/>
          <w:szCs w:val="28"/>
        </w:rPr>
      </w:pPr>
      <w:r>
        <w:rPr>
          <w:rFonts w:hint="eastAsia" w:ascii="宋体" w:hAnsi="宋体" w:eastAsia="宋体" w:cs="宋体"/>
          <w:sz w:val="28"/>
          <w:szCs w:val="28"/>
        </w:rPr>
        <w:t>联系地址：新和县新沙路19号</w:t>
      </w:r>
    </w:p>
    <w:p>
      <w:pPr>
        <w:spacing w:line="480" w:lineRule="auto"/>
        <w:ind w:firstLine="840" w:firstLineChars="300"/>
        <w:rPr>
          <w:rFonts w:hint="eastAsia" w:ascii="宋体" w:hAnsi="宋体" w:eastAsia="宋体" w:cs="宋体"/>
          <w:sz w:val="28"/>
          <w:szCs w:val="28"/>
        </w:rPr>
      </w:pPr>
    </w:p>
    <w:p>
      <w:pPr>
        <w:pStyle w:val="27"/>
        <w:rPr>
          <w:rFonts w:hint="eastAsia" w:ascii="宋体" w:hAnsi="宋体" w:eastAsia="宋体" w:cs="宋体"/>
          <w:sz w:val="28"/>
          <w:szCs w:val="28"/>
        </w:rPr>
      </w:pPr>
    </w:p>
    <w:p>
      <w:pPr>
        <w:pStyle w:val="27"/>
        <w:rPr>
          <w:rFonts w:hint="eastAsia" w:ascii="宋体" w:hAnsi="宋体" w:eastAsia="宋体" w:cs="宋体"/>
          <w:sz w:val="28"/>
          <w:szCs w:val="28"/>
        </w:rPr>
      </w:pPr>
    </w:p>
    <w:p>
      <w:pPr>
        <w:pStyle w:val="27"/>
        <w:ind w:left="0" w:leftChars="0" w:firstLine="0" w:firstLineChars="0"/>
        <w:rPr>
          <w:rFonts w:hint="eastAsia" w:ascii="宋体" w:hAnsi="宋体" w:eastAsia="宋体" w:cs="宋体"/>
          <w:sz w:val="28"/>
          <w:szCs w:val="28"/>
        </w:rPr>
      </w:pPr>
    </w:p>
    <w:p>
      <w:pPr>
        <w:pStyle w:val="27"/>
        <w:rPr>
          <w:rFonts w:hint="eastAsia" w:ascii="宋体" w:hAnsi="宋体" w:eastAsia="宋体" w:cs="宋体"/>
          <w:sz w:val="28"/>
          <w:szCs w:val="28"/>
        </w:rPr>
      </w:pPr>
    </w:p>
    <w:p>
      <w:pPr>
        <w:spacing w:line="480" w:lineRule="auto"/>
        <w:rPr>
          <w:rFonts w:hint="eastAsia" w:ascii="宋体" w:hAnsi="宋体" w:eastAsia="宋体" w:cs="宋体"/>
          <w:sz w:val="28"/>
          <w:szCs w:val="28"/>
          <w:lang w:eastAsia="zh-CN"/>
        </w:rPr>
      </w:pPr>
      <w:r>
        <w:rPr>
          <w:rFonts w:hint="eastAsia" w:ascii="宋体" w:hAnsi="宋体" w:eastAsia="宋体" w:cs="宋体"/>
          <w:sz w:val="28"/>
          <w:szCs w:val="28"/>
        </w:rPr>
        <w:t>采购代理机构（公章）：</w:t>
      </w:r>
      <w:r>
        <w:rPr>
          <w:rFonts w:hint="eastAsia" w:ascii="宋体" w:hAnsi="宋体" w:eastAsia="宋体" w:cs="宋体"/>
          <w:i w:val="0"/>
          <w:caps w:val="0"/>
          <w:color w:val="000000"/>
          <w:spacing w:val="0"/>
          <w:sz w:val="28"/>
          <w:szCs w:val="28"/>
          <w:lang w:val="en-US" w:eastAsia="zh-CN"/>
        </w:rPr>
        <w:t>阿克苏地区振远项目咨询管理有限公司</w:t>
      </w:r>
    </w:p>
    <w:p>
      <w:pPr>
        <w:spacing w:line="480" w:lineRule="auto"/>
        <w:rPr>
          <w:rFonts w:hint="eastAsia" w:ascii="宋体" w:hAnsi="宋体" w:eastAsia="宋体" w:cs="宋体"/>
          <w:sz w:val="28"/>
          <w:szCs w:val="28"/>
        </w:rPr>
      </w:pPr>
      <w:r>
        <w:rPr>
          <w:rFonts w:hint="eastAsia" w:ascii="宋体" w:hAnsi="宋体" w:eastAsia="宋体" w:cs="宋体"/>
          <w:sz w:val="28"/>
          <w:szCs w:val="28"/>
        </w:rPr>
        <w:t>法定代表人（签字或盖章）：</w:t>
      </w:r>
    </w:p>
    <w:p>
      <w:pPr>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rPr>
        <w:t>联  系  人：</w:t>
      </w:r>
      <w:r>
        <w:rPr>
          <w:rFonts w:hint="eastAsia" w:ascii="宋体" w:hAnsi="宋体" w:eastAsia="宋体" w:cs="宋体"/>
          <w:sz w:val="28"/>
          <w:szCs w:val="28"/>
          <w:lang w:val="en-US" w:eastAsia="zh-CN"/>
        </w:rPr>
        <w:t>王丽</w:t>
      </w:r>
    </w:p>
    <w:p>
      <w:pPr>
        <w:spacing w:line="480" w:lineRule="auto"/>
        <w:rPr>
          <w:rFonts w:hint="eastAsia" w:ascii="宋体" w:hAnsi="宋体" w:eastAsia="宋体" w:cs="宋体"/>
          <w:i w:val="0"/>
          <w:caps w:val="0"/>
          <w:color w:val="000000"/>
          <w:spacing w:val="0"/>
          <w:sz w:val="28"/>
          <w:szCs w:val="28"/>
          <w:lang w:val="en-US" w:eastAsia="zh-CN"/>
        </w:rPr>
      </w:pPr>
      <w:r>
        <w:rPr>
          <w:rFonts w:hint="eastAsia" w:ascii="宋体" w:hAnsi="宋体" w:eastAsia="宋体" w:cs="宋体"/>
          <w:sz w:val="28"/>
          <w:szCs w:val="28"/>
        </w:rPr>
        <w:t>电      话：</w:t>
      </w:r>
      <w:r>
        <w:rPr>
          <w:rFonts w:hint="eastAsia" w:ascii="宋体" w:hAnsi="宋体" w:eastAsia="宋体" w:cs="宋体"/>
          <w:i w:val="0"/>
          <w:caps w:val="0"/>
          <w:color w:val="000000"/>
          <w:spacing w:val="0"/>
          <w:sz w:val="28"/>
          <w:szCs w:val="28"/>
          <w:lang w:val="en-US" w:eastAsia="zh-CN"/>
        </w:rPr>
        <w:t>15770031616</w:t>
      </w:r>
    </w:p>
    <w:p>
      <w:pPr>
        <w:spacing w:line="480" w:lineRule="auto"/>
        <w:rPr>
          <w:rFonts w:hint="eastAsia" w:ascii="宋体" w:hAnsi="宋体" w:eastAsia="宋体" w:cs="宋体"/>
          <w:b w:val="0"/>
          <w:bCs w:val="0"/>
          <w:i w:val="0"/>
          <w:caps w:val="0"/>
          <w:color w:val="000000"/>
          <w:spacing w:val="0"/>
          <w:kern w:val="2"/>
          <w:sz w:val="28"/>
          <w:szCs w:val="28"/>
          <w:lang w:val="en-US" w:eastAsia="zh-CN" w:bidi="ar-SA"/>
        </w:rPr>
      </w:pPr>
      <w:r>
        <w:rPr>
          <w:rFonts w:hint="eastAsia" w:ascii="宋体" w:hAnsi="宋体" w:eastAsia="宋体" w:cs="宋体"/>
          <w:sz w:val="28"/>
          <w:szCs w:val="28"/>
        </w:rPr>
        <w:t>联系地址：</w:t>
      </w:r>
      <w:r>
        <w:rPr>
          <w:rFonts w:hint="eastAsia" w:ascii="宋体" w:hAnsi="宋体" w:eastAsia="宋体" w:cs="宋体"/>
          <w:i w:val="0"/>
          <w:caps w:val="0"/>
          <w:color w:val="000000"/>
          <w:spacing w:val="0"/>
          <w:sz w:val="28"/>
          <w:szCs w:val="28"/>
          <w:lang w:val="en-US" w:eastAsia="zh-CN"/>
        </w:rPr>
        <w:t>阿克苏市农一师二中家属院1-1-706号</w:t>
      </w:r>
    </w:p>
    <w:p>
      <w:pPr>
        <w:pStyle w:val="5"/>
        <w:spacing w:line="240" w:lineRule="auto"/>
        <w:jc w:val="center"/>
        <w:rPr>
          <w:rFonts w:hint="default" w:ascii="宋体" w:hAnsi="宋体" w:eastAsia="宋体" w:cs="宋体"/>
          <w:b w:val="0"/>
          <w:bCs w:val="0"/>
          <w:i w:val="0"/>
          <w:caps w:val="0"/>
          <w:color w:val="000000"/>
          <w:spacing w:val="0"/>
          <w:kern w:val="2"/>
          <w:sz w:val="28"/>
          <w:szCs w:val="28"/>
          <w:lang w:val="en-US" w:eastAsia="zh-CN" w:bidi="ar-SA"/>
        </w:rPr>
      </w:pPr>
      <w:r>
        <w:rPr>
          <w:rFonts w:hint="eastAsia" w:ascii="宋体" w:hAnsi="宋体" w:eastAsia="宋体" w:cs="宋体"/>
          <w:b w:val="0"/>
          <w:bCs w:val="0"/>
          <w:i w:val="0"/>
          <w:caps w:val="0"/>
          <w:color w:val="000000"/>
          <w:spacing w:val="0"/>
          <w:kern w:val="2"/>
          <w:sz w:val="28"/>
          <w:szCs w:val="28"/>
          <w:lang w:val="en-US" w:eastAsia="zh-CN" w:bidi="ar-SA"/>
        </w:rPr>
        <w:t>2022年05月</w:t>
      </w:r>
      <w:r>
        <w:rPr>
          <w:rFonts w:hint="eastAsia" w:ascii="宋体" w:hAnsi="宋体" w:cs="宋体"/>
          <w:b w:val="0"/>
          <w:bCs w:val="0"/>
          <w:i w:val="0"/>
          <w:caps w:val="0"/>
          <w:color w:val="000000"/>
          <w:spacing w:val="0"/>
          <w:kern w:val="2"/>
          <w:sz w:val="28"/>
          <w:szCs w:val="28"/>
          <w:lang w:val="en-US" w:eastAsia="zh-CN" w:bidi="ar-SA"/>
        </w:rPr>
        <w:t>30</w:t>
      </w:r>
      <w:r>
        <w:rPr>
          <w:rFonts w:hint="eastAsia" w:ascii="宋体" w:hAnsi="宋体" w:eastAsia="宋体" w:cs="宋体"/>
          <w:b w:val="0"/>
          <w:bCs w:val="0"/>
          <w:i w:val="0"/>
          <w:caps w:val="0"/>
          <w:color w:val="000000"/>
          <w:spacing w:val="0"/>
          <w:kern w:val="2"/>
          <w:sz w:val="28"/>
          <w:szCs w:val="28"/>
          <w:lang w:val="en-US" w:eastAsia="zh-CN" w:bidi="ar-SA"/>
        </w:rPr>
        <w:t>日</w:t>
      </w:r>
    </w:p>
    <w:p>
      <w:pPr>
        <w:jc w:val="center"/>
        <w:outlineLvl w:val="0"/>
        <w:rPr>
          <w:rFonts w:hint="eastAsia" w:ascii="宋体" w:hAnsi="宋体" w:eastAsia="宋体" w:cs="宋体"/>
          <w:sz w:val="32"/>
          <w:szCs w:val="32"/>
        </w:rPr>
      </w:pPr>
    </w:p>
    <w:p>
      <w:pPr>
        <w:jc w:val="center"/>
        <w:outlineLvl w:val="0"/>
        <w:rPr>
          <w:rFonts w:hint="eastAsia" w:ascii="宋体" w:hAnsi="宋体" w:eastAsia="宋体" w:cs="宋体"/>
          <w:sz w:val="32"/>
          <w:szCs w:val="32"/>
        </w:rPr>
        <w:sectPr>
          <w:footerReference r:id="rId3" w:type="default"/>
          <w:pgSz w:w="11906" w:h="16838"/>
          <w:pgMar w:top="1440" w:right="1800" w:bottom="1327" w:left="1800" w:header="851" w:footer="992" w:gutter="0"/>
          <w:pgNumType w:fmt="decimal" w:start="1"/>
          <w:cols w:space="720" w:num="1"/>
          <w:docGrid w:type="lines" w:linePitch="312" w:charSpace="0"/>
        </w:sectPr>
      </w:pPr>
    </w:p>
    <w:p>
      <w:pPr>
        <w:jc w:val="center"/>
        <w:outlineLvl w:val="0"/>
        <w:rPr>
          <w:rFonts w:hint="eastAsia" w:ascii="宋体" w:hAnsi="宋体" w:eastAsia="宋体" w:cs="宋体"/>
          <w:sz w:val="36"/>
          <w:szCs w:val="36"/>
        </w:rPr>
      </w:pPr>
      <w:bookmarkStart w:id="6" w:name="_Toc21397"/>
      <w:bookmarkStart w:id="7" w:name="_Toc2425"/>
      <w:bookmarkStart w:id="8" w:name="_Toc2476"/>
      <w:r>
        <w:rPr>
          <w:rFonts w:hint="eastAsia" w:ascii="宋体" w:hAnsi="宋体" w:eastAsia="宋体" w:cs="宋体"/>
          <w:sz w:val="40"/>
          <w:szCs w:val="40"/>
        </w:rPr>
        <w:t>目  录</w:t>
      </w:r>
      <w:bookmarkEnd w:id="6"/>
      <w:bookmarkEnd w:id="7"/>
      <w:bookmarkEnd w:id="8"/>
    </w:p>
    <w:p>
      <w:pPr>
        <w:pStyle w:val="21"/>
        <w:tabs>
          <w:tab w:val="right" w:leader="dot" w:pos="8306"/>
        </w:tabs>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p>
    <w:p>
      <w:pPr>
        <w:pStyle w:val="24"/>
        <w:tabs>
          <w:tab w:val="right" w:leader="dot" w:pos="8306"/>
        </w:tabs>
        <w:ind w:left="0" w:leftChars="0" w:firstLine="0" w:firstLineChars="0"/>
        <w:rPr>
          <w:rFonts w:hint="eastAsia" w:ascii="宋体" w:hAnsi="宋体" w:eastAsia="宋体" w:cs="宋体"/>
          <w:sz w:val="32"/>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_Toc25796 </w:instrText>
      </w:r>
      <w:r>
        <w:rPr>
          <w:rFonts w:hint="eastAsia" w:ascii="宋体" w:hAnsi="宋体" w:eastAsia="宋体" w:cs="宋体"/>
          <w:sz w:val="32"/>
          <w:szCs w:val="24"/>
        </w:rPr>
        <w:fldChar w:fldCharType="separate"/>
      </w:r>
      <w:r>
        <w:rPr>
          <w:rFonts w:hint="eastAsia" w:ascii="宋体" w:hAnsi="宋体" w:eastAsia="宋体" w:cs="宋体"/>
          <w:sz w:val="32"/>
          <w:szCs w:val="32"/>
        </w:rPr>
        <w:t>第一章 招标公告</w:t>
      </w:r>
      <w:r>
        <w:rPr>
          <w:rFonts w:hint="eastAsia" w:ascii="宋体" w:hAnsi="宋体" w:eastAsia="宋体" w:cs="宋体"/>
          <w:sz w:val="32"/>
        </w:rPr>
        <w:tab/>
      </w:r>
      <w:r>
        <w:rPr>
          <w:rFonts w:hint="eastAsia" w:ascii="宋体" w:hAnsi="宋体" w:cs="宋体"/>
          <w:sz w:val="32"/>
          <w:highlight w:val="none"/>
          <w:lang w:val="en-US" w:eastAsia="zh-CN"/>
        </w:rPr>
        <w:t>1</w:t>
      </w:r>
      <w:r>
        <w:rPr>
          <w:rFonts w:hint="eastAsia" w:ascii="宋体" w:hAnsi="宋体" w:eastAsia="宋体" w:cs="宋体"/>
          <w:sz w:val="32"/>
          <w:szCs w:val="24"/>
        </w:rPr>
        <w:fldChar w:fldCharType="end"/>
      </w:r>
    </w:p>
    <w:p>
      <w:pPr>
        <w:pStyle w:val="24"/>
        <w:tabs>
          <w:tab w:val="right" w:leader="dot" w:pos="8306"/>
        </w:tabs>
        <w:ind w:left="0" w:leftChars="0" w:firstLine="0" w:firstLineChars="0"/>
        <w:rPr>
          <w:rFonts w:hint="eastAsia" w:ascii="宋体" w:hAnsi="宋体" w:eastAsia="宋体" w:cs="宋体"/>
          <w:sz w:val="32"/>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_Toc28628 </w:instrText>
      </w:r>
      <w:r>
        <w:rPr>
          <w:rFonts w:hint="eastAsia" w:ascii="宋体" w:hAnsi="宋体" w:eastAsia="宋体" w:cs="宋体"/>
          <w:sz w:val="32"/>
          <w:szCs w:val="24"/>
        </w:rPr>
        <w:fldChar w:fldCharType="separate"/>
      </w:r>
      <w:r>
        <w:rPr>
          <w:rFonts w:hint="eastAsia" w:ascii="宋体" w:hAnsi="宋体" w:eastAsia="宋体" w:cs="宋体"/>
          <w:sz w:val="32"/>
          <w:szCs w:val="32"/>
        </w:rPr>
        <w:t>第二章  投标人须知</w:t>
      </w:r>
      <w:r>
        <w:rPr>
          <w:rFonts w:hint="eastAsia" w:ascii="宋体" w:hAnsi="宋体" w:eastAsia="宋体" w:cs="宋体"/>
          <w:sz w:val="32"/>
        </w:rPr>
        <w:tab/>
      </w:r>
      <w:r>
        <w:rPr>
          <w:rFonts w:hint="eastAsia" w:ascii="宋体" w:hAnsi="宋体" w:cs="宋体"/>
          <w:sz w:val="32"/>
          <w:lang w:val="en-US" w:eastAsia="zh-CN"/>
        </w:rPr>
        <w:t>4</w:t>
      </w:r>
      <w:r>
        <w:rPr>
          <w:rFonts w:hint="eastAsia" w:ascii="宋体" w:hAnsi="宋体" w:eastAsia="宋体" w:cs="宋体"/>
          <w:sz w:val="32"/>
          <w:szCs w:val="24"/>
        </w:rPr>
        <w:fldChar w:fldCharType="end"/>
      </w:r>
    </w:p>
    <w:p>
      <w:pPr>
        <w:pStyle w:val="24"/>
        <w:tabs>
          <w:tab w:val="right" w:leader="dot" w:pos="8306"/>
        </w:tabs>
        <w:ind w:left="0" w:leftChars="0" w:firstLine="640" w:firstLineChars="200"/>
        <w:rPr>
          <w:rFonts w:hint="eastAsia" w:ascii="宋体" w:hAnsi="宋体" w:eastAsia="宋体" w:cs="宋体"/>
          <w:sz w:val="32"/>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_Toc12494 </w:instrText>
      </w:r>
      <w:r>
        <w:rPr>
          <w:rFonts w:hint="eastAsia" w:ascii="宋体" w:hAnsi="宋体" w:eastAsia="宋体" w:cs="宋体"/>
          <w:sz w:val="32"/>
          <w:szCs w:val="24"/>
        </w:rPr>
        <w:fldChar w:fldCharType="separate"/>
      </w:r>
      <w:r>
        <w:rPr>
          <w:rFonts w:hint="eastAsia" w:ascii="宋体" w:hAnsi="宋体" w:eastAsia="宋体" w:cs="宋体"/>
          <w:sz w:val="32"/>
          <w:szCs w:val="28"/>
        </w:rPr>
        <w:t>投标人须知前附表</w:t>
      </w:r>
      <w:r>
        <w:rPr>
          <w:rFonts w:hint="eastAsia" w:ascii="宋体" w:hAnsi="宋体" w:eastAsia="宋体" w:cs="宋体"/>
          <w:sz w:val="32"/>
        </w:rPr>
        <w:tab/>
      </w:r>
      <w:r>
        <w:rPr>
          <w:rFonts w:hint="eastAsia" w:ascii="宋体" w:hAnsi="宋体" w:cs="宋体"/>
          <w:sz w:val="32"/>
          <w:lang w:val="en-US" w:eastAsia="zh-CN"/>
        </w:rPr>
        <w:t>4</w:t>
      </w:r>
      <w:r>
        <w:rPr>
          <w:rFonts w:hint="eastAsia" w:ascii="宋体" w:hAnsi="宋体" w:eastAsia="宋体" w:cs="宋体"/>
          <w:sz w:val="32"/>
          <w:szCs w:val="24"/>
        </w:rPr>
        <w:fldChar w:fldCharType="end"/>
      </w:r>
    </w:p>
    <w:p>
      <w:pPr>
        <w:pStyle w:val="24"/>
        <w:tabs>
          <w:tab w:val="right" w:leader="dot" w:pos="8306"/>
        </w:tabs>
        <w:ind w:firstLine="320" w:firstLineChars="100"/>
        <w:rPr>
          <w:rFonts w:hint="eastAsia" w:ascii="宋体" w:hAnsi="宋体" w:eastAsia="宋体" w:cs="宋体"/>
          <w:sz w:val="32"/>
          <w:szCs w:val="24"/>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_Toc16701 </w:instrText>
      </w:r>
      <w:r>
        <w:rPr>
          <w:rFonts w:hint="eastAsia" w:ascii="宋体" w:hAnsi="宋体" w:eastAsia="宋体" w:cs="宋体"/>
          <w:sz w:val="32"/>
          <w:szCs w:val="24"/>
        </w:rPr>
        <w:fldChar w:fldCharType="separate"/>
      </w:r>
      <w:r>
        <w:rPr>
          <w:rFonts w:hint="eastAsia" w:ascii="宋体" w:hAnsi="宋体" w:eastAsia="宋体" w:cs="宋体"/>
          <w:sz w:val="32"/>
          <w:szCs w:val="28"/>
        </w:rPr>
        <w:t>投标人须知</w:t>
      </w:r>
      <w:r>
        <w:rPr>
          <w:rFonts w:hint="eastAsia" w:ascii="宋体" w:hAnsi="宋体" w:eastAsia="宋体" w:cs="宋体"/>
          <w:sz w:val="32"/>
          <w:szCs w:val="28"/>
          <w:lang w:val="en-US" w:eastAsia="zh-CN"/>
        </w:rPr>
        <w:t>正文</w:t>
      </w:r>
      <w:r>
        <w:rPr>
          <w:rFonts w:hint="eastAsia" w:ascii="宋体" w:hAnsi="宋体" w:eastAsia="宋体" w:cs="宋体"/>
          <w:sz w:val="32"/>
        </w:rPr>
        <w:tab/>
      </w:r>
      <w:r>
        <w:rPr>
          <w:rFonts w:hint="eastAsia" w:ascii="宋体" w:hAnsi="宋体" w:eastAsia="宋体" w:cs="宋体"/>
          <w:sz w:val="32"/>
        </w:rPr>
        <w:fldChar w:fldCharType="begin"/>
      </w:r>
      <w:r>
        <w:rPr>
          <w:rFonts w:hint="eastAsia" w:ascii="宋体" w:hAnsi="宋体" w:eastAsia="宋体" w:cs="宋体"/>
          <w:sz w:val="32"/>
        </w:rPr>
        <w:instrText xml:space="preserve"> PAGEREF _Toc16701 \h </w:instrText>
      </w:r>
      <w:r>
        <w:rPr>
          <w:rFonts w:hint="eastAsia" w:ascii="宋体" w:hAnsi="宋体" w:eastAsia="宋体" w:cs="宋体"/>
          <w:sz w:val="32"/>
        </w:rPr>
        <w:fldChar w:fldCharType="separate"/>
      </w:r>
      <w:r>
        <w:rPr>
          <w:rFonts w:hint="eastAsia" w:ascii="宋体" w:hAnsi="宋体" w:eastAsia="宋体" w:cs="宋体"/>
          <w:sz w:val="32"/>
        </w:rPr>
        <w:t>1</w:t>
      </w:r>
      <w:r>
        <w:rPr>
          <w:rFonts w:hint="eastAsia" w:ascii="宋体" w:hAnsi="宋体" w:cs="宋体"/>
          <w:sz w:val="32"/>
          <w:lang w:val="en-US" w:eastAsia="zh-CN"/>
        </w:rPr>
        <w:t>3</w:t>
      </w:r>
      <w:r>
        <w:rPr>
          <w:rFonts w:hint="eastAsia" w:ascii="宋体" w:hAnsi="宋体" w:eastAsia="宋体" w:cs="宋体"/>
          <w:sz w:val="32"/>
        </w:rPr>
        <w:fldChar w:fldCharType="end"/>
      </w:r>
      <w:r>
        <w:rPr>
          <w:rFonts w:hint="eastAsia" w:ascii="宋体" w:hAnsi="宋体" w:eastAsia="宋体" w:cs="宋体"/>
          <w:sz w:val="32"/>
          <w:szCs w:val="24"/>
        </w:rPr>
        <w:fldChar w:fldCharType="end"/>
      </w:r>
    </w:p>
    <w:p>
      <w:pPr>
        <w:rPr>
          <w:rFonts w:hint="default" w:eastAsia="宋体"/>
          <w:lang w:val="en-US" w:eastAsia="zh-CN"/>
        </w:rPr>
      </w:pPr>
      <w:r>
        <w:rPr>
          <w:rFonts w:hint="eastAsia" w:ascii="宋体" w:hAnsi="宋体" w:cs="宋体"/>
          <w:sz w:val="32"/>
          <w:szCs w:val="24"/>
          <w:lang w:eastAsia="zh-CN"/>
        </w:rPr>
        <w:t>第三章</w:t>
      </w:r>
      <w:r>
        <w:rPr>
          <w:rFonts w:hint="eastAsia" w:ascii="宋体" w:hAnsi="宋体" w:cs="宋体"/>
          <w:sz w:val="32"/>
          <w:szCs w:val="24"/>
          <w:lang w:val="en-US" w:eastAsia="zh-CN"/>
        </w:rPr>
        <w:t xml:space="preserve"> 采购需求</w:t>
      </w:r>
      <w:r>
        <w:rPr>
          <w:rFonts w:hint="eastAsia" w:ascii="宋体" w:hAnsi="宋体" w:cs="宋体"/>
          <w:kern w:val="2"/>
          <w:sz w:val="32"/>
          <w:szCs w:val="22"/>
          <w:lang w:val="en-US" w:eastAsia="zh-CN" w:bidi="ar-SA"/>
        </w:rPr>
        <w:t xml:space="preserve"> ................................. 34</w:t>
      </w:r>
    </w:p>
    <w:p>
      <w:pPr>
        <w:pStyle w:val="24"/>
        <w:tabs>
          <w:tab w:val="right" w:leader="dot" w:pos="8306"/>
        </w:tabs>
        <w:ind w:left="0" w:leftChars="0" w:firstLine="0" w:firstLineChars="0"/>
        <w:rPr>
          <w:rFonts w:hint="eastAsia" w:ascii="宋体" w:hAnsi="宋体" w:eastAsia="宋体" w:cs="宋体"/>
          <w:sz w:val="32"/>
          <w:lang w:val="en-US" w:eastAsia="zh-CN"/>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_Toc29057 </w:instrText>
      </w:r>
      <w:r>
        <w:rPr>
          <w:rFonts w:hint="eastAsia" w:ascii="宋体" w:hAnsi="宋体" w:eastAsia="宋体" w:cs="宋体"/>
          <w:sz w:val="32"/>
          <w:szCs w:val="24"/>
        </w:rPr>
        <w:fldChar w:fldCharType="separate"/>
      </w:r>
      <w:r>
        <w:rPr>
          <w:rFonts w:hint="eastAsia" w:ascii="宋体" w:hAnsi="宋体" w:eastAsia="宋体" w:cs="宋体"/>
          <w:sz w:val="32"/>
          <w:szCs w:val="32"/>
        </w:rPr>
        <w:t>第四章 评标办法</w:t>
      </w:r>
      <w:r>
        <w:rPr>
          <w:rFonts w:hint="eastAsia" w:ascii="宋体" w:hAnsi="宋体" w:eastAsia="宋体" w:cs="宋体"/>
          <w:sz w:val="32"/>
        </w:rPr>
        <w:tab/>
      </w:r>
      <w:r>
        <w:rPr>
          <w:rFonts w:hint="eastAsia" w:ascii="宋体" w:hAnsi="宋体" w:cs="宋体"/>
          <w:sz w:val="32"/>
          <w:lang w:val="en-US" w:eastAsia="zh-CN"/>
        </w:rPr>
        <w:t>6</w:t>
      </w:r>
      <w:r>
        <w:rPr>
          <w:rFonts w:hint="eastAsia" w:ascii="宋体" w:hAnsi="宋体" w:eastAsia="宋体" w:cs="宋体"/>
          <w:sz w:val="32"/>
          <w:szCs w:val="24"/>
        </w:rPr>
        <w:fldChar w:fldCharType="end"/>
      </w:r>
      <w:r>
        <w:rPr>
          <w:rFonts w:hint="eastAsia" w:ascii="宋体" w:hAnsi="宋体" w:cs="宋体"/>
          <w:sz w:val="32"/>
          <w:szCs w:val="24"/>
          <w:lang w:val="en-US" w:eastAsia="zh-CN"/>
        </w:rPr>
        <w:t>3</w:t>
      </w:r>
    </w:p>
    <w:p>
      <w:pPr>
        <w:pStyle w:val="24"/>
        <w:tabs>
          <w:tab w:val="right" w:leader="dot" w:pos="8306"/>
        </w:tabs>
        <w:ind w:left="0" w:leftChars="0" w:firstLine="0" w:firstLineChars="0"/>
        <w:rPr>
          <w:rFonts w:hint="eastAsia" w:ascii="宋体" w:hAnsi="宋体" w:eastAsia="宋体" w:cs="宋体"/>
          <w:sz w:val="32"/>
          <w:lang w:val="en-US" w:eastAsia="zh-CN"/>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_Toc15961 </w:instrText>
      </w:r>
      <w:r>
        <w:rPr>
          <w:rFonts w:hint="eastAsia" w:ascii="宋体" w:hAnsi="宋体" w:eastAsia="宋体" w:cs="宋体"/>
          <w:sz w:val="32"/>
          <w:szCs w:val="24"/>
        </w:rPr>
        <w:fldChar w:fldCharType="separate"/>
      </w:r>
      <w:r>
        <w:rPr>
          <w:rFonts w:hint="eastAsia" w:ascii="宋体" w:hAnsi="宋体" w:eastAsia="宋体" w:cs="宋体"/>
          <w:sz w:val="32"/>
          <w:szCs w:val="32"/>
        </w:rPr>
        <w:t>第五章  签订合同、合同主要条款</w:t>
      </w:r>
      <w:r>
        <w:rPr>
          <w:rFonts w:hint="eastAsia" w:ascii="宋体" w:hAnsi="宋体" w:eastAsia="宋体" w:cs="宋体"/>
          <w:sz w:val="32"/>
        </w:rPr>
        <w:tab/>
      </w:r>
      <w:r>
        <w:rPr>
          <w:rFonts w:hint="eastAsia" w:ascii="宋体" w:hAnsi="宋体" w:cs="宋体"/>
          <w:sz w:val="32"/>
          <w:lang w:val="en-US" w:eastAsia="zh-CN"/>
        </w:rPr>
        <w:t>7</w:t>
      </w:r>
      <w:r>
        <w:rPr>
          <w:rFonts w:hint="eastAsia" w:ascii="宋体" w:hAnsi="宋体" w:eastAsia="宋体" w:cs="宋体"/>
          <w:sz w:val="32"/>
          <w:szCs w:val="24"/>
        </w:rPr>
        <w:fldChar w:fldCharType="end"/>
      </w:r>
      <w:r>
        <w:rPr>
          <w:rFonts w:hint="eastAsia" w:ascii="宋体" w:hAnsi="宋体" w:cs="宋体"/>
          <w:sz w:val="32"/>
          <w:szCs w:val="24"/>
          <w:lang w:val="en-US" w:eastAsia="zh-CN"/>
        </w:rPr>
        <w:t>0</w:t>
      </w:r>
    </w:p>
    <w:p>
      <w:pPr>
        <w:pStyle w:val="24"/>
        <w:tabs>
          <w:tab w:val="right" w:leader="dot" w:pos="8306"/>
        </w:tabs>
        <w:ind w:left="0" w:leftChars="0" w:firstLine="0" w:firstLineChars="0"/>
        <w:rPr>
          <w:rFonts w:hint="eastAsia" w:ascii="宋体" w:hAnsi="宋体" w:eastAsia="宋体" w:cs="宋体"/>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_Toc20993 </w:instrText>
      </w:r>
      <w:r>
        <w:rPr>
          <w:rFonts w:hint="eastAsia" w:ascii="宋体" w:hAnsi="宋体" w:eastAsia="宋体" w:cs="宋体"/>
          <w:sz w:val="32"/>
          <w:szCs w:val="24"/>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rPr>
        <w:tab/>
      </w:r>
      <w:r>
        <w:rPr>
          <w:rFonts w:hint="eastAsia" w:ascii="宋体" w:hAnsi="宋体" w:eastAsia="宋体" w:cs="宋体"/>
          <w:sz w:val="32"/>
        </w:rPr>
        <w:fldChar w:fldCharType="begin"/>
      </w:r>
      <w:r>
        <w:rPr>
          <w:rFonts w:hint="eastAsia" w:ascii="宋体" w:hAnsi="宋体" w:eastAsia="宋体" w:cs="宋体"/>
          <w:sz w:val="32"/>
        </w:rPr>
        <w:instrText xml:space="preserve"> PAGEREF _Toc20993 \h </w:instrText>
      </w:r>
      <w:r>
        <w:rPr>
          <w:rFonts w:hint="eastAsia" w:ascii="宋体" w:hAnsi="宋体" w:eastAsia="宋体" w:cs="宋体"/>
          <w:sz w:val="32"/>
        </w:rPr>
        <w:fldChar w:fldCharType="separate"/>
      </w:r>
      <w:r>
        <w:rPr>
          <w:rFonts w:hint="eastAsia" w:ascii="宋体" w:hAnsi="宋体" w:eastAsia="宋体" w:cs="宋体"/>
          <w:sz w:val="32"/>
        </w:rPr>
        <w:t>7</w:t>
      </w:r>
      <w:r>
        <w:rPr>
          <w:rFonts w:hint="eastAsia" w:ascii="宋体" w:hAnsi="宋体" w:cs="宋体"/>
          <w:sz w:val="32"/>
          <w:lang w:val="en-US" w:eastAsia="zh-CN"/>
        </w:rPr>
        <w:t>7</w:t>
      </w:r>
      <w:r>
        <w:rPr>
          <w:rFonts w:hint="eastAsia" w:ascii="宋体" w:hAnsi="宋体" w:eastAsia="宋体" w:cs="宋体"/>
          <w:sz w:val="32"/>
        </w:rPr>
        <w:fldChar w:fldCharType="end"/>
      </w:r>
      <w:r>
        <w:rPr>
          <w:rFonts w:hint="eastAsia" w:ascii="宋体" w:hAnsi="宋体" w:eastAsia="宋体" w:cs="宋体"/>
          <w:sz w:val="32"/>
          <w:szCs w:val="24"/>
        </w:rPr>
        <w:fldChar w:fldCharType="end"/>
      </w:r>
    </w:p>
    <w:p>
      <w:pPr>
        <w:spacing w:line="360" w:lineRule="auto"/>
        <w:jc w:val="center"/>
        <w:outlineLvl w:val="9"/>
        <w:rPr>
          <w:rFonts w:hint="eastAsia" w:ascii="宋体" w:hAnsi="宋体" w:eastAsia="宋体" w:cs="宋体"/>
          <w:szCs w:val="24"/>
        </w:rPr>
      </w:pPr>
      <w:r>
        <w:rPr>
          <w:rFonts w:hint="eastAsia" w:ascii="宋体" w:hAnsi="宋体" w:eastAsia="宋体" w:cs="宋体"/>
          <w:szCs w:val="24"/>
        </w:rPr>
        <w:fldChar w:fldCharType="end"/>
      </w:r>
    </w:p>
    <w:p>
      <w:pPr>
        <w:pStyle w:val="18"/>
        <w:rPr>
          <w:rFonts w:hint="eastAsia" w:ascii="宋体" w:hAnsi="宋体" w:eastAsia="宋体" w:cs="宋体"/>
        </w:rPr>
        <w:sectPr>
          <w:footerReference r:id="rId4" w:type="default"/>
          <w:pgSz w:w="11906" w:h="16838"/>
          <w:pgMar w:top="1440" w:right="1800" w:bottom="1440" w:left="1800" w:header="851" w:footer="992" w:gutter="0"/>
          <w:pgNumType w:fmt="decimal" w:start="1"/>
          <w:cols w:space="720" w:num="1"/>
          <w:docGrid w:type="lines" w:linePitch="312" w:charSpace="0"/>
        </w:sectPr>
      </w:pPr>
    </w:p>
    <w:p>
      <w:pPr>
        <w:pStyle w:val="37"/>
        <w:jc w:val="center"/>
        <w:rPr>
          <w:rFonts w:hint="eastAsia" w:ascii="宋体" w:hAnsi="宋体" w:eastAsia="宋体" w:cs="宋体"/>
          <w:b/>
          <w:bCs/>
          <w:color w:val="auto"/>
          <w:sz w:val="36"/>
          <w:szCs w:val="36"/>
          <w:highlight w:val="none"/>
          <w:lang w:val="en-US" w:eastAsia="zh-CN"/>
        </w:rPr>
      </w:pPr>
      <w:bookmarkStart w:id="9" w:name="_Toc494455908"/>
      <w:r>
        <w:rPr>
          <w:rFonts w:hint="eastAsia" w:ascii="宋体" w:hAnsi="宋体" w:eastAsia="宋体" w:cs="宋体"/>
          <w:b/>
          <w:bCs/>
          <w:color w:val="auto"/>
          <w:sz w:val="36"/>
          <w:szCs w:val="36"/>
          <w:highlight w:val="none"/>
          <w:lang w:val="en-US" w:eastAsia="zh-CN"/>
        </w:rPr>
        <w:t>第一章  招标公告</w:t>
      </w:r>
    </w:p>
    <w:p>
      <w:pPr>
        <w:keepNext w:val="0"/>
        <w:keepLines w:val="0"/>
        <w:pageBreakBefore w:val="0"/>
        <w:widowControl w:val="0"/>
        <w:kinsoku/>
        <w:wordWrap/>
        <w:overflowPunct/>
        <w:topLinePunct w:val="0"/>
        <w:bidi w:val="0"/>
        <w:adjustRightInd w:val="0"/>
        <w:snapToGrid/>
        <w:spacing w:line="360" w:lineRule="auto"/>
        <w:jc w:val="center"/>
        <w:textAlignment w:val="baseline"/>
        <w:rPr>
          <w:rFonts w:hint="eastAsia" w:ascii="Times New Roman" w:hAnsi="Times New Roman" w:eastAsia="宋体" w:cs="Times New Roman"/>
          <w:b/>
          <w:bCs/>
          <w:color w:val="auto"/>
          <w:kern w:val="0"/>
          <w:sz w:val="36"/>
          <w:szCs w:val="36"/>
          <w:highlight w:val="none"/>
          <w:lang w:val="en-US" w:eastAsia="zh-CN"/>
        </w:rPr>
      </w:pPr>
      <w:r>
        <w:rPr>
          <w:rFonts w:hint="eastAsia" w:ascii="Times New Roman" w:hAnsi="Times New Roman" w:eastAsia="宋体" w:cs="Times New Roman"/>
          <w:b/>
          <w:bCs/>
          <w:color w:val="auto"/>
          <w:kern w:val="0"/>
          <w:sz w:val="36"/>
          <w:szCs w:val="36"/>
          <w:highlight w:val="none"/>
          <w:lang w:val="en-US" w:eastAsia="zh-CN"/>
        </w:rPr>
        <w:t>新和县疾病预防控制中心实验室设备采购项目</w:t>
      </w:r>
    </w:p>
    <w:p>
      <w:pPr>
        <w:keepNext w:val="0"/>
        <w:keepLines w:val="0"/>
        <w:pageBreakBefore w:val="0"/>
        <w:widowControl w:val="0"/>
        <w:kinsoku/>
        <w:wordWrap/>
        <w:overflowPunct/>
        <w:topLinePunct w:val="0"/>
        <w:bidi w:val="0"/>
        <w:adjustRightInd w:val="0"/>
        <w:snapToGrid/>
        <w:spacing w:line="360" w:lineRule="auto"/>
        <w:jc w:val="center"/>
        <w:textAlignment w:val="baseline"/>
        <w:rPr>
          <w:rFonts w:hint="eastAsia" w:ascii="Times New Roman" w:hAnsi="Times New Roman" w:eastAsia="宋体" w:cs="Times New Roman"/>
          <w:b/>
          <w:bCs/>
          <w:color w:val="auto"/>
          <w:kern w:val="0"/>
          <w:sz w:val="36"/>
          <w:szCs w:val="36"/>
          <w:highlight w:val="none"/>
        </w:rPr>
      </w:pPr>
      <w:r>
        <w:rPr>
          <w:rFonts w:hint="eastAsia" w:ascii="Times New Roman" w:hAnsi="Times New Roman" w:eastAsia="宋体" w:cs="Times New Roman"/>
          <w:b/>
          <w:bCs/>
          <w:color w:val="auto"/>
          <w:kern w:val="0"/>
          <w:sz w:val="36"/>
          <w:szCs w:val="36"/>
          <w:highlight w:val="none"/>
        </w:rPr>
        <w:t>公开招标公告</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9650" w:type="dxa"/>
          </w:tcPr>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eastAsia="zh-CN"/>
              </w:rPr>
              <w:t>项目概况</w:t>
            </w:r>
            <w:r>
              <w:rPr>
                <w:rFonts w:hint="eastAsia" w:ascii="Times New Roman" w:hAnsi="Times New Roman" w:eastAsia="宋体" w:cs="Times New Roman"/>
                <w:color w:val="auto"/>
                <w:kern w:val="0"/>
                <w:sz w:val="24"/>
                <w:szCs w:val="24"/>
                <w:highlight w:val="none"/>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rPr>
              <w:t xml:space="preserve">  </w:t>
            </w:r>
            <w:r>
              <w:rPr>
                <w:rFonts w:hint="eastAsia" w:ascii="Times New Roman" w:hAnsi="Times New Roman" w:eastAsia="宋体" w:cs="Times New Roman"/>
                <w:color w:val="auto"/>
                <w:kern w:val="0"/>
                <w:sz w:val="24"/>
                <w:szCs w:val="24"/>
                <w:highlight w:val="none"/>
                <w:lang w:val="en-US" w:eastAsia="zh-CN"/>
              </w:rPr>
              <w:t>新和县疾病预防控制中心实验室设备采购项目</w:t>
            </w:r>
            <w:r>
              <w:rPr>
                <w:rFonts w:hint="eastAsia" w:ascii="Times New Roman" w:hAnsi="Times New Roman" w:eastAsia="宋体" w:cs="Times New Roman"/>
                <w:color w:val="auto"/>
                <w:kern w:val="0"/>
                <w:sz w:val="24"/>
                <w:szCs w:val="24"/>
                <w:highlight w:val="none"/>
              </w:rPr>
              <w:t>的潜在投标人应在政采云平台线上获取招标文件，并于2022年</w:t>
            </w:r>
            <w:r>
              <w:rPr>
                <w:rFonts w:hint="eastAsia" w:ascii="Times New Roman" w:hAnsi="Times New Roman" w:eastAsia="宋体" w:cs="Times New Roman"/>
                <w:color w:val="auto"/>
                <w:kern w:val="0"/>
                <w:sz w:val="24"/>
                <w:szCs w:val="24"/>
                <w:highlight w:val="none"/>
                <w:lang w:val="en-US" w:eastAsia="zh-CN"/>
              </w:rPr>
              <w:t xml:space="preserve"> 06</w:t>
            </w:r>
            <w:r>
              <w:rPr>
                <w:rFonts w:hint="eastAsia" w:ascii="Times New Roman" w:hAnsi="Times New Roman" w:eastAsia="宋体" w:cs="Times New Roman"/>
                <w:color w:val="auto"/>
                <w:kern w:val="0"/>
                <w:sz w:val="24"/>
                <w:szCs w:val="24"/>
                <w:highlight w:val="none"/>
              </w:rPr>
              <w:t>月</w:t>
            </w:r>
            <w:r>
              <w:rPr>
                <w:rFonts w:hint="eastAsia" w:ascii="Times New Roman" w:hAnsi="Times New Roman" w:eastAsia="宋体" w:cs="Times New Roman"/>
                <w:color w:val="auto"/>
                <w:kern w:val="0"/>
                <w:sz w:val="24"/>
                <w:szCs w:val="24"/>
                <w:highlight w:val="none"/>
                <w:lang w:val="en-US" w:eastAsia="zh-CN"/>
              </w:rPr>
              <w:t xml:space="preserve"> 20 </w:t>
            </w:r>
            <w:r>
              <w:rPr>
                <w:rFonts w:hint="eastAsia" w:ascii="Times New Roman" w:hAnsi="Times New Roman" w:eastAsia="宋体" w:cs="Times New Roman"/>
                <w:color w:val="auto"/>
                <w:kern w:val="0"/>
                <w:sz w:val="24"/>
                <w:szCs w:val="24"/>
                <w:highlight w:val="none"/>
              </w:rPr>
              <w:t>日 1</w:t>
            </w:r>
            <w:r>
              <w:rPr>
                <w:rFonts w:hint="eastAsia" w:ascii="Times New Roman" w:hAnsi="Times New Roman" w:eastAsia="宋体" w:cs="Times New Roman"/>
                <w:color w:val="auto"/>
                <w:kern w:val="0"/>
                <w:sz w:val="24"/>
                <w:szCs w:val="24"/>
                <w:highlight w:val="none"/>
                <w:lang w:val="en-US" w:eastAsia="zh-CN"/>
              </w:rPr>
              <w:t>6</w:t>
            </w:r>
            <w:r>
              <w:rPr>
                <w:rFonts w:hint="eastAsia"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3</w:t>
            </w:r>
            <w:r>
              <w:rPr>
                <w:rFonts w:hint="eastAsia" w:ascii="Times New Roman" w:hAnsi="Times New Roman" w:eastAsia="宋体" w:cs="Times New Roman"/>
                <w:color w:val="auto"/>
                <w:kern w:val="0"/>
                <w:sz w:val="24"/>
                <w:szCs w:val="24"/>
                <w:highlight w:val="none"/>
              </w:rPr>
              <w:t>0（北京时间）前递交投标文件。</w:t>
            </w:r>
          </w:p>
        </w:tc>
      </w:tr>
    </w:tbl>
    <w:p>
      <w:pPr>
        <w:keepNext w:val="0"/>
        <w:keepLines w:val="0"/>
        <w:pageBreakBefore w:val="0"/>
        <w:widowControl w:val="0"/>
        <w:kinsoku/>
        <w:wordWrap/>
        <w:overflowPunct/>
        <w:topLinePunct w:val="0"/>
        <w:bidi w:val="0"/>
        <w:adjustRightInd w:val="0"/>
        <w:snapToGrid/>
        <w:spacing w:line="480" w:lineRule="auto"/>
        <w:jc w:val="left"/>
        <w:textAlignment w:val="baseline"/>
        <w:rPr>
          <w:rFonts w:hint="eastAsia"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auto"/>
          <w:kern w:val="0"/>
          <w:sz w:val="24"/>
          <w:szCs w:val="24"/>
          <w:highlight w:val="none"/>
        </w:rPr>
        <w:t>一、项目基本情况</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rPr>
        <w:t>项目编号：</w:t>
      </w:r>
      <w:r>
        <w:rPr>
          <w:rFonts w:hint="eastAsia" w:ascii="Times New Roman" w:hAnsi="Times New Roman" w:eastAsia="宋体" w:cs="Times New Roman"/>
          <w:color w:val="auto"/>
          <w:kern w:val="0"/>
          <w:sz w:val="24"/>
          <w:szCs w:val="24"/>
          <w:highlight w:val="none"/>
          <w:lang w:val="en-US" w:eastAsia="zh-CN"/>
        </w:rPr>
        <w:t>XHX-ZY-GKZB-2022-001</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rPr>
        <w:t>项目名称：</w:t>
      </w:r>
      <w:r>
        <w:rPr>
          <w:rFonts w:hint="eastAsia" w:ascii="Times New Roman" w:hAnsi="Times New Roman" w:eastAsia="宋体" w:cs="Times New Roman"/>
          <w:color w:val="auto"/>
          <w:kern w:val="0"/>
          <w:sz w:val="24"/>
          <w:szCs w:val="24"/>
          <w:highlight w:val="none"/>
          <w:lang w:val="en-US" w:eastAsia="zh-CN"/>
        </w:rPr>
        <w:t>新和县疾病预防控制中心实验室设备采购项目</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采购方式：公开招标</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rPr>
        <w:t>预算金额（元）：</w:t>
      </w:r>
      <w:r>
        <w:rPr>
          <w:rFonts w:hint="eastAsia" w:ascii="Times New Roman" w:hAnsi="Times New Roman" w:eastAsia="宋体" w:cs="Times New Roman"/>
          <w:color w:val="auto"/>
          <w:kern w:val="0"/>
          <w:sz w:val="24"/>
          <w:szCs w:val="24"/>
          <w:highlight w:val="none"/>
          <w:lang w:val="en-US" w:eastAsia="zh-CN"/>
        </w:rPr>
        <w:t>2000000</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rPr>
        <w:t>最高限价（元）：</w:t>
      </w:r>
      <w:r>
        <w:rPr>
          <w:rFonts w:hint="eastAsia" w:ascii="Times New Roman" w:hAnsi="Times New Roman" w:eastAsia="宋体" w:cs="Times New Roman"/>
          <w:color w:val="auto"/>
          <w:kern w:val="0"/>
          <w:sz w:val="24"/>
          <w:szCs w:val="24"/>
          <w:highlight w:val="none"/>
          <w:lang w:val="en-US" w:eastAsia="zh-CN"/>
        </w:rPr>
        <w:t>2000000</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rPr>
        <w:t>采购需求：</w:t>
      </w:r>
      <w:r>
        <w:rPr>
          <w:rFonts w:hint="eastAsia" w:ascii="Times New Roman" w:hAnsi="Times New Roman" w:eastAsia="宋体" w:cs="Times New Roman"/>
          <w:color w:val="auto"/>
          <w:kern w:val="0"/>
          <w:sz w:val="24"/>
          <w:szCs w:val="24"/>
          <w:highlight w:val="none"/>
        </w:rPr>
        <w:br w:type="textWrapping"/>
      </w:r>
      <w:r>
        <w:rPr>
          <w:rFonts w:hint="eastAsia" w:ascii="Times New Roman" w:hAnsi="Times New Roman" w:eastAsia="宋体" w:cs="Times New Roman"/>
          <w:color w:val="auto"/>
          <w:kern w:val="0"/>
          <w:sz w:val="24"/>
          <w:szCs w:val="24"/>
          <w:highlight w:val="none"/>
        </w:rPr>
        <w:t>  标项名称:</w:t>
      </w:r>
      <w:r>
        <w:rPr>
          <w:rFonts w:hint="eastAsia" w:ascii="Times New Roman" w:hAnsi="Times New Roman" w:eastAsia="宋体" w:cs="Times New Roman"/>
          <w:color w:val="auto"/>
          <w:kern w:val="0"/>
          <w:sz w:val="24"/>
          <w:szCs w:val="24"/>
          <w:highlight w:val="none"/>
          <w:lang w:val="en-US" w:eastAsia="zh-CN"/>
        </w:rPr>
        <w:t>新和县疾病预防控制中心实验室设备采购项目</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rPr>
        <w:t>  数量:1</w:t>
      </w:r>
      <w:r>
        <w:rPr>
          <w:rFonts w:hint="eastAsia" w:ascii="Times New Roman" w:hAnsi="Times New Roman" w:eastAsia="宋体" w:cs="Times New Roman"/>
          <w:color w:val="auto"/>
          <w:kern w:val="0"/>
          <w:sz w:val="24"/>
          <w:szCs w:val="24"/>
          <w:highlight w:val="none"/>
        </w:rPr>
        <w:br w:type="textWrapping"/>
      </w:r>
      <w:r>
        <w:rPr>
          <w:rFonts w:hint="eastAsia" w:ascii="Times New Roman" w:hAnsi="Times New Roman" w:eastAsia="宋体" w:cs="Times New Roman"/>
          <w:color w:val="auto"/>
          <w:kern w:val="0"/>
          <w:sz w:val="24"/>
          <w:szCs w:val="24"/>
          <w:highlight w:val="none"/>
        </w:rPr>
        <w:t>  预算金额（元）:</w:t>
      </w:r>
      <w:r>
        <w:rPr>
          <w:rFonts w:hint="eastAsia" w:ascii="Times New Roman" w:hAnsi="Times New Roman" w:eastAsia="宋体" w:cs="Times New Roman"/>
          <w:color w:val="auto"/>
          <w:kern w:val="0"/>
          <w:sz w:val="24"/>
          <w:szCs w:val="24"/>
          <w:highlight w:val="none"/>
          <w:lang w:val="en-US" w:eastAsia="zh-CN"/>
        </w:rPr>
        <w:t>2000000</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  简要规格描述或项目基本概况介绍、用途：</w:t>
      </w:r>
      <w:r>
        <w:rPr>
          <w:rFonts w:hint="eastAsia" w:ascii="Times New Roman" w:hAnsi="Times New Roman" w:eastAsia="宋体" w:cs="Times New Roman"/>
          <w:color w:val="auto"/>
          <w:kern w:val="0"/>
          <w:sz w:val="24"/>
          <w:szCs w:val="24"/>
          <w:highlight w:val="none"/>
          <w:lang w:val="zh-CN" w:eastAsia="zh-CN"/>
        </w:rPr>
        <w:t>实验室设备采购</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详见清单及参数</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rPr>
        <w:br w:type="textWrapping"/>
      </w:r>
      <w:r>
        <w:rPr>
          <w:rFonts w:hint="eastAsia" w:ascii="Times New Roman" w:hAnsi="Times New Roman" w:eastAsia="宋体" w:cs="Times New Roman"/>
          <w:color w:val="auto"/>
          <w:kern w:val="0"/>
          <w:sz w:val="24"/>
          <w:szCs w:val="24"/>
          <w:highlight w:val="none"/>
        </w:rPr>
        <w:t>  备注：</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合同履约期限：标项 1，按照甲、乙双方约定并签订合同日期执行</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本项目（否）接受联合体投标。</w:t>
      </w:r>
    </w:p>
    <w:p>
      <w:pPr>
        <w:keepNext w:val="0"/>
        <w:keepLines w:val="0"/>
        <w:pageBreakBefore w:val="0"/>
        <w:widowControl w:val="0"/>
        <w:kinsoku/>
        <w:wordWrap/>
        <w:overflowPunct/>
        <w:topLinePunct w:val="0"/>
        <w:bidi w:val="0"/>
        <w:adjustRightInd w:val="0"/>
        <w:snapToGrid/>
        <w:spacing w:line="480" w:lineRule="auto"/>
        <w:jc w:val="left"/>
        <w:textAlignment w:val="baseline"/>
        <w:rPr>
          <w:rFonts w:hint="eastAsia"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auto"/>
          <w:kern w:val="0"/>
          <w:sz w:val="24"/>
          <w:szCs w:val="24"/>
          <w:highlight w:val="none"/>
        </w:rPr>
        <w:t>二、申请人的资格要求：</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1.满足《中华人民共和国政府采购法》第二十二条规定；</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rPr>
        <w:t>2.落实政府采购政策需满足的资格要求：（1）《新疆维吾尔自治区政府采购促进中小企业发展管理实施办法》（新财规〔2021〕6号）；（2）《财政部、司法部关于政府采购支持监狱企业发展有关问题的通知》（财库〔2014〕68号）；（3）财政部 生态环境部关于印发环境标志产品政府采购品目清单的通知（财库〔2019〕18号）；（4）《财政部 民政部 中国残疾人联合会关于促进残疾人就业政府采购政策的通知》财库〔2017〕141号</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（6）执行国家规定的其他政府采购政策。</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default" w:ascii="Times New Roman" w:hAnsi="Times New Roman" w:eastAsia="宋体" w:cs="Times New Roman"/>
          <w:color w:val="auto"/>
          <w:kern w:val="0"/>
          <w:sz w:val="24"/>
          <w:szCs w:val="24"/>
          <w:highlight w:val="yellow"/>
          <w:lang w:val="en-US" w:eastAsia="zh-CN"/>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3.本项目的特定资格要求：</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具</w:t>
      </w:r>
      <w:r>
        <w:rPr>
          <w:rFonts w:hint="eastAsia" w:ascii="Times New Roman" w:hAnsi="Times New Roman" w:eastAsia="宋体" w:cs="Times New Roman"/>
          <w:color w:val="auto"/>
          <w:kern w:val="0"/>
          <w:sz w:val="24"/>
          <w:szCs w:val="24"/>
          <w:highlight w:val="none"/>
          <w:lang w:eastAsia="zh-CN"/>
        </w:rPr>
        <w:t>备</w:t>
      </w:r>
      <w:r>
        <w:rPr>
          <w:rFonts w:hint="eastAsia" w:ascii="Times New Roman" w:hAnsi="Times New Roman" w:eastAsia="宋体" w:cs="Times New Roman"/>
          <w:color w:val="auto"/>
          <w:kern w:val="0"/>
          <w:sz w:val="24"/>
          <w:szCs w:val="24"/>
          <w:highlight w:val="none"/>
        </w:rPr>
        <w:t>有效的《医疗器械经营许可证》或《医疗器械生产许可证》原件；且具有第二类医疗器械备案凭证</w:t>
      </w:r>
      <w:r>
        <w:rPr>
          <w:rFonts w:hint="eastAsia" w:ascii="Times New Roman" w:hAnsi="Times New Roman" w:eastAsia="宋体" w:cs="Times New Roman"/>
          <w:color w:val="auto"/>
          <w:kern w:val="0"/>
          <w:sz w:val="24"/>
          <w:szCs w:val="24"/>
          <w:highlight w:val="none"/>
          <w:lang w:eastAsia="zh-CN"/>
        </w:rPr>
        <w:t>。</w:t>
      </w:r>
    </w:p>
    <w:p>
      <w:pPr>
        <w:keepNext w:val="0"/>
        <w:keepLines w:val="0"/>
        <w:pageBreakBefore w:val="0"/>
        <w:widowControl w:val="0"/>
        <w:kinsoku/>
        <w:wordWrap/>
        <w:overflowPunct/>
        <w:topLinePunct w:val="0"/>
        <w:bidi w:val="0"/>
        <w:adjustRightInd w:val="0"/>
        <w:snapToGrid/>
        <w:spacing w:line="480" w:lineRule="auto"/>
        <w:jc w:val="left"/>
        <w:textAlignment w:val="baseline"/>
        <w:rPr>
          <w:rFonts w:hint="eastAsia"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auto"/>
          <w:kern w:val="0"/>
          <w:sz w:val="24"/>
          <w:szCs w:val="24"/>
          <w:highlight w:val="none"/>
        </w:rPr>
        <w:t>三、获取采购文件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FF0000"/>
          <w:kern w:val="0"/>
          <w:sz w:val="24"/>
          <w:szCs w:val="24"/>
          <w:highlight w:val="none"/>
        </w:rPr>
      </w:pPr>
      <w:r>
        <w:rPr>
          <w:rFonts w:hint="eastAsia" w:ascii="Times New Roman" w:hAnsi="Times New Roman" w:eastAsia="宋体" w:cs="Times New Roman"/>
          <w:color w:val="auto"/>
          <w:kern w:val="0"/>
          <w:sz w:val="24"/>
          <w:szCs w:val="24"/>
          <w:highlight w:val="none"/>
        </w:rPr>
        <w:t>    时间：2022年05月</w:t>
      </w:r>
      <w:r>
        <w:rPr>
          <w:rFonts w:hint="eastAsia" w:ascii="Times New Roman" w:hAnsi="Times New Roman" w:cs="Times New Roman"/>
          <w:color w:val="auto"/>
          <w:kern w:val="0"/>
          <w:sz w:val="24"/>
          <w:szCs w:val="24"/>
          <w:highlight w:val="none"/>
          <w:lang w:val="en-US" w:eastAsia="zh-CN"/>
        </w:rPr>
        <w:t>31</w:t>
      </w:r>
      <w:r>
        <w:rPr>
          <w:rFonts w:hint="eastAsia" w:ascii="Times New Roman" w:hAnsi="Times New Roman" w:eastAsia="宋体" w:cs="Times New Roman"/>
          <w:color w:val="auto"/>
          <w:kern w:val="0"/>
          <w:sz w:val="24"/>
          <w:szCs w:val="24"/>
          <w:highlight w:val="none"/>
        </w:rPr>
        <w:t>日至2022年0</w:t>
      </w:r>
      <w:r>
        <w:rPr>
          <w:rFonts w:hint="eastAsia" w:ascii="Times New Roman" w:hAnsi="Times New Roman" w:eastAsia="宋体" w:cs="Times New Roman"/>
          <w:color w:val="auto"/>
          <w:kern w:val="0"/>
          <w:sz w:val="24"/>
          <w:szCs w:val="24"/>
          <w:highlight w:val="none"/>
          <w:lang w:val="en-US" w:eastAsia="zh-CN"/>
        </w:rPr>
        <w:t>6</w:t>
      </w:r>
      <w:r>
        <w:rPr>
          <w:rFonts w:hint="eastAsia" w:ascii="Times New Roman" w:hAnsi="Times New Roman" w:eastAsia="宋体" w:cs="Times New Roman"/>
          <w:color w:val="auto"/>
          <w:kern w:val="0"/>
          <w:sz w:val="24"/>
          <w:szCs w:val="24"/>
          <w:highlight w:val="none"/>
        </w:rPr>
        <w:t>月</w:t>
      </w:r>
      <w:r>
        <w:rPr>
          <w:rFonts w:hint="eastAsia" w:ascii="Times New Roman" w:hAnsi="Times New Roman" w:eastAsia="宋体" w:cs="Times New Roman"/>
          <w:color w:val="auto"/>
          <w:kern w:val="0"/>
          <w:sz w:val="24"/>
          <w:szCs w:val="24"/>
          <w:highlight w:val="none"/>
          <w:lang w:val="en-US" w:eastAsia="zh-CN"/>
        </w:rPr>
        <w:t>0</w:t>
      </w:r>
      <w:r>
        <w:rPr>
          <w:rFonts w:hint="eastAsia" w:ascii="Times New Roman" w:hAnsi="Times New Roman" w:cs="Times New Roman"/>
          <w:color w:val="auto"/>
          <w:kern w:val="0"/>
          <w:sz w:val="24"/>
          <w:szCs w:val="24"/>
          <w:highlight w:val="none"/>
          <w:lang w:val="en-US" w:eastAsia="zh-CN"/>
        </w:rPr>
        <w:t>7</w:t>
      </w:r>
      <w:r>
        <w:rPr>
          <w:rFonts w:hint="eastAsia" w:ascii="Times New Roman" w:hAnsi="Times New Roman" w:eastAsia="宋体" w:cs="Times New Roman"/>
          <w:color w:val="auto"/>
          <w:kern w:val="0"/>
          <w:sz w:val="24"/>
          <w:szCs w:val="24"/>
          <w:highlight w:val="none"/>
        </w:rPr>
        <w:t>日，每天上午10:00至14:00，下午16:00至20:00（北京时间，法定节假日除外）</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    地点：政采云平台线上获取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    方式：供应商登录政采云平台https://www.zcygov.cn/在线申请获取采购文件（进入“项目采购”应用，在获取采购文件菜单中选择项目，申请获取采购文件）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    售价（元）：0  </w:t>
      </w:r>
    </w:p>
    <w:p>
      <w:pPr>
        <w:keepNext w:val="0"/>
        <w:keepLines w:val="0"/>
        <w:pageBreakBefore w:val="0"/>
        <w:widowControl w:val="0"/>
        <w:kinsoku/>
        <w:wordWrap/>
        <w:overflowPunct/>
        <w:topLinePunct w:val="0"/>
        <w:bidi w:val="0"/>
        <w:adjustRightInd w:val="0"/>
        <w:snapToGrid/>
        <w:spacing w:line="480" w:lineRule="auto"/>
        <w:jc w:val="left"/>
        <w:textAlignment w:val="baseline"/>
        <w:rPr>
          <w:rFonts w:hint="eastAsia"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auto"/>
          <w:kern w:val="0"/>
          <w:sz w:val="24"/>
          <w:szCs w:val="24"/>
          <w:highlight w:val="none"/>
        </w:rPr>
        <w:t>四、提交投标文件截止时间、开标时间和地点</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 xml:space="preserve">  </w:t>
      </w:r>
      <w:r>
        <w:rPr>
          <w:rFonts w:hint="eastAsia"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eastAsia="zh-CN"/>
        </w:rPr>
        <w:t>投标文件</w:t>
      </w:r>
      <w:r>
        <w:rPr>
          <w:rFonts w:hint="eastAsia" w:ascii="Times New Roman" w:hAnsi="Times New Roman" w:eastAsia="宋体" w:cs="Times New Roman"/>
          <w:color w:val="auto"/>
          <w:kern w:val="0"/>
          <w:sz w:val="24"/>
          <w:szCs w:val="24"/>
          <w:highlight w:val="none"/>
        </w:rPr>
        <w:t>截止时间：2022年0</w:t>
      </w:r>
      <w:r>
        <w:rPr>
          <w:rFonts w:hint="eastAsia" w:ascii="Times New Roman" w:hAnsi="Times New Roman" w:eastAsia="宋体" w:cs="Times New Roman"/>
          <w:color w:val="auto"/>
          <w:kern w:val="0"/>
          <w:sz w:val="24"/>
          <w:szCs w:val="24"/>
          <w:highlight w:val="none"/>
          <w:lang w:val="en-US" w:eastAsia="zh-CN"/>
        </w:rPr>
        <w:t>6</w:t>
      </w:r>
      <w:r>
        <w:rPr>
          <w:rFonts w:hint="eastAsia" w:ascii="Times New Roman" w:hAnsi="Times New Roman" w:eastAsia="宋体" w:cs="Times New Roman"/>
          <w:color w:val="auto"/>
          <w:kern w:val="0"/>
          <w:sz w:val="24"/>
          <w:szCs w:val="24"/>
          <w:highlight w:val="none"/>
        </w:rPr>
        <w:t>月20日 1</w:t>
      </w:r>
      <w:r>
        <w:rPr>
          <w:rFonts w:hint="eastAsia" w:ascii="Times New Roman" w:hAnsi="Times New Roman" w:eastAsia="宋体" w:cs="Times New Roman"/>
          <w:color w:val="auto"/>
          <w:kern w:val="0"/>
          <w:sz w:val="24"/>
          <w:szCs w:val="24"/>
          <w:highlight w:val="none"/>
          <w:lang w:val="en-US" w:eastAsia="zh-CN"/>
        </w:rPr>
        <w:t>6</w:t>
      </w:r>
      <w:r>
        <w:rPr>
          <w:rFonts w:hint="eastAsia"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3</w:t>
      </w:r>
      <w:r>
        <w:rPr>
          <w:rFonts w:hint="eastAsia" w:ascii="Times New Roman" w:hAnsi="Times New Roman" w:eastAsia="宋体" w:cs="Times New Roman"/>
          <w:color w:val="auto"/>
          <w:kern w:val="0"/>
          <w:sz w:val="24"/>
          <w:szCs w:val="24"/>
          <w:highlight w:val="none"/>
        </w:rPr>
        <w:t>0（北京时间）</w:t>
      </w:r>
    </w:p>
    <w:p>
      <w:pPr>
        <w:keepNext w:val="0"/>
        <w:keepLines w:val="0"/>
        <w:pageBreakBefore w:val="0"/>
        <w:widowControl w:val="0"/>
        <w:kinsoku/>
        <w:wordWrap/>
        <w:overflowPunct/>
        <w:topLinePunct w:val="0"/>
        <w:bidi w:val="0"/>
        <w:adjustRightInd w:val="0"/>
        <w:snapToGrid/>
        <w:spacing w:line="360" w:lineRule="auto"/>
        <w:ind w:firstLine="480" w:firstLineChars="200"/>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eastAsia="zh-CN"/>
        </w:rPr>
        <w:t>投标地点</w:t>
      </w:r>
      <w:r>
        <w:rPr>
          <w:rFonts w:hint="eastAsia" w:ascii="Times New Roman" w:hAnsi="Times New Roman" w:eastAsia="宋体" w:cs="Times New Roman"/>
          <w:color w:val="auto"/>
          <w:kern w:val="0"/>
          <w:sz w:val="24"/>
          <w:szCs w:val="24"/>
          <w:highlight w:val="none"/>
        </w:rPr>
        <w:t>：政采云一站式政府采购云平台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 xml:space="preserve">    </w:t>
      </w:r>
      <w:r>
        <w:rPr>
          <w:rFonts w:hint="eastAsia"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rPr>
        <w:t>开启时间：2022年0</w:t>
      </w:r>
      <w:r>
        <w:rPr>
          <w:rFonts w:hint="eastAsia" w:ascii="Times New Roman" w:hAnsi="Times New Roman" w:eastAsia="宋体" w:cs="Times New Roman"/>
          <w:color w:val="auto"/>
          <w:kern w:val="0"/>
          <w:sz w:val="24"/>
          <w:szCs w:val="24"/>
          <w:highlight w:val="none"/>
          <w:lang w:val="en-US" w:eastAsia="zh-CN"/>
        </w:rPr>
        <w:t>6</w:t>
      </w:r>
      <w:r>
        <w:rPr>
          <w:rFonts w:hint="eastAsia" w:ascii="Times New Roman" w:hAnsi="Times New Roman" w:eastAsia="宋体" w:cs="Times New Roman"/>
          <w:color w:val="auto"/>
          <w:kern w:val="0"/>
          <w:sz w:val="24"/>
          <w:szCs w:val="24"/>
          <w:highlight w:val="none"/>
        </w:rPr>
        <w:t>月20日 1</w:t>
      </w:r>
      <w:r>
        <w:rPr>
          <w:rFonts w:hint="eastAsia" w:ascii="Times New Roman" w:hAnsi="Times New Roman" w:eastAsia="宋体" w:cs="Times New Roman"/>
          <w:color w:val="auto"/>
          <w:kern w:val="0"/>
          <w:sz w:val="24"/>
          <w:szCs w:val="24"/>
          <w:highlight w:val="none"/>
          <w:lang w:val="en-US" w:eastAsia="zh-CN"/>
        </w:rPr>
        <w:t>6</w:t>
      </w:r>
      <w:r>
        <w:rPr>
          <w:rFonts w:hint="eastAsia"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3</w:t>
      </w:r>
      <w:r>
        <w:rPr>
          <w:rFonts w:hint="eastAsia" w:ascii="Times New Roman" w:hAnsi="Times New Roman" w:eastAsia="宋体" w:cs="Times New Roman"/>
          <w:color w:val="auto"/>
          <w:kern w:val="0"/>
          <w:sz w:val="24"/>
          <w:szCs w:val="24"/>
          <w:highlight w:val="none"/>
        </w:rPr>
        <w:t>0（北京时间）</w:t>
      </w:r>
    </w:p>
    <w:p>
      <w:pPr>
        <w:keepNext w:val="0"/>
        <w:keepLines w:val="0"/>
        <w:pageBreakBefore w:val="0"/>
        <w:widowControl w:val="0"/>
        <w:kinsoku/>
        <w:wordWrap/>
        <w:overflowPunct/>
        <w:topLinePunct w:val="0"/>
        <w:bidi w:val="0"/>
        <w:adjustRightInd w:val="0"/>
        <w:snapToGrid/>
        <w:spacing w:line="360" w:lineRule="auto"/>
        <w:ind w:left="1679" w:leftChars="228" w:hanging="1200" w:hangingChars="500"/>
        <w:jc w:val="left"/>
        <w:textAlignment w:val="baseline"/>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开标</w:t>
      </w:r>
      <w:r>
        <w:rPr>
          <w:rFonts w:hint="eastAsia" w:ascii="Times New Roman" w:hAnsi="Times New Roman" w:eastAsia="宋体" w:cs="Times New Roman"/>
          <w:color w:val="auto"/>
          <w:kern w:val="0"/>
          <w:sz w:val="24"/>
          <w:szCs w:val="24"/>
          <w:highlight w:val="none"/>
        </w:rPr>
        <w:t>地点：阿克苏药品集散中心办公大楼</w:t>
      </w:r>
      <w:r>
        <w:rPr>
          <w:rFonts w:hint="eastAsia" w:ascii="Times New Roman" w:hAnsi="Times New Roman" w:eastAsia="宋体" w:cs="Times New Roman"/>
          <w:color w:val="auto"/>
          <w:kern w:val="0"/>
          <w:sz w:val="24"/>
          <w:szCs w:val="24"/>
          <w:highlight w:val="none"/>
          <w:lang w:eastAsia="zh-CN"/>
        </w:rPr>
        <w:t>一楼</w:t>
      </w:r>
      <w:r>
        <w:rPr>
          <w:rFonts w:hint="eastAsia" w:ascii="Times New Roman" w:hAnsi="Times New Roman" w:eastAsia="宋体" w:cs="Times New Roman"/>
          <w:color w:val="auto"/>
          <w:kern w:val="0"/>
          <w:sz w:val="24"/>
          <w:szCs w:val="24"/>
          <w:highlight w:val="none"/>
        </w:rPr>
        <w:t>（地址：温宿县长兴街15号）</w:t>
      </w:r>
    </w:p>
    <w:p>
      <w:pPr>
        <w:keepNext w:val="0"/>
        <w:keepLines w:val="0"/>
        <w:pageBreakBefore w:val="0"/>
        <w:widowControl w:val="0"/>
        <w:kinsoku/>
        <w:wordWrap/>
        <w:overflowPunct/>
        <w:topLinePunct w:val="0"/>
        <w:bidi w:val="0"/>
        <w:adjustRightInd w:val="0"/>
        <w:snapToGrid/>
        <w:spacing w:line="480" w:lineRule="auto"/>
        <w:jc w:val="left"/>
        <w:textAlignment w:val="baseline"/>
        <w:rPr>
          <w:rFonts w:hint="eastAsia"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auto"/>
          <w:kern w:val="0"/>
          <w:sz w:val="24"/>
          <w:szCs w:val="24"/>
          <w:highlight w:val="none"/>
          <w:lang w:eastAsia="zh-CN"/>
        </w:rPr>
        <w:t>五</w:t>
      </w:r>
      <w:r>
        <w:rPr>
          <w:rFonts w:hint="eastAsia" w:ascii="Times New Roman" w:hAnsi="Times New Roman" w:eastAsia="宋体" w:cs="Times New Roman"/>
          <w:b/>
          <w:bCs/>
          <w:color w:val="auto"/>
          <w:kern w:val="0"/>
          <w:sz w:val="24"/>
          <w:szCs w:val="24"/>
          <w:highlight w:val="none"/>
        </w:rPr>
        <w:t>、公告期限</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    自本公告发布之日起</w:t>
      </w:r>
      <w:r>
        <w:rPr>
          <w:rFonts w:hint="eastAsia" w:ascii="Times New Roman" w:hAnsi="Times New Roman" w:eastAsia="宋体" w:cs="Times New Roman"/>
          <w:color w:val="auto"/>
          <w:kern w:val="0"/>
          <w:sz w:val="24"/>
          <w:szCs w:val="24"/>
          <w:highlight w:val="none"/>
          <w:lang w:val="en-US" w:eastAsia="zh-CN"/>
        </w:rPr>
        <w:t>5</w:t>
      </w:r>
      <w:r>
        <w:rPr>
          <w:rFonts w:hint="eastAsia" w:ascii="Times New Roman" w:hAnsi="Times New Roman" w:eastAsia="宋体" w:cs="Times New Roman"/>
          <w:color w:val="auto"/>
          <w:kern w:val="0"/>
          <w:sz w:val="24"/>
          <w:szCs w:val="24"/>
          <w:highlight w:val="none"/>
        </w:rPr>
        <w:t>个工作日。</w:t>
      </w:r>
    </w:p>
    <w:p>
      <w:pPr>
        <w:keepNext w:val="0"/>
        <w:keepLines w:val="0"/>
        <w:pageBreakBefore w:val="0"/>
        <w:widowControl w:val="0"/>
        <w:kinsoku/>
        <w:wordWrap/>
        <w:overflowPunct/>
        <w:topLinePunct w:val="0"/>
        <w:bidi w:val="0"/>
        <w:adjustRightInd w:val="0"/>
        <w:snapToGrid/>
        <w:spacing w:line="480" w:lineRule="auto"/>
        <w:jc w:val="left"/>
        <w:textAlignment w:val="baseline"/>
        <w:rPr>
          <w:rFonts w:hint="eastAsia"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auto"/>
          <w:kern w:val="0"/>
          <w:sz w:val="24"/>
          <w:szCs w:val="24"/>
          <w:highlight w:val="none"/>
          <w:lang w:eastAsia="zh-CN"/>
        </w:rPr>
        <w:t>六</w:t>
      </w:r>
      <w:r>
        <w:rPr>
          <w:rFonts w:hint="eastAsia" w:ascii="Times New Roman" w:hAnsi="Times New Roman" w:eastAsia="宋体" w:cs="Times New Roman"/>
          <w:b/>
          <w:bCs/>
          <w:color w:val="auto"/>
          <w:kern w:val="0"/>
          <w:sz w:val="24"/>
          <w:szCs w:val="24"/>
          <w:highlight w:val="none"/>
        </w:rPr>
        <w:t>、其他补充事宜</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.本公告</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在新疆政府采购网</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w:t>
      </w:r>
      <w:r>
        <w:rPr>
          <w:rFonts w:hint="eastAsia" w:ascii="Times New Roman" w:hAnsi="Times New Roman" w:eastAsia="宋体" w:cs="Times New Roman"/>
          <w:color w:val="auto"/>
          <w:kern w:val="0"/>
          <w:sz w:val="24"/>
          <w:szCs w:val="24"/>
          <w:highlight w:val="none"/>
        </w:rPr>
        <w:t>.请投标单位随时关注本项目的澄清、答疑、变更事项。</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3</w:t>
      </w:r>
      <w:r>
        <w:rPr>
          <w:rFonts w:hint="eastAsia" w:ascii="Times New Roman" w:hAnsi="Times New Roman" w:eastAsia="宋体" w:cs="Times New Roman"/>
          <w:color w:val="auto"/>
          <w:kern w:val="0"/>
          <w:sz w:val="24"/>
          <w:szCs w:val="24"/>
          <w:highlight w:val="none"/>
        </w:rPr>
        <w:t>.本项目实行电子招投标，供应商须登录政采云平台申请获取</w:t>
      </w:r>
      <w:r>
        <w:rPr>
          <w:rFonts w:hint="eastAsia" w:ascii="Times New Roman" w:hAnsi="Times New Roman" w:eastAsia="宋体" w:cs="Times New Roman"/>
          <w:color w:val="auto"/>
          <w:kern w:val="0"/>
          <w:sz w:val="24"/>
          <w:szCs w:val="24"/>
          <w:highlight w:val="none"/>
          <w:lang w:eastAsia="zh-CN"/>
        </w:rPr>
        <w:t>招标</w:t>
      </w:r>
      <w:r>
        <w:rPr>
          <w:rFonts w:hint="eastAsia" w:ascii="Times New Roman" w:hAnsi="Times New Roman" w:eastAsia="宋体" w:cs="Times New Roman"/>
          <w:color w:val="auto"/>
          <w:kern w:val="0"/>
          <w:sz w:val="24"/>
          <w:szCs w:val="24"/>
          <w:highlight w:val="none"/>
        </w:rPr>
        <w:t>文件，并通过政采云电子投标客户端制作响应文件，同时自行承担与投标有关的一切费用。</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4</w:t>
      </w:r>
      <w:r>
        <w:rPr>
          <w:rFonts w:hint="eastAsia" w:ascii="Times New Roman" w:hAnsi="Times New Roman" w:eastAsia="宋体" w:cs="Times New Roman"/>
          <w:color w:val="auto"/>
          <w:kern w:val="0"/>
          <w:sz w:val="24"/>
          <w:szCs w:val="24"/>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5</w:t>
      </w:r>
      <w:r>
        <w:rPr>
          <w:rFonts w:hint="eastAsia" w:ascii="Times New Roman" w:hAnsi="Times New Roman" w:eastAsia="宋体" w:cs="Times New Roman"/>
          <w:color w:val="auto"/>
          <w:kern w:val="0"/>
          <w:sz w:val="24"/>
          <w:szCs w:val="24"/>
          <w:highlight w:val="none"/>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6</w:t>
      </w:r>
      <w:r>
        <w:rPr>
          <w:rFonts w:hint="eastAsia" w:ascii="Times New Roman" w:hAnsi="Times New Roman" w:eastAsia="宋体" w:cs="Times New Roman"/>
          <w:color w:val="auto"/>
          <w:kern w:val="0"/>
          <w:sz w:val="24"/>
          <w:szCs w:val="24"/>
          <w:highlight w:val="none"/>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b/>
          <w:bCs/>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7</w:t>
      </w:r>
      <w:r>
        <w:rPr>
          <w:rFonts w:hint="eastAsia" w:ascii="Times New Roman" w:hAnsi="Times New Roman" w:eastAsia="宋体" w:cs="Times New Roman"/>
          <w:color w:val="auto"/>
          <w:kern w:val="0"/>
          <w:sz w:val="24"/>
          <w:szCs w:val="24"/>
          <w:highlight w:val="none"/>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keepNext w:val="0"/>
        <w:keepLines w:val="0"/>
        <w:pageBreakBefore w:val="0"/>
        <w:widowControl w:val="0"/>
        <w:kinsoku/>
        <w:wordWrap/>
        <w:overflowPunct/>
        <w:topLinePunct w:val="0"/>
        <w:bidi w:val="0"/>
        <w:adjustRightInd w:val="0"/>
        <w:snapToGrid/>
        <w:spacing w:line="480" w:lineRule="auto"/>
        <w:jc w:val="left"/>
        <w:textAlignment w:val="baseline"/>
        <w:rPr>
          <w:rFonts w:hint="eastAsia"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auto"/>
          <w:kern w:val="0"/>
          <w:sz w:val="24"/>
          <w:szCs w:val="24"/>
          <w:highlight w:val="none"/>
          <w:lang w:eastAsia="zh-CN"/>
        </w:rPr>
        <w:t>七</w:t>
      </w:r>
      <w:r>
        <w:rPr>
          <w:rFonts w:hint="eastAsia" w:ascii="Times New Roman" w:hAnsi="Times New Roman" w:eastAsia="宋体" w:cs="Times New Roman"/>
          <w:b/>
          <w:bCs/>
          <w:color w:val="auto"/>
          <w:kern w:val="0"/>
          <w:sz w:val="24"/>
          <w:szCs w:val="24"/>
          <w:highlight w:val="none"/>
        </w:rPr>
        <w:t>、对本次采购提出询问，请按以下方式联系</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1.采购人信息</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名 称：新和县疾病预防控制中心</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地 址：新和县新沙路19号</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联系人：豆生东</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联系方式：15599901906</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2.采购代理机构信息</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rPr>
        <w:t>名 称：</w:t>
      </w:r>
      <w:r>
        <w:rPr>
          <w:rFonts w:hint="eastAsia" w:ascii="Times New Roman" w:hAnsi="Times New Roman" w:eastAsia="宋体" w:cs="Times New Roman"/>
          <w:color w:val="auto"/>
          <w:kern w:val="0"/>
          <w:sz w:val="24"/>
          <w:szCs w:val="24"/>
          <w:highlight w:val="none"/>
          <w:lang w:val="en-US" w:eastAsia="zh-CN"/>
        </w:rPr>
        <w:t>阿克苏地区振远项目咨询管理有限公司</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rPr>
        <w:t>地 址：</w:t>
      </w:r>
      <w:r>
        <w:rPr>
          <w:rFonts w:hint="eastAsia" w:ascii="Times New Roman" w:hAnsi="Times New Roman" w:eastAsia="宋体" w:cs="Times New Roman"/>
          <w:color w:val="auto"/>
          <w:kern w:val="0"/>
          <w:sz w:val="24"/>
          <w:szCs w:val="24"/>
          <w:highlight w:val="none"/>
          <w:lang w:val="en-US" w:eastAsia="zh-CN"/>
        </w:rPr>
        <w:t>阿克苏市农一师二中家属院1-1-706号</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rPr>
        <w:t>联系方式：</w:t>
      </w:r>
      <w:r>
        <w:rPr>
          <w:rFonts w:hint="eastAsia" w:ascii="Times New Roman" w:hAnsi="Times New Roman" w:eastAsia="宋体" w:cs="Times New Roman"/>
          <w:color w:val="auto"/>
          <w:kern w:val="0"/>
          <w:sz w:val="24"/>
          <w:szCs w:val="24"/>
          <w:highlight w:val="none"/>
          <w:lang w:val="en-US" w:eastAsia="zh-CN"/>
        </w:rPr>
        <w:t>15770031616</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3.项目联系方式</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rPr>
        <w:t>项目联系人：</w:t>
      </w:r>
      <w:r>
        <w:rPr>
          <w:rFonts w:hint="eastAsia" w:ascii="Times New Roman" w:hAnsi="Times New Roman" w:eastAsia="宋体" w:cs="Times New Roman"/>
          <w:color w:val="auto"/>
          <w:kern w:val="0"/>
          <w:sz w:val="24"/>
          <w:szCs w:val="24"/>
          <w:highlight w:val="none"/>
          <w:lang w:eastAsia="zh-CN"/>
        </w:rPr>
        <w:t>王丽</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电 话：</w:t>
      </w:r>
      <w:r>
        <w:rPr>
          <w:rFonts w:hint="eastAsia" w:ascii="Times New Roman" w:hAnsi="Times New Roman" w:eastAsia="宋体" w:cs="Times New Roman"/>
          <w:color w:val="auto"/>
          <w:kern w:val="0"/>
          <w:sz w:val="24"/>
          <w:szCs w:val="24"/>
          <w:highlight w:val="none"/>
          <w:lang w:val="en-US" w:eastAsia="zh-CN"/>
        </w:rPr>
        <w:t>15770031616</w:t>
      </w:r>
    </w:p>
    <w:p>
      <w:pPr>
        <w:pStyle w:val="37"/>
        <w:rPr>
          <w:rFonts w:hint="eastAsia" w:ascii="宋体" w:hAnsi="宋体" w:eastAsia="宋体" w:cs="宋体"/>
          <w:color w:val="auto"/>
          <w:sz w:val="22"/>
          <w:szCs w:val="22"/>
          <w:lang w:val="en-US" w:eastAsia="zh-CN"/>
        </w:rPr>
      </w:pPr>
    </w:p>
    <w:p>
      <w:pPr>
        <w:pStyle w:val="37"/>
        <w:rPr>
          <w:rFonts w:hint="eastAsia" w:ascii="宋体" w:hAnsi="宋体" w:eastAsia="宋体" w:cs="宋体"/>
          <w:color w:val="auto"/>
          <w:sz w:val="22"/>
          <w:szCs w:val="22"/>
          <w:lang w:val="en-US" w:eastAsia="zh-CN"/>
        </w:rPr>
      </w:pPr>
    </w:p>
    <w:p>
      <w:pPr>
        <w:pStyle w:val="25"/>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numPr>
          <w:ilvl w:val="0"/>
          <w:numId w:val="0"/>
        </w:numPr>
        <w:spacing w:afterLines="100" w:line="400" w:lineRule="exact"/>
        <w:ind w:leftChars="0"/>
        <w:jc w:val="center"/>
        <w:outlineLvl w:val="1"/>
        <w:rPr>
          <w:rFonts w:hint="eastAsia" w:ascii="宋体" w:hAnsi="宋体" w:eastAsia="宋体" w:cs="宋体"/>
          <w:b/>
          <w:bCs/>
          <w:sz w:val="36"/>
          <w:szCs w:val="36"/>
        </w:rPr>
      </w:pPr>
      <w:bookmarkStart w:id="10" w:name="_Toc28628"/>
      <w:r>
        <w:rPr>
          <w:rFonts w:hint="eastAsia" w:ascii="宋体" w:hAnsi="宋体" w:eastAsia="宋体" w:cs="宋体"/>
          <w:b/>
          <w:bCs/>
          <w:sz w:val="36"/>
          <w:szCs w:val="36"/>
          <w:lang w:eastAsia="zh-CN"/>
        </w:rPr>
        <w:t>第二章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 xml:space="preserve"> 投标人须知</w:t>
      </w:r>
      <w:bookmarkEnd w:id="10"/>
      <w:bookmarkStart w:id="11" w:name="_Toc7536"/>
      <w:bookmarkStart w:id="12" w:name="_Toc12494"/>
    </w:p>
    <w:p>
      <w:pPr>
        <w:numPr>
          <w:ilvl w:val="0"/>
          <w:numId w:val="0"/>
        </w:numPr>
        <w:spacing w:afterLines="100" w:line="400" w:lineRule="exact"/>
        <w:ind w:leftChars="0"/>
        <w:jc w:val="center"/>
        <w:outlineLvl w:val="1"/>
        <w:rPr>
          <w:rFonts w:hint="eastAsia" w:ascii="宋体" w:hAnsi="宋体" w:eastAsia="宋体" w:cs="宋体"/>
          <w:color w:val="auto"/>
          <w:sz w:val="28"/>
          <w:szCs w:val="28"/>
        </w:rPr>
      </w:pPr>
      <w:r>
        <w:rPr>
          <w:rFonts w:hint="eastAsia" w:ascii="宋体" w:hAnsi="宋体" w:eastAsia="宋体" w:cs="宋体"/>
          <w:color w:val="auto"/>
          <w:sz w:val="28"/>
          <w:szCs w:val="28"/>
        </w:rPr>
        <w:t>投标人须知前附表</w:t>
      </w:r>
      <w:bookmarkEnd w:id="9"/>
      <w:bookmarkEnd w:id="11"/>
      <w:bookmarkEnd w:id="12"/>
    </w:p>
    <w:tbl>
      <w:tblPr>
        <w:tblStyle w:val="30"/>
        <w:tblW w:w="9941" w:type="dxa"/>
        <w:jc w:val="center"/>
        <w:tblLayout w:type="fixed"/>
        <w:tblCellMar>
          <w:top w:w="0" w:type="dxa"/>
          <w:left w:w="108" w:type="dxa"/>
          <w:bottom w:w="0" w:type="dxa"/>
          <w:right w:w="108" w:type="dxa"/>
        </w:tblCellMar>
      </w:tblPr>
      <w:tblGrid>
        <w:gridCol w:w="966"/>
        <w:gridCol w:w="2702"/>
        <w:gridCol w:w="6273"/>
      </w:tblGrid>
      <w:tr>
        <w:tblPrEx>
          <w:tblCellMar>
            <w:top w:w="0" w:type="dxa"/>
            <w:left w:w="108" w:type="dxa"/>
            <w:bottom w:w="0" w:type="dxa"/>
            <w:right w:w="108" w:type="dxa"/>
          </w:tblCellMar>
        </w:tblPrEx>
        <w:trPr>
          <w:trHeight w:val="57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702"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条款名称</w:t>
            </w:r>
          </w:p>
        </w:tc>
        <w:tc>
          <w:tcPr>
            <w:tcW w:w="6273"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编列内容</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lang w:val="zh-CN"/>
              </w:rPr>
            </w:pPr>
            <w:r>
              <w:rPr>
                <w:rFonts w:hint="eastAsia" w:ascii="宋体" w:hAnsi="宋体" w:eastAsia="宋体" w:cs="宋体"/>
                <w:lang w:val="zh-CN"/>
              </w:rPr>
              <w:t>名称：新和县疾病预防控制中心</w:t>
            </w:r>
          </w:p>
          <w:p>
            <w:pPr>
              <w:spacing w:line="400" w:lineRule="exact"/>
              <w:rPr>
                <w:rFonts w:hint="eastAsia" w:ascii="宋体" w:hAnsi="宋体" w:eastAsia="宋体" w:cs="宋体"/>
                <w:lang w:val="zh-CN"/>
              </w:rPr>
            </w:pPr>
            <w:r>
              <w:rPr>
                <w:rFonts w:hint="eastAsia" w:ascii="宋体" w:hAnsi="宋体" w:eastAsia="宋体" w:cs="宋体"/>
                <w:lang w:val="zh-CN"/>
              </w:rPr>
              <w:t>地址：</w:t>
            </w:r>
            <w:r>
              <w:rPr>
                <w:rFonts w:hint="eastAsia" w:ascii="宋体" w:hAnsi="宋体" w:eastAsia="宋体" w:cs="宋体"/>
              </w:rPr>
              <w:t>新和县新沙路19号</w:t>
            </w:r>
          </w:p>
          <w:p>
            <w:pPr>
              <w:spacing w:line="400" w:lineRule="exact"/>
              <w:rPr>
                <w:rFonts w:hint="eastAsia" w:ascii="宋体" w:hAnsi="宋体" w:eastAsia="宋体" w:cs="宋体"/>
                <w:lang w:val="en-US" w:eastAsia="zh-CN"/>
              </w:rPr>
            </w:pPr>
            <w:r>
              <w:rPr>
                <w:rFonts w:hint="eastAsia" w:ascii="宋体" w:hAnsi="宋体" w:eastAsia="宋体" w:cs="宋体"/>
                <w:lang w:val="en-US" w:eastAsia="zh-CN"/>
              </w:rPr>
              <w:t>联系人：豆生东</w:t>
            </w:r>
          </w:p>
          <w:p>
            <w:pPr>
              <w:spacing w:line="400" w:lineRule="exact"/>
              <w:rPr>
                <w:rFonts w:hint="eastAsia" w:ascii="宋体" w:hAnsi="宋体" w:eastAsia="宋体" w:cs="宋体"/>
                <w:lang w:eastAsia="zh-CN"/>
              </w:rPr>
            </w:pPr>
            <w:r>
              <w:rPr>
                <w:rFonts w:hint="eastAsia" w:ascii="宋体" w:hAnsi="宋体" w:eastAsia="宋体" w:cs="宋体"/>
                <w:lang w:val="zh-CN" w:eastAsia="zh-CN"/>
              </w:rPr>
              <w:t>联系方式：15599901906</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lang w:val="zh-CN" w:eastAsia="zh-CN"/>
              </w:rPr>
            </w:pPr>
            <w:r>
              <w:rPr>
                <w:rFonts w:hint="eastAsia" w:ascii="宋体" w:hAnsi="宋体" w:eastAsia="宋体" w:cs="宋体"/>
                <w:lang w:val="zh-CN" w:eastAsia="zh-CN"/>
              </w:rPr>
              <w:t>名称：阿克苏地区振远项目咨询管理有限公司</w:t>
            </w:r>
          </w:p>
          <w:p>
            <w:pPr>
              <w:spacing w:line="400" w:lineRule="exact"/>
              <w:rPr>
                <w:rFonts w:hint="eastAsia" w:ascii="宋体" w:hAnsi="宋体" w:eastAsia="宋体" w:cs="宋体"/>
                <w:lang w:val="zh-CN" w:eastAsia="zh-CN"/>
              </w:rPr>
            </w:pPr>
            <w:r>
              <w:rPr>
                <w:rFonts w:hint="eastAsia" w:ascii="宋体" w:hAnsi="宋体" w:eastAsia="宋体" w:cs="宋体"/>
                <w:lang w:val="zh-CN" w:eastAsia="zh-CN"/>
              </w:rPr>
              <w:t>地址：</w:t>
            </w:r>
            <w:r>
              <w:rPr>
                <w:rFonts w:hint="eastAsia" w:ascii="宋体" w:hAnsi="宋体" w:eastAsia="宋体" w:cs="宋体"/>
                <w:lang w:val="en-US" w:eastAsia="zh-CN"/>
              </w:rPr>
              <w:t>阿克苏市农一师二中家属院1-1-706号</w:t>
            </w:r>
          </w:p>
          <w:p>
            <w:pPr>
              <w:spacing w:line="400" w:lineRule="exact"/>
              <w:rPr>
                <w:rFonts w:hint="eastAsia" w:ascii="宋体" w:hAnsi="宋体" w:eastAsia="宋体" w:cs="宋体"/>
                <w:lang w:val="zh-CN" w:eastAsia="zh-CN"/>
              </w:rPr>
            </w:pPr>
            <w:r>
              <w:rPr>
                <w:rFonts w:hint="eastAsia" w:ascii="宋体" w:hAnsi="宋体" w:eastAsia="宋体" w:cs="宋体"/>
                <w:lang w:val="zh-CN" w:eastAsia="zh-CN"/>
              </w:rPr>
              <w:t>联系人：王丽</w:t>
            </w:r>
          </w:p>
          <w:p>
            <w:pPr>
              <w:spacing w:line="400" w:lineRule="exact"/>
              <w:rPr>
                <w:rFonts w:hint="eastAsia" w:ascii="宋体" w:hAnsi="宋体" w:eastAsia="宋体" w:cs="宋体"/>
                <w:sz w:val="24"/>
                <w:szCs w:val="24"/>
                <w:lang w:val="en-US" w:eastAsia="zh-CN"/>
              </w:rPr>
            </w:pPr>
            <w:r>
              <w:rPr>
                <w:rFonts w:hint="eastAsia" w:ascii="宋体" w:hAnsi="宋体" w:eastAsia="宋体" w:cs="宋体"/>
                <w:lang w:val="zh-CN" w:eastAsia="zh-CN"/>
              </w:rPr>
              <w:t>电话：15770031616</w:t>
            </w:r>
          </w:p>
        </w:tc>
      </w:tr>
      <w:tr>
        <w:tblPrEx>
          <w:tblCellMar>
            <w:top w:w="0" w:type="dxa"/>
            <w:left w:w="108" w:type="dxa"/>
            <w:bottom w:w="0" w:type="dxa"/>
            <w:right w:w="108" w:type="dxa"/>
          </w:tblCellMar>
        </w:tblPrEx>
        <w:trPr>
          <w:trHeight w:val="52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en-US" w:eastAsia="zh-CN"/>
              </w:rPr>
            </w:pPr>
            <w:r>
              <w:rPr>
                <w:rFonts w:hint="eastAsia" w:ascii="宋体" w:hAnsi="宋体" w:eastAsia="宋体" w:cs="宋体"/>
                <w:lang w:val="zh-CN"/>
              </w:rPr>
              <w:t>新和县疾病预防控制中心实验室设备采购项目</w:t>
            </w:r>
          </w:p>
        </w:tc>
      </w:tr>
      <w:tr>
        <w:tblPrEx>
          <w:tblCellMar>
            <w:top w:w="0" w:type="dxa"/>
            <w:left w:w="108" w:type="dxa"/>
            <w:bottom w:w="0" w:type="dxa"/>
            <w:right w:w="108" w:type="dxa"/>
          </w:tblCellMar>
        </w:tblPrEx>
        <w:trPr>
          <w:trHeight w:val="58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XHX-ZY-GKZB-2022-001</w:t>
            </w:r>
          </w:p>
        </w:tc>
      </w:tr>
      <w:tr>
        <w:tblPrEx>
          <w:tblCellMar>
            <w:top w:w="0" w:type="dxa"/>
            <w:left w:w="108" w:type="dxa"/>
            <w:bottom w:w="0" w:type="dxa"/>
            <w:right w:w="108" w:type="dxa"/>
          </w:tblCellMar>
        </w:tblPrEx>
        <w:trPr>
          <w:trHeight w:val="52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rPr>
              <w:t>资金来源</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en-US"/>
              </w:rPr>
            </w:pPr>
            <w:r>
              <w:rPr>
                <w:rFonts w:hint="eastAsia" w:ascii="宋体" w:hAnsi="宋体" w:eastAsia="宋体" w:cs="宋体"/>
                <w:sz w:val="24"/>
                <w:szCs w:val="24"/>
                <w:lang w:val="en-US" w:eastAsia="zh-CN"/>
              </w:rPr>
              <w:t>财政资金</w:t>
            </w:r>
          </w:p>
        </w:tc>
      </w:tr>
      <w:tr>
        <w:tblPrEx>
          <w:tblCellMar>
            <w:top w:w="0" w:type="dxa"/>
            <w:left w:w="108" w:type="dxa"/>
            <w:bottom w:w="0" w:type="dxa"/>
            <w:right w:w="108" w:type="dxa"/>
          </w:tblCellMar>
        </w:tblPrEx>
        <w:trPr>
          <w:trHeight w:val="58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highlight w:val="none"/>
                <w:lang w:val="zh-CN" w:eastAsia="zh-CN"/>
              </w:rPr>
              <w:t>实验室设备采购</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详见清单及参数</w:t>
            </w:r>
            <w:r>
              <w:rPr>
                <w:rFonts w:hint="eastAsia" w:ascii="宋体" w:hAnsi="宋体" w:eastAsia="宋体" w:cs="宋体"/>
                <w:i w:val="0"/>
                <w:iCs w:val="0"/>
                <w:caps w:val="0"/>
                <w:color w:val="000000"/>
                <w:spacing w:val="0"/>
                <w:sz w:val="24"/>
                <w:szCs w:val="24"/>
                <w:highlight w:val="none"/>
                <w:lang w:eastAsia="zh-CN"/>
              </w:rPr>
              <w:t>）</w:t>
            </w:r>
          </w:p>
        </w:tc>
      </w:tr>
      <w:tr>
        <w:tblPrEx>
          <w:tblCellMar>
            <w:top w:w="0" w:type="dxa"/>
            <w:left w:w="108" w:type="dxa"/>
            <w:bottom w:w="0" w:type="dxa"/>
            <w:right w:w="108" w:type="dxa"/>
          </w:tblCellMar>
        </w:tblPrEx>
        <w:trPr>
          <w:trHeight w:val="52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最高限价</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2000000</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大写;贰佰万元整</w:t>
            </w:r>
            <w:r>
              <w:rPr>
                <w:rFonts w:hint="eastAsia" w:ascii="宋体" w:hAnsi="宋体" w:cs="宋体"/>
                <w:sz w:val="24"/>
                <w:szCs w:val="24"/>
                <w:lang w:val="en-US" w:eastAsia="zh-CN"/>
              </w:rPr>
              <w:t>。备注：</w:t>
            </w:r>
            <w:r>
              <w:rPr>
                <w:rFonts w:hint="eastAsia" w:ascii="宋体" w:hAnsi="宋体" w:eastAsia="宋体" w:cs="宋体"/>
                <w:i w:val="0"/>
                <w:iCs w:val="0"/>
                <w:caps w:val="0"/>
                <w:color w:val="000000"/>
                <w:spacing w:val="0"/>
                <w:sz w:val="24"/>
                <w:szCs w:val="24"/>
                <w:highlight w:val="none"/>
                <w:lang w:val="zh-CN" w:eastAsia="zh-CN"/>
              </w:rPr>
              <w:t>报价超过上限价（预算价）的其投标无效</w:t>
            </w:r>
          </w:p>
        </w:tc>
      </w:tr>
      <w:tr>
        <w:tblPrEx>
          <w:tblCellMar>
            <w:top w:w="0" w:type="dxa"/>
            <w:left w:w="108" w:type="dxa"/>
            <w:bottom w:w="0" w:type="dxa"/>
            <w:right w:w="108" w:type="dxa"/>
          </w:tblCellMar>
        </w:tblPrEx>
        <w:trPr>
          <w:trHeight w:val="57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lang w:val="en-US" w:eastAsia="zh-CN"/>
              </w:rPr>
            </w:pPr>
            <w:r>
              <w:rPr>
                <w:rFonts w:hint="eastAsia" w:ascii="宋体" w:hAnsi="宋体" w:eastAsia="宋体" w:cs="宋体"/>
                <w:sz w:val="24"/>
                <w:lang w:val="en-US" w:eastAsia="zh-CN"/>
              </w:rPr>
              <w:t>按照甲、乙双方约定并签订合同日期执行</w:t>
            </w:r>
          </w:p>
        </w:tc>
      </w:tr>
      <w:tr>
        <w:tblPrEx>
          <w:tblCellMar>
            <w:top w:w="0" w:type="dxa"/>
            <w:left w:w="108" w:type="dxa"/>
            <w:bottom w:w="0" w:type="dxa"/>
            <w:right w:w="108" w:type="dxa"/>
          </w:tblCellMar>
        </w:tblPrEx>
        <w:trPr>
          <w:trHeight w:val="62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lang w:val="en-US" w:eastAsia="zh-CN"/>
              </w:rPr>
            </w:pPr>
            <w:r>
              <w:rPr>
                <w:rFonts w:hint="eastAsia" w:ascii="宋体" w:hAnsi="宋体" w:eastAsia="宋体" w:cs="宋体"/>
                <w:sz w:val="24"/>
                <w:lang w:val="en-US" w:eastAsia="zh-CN"/>
              </w:rPr>
              <w:t>采购人指定地点</w:t>
            </w:r>
          </w:p>
        </w:tc>
      </w:tr>
      <w:tr>
        <w:tblPrEx>
          <w:tblCellMar>
            <w:top w:w="0" w:type="dxa"/>
            <w:left w:w="108" w:type="dxa"/>
            <w:bottom w:w="0" w:type="dxa"/>
            <w:right w:w="108" w:type="dxa"/>
          </w:tblCellMar>
        </w:tblPrEx>
        <w:trPr>
          <w:trHeight w:val="62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质保期</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cs="宋体"/>
                <w:sz w:val="24"/>
                <w:lang w:val="en-US" w:eastAsia="zh-CN"/>
              </w:rPr>
            </w:pPr>
            <w:r>
              <w:rPr>
                <w:rFonts w:hint="eastAsia" w:ascii="宋体" w:hAnsi="宋体" w:cs="宋体"/>
                <w:sz w:val="24"/>
                <w:lang w:val="en-US" w:eastAsia="zh-CN"/>
              </w:rPr>
              <w:t>一年</w:t>
            </w:r>
          </w:p>
        </w:tc>
      </w:tr>
      <w:tr>
        <w:tblPrEx>
          <w:tblCellMar>
            <w:top w:w="0" w:type="dxa"/>
            <w:left w:w="108" w:type="dxa"/>
            <w:bottom w:w="0" w:type="dxa"/>
            <w:right w:w="108" w:type="dxa"/>
          </w:tblCellMar>
        </w:tblPrEx>
        <w:trPr>
          <w:trHeight w:val="98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不接受</w:t>
            </w:r>
          </w:p>
          <w:p>
            <w:pPr>
              <w:spacing w:line="400" w:lineRule="exact"/>
              <w:rPr>
                <w:rFonts w:hint="eastAsia" w:ascii="宋体" w:hAnsi="宋体" w:eastAsia="宋体" w:cs="宋体"/>
                <w:sz w:val="24"/>
                <w:szCs w:val="24"/>
              </w:rPr>
            </w:pPr>
            <w:r>
              <w:rPr>
                <w:rFonts w:hint="eastAsia" w:ascii="宋体" w:hAnsi="宋体" w:eastAsia="宋体" w:cs="宋体"/>
                <w:sz w:val="24"/>
                <w:szCs w:val="24"/>
              </w:rPr>
              <w:t>□接受，应满足下列要求：</w:t>
            </w:r>
            <w:r>
              <w:rPr>
                <w:rFonts w:hint="eastAsia" w:ascii="宋体" w:hAnsi="宋体" w:eastAsia="宋体" w:cs="宋体"/>
                <w:sz w:val="24"/>
                <w:szCs w:val="24"/>
                <w:u w:val="single"/>
              </w:rPr>
              <w:t xml:space="preserve">           </w:t>
            </w:r>
          </w:p>
        </w:tc>
      </w:tr>
      <w:tr>
        <w:tblPrEx>
          <w:tblCellMar>
            <w:top w:w="0" w:type="dxa"/>
            <w:left w:w="108" w:type="dxa"/>
            <w:bottom w:w="0" w:type="dxa"/>
            <w:right w:w="108" w:type="dxa"/>
          </w:tblCellMar>
        </w:tblPrEx>
        <w:trPr>
          <w:trHeight w:val="51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zh-CN"/>
              </w:rPr>
            </w:pPr>
            <w:r>
              <w:rPr>
                <w:rFonts w:hint="eastAsia" w:ascii="宋体" w:hAnsi="宋体" w:eastAsia="宋体" w:cs="宋体"/>
                <w:sz w:val="24"/>
                <w:szCs w:val="24"/>
              </w:rPr>
              <w:t>自投标截止之日起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 天</w:t>
            </w:r>
            <w:r>
              <w:rPr>
                <w:rFonts w:hint="eastAsia" w:ascii="宋体" w:hAnsi="宋体" w:eastAsia="宋体" w:cs="宋体"/>
                <w:sz w:val="24"/>
                <w:szCs w:val="24"/>
              </w:rPr>
              <w:t>。</w:t>
            </w:r>
          </w:p>
        </w:tc>
      </w:tr>
      <w:tr>
        <w:tblPrEx>
          <w:tblCellMar>
            <w:top w:w="0" w:type="dxa"/>
            <w:left w:w="108" w:type="dxa"/>
            <w:bottom w:w="0" w:type="dxa"/>
            <w:right w:w="108" w:type="dxa"/>
          </w:tblCellMar>
        </w:tblPrEx>
        <w:trPr>
          <w:trHeight w:val="132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踏勘现场</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☑不组织，自行踏勘</w:t>
            </w:r>
          </w:p>
          <w:p>
            <w:pPr>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 组织，踏勘时间：</w:t>
            </w:r>
            <w:r>
              <w:rPr>
                <w:rFonts w:hint="eastAsia" w:ascii="宋体" w:hAnsi="宋体" w:eastAsia="宋体" w:cs="宋体"/>
                <w:sz w:val="24"/>
                <w:szCs w:val="24"/>
                <w:u w:val="single"/>
                <w:lang w:val="zh-CN"/>
              </w:rPr>
              <w:t xml:space="preserve">               </w:t>
            </w:r>
          </w:p>
          <w:p>
            <w:pPr>
              <w:tabs>
                <w:tab w:val="left" w:pos="7665"/>
              </w:tabs>
              <w:spacing w:line="400" w:lineRule="exact"/>
              <w:ind w:firstLine="1080" w:firstLineChars="450"/>
              <w:rPr>
                <w:rFonts w:hint="eastAsia" w:ascii="宋体" w:hAnsi="宋体" w:eastAsia="宋体" w:cs="宋体"/>
                <w:sz w:val="24"/>
                <w:szCs w:val="24"/>
                <w:lang w:val="zh-CN"/>
              </w:rPr>
            </w:pPr>
            <w:r>
              <w:rPr>
                <w:rFonts w:hint="eastAsia" w:ascii="宋体" w:hAnsi="宋体" w:eastAsia="宋体" w:cs="宋体"/>
                <w:sz w:val="24"/>
                <w:szCs w:val="24"/>
                <w:lang w:val="zh-CN"/>
              </w:rPr>
              <w:t>踏勘地点：</w:t>
            </w:r>
            <w:r>
              <w:rPr>
                <w:rFonts w:hint="eastAsia" w:ascii="宋体" w:hAnsi="宋体" w:eastAsia="宋体" w:cs="宋体"/>
                <w:sz w:val="24"/>
                <w:szCs w:val="24"/>
                <w:u w:val="single"/>
                <w:lang w:val="zh-CN"/>
              </w:rPr>
              <w:t xml:space="preserve">               </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sz w:val="24"/>
                <w:szCs w:val="24"/>
                <w:lang w:val="zh-CN"/>
              </w:rPr>
              <w:t>☑</w:t>
            </w:r>
            <w:r>
              <w:rPr>
                <w:rFonts w:hint="eastAsia" w:ascii="宋体" w:hAnsi="宋体" w:eastAsia="宋体" w:cs="宋体"/>
                <w:color w:val="auto"/>
                <w:sz w:val="24"/>
                <w:szCs w:val="24"/>
              </w:rPr>
              <w:t>不需要</w:t>
            </w:r>
          </w:p>
          <w:p>
            <w:pPr>
              <w:spacing w:line="400" w:lineRule="exact"/>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color w:val="auto"/>
                <w:sz w:val="24"/>
                <w:szCs w:val="24"/>
              </w:rPr>
              <w:t xml:space="preserve"> 需要，履约保证金的金额：中标合同金额的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%（履约保证金须以支票、汇票、本票或者金融机构、担保机构出具的保函等非现金形式提交）</w:t>
            </w:r>
          </w:p>
        </w:tc>
      </w:tr>
      <w:tr>
        <w:tblPrEx>
          <w:tblCellMar>
            <w:top w:w="0" w:type="dxa"/>
            <w:left w:w="108" w:type="dxa"/>
            <w:bottom w:w="0" w:type="dxa"/>
            <w:right w:w="108" w:type="dxa"/>
          </w:tblCellMar>
        </w:tblPrEx>
        <w:trPr>
          <w:trHeight w:val="105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采购代理服务费支付</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□由采购人支付</w:t>
            </w:r>
          </w:p>
          <w:p>
            <w:pPr>
              <w:spacing w:line="400" w:lineRule="exact"/>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☑由中标人支付</w:t>
            </w:r>
          </w:p>
        </w:tc>
      </w:tr>
      <w:tr>
        <w:tblPrEx>
          <w:tblCellMar>
            <w:top w:w="0" w:type="dxa"/>
            <w:left w:w="108" w:type="dxa"/>
            <w:bottom w:w="0" w:type="dxa"/>
            <w:right w:w="108" w:type="dxa"/>
          </w:tblCellMar>
        </w:tblPrEx>
        <w:trPr>
          <w:trHeight w:val="66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6</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构成招标文件的其他材料</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补充文件</w:t>
            </w:r>
          </w:p>
        </w:tc>
      </w:tr>
      <w:tr>
        <w:tblPrEx>
          <w:tblCellMar>
            <w:top w:w="0" w:type="dxa"/>
            <w:left w:w="108" w:type="dxa"/>
            <w:bottom w:w="0" w:type="dxa"/>
            <w:right w:w="108" w:type="dxa"/>
          </w:tblCellMar>
        </w:tblPrEx>
        <w:trPr>
          <w:trHeight w:val="91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rPr>
              <w:t>投标人确认收到招标文件澄清或修改的时间</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从补充文件发布时间开始48小时内</w:t>
            </w:r>
          </w:p>
        </w:tc>
      </w:tr>
      <w:tr>
        <w:tblPrEx>
          <w:tblCellMar>
            <w:top w:w="0" w:type="dxa"/>
            <w:left w:w="108" w:type="dxa"/>
            <w:bottom w:w="0" w:type="dxa"/>
            <w:right w:w="108" w:type="dxa"/>
          </w:tblCellMar>
        </w:tblPrEx>
        <w:trPr>
          <w:trHeight w:val="3019"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投标人资格条件</w:t>
            </w:r>
          </w:p>
        </w:tc>
        <w:tc>
          <w:tcPr>
            <w:tcW w:w="6273"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1.满足《中华人民共和国政府采购法》第二十二条规定：①具有独立承担民事责任的能力；</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②具有良好的商业信誉和健全的财务会计制度；</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③具有履行合同所必需的设备和专业技术能力；</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④有依法缴纳税收和社会保障资金的良好记录；</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⑤参加政府采购活动前三年内，在经营活动中没有重大违法记录；</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⑥法律、行政法规规定的其他条件。</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2.落实政府采购政策需满足的资格要求：（1）《新疆维吾尔自治区政府采购促进中小企业发展管理实施办法》（新财规〔2021〕6号）；（2）《财政部、司法部关于政府采购支持监狱企业发展有关问题的通知》（财库〔2014〕68号）；（3）财政部 生态环境部关于印发环境标志产品政府采购品目清单的通知（财库〔2019〕18号）；（4）《财政部 民政部 中国残疾人联合会关于促进残疾人就业政府采购政策的通知》财库〔2017〕141号；（5）《财政部 发展改革委 生态环境部 市场监管总局关于调整优化节能产品 环境标志产品政府采购执行机制的通知》（财库〔2019〕9号），投标产品遵照《关于印发节能产品政府采购品目清单的通知》（财库〔2019〕19号）相关规定执行；（6）执行国家规定的其他政府采购政策。</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3.本项目的特定资格要求：</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lang w:eastAsia="zh-CN"/>
              </w:rPr>
              <w:t>）法人代表或其委托代理人应提供本人身份证原件，委托代理人还应提供《法人代表授权委托书》原件；</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lang w:eastAsia="zh-CN"/>
              </w:rPr>
              <w:t>有效经年检的三证合一营业执照原件；</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highlight w:val="none"/>
                <w:lang w:eastAsia="zh-CN"/>
              </w:rPr>
              <w:t>有效的《医疗器械经营许可证》</w:t>
            </w:r>
            <w:r>
              <w:rPr>
                <w:rFonts w:hint="eastAsia" w:ascii="宋体" w:hAnsi="宋体" w:cs="宋体"/>
                <w:i w:val="0"/>
                <w:iCs w:val="0"/>
                <w:caps w:val="0"/>
                <w:color w:val="000000"/>
                <w:spacing w:val="0"/>
                <w:sz w:val="24"/>
                <w:szCs w:val="24"/>
                <w:highlight w:val="none"/>
                <w:lang w:eastAsia="zh-CN"/>
              </w:rPr>
              <w:t>或</w:t>
            </w:r>
            <w:r>
              <w:rPr>
                <w:rFonts w:hint="eastAsia" w:ascii="宋体" w:hAnsi="宋体" w:eastAsia="宋体" w:cs="宋体"/>
                <w:i w:val="0"/>
                <w:iCs w:val="0"/>
                <w:caps w:val="0"/>
                <w:color w:val="000000"/>
                <w:spacing w:val="0"/>
                <w:sz w:val="24"/>
                <w:szCs w:val="24"/>
                <w:highlight w:val="none"/>
                <w:lang w:eastAsia="zh-CN"/>
              </w:rPr>
              <w:t>《医疗器械生产许可证》原件；且具有第二类医疗器械备案凭证；</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lang w:eastAsia="zh-CN"/>
              </w:rPr>
              <w:t>）投标企业需提供</w:t>
            </w:r>
            <w:r>
              <w:rPr>
                <w:rFonts w:hint="eastAsia" w:ascii="宋体" w:hAnsi="宋体" w:eastAsia="宋体" w:cs="宋体"/>
                <w:i w:val="0"/>
                <w:iCs w:val="0"/>
                <w:caps w:val="0"/>
                <w:color w:val="000000"/>
                <w:spacing w:val="0"/>
                <w:sz w:val="24"/>
                <w:szCs w:val="24"/>
                <w:lang w:val="en-US" w:eastAsia="zh-CN"/>
              </w:rPr>
              <w:t>2019-2021</w:t>
            </w:r>
            <w:r>
              <w:rPr>
                <w:rFonts w:hint="eastAsia" w:ascii="宋体" w:hAnsi="宋体" w:eastAsia="宋体" w:cs="宋体"/>
                <w:i w:val="0"/>
                <w:iCs w:val="0"/>
                <w:caps w:val="0"/>
                <w:color w:val="000000"/>
                <w:spacing w:val="0"/>
                <w:sz w:val="24"/>
                <w:szCs w:val="24"/>
                <w:lang w:eastAsia="zh-CN"/>
              </w:rPr>
              <w:t>年度任一年财务审计报告（企业成立不足一年的，提供企业成立以来的财务报表）、提供完税证明及社保交纳证明。</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szCs w:val="21"/>
                <w:highlight w:val="none"/>
                <w:lang w:val="en-US" w:eastAsia="zh-CN"/>
              </w:rPr>
              <w:t>未被“信用中国”（</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"http://www.creditchina.gov.cn/" \h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www.creditchina.gov.cn</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）、中国政府采购网（</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"http://www.ccgp.gov.cn/" \h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www.ccgp.gov.cn</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）列入失信被执行人、重大税收违法案件当事人名单、政府采购严重违法失信行为记录名单</w:t>
            </w:r>
            <w:r>
              <w:rPr>
                <w:rFonts w:hint="eastAsia" w:ascii="宋体" w:hAnsi="宋体" w:eastAsia="宋体" w:cs="宋体"/>
                <w:i w:val="0"/>
                <w:iCs w:val="0"/>
                <w:caps w:val="0"/>
                <w:color w:val="000000"/>
                <w:spacing w:val="0"/>
                <w:sz w:val="24"/>
                <w:szCs w:val="24"/>
                <w:highlight w:val="none"/>
                <w:lang w:eastAsia="zh-CN"/>
              </w:rPr>
              <w:t>（查询时间为公告日期之后，投标人网上自行打印后加盖投标单位公章﹚；</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lang w:eastAsia="zh-CN"/>
              </w:rPr>
              <w:t>）相互关联存在实际控股、管理关系的两个企业，不得参加同一项目的投标；活动时间及地域范围内；</w:t>
            </w:r>
          </w:p>
          <w:p>
            <w:pPr>
              <w:pStyle w:val="25"/>
              <w:keepNext w:val="0"/>
              <w:keepLines w:val="0"/>
              <w:widowControl/>
              <w:suppressLineNumbers w:val="0"/>
              <w:spacing w:before="38" w:beforeAutospacing="0" w:after="38" w:afterAutospacing="0"/>
              <w:ind w:left="0" w:right="0" w:firstLine="420"/>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223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9</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是否允许递交备选</w:t>
            </w:r>
          </w:p>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投标方案</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☑不允许</w:t>
            </w:r>
          </w:p>
          <w:p>
            <w:pPr>
              <w:spacing w:line="400" w:lineRule="exact"/>
              <w:ind w:left="360" w:hanging="360" w:hangingChars="150"/>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□允许。要求：只有中标人所递交的备选投标方案方可予以考虑。评标委员会认为中标人的备选投标方案优于其按照招标文件要求的投标方案，采购人可以接受该备选投标方案。</w:t>
            </w:r>
          </w:p>
        </w:tc>
      </w:tr>
      <w:tr>
        <w:tblPrEx>
          <w:tblCellMar>
            <w:top w:w="0" w:type="dxa"/>
            <w:left w:w="108" w:type="dxa"/>
            <w:bottom w:w="0" w:type="dxa"/>
            <w:right w:w="108" w:type="dxa"/>
          </w:tblCellMar>
        </w:tblPrEx>
        <w:trPr>
          <w:trHeight w:val="104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投标报价的范围</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含税全包价，包括产品保险、运输、装卸、安装、调试、培训、验收等一切费用。</w:t>
            </w:r>
          </w:p>
        </w:tc>
      </w:tr>
      <w:tr>
        <w:tblPrEx>
          <w:tblCellMar>
            <w:top w:w="0" w:type="dxa"/>
            <w:left w:w="108" w:type="dxa"/>
            <w:bottom w:w="0" w:type="dxa"/>
            <w:right w:w="108" w:type="dxa"/>
          </w:tblCellMar>
        </w:tblPrEx>
        <w:trPr>
          <w:trHeight w:val="178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投标报价的次数</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本次投标报价为一次不得更改报价，投标人只有一次报价的机会。投标报价（即开标报价）不得有选择性报价和附有条件的报价，且不得高于预算金额（备注：设定最高限价的，本项内容改为最高限价）。</w:t>
            </w:r>
          </w:p>
        </w:tc>
      </w:tr>
      <w:tr>
        <w:tblPrEx>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样品</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jc w:val="left"/>
              <w:rPr>
                <w:rFonts w:hint="eastAsia" w:ascii="宋体" w:hAnsi="宋体" w:eastAsia="宋体" w:cs="宋体"/>
                <w:sz w:val="24"/>
                <w:szCs w:val="24"/>
                <w:lang w:val="zh-CN"/>
              </w:rPr>
            </w:pPr>
            <w:r>
              <w:rPr>
                <w:rFonts w:hint="eastAsia" w:ascii="宋体" w:hAnsi="宋体" w:eastAsia="宋体" w:cs="宋体"/>
                <w:sz w:val="24"/>
                <w:szCs w:val="24"/>
                <w:lang w:val="zh-CN"/>
              </w:rPr>
              <w:t>☑不需要</w:t>
            </w:r>
          </w:p>
          <w:p>
            <w:pPr>
              <w:spacing w:line="400" w:lineRule="exact"/>
              <w:ind w:left="360" w:hanging="360"/>
              <w:jc w:val="left"/>
              <w:rPr>
                <w:rFonts w:hint="eastAsia" w:ascii="宋体" w:hAnsi="宋体" w:eastAsia="宋体" w:cs="宋体"/>
                <w:sz w:val="24"/>
                <w:szCs w:val="24"/>
                <w:lang w:val="zh-CN"/>
              </w:rPr>
            </w:pPr>
            <w:r>
              <w:rPr>
                <w:rFonts w:hint="eastAsia" w:ascii="宋体" w:hAnsi="宋体" w:eastAsia="宋体" w:cs="宋体"/>
                <w:sz w:val="24"/>
                <w:szCs w:val="24"/>
                <w:lang w:val="zh-CN"/>
              </w:rPr>
              <w:t>□需要，样品要求如下：</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1.样品：招标文件中带“※”标注的货物为投标人开标时应提供的样品。</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2.样品的生产、安装、运输费、保全费等一切费用由投标人自理。</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3.送样截止时间：</w:t>
            </w:r>
            <w:r>
              <w:rPr>
                <w:rFonts w:hint="eastAsia" w:ascii="宋体" w:hAnsi="宋体" w:eastAsia="宋体" w:cs="宋体"/>
                <w:b w:val="0"/>
                <w:bCs w:val="0"/>
                <w:sz w:val="24"/>
                <w:szCs w:val="24"/>
                <w:u w:val="single"/>
                <w:lang w:val="en-US" w:eastAsia="zh-CN"/>
              </w:rPr>
              <w:t>/</w:t>
            </w:r>
            <w:r>
              <w:rPr>
                <w:rFonts w:hint="eastAsia" w:ascii="宋体" w:hAnsi="宋体" w:eastAsia="宋体" w:cs="宋体"/>
                <w:b w:val="0"/>
                <w:bCs w:val="0"/>
                <w:sz w:val="24"/>
                <w:szCs w:val="24"/>
                <w:lang w:val="zh-CN"/>
              </w:rPr>
              <w:t>年</w:t>
            </w:r>
            <w:r>
              <w:rPr>
                <w:rFonts w:hint="eastAsia" w:ascii="宋体" w:hAnsi="宋体" w:eastAsia="宋体" w:cs="宋体"/>
                <w:b w:val="0"/>
                <w:bCs w:val="0"/>
                <w:sz w:val="24"/>
                <w:szCs w:val="24"/>
                <w:u w:val="single"/>
                <w:lang w:val="en-US" w:eastAsia="zh-CN"/>
              </w:rPr>
              <w:t>/</w:t>
            </w:r>
            <w:r>
              <w:rPr>
                <w:rFonts w:hint="eastAsia" w:ascii="宋体" w:hAnsi="宋体" w:eastAsia="宋体" w:cs="宋体"/>
                <w:b w:val="0"/>
                <w:bCs w:val="0"/>
                <w:sz w:val="24"/>
                <w:szCs w:val="24"/>
                <w:lang w:val="zh-CN"/>
              </w:rPr>
              <w:t>月</w:t>
            </w:r>
            <w:r>
              <w:rPr>
                <w:rFonts w:hint="eastAsia" w:ascii="宋体" w:hAnsi="宋体" w:eastAsia="宋体" w:cs="宋体"/>
                <w:b w:val="0"/>
                <w:bCs w:val="0"/>
                <w:sz w:val="24"/>
                <w:szCs w:val="24"/>
                <w:u w:val="single"/>
                <w:lang w:val="en-US" w:eastAsia="zh-CN"/>
              </w:rPr>
              <w:t>/</w:t>
            </w:r>
            <w:r>
              <w:rPr>
                <w:rFonts w:hint="eastAsia" w:ascii="宋体" w:hAnsi="宋体" w:eastAsia="宋体" w:cs="宋体"/>
                <w:b w:val="0"/>
                <w:bCs w:val="0"/>
                <w:sz w:val="24"/>
                <w:szCs w:val="24"/>
                <w:lang w:val="zh-CN"/>
              </w:rPr>
              <w:t>日</w:t>
            </w:r>
            <w:r>
              <w:rPr>
                <w:rFonts w:hint="eastAsia" w:ascii="宋体" w:hAnsi="宋体" w:eastAsia="宋体" w:cs="宋体"/>
                <w:b w:val="0"/>
                <w:bCs w:val="0"/>
                <w:sz w:val="24"/>
                <w:szCs w:val="24"/>
                <w:lang w:val="en-US" w:eastAsia="zh-CN"/>
              </w:rPr>
              <w:t>下午</w:t>
            </w:r>
            <w:r>
              <w:rPr>
                <w:rFonts w:hint="eastAsia" w:ascii="宋体" w:hAnsi="宋体" w:eastAsia="宋体" w:cs="宋体"/>
                <w:b w:val="0"/>
                <w:bCs w:val="0"/>
                <w:sz w:val="24"/>
                <w:szCs w:val="24"/>
                <w:u w:val="single"/>
                <w:lang w:val="en-US" w:eastAsia="zh-CN"/>
              </w:rPr>
              <w:t>/</w:t>
            </w:r>
            <w:r>
              <w:rPr>
                <w:rFonts w:hint="eastAsia" w:ascii="宋体" w:hAnsi="宋体" w:eastAsia="宋体" w:cs="宋体"/>
                <w:b w:val="0"/>
                <w:bCs w:val="0"/>
                <w:sz w:val="24"/>
                <w:szCs w:val="24"/>
                <w:lang w:val="zh-CN"/>
              </w:rPr>
              <w:t>时</w:t>
            </w:r>
            <w:r>
              <w:rPr>
                <w:rFonts w:hint="eastAsia" w:ascii="宋体" w:hAnsi="宋体" w:eastAsia="宋体" w:cs="宋体"/>
                <w:b w:val="0"/>
                <w:bCs w:val="0"/>
                <w:sz w:val="24"/>
                <w:szCs w:val="24"/>
                <w:u w:val="single"/>
                <w:lang w:val="en-US" w:eastAsia="zh-CN"/>
              </w:rPr>
              <w:t>/</w:t>
            </w:r>
            <w:r>
              <w:rPr>
                <w:rFonts w:hint="eastAsia" w:ascii="宋体" w:hAnsi="宋体" w:eastAsia="宋体" w:cs="宋体"/>
                <w:b w:val="0"/>
                <w:bCs w:val="0"/>
                <w:sz w:val="24"/>
                <w:szCs w:val="24"/>
                <w:lang w:val="zh-CN"/>
              </w:rPr>
              <w:t>分。</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4.送样送达地点：阿克苏药品集散中心办公大楼（地址：温宿县长兴街15号）办公大楼一楼开标室。</w:t>
            </w:r>
            <w:r>
              <w:rPr>
                <w:rFonts w:hint="eastAsia" w:ascii="宋体" w:hAnsi="宋体" w:eastAsia="宋体" w:cs="宋体"/>
                <w:sz w:val="24"/>
                <w:szCs w:val="24"/>
              </w:rPr>
              <w:t>逾期送达或未送达到指定地点的拒绝接收</w:t>
            </w:r>
            <w:r>
              <w:rPr>
                <w:rFonts w:hint="eastAsia" w:ascii="宋体" w:hAnsi="宋体" w:eastAsia="宋体" w:cs="宋体"/>
                <w:sz w:val="24"/>
                <w:szCs w:val="24"/>
                <w:lang w:val="zh-CN"/>
              </w:rPr>
              <w:t>。</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5.投标人应按照采购代理机构的要求摆放样品并做好展示。</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6.若需要现场演示的，投标人应提前做好演示准备（包括电源线等一切辅助设备），届时因投标人自身原因未能演示的，后果自负。</w:t>
            </w:r>
          </w:p>
          <w:p>
            <w:pPr>
              <w:spacing w:line="4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7.宣布评标结果前，投标人不得将样品整理、装箱或者撤离展示区；遇到特殊情况需要对样品进行整理、装箱或者移动样品的，投标人必须书面提出申请，采购代理机构同意后方可移动样品。评标委员会已经确定投标人投标无效或者废标的，投标人签字确认后可以进行样品整理、装箱或者撤离展示区，但不得影响或者损害其他投标人的样品，否则将承担相应的法律责任。</w:t>
            </w:r>
          </w:p>
          <w:p>
            <w:pPr>
              <w:spacing w:line="4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8.宣布评标结果后，对于未中标人提供的样品，应当及时退还或者经未中标人同意后自行处理；对于中标人提供的样品，中标人与采购人、采购代理机构共同清点、检查和密封样品，由中标人送至采购人指定地点进行保管、封存，并作为履约验收的参考。</w:t>
            </w:r>
          </w:p>
          <w:p>
            <w:pPr>
              <w:spacing w:line="4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说明：投标人不按上述要求提交样品、不服从现场工作管理的，样品评分项将被扣分或按“0”分处理。</w:t>
            </w:r>
          </w:p>
        </w:tc>
      </w:tr>
      <w:tr>
        <w:tblPrEx>
          <w:tblCellMar>
            <w:top w:w="0" w:type="dxa"/>
            <w:left w:w="108" w:type="dxa"/>
            <w:bottom w:w="0" w:type="dxa"/>
            <w:right w:w="108" w:type="dxa"/>
          </w:tblCellMar>
        </w:tblPrEx>
        <w:trPr>
          <w:trHeight w:val="66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投标保证金的交纳</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投标文件编制装订</w:t>
            </w:r>
          </w:p>
        </w:tc>
        <w:tc>
          <w:tcPr>
            <w:tcW w:w="6273" w:type="dxa"/>
            <w:tcBorders>
              <w:top w:val="single" w:color="auto" w:sz="4" w:space="0"/>
              <w:left w:val="single" w:color="auto" w:sz="4" w:space="0"/>
              <w:bottom w:val="single" w:color="auto" w:sz="4" w:space="0"/>
              <w:right w:val="single" w:color="auto" w:sz="4" w:space="0"/>
            </w:tcBorders>
            <w:vAlign w:val="center"/>
          </w:tcPr>
          <w:p>
            <w:pPr>
              <w:pStyle w:val="78"/>
              <w:numPr>
                <w:ilvl w:val="0"/>
                <w:numId w:val="4"/>
              </w:numPr>
              <w:tabs>
                <w:tab w:val="left" w:pos="830"/>
              </w:tabs>
              <w:spacing w:before="80" w:after="0" w:line="312" w:lineRule="auto"/>
              <w:ind w:left="108" w:right="-29" w:firstLine="480"/>
              <w:jc w:val="left"/>
              <w:rPr>
                <w:sz w:val="24"/>
              </w:rPr>
            </w:pPr>
            <w:r>
              <w:rPr>
                <w:spacing w:val="-7"/>
                <w:sz w:val="24"/>
              </w:rPr>
              <w:t>本项目采用电子交易方式，供应商可前往新疆政府</w:t>
            </w:r>
            <w:r>
              <w:rPr>
                <w:spacing w:val="-37"/>
                <w:sz w:val="24"/>
              </w:rPr>
              <w:t>采购网</w:t>
            </w:r>
            <w:r>
              <w:fldChar w:fldCharType="begin"/>
            </w:r>
            <w:r>
              <w:instrText xml:space="preserve"> HYPERLINK "http://www.ccgp-xinjiang.gov.cn/" \h </w:instrText>
            </w:r>
            <w:r>
              <w:fldChar w:fldCharType="separate"/>
            </w:r>
            <w:r>
              <w:rPr>
                <w:spacing w:val="-3"/>
                <w:sz w:val="24"/>
              </w:rPr>
              <w:t>（http://www.ccgp-xinjiang.gov.cn/</w:t>
            </w:r>
            <w:r>
              <w:rPr>
                <w:spacing w:val="-3"/>
                <w:sz w:val="24"/>
              </w:rPr>
              <w:fldChar w:fldCharType="end"/>
            </w:r>
            <w:r>
              <w:rPr>
                <w:spacing w:val="-3"/>
                <w:sz w:val="24"/>
              </w:rPr>
              <w:t xml:space="preserve">）下载专区， </w:t>
            </w:r>
            <w:r>
              <w:rPr>
                <w:spacing w:val="-5"/>
                <w:sz w:val="24"/>
              </w:rPr>
              <w:t>下载</w:t>
            </w:r>
            <w:bookmarkStart w:id="202" w:name="_GoBack"/>
            <w:r>
              <w:rPr>
                <w:spacing w:val="-5"/>
                <w:sz w:val="24"/>
              </w:rPr>
              <w:t>政采云</w:t>
            </w:r>
            <w:bookmarkEnd w:id="202"/>
            <w:r>
              <w:rPr>
                <w:spacing w:val="-5"/>
                <w:sz w:val="24"/>
              </w:rPr>
              <w:t>电子投标客户端，安装完成后，可通过账号密</w:t>
            </w:r>
            <w:r>
              <w:rPr>
                <w:spacing w:val="-21"/>
                <w:sz w:val="24"/>
              </w:rPr>
              <w:t xml:space="preserve">码或 </w:t>
            </w:r>
            <w:r>
              <w:rPr>
                <w:sz w:val="24"/>
              </w:rPr>
              <w:t>CA</w:t>
            </w:r>
            <w:r>
              <w:rPr>
                <w:spacing w:val="-8"/>
                <w:sz w:val="24"/>
              </w:rPr>
              <w:t xml:space="preserve"> 登录客户端进行响应文件制作。在使用政采云电</w:t>
            </w:r>
            <w:r>
              <w:rPr>
                <w:spacing w:val="-12"/>
                <w:sz w:val="24"/>
              </w:rPr>
              <w:t xml:space="preserve">子投标客户端时，建议使用 </w:t>
            </w:r>
            <w:r>
              <w:rPr>
                <w:sz w:val="24"/>
              </w:rPr>
              <w:t>WIN7</w:t>
            </w:r>
            <w:r>
              <w:rPr>
                <w:spacing w:val="-8"/>
                <w:sz w:val="24"/>
              </w:rPr>
              <w:t xml:space="preserve"> 及以上操作系统。如有</w:t>
            </w:r>
            <w:r>
              <w:rPr>
                <w:spacing w:val="10"/>
                <w:sz w:val="24"/>
              </w:rPr>
              <w:t xml:space="preserve">问题可拨打政采云客户服务热线 </w:t>
            </w:r>
            <w:r>
              <w:rPr>
                <w:sz w:val="24"/>
              </w:rPr>
              <w:t>400-881-7190</w:t>
            </w:r>
            <w:r>
              <w:rPr>
                <w:spacing w:val="-3"/>
                <w:sz w:val="24"/>
              </w:rPr>
              <w:t xml:space="preserve"> 进行咨询。</w:t>
            </w:r>
          </w:p>
          <w:p>
            <w:pPr>
              <w:pStyle w:val="78"/>
              <w:numPr>
                <w:ilvl w:val="0"/>
                <w:numId w:val="4"/>
              </w:numPr>
              <w:tabs>
                <w:tab w:val="left" w:pos="830"/>
              </w:tabs>
              <w:spacing w:before="2" w:after="0" w:line="240" w:lineRule="auto"/>
              <w:ind w:left="829" w:right="0" w:hanging="242"/>
              <w:jc w:val="left"/>
              <w:rPr>
                <w:b/>
                <w:bCs/>
                <w:sz w:val="24"/>
              </w:rPr>
            </w:pPr>
            <w:r>
              <w:rPr>
                <w:b/>
                <w:bCs/>
                <w:sz w:val="24"/>
              </w:rPr>
              <w:t>投标文件分技术文件、商务文件。</w:t>
            </w:r>
          </w:p>
          <w:p>
            <w:pPr>
              <w:pStyle w:val="78"/>
              <w:numPr>
                <w:ilvl w:val="0"/>
                <w:numId w:val="4"/>
              </w:numPr>
              <w:tabs>
                <w:tab w:val="left" w:pos="830"/>
              </w:tabs>
              <w:spacing w:before="94" w:after="0" w:line="312" w:lineRule="auto"/>
              <w:ind w:left="108" w:right="96" w:firstLine="480"/>
              <w:jc w:val="both"/>
              <w:rPr>
                <w:sz w:val="24"/>
              </w:rPr>
            </w:pPr>
            <w:r>
              <w:rPr>
                <w:spacing w:val="-10"/>
                <w:sz w:val="24"/>
              </w:rPr>
              <w:t>投标文件内容。投标人应按照招标文件的要求编写投标文件；对招标文件要求填写的表格或者资料不得缺少</w:t>
            </w:r>
            <w:r>
              <w:rPr>
                <w:sz w:val="24"/>
              </w:rPr>
              <w:t>或者留空，投标文件不得加行。</w:t>
            </w:r>
          </w:p>
          <w:p>
            <w:pPr>
              <w:pStyle w:val="78"/>
              <w:numPr>
                <w:ilvl w:val="0"/>
                <w:numId w:val="4"/>
              </w:numPr>
              <w:tabs>
                <w:tab w:val="left" w:pos="830"/>
              </w:tabs>
              <w:spacing w:before="0" w:after="0" w:line="312" w:lineRule="auto"/>
              <w:ind w:left="108" w:right="24" w:firstLine="480"/>
              <w:jc w:val="left"/>
              <w:rPr>
                <w:sz w:val="24"/>
              </w:rPr>
            </w:pPr>
            <w:r>
              <w:rPr>
                <w:spacing w:val="-1"/>
                <w:sz w:val="24"/>
              </w:rPr>
              <w:t xml:space="preserve">投标文件应编制目录，目录、内容标注连续页码， </w:t>
            </w:r>
            <w:r>
              <w:rPr>
                <w:sz w:val="24"/>
              </w:rPr>
              <w:t>页码从目录编起，标注于页面底部居中位置。</w:t>
            </w:r>
          </w:p>
          <w:p>
            <w:pPr>
              <w:spacing w:line="400" w:lineRule="exact"/>
              <w:ind w:firstLine="480" w:firstLineChars="200"/>
              <w:jc w:val="left"/>
              <w:rPr>
                <w:rFonts w:hint="eastAsia" w:ascii="宋体" w:hAnsi="宋体" w:eastAsia="宋体" w:cs="宋体"/>
                <w:sz w:val="24"/>
                <w:szCs w:val="24"/>
                <w:lang w:val="zh-CN"/>
              </w:rPr>
            </w:pPr>
            <w:r>
              <w:rPr>
                <w:sz w:val="24"/>
              </w:rPr>
              <w:t>供应商中标后应按要求提供纸质响应文件。</w:t>
            </w:r>
          </w:p>
        </w:tc>
      </w:tr>
      <w:tr>
        <w:tblPrEx>
          <w:tblCellMar>
            <w:top w:w="0" w:type="dxa"/>
            <w:left w:w="108" w:type="dxa"/>
            <w:bottom w:w="0" w:type="dxa"/>
            <w:right w:w="108" w:type="dxa"/>
          </w:tblCellMar>
        </w:tblPrEx>
        <w:trPr>
          <w:trHeight w:val="461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投标文件签署和盖章</w:t>
            </w:r>
          </w:p>
        </w:tc>
        <w:tc>
          <w:tcPr>
            <w:tcW w:w="6273" w:type="dxa"/>
            <w:tcBorders>
              <w:top w:val="single" w:color="auto" w:sz="4" w:space="0"/>
              <w:left w:val="single" w:color="auto" w:sz="4" w:space="0"/>
              <w:bottom w:val="single" w:color="auto" w:sz="4" w:space="0"/>
              <w:right w:val="single" w:color="auto" w:sz="4" w:space="0"/>
            </w:tcBorders>
            <w:vAlign w:val="center"/>
          </w:tcPr>
          <w:p>
            <w:pPr>
              <w:pStyle w:val="78"/>
              <w:numPr>
                <w:ilvl w:val="0"/>
                <w:numId w:val="5"/>
              </w:numPr>
              <w:tabs>
                <w:tab w:val="left" w:pos="836"/>
              </w:tabs>
              <w:spacing w:before="81" w:after="0" w:line="312" w:lineRule="auto"/>
              <w:ind w:left="108" w:right="96" w:firstLine="480"/>
              <w:jc w:val="both"/>
              <w:rPr>
                <w:b/>
                <w:bCs/>
                <w:sz w:val="24"/>
              </w:rPr>
            </w:pPr>
            <w:r>
              <w:rPr>
                <w:spacing w:val="6"/>
                <w:sz w:val="24"/>
              </w:rPr>
              <w:t>招标文件要求投标人法定代表人或者被授权代表</w:t>
            </w:r>
            <w:r>
              <w:rPr>
                <w:spacing w:val="-7"/>
                <w:sz w:val="24"/>
              </w:rPr>
              <w:t>签字处，</w:t>
            </w:r>
            <w:r>
              <w:rPr>
                <w:b w:val="0"/>
                <w:bCs w:val="0"/>
                <w:spacing w:val="-7"/>
                <w:sz w:val="24"/>
                <w:highlight w:val="none"/>
              </w:rPr>
              <w:t>均须加盖其个人电子印章，并逐页加盖单位公章</w:t>
            </w:r>
            <w:r>
              <w:rPr>
                <w:b w:val="0"/>
                <w:bCs w:val="0"/>
                <w:sz w:val="24"/>
                <w:highlight w:val="none"/>
              </w:rPr>
              <w:t>的电子印章。</w:t>
            </w:r>
          </w:p>
          <w:p>
            <w:pPr>
              <w:pStyle w:val="78"/>
              <w:numPr>
                <w:ilvl w:val="0"/>
                <w:numId w:val="5"/>
              </w:numPr>
              <w:tabs>
                <w:tab w:val="left" w:pos="830"/>
              </w:tabs>
              <w:spacing w:before="1" w:after="0" w:line="312" w:lineRule="auto"/>
              <w:ind w:left="108" w:right="96" w:firstLine="480"/>
              <w:jc w:val="left"/>
              <w:rPr>
                <w:sz w:val="24"/>
              </w:rPr>
            </w:pPr>
            <w:r>
              <w:rPr>
                <w:spacing w:val="-9"/>
                <w:sz w:val="24"/>
              </w:rPr>
              <w:t>被授权代表人签章的，投标文件应附法人授权委托</w:t>
            </w:r>
            <w:r>
              <w:rPr>
                <w:sz w:val="24"/>
              </w:rPr>
              <w:t>书。</w:t>
            </w:r>
          </w:p>
          <w:p>
            <w:pPr>
              <w:pStyle w:val="78"/>
              <w:numPr>
                <w:ilvl w:val="0"/>
                <w:numId w:val="5"/>
              </w:numPr>
              <w:tabs>
                <w:tab w:val="left" w:pos="836"/>
              </w:tabs>
              <w:spacing w:before="0" w:after="0" w:line="312" w:lineRule="auto"/>
              <w:ind w:left="108" w:right="96" w:firstLine="480"/>
              <w:jc w:val="both"/>
              <w:rPr>
                <w:sz w:val="24"/>
              </w:rPr>
            </w:pPr>
            <w:r>
              <w:rPr>
                <w:spacing w:val="6"/>
                <w:sz w:val="24"/>
              </w:rPr>
              <w:t>投标人在投标文件以及相关书面文件中的单位盖</w:t>
            </w:r>
            <w:r>
              <w:rPr>
                <w:spacing w:val="-24"/>
                <w:sz w:val="24"/>
              </w:rPr>
              <w:t>章</w:t>
            </w:r>
            <w:r>
              <w:rPr>
                <w:sz w:val="24"/>
              </w:rPr>
              <w:t>（</w:t>
            </w:r>
            <w:r>
              <w:rPr>
                <w:spacing w:val="-5"/>
                <w:sz w:val="24"/>
              </w:rPr>
              <w:t>包括印章、公章等</w:t>
            </w:r>
            <w:r>
              <w:rPr>
                <w:spacing w:val="-24"/>
                <w:sz w:val="24"/>
              </w:rPr>
              <w:t>）</w:t>
            </w:r>
            <w:r>
              <w:rPr>
                <w:spacing w:val="-2"/>
                <w:sz w:val="24"/>
              </w:rPr>
              <w:t>均指与投标人名称全称相一致的</w:t>
            </w:r>
            <w:r>
              <w:rPr>
                <w:spacing w:val="-4"/>
                <w:sz w:val="24"/>
              </w:rPr>
              <w:t>标准公章，不得使用其他形式</w:t>
            </w:r>
            <w:r>
              <w:rPr>
                <w:sz w:val="24"/>
              </w:rPr>
              <w:t>（</w:t>
            </w:r>
            <w:r>
              <w:rPr>
                <w:spacing w:val="-9"/>
                <w:sz w:val="24"/>
              </w:rPr>
              <w:t>如带有“专用章”、“合</w:t>
            </w:r>
          </w:p>
          <w:p>
            <w:pPr>
              <w:spacing w:line="400" w:lineRule="exact"/>
              <w:ind w:firstLine="480" w:firstLineChars="200"/>
              <w:jc w:val="left"/>
              <w:rPr>
                <w:rFonts w:hint="eastAsia" w:ascii="宋体" w:hAnsi="宋体" w:eastAsia="宋体" w:cs="宋体"/>
                <w:sz w:val="24"/>
                <w:szCs w:val="24"/>
                <w:lang w:val="zh-CN"/>
              </w:rPr>
            </w:pPr>
            <w:r>
              <w:rPr>
                <w:sz w:val="24"/>
              </w:rPr>
              <w:t>同章”、“财务章”、“业务章”等）的印章。</w:t>
            </w:r>
          </w:p>
        </w:tc>
      </w:tr>
      <w:tr>
        <w:tblPrEx>
          <w:tblCellMar>
            <w:top w:w="0" w:type="dxa"/>
            <w:left w:w="108" w:type="dxa"/>
            <w:bottom w:w="0" w:type="dxa"/>
            <w:right w:w="108" w:type="dxa"/>
          </w:tblCellMar>
        </w:tblPrEx>
        <w:trPr>
          <w:trHeight w:val="218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6</w:t>
            </w:r>
          </w:p>
        </w:tc>
        <w:tc>
          <w:tcPr>
            <w:tcW w:w="2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eastAsia="宋体" w:cs="宋体"/>
                <w:sz w:val="24"/>
                <w:szCs w:val="24"/>
                <w:lang w:val="zh-CN"/>
              </w:rPr>
            </w:pPr>
            <w:r>
              <w:rPr>
                <w:sz w:val="24"/>
              </w:rPr>
              <w:t>投标文件加密、上传</w:t>
            </w:r>
          </w:p>
        </w:tc>
        <w:tc>
          <w:tcPr>
            <w:tcW w:w="6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投标文件应按</w:t>
            </w:r>
            <w:r>
              <w:rPr>
                <w:rFonts w:hint="eastAsia" w:ascii="宋体" w:hAnsi="宋体" w:eastAsia="宋体" w:cs="宋体"/>
                <w:sz w:val="24"/>
                <w:szCs w:val="24"/>
                <w:lang w:val="en-US" w:eastAsia="zh-CN"/>
              </w:rPr>
              <w:t>商务文件和技术文件</w:t>
            </w:r>
            <w:r>
              <w:rPr>
                <w:rFonts w:hint="eastAsia" w:ascii="宋体" w:hAnsi="宋体" w:eastAsia="宋体" w:cs="宋体"/>
                <w:sz w:val="24"/>
                <w:szCs w:val="24"/>
                <w:lang w:val="zh-CN"/>
              </w:rPr>
              <w:t>进行编制：</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zh-CN"/>
              </w:rPr>
              <w:t>投标文件正本</w:t>
            </w:r>
            <w:r>
              <w:rPr>
                <w:rFonts w:hint="eastAsia" w:ascii="宋体" w:hAnsi="宋体" w:eastAsia="宋体" w:cs="宋体"/>
                <w:sz w:val="24"/>
                <w:szCs w:val="24"/>
                <w:u w:val="single"/>
                <w:lang w:val="zh-CN"/>
              </w:rPr>
              <w:t>壹</w:t>
            </w:r>
            <w:r>
              <w:rPr>
                <w:rFonts w:hint="eastAsia" w:ascii="宋体" w:hAnsi="宋体" w:eastAsia="宋体" w:cs="宋体"/>
                <w:sz w:val="24"/>
                <w:szCs w:val="24"/>
                <w:lang w:val="zh-CN"/>
              </w:rPr>
              <w:t>份，副本</w:t>
            </w:r>
            <w:r>
              <w:rPr>
                <w:rFonts w:hint="eastAsia" w:ascii="宋体" w:hAnsi="宋体" w:eastAsia="宋体" w:cs="宋体"/>
                <w:sz w:val="24"/>
                <w:szCs w:val="24"/>
                <w:u w:val="single"/>
                <w:lang w:val="zh-CN"/>
              </w:rPr>
              <w:t xml:space="preserve"> 叁 </w:t>
            </w:r>
            <w:r>
              <w:rPr>
                <w:rFonts w:hint="eastAsia" w:ascii="宋体" w:hAnsi="宋体" w:eastAsia="宋体" w:cs="宋体"/>
                <w:sz w:val="24"/>
                <w:szCs w:val="24"/>
                <w:lang w:val="zh-CN"/>
              </w:rPr>
              <w:t>份，</w:t>
            </w:r>
            <w:r>
              <w:rPr>
                <w:rFonts w:hint="eastAsia" w:ascii="宋体" w:hAnsi="宋体" w:eastAsia="宋体" w:cs="宋体"/>
                <w:sz w:val="24"/>
                <w:szCs w:val="24"/>
                <w:lang w:val="en-US" w:eastAsia="zh-CN"/>
              </w:rPr>
              <w:t>电子版1份。</w:t>
            </w:r>
            <w:r>
              <w:rPr>
                <w:rFonts w:hint="eastAsia" w:ascii="宋体" w:hAnsi="宋体" w:eastAsia="宋体" w:cs="宋体"/>
                <w:sz w:val="24"/>
                <w:szCs w:val="24"/>
                <w:lang w:val="zh-CN"/>
              </w:rPr>
              <w:t>正本和副本的封面上应当清楚地标记“正本”或者“副本”字样；正本和副本不一致时，以正本为准。</w:t>
            </w:r>
            <w:r>
              <w:rPr>
                <w:rFonts w:hint="eastAsia" w:ascii="宋体" w:hAnsi="宋体" w:eastAsia="宋体" w:cs="宋体"/>
                <w:sz w:val="24"/>
                <w:szCs w:val="24"/>
                <w:lang w:val="en-US" w:eastAsia="zh-CN"/>
              </w:rPr>
              <w:t>电子版为签字盖章后的正本扫描件，格式为PDF。</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4、供应商在开标时须携带制作加密电子响应文件所使用的CA锁，电脑须提前配置好浏览器（建议使用360浏览器或谷歌浏览器），以便开标时在线解密。</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spacing w:line="40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6、评标结束后，各投标单位须在一周内按招标文件要求将纸质版投标文件递交至招标代理处（所产生的的费用投标单位自理）。纸质版投标文件可通过加密电子版投标文件打印生成，应当与电子版投标文件一致</w:t>
            </w:r>
            <w:r>
              <w:rPr>
                <w:rFonts w:hint="eastAsia" w:ascii="宋体" w:hAnsi="宋体" w:eastAsia="宋体" w:cs="宋体"/>
                <w:sz w:val="24"/>
                <w:szCs w:val="24"/>
                <w:lang w:val="en-US" w:eastAsia="zh-CN"/>
              </w:rPr>
              <w:t>。</w:t>
            </w:r>
          </w:p>
          <w:p>
            <w:pPr>
              <w:spacing w:line="400" w:lineRule="exact"/>
              <w:ind w:firstLine="480" w:firstLineChars="200"/>
              <w:jc w:val="left"/>
              <w:rPr>
                <w:rFonts w:hint="eastAsia" w:ascii="宋体" w:hAnsi="宋体" w:eastAsia="宋体" w:cs="宋体"/>
                <w:sz w:val="24"/>
                <w:szCs w:val="24"/>
                <w:lang w:val="en-US" w:eastAsia="zh-CN"/>
              </w:rPr>
            </w:pPr>
          </w:p>
        </w:tc>
      </w:tr>
      <w:tr>
        <w:tblPrEx>
          <w:tblCellMar>
            <w:top w:w="0" w:type="dxa"/>
            <w:left w:w="108" w:type="dxa"/>
            <w:bottom w:w="0" w:type="dxa"/>
            <w:right w:w="108" w:type="dxa"/>
          </w:tblCellMar>
        </w:tblPrEx>
        <w:trPr>
          <w:trHeight w:val="7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p>
        </w:tc>
        <w:tc>
          <w:tcPr>
            <w:tcW w:w="2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eastAsia="宋体" w:cs="宋体"/>
                <w:sz w:val="24"/>
                <w:szCs w:val="24"/>
                <w:highlight w:val="none"/>
                <w:lang w:val="zh-CN"/>
              </w:rPr>
            </w:pPr>
            <w:r>
              <w:rPr>
                <w:sz w:val="24"/>
              </w:rPr>
              <w:t>投标人签到及电子投标文件解密</w:t>
            </w:r>
          </w:p>
        </w:tc>
        <w:tc>
          <w:tcPr>
            <w:tcW w:w="6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80" w:firstLineChars="200"/>
              <w:jc w:val="lef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投标人登录政采云平台，在投标截止时间前必须完成签到，（本项目解密时长为：30 分钟，签名时长为：10 分钟）开标时间后 30 分钟内（用“项目采购- 开标评标” 功能进行解密投标文件。若投标人在规定时间内未按时签到或解密的，视为无效投标。解密与加密投标文件须为同</w:t>
            </w:r>
          </w:p>
          <w:p>
            <w:pPr>
              <w:spacing w:line="400" w:lineRule="exact"/>
              <w:ind w:firstLine="480" w:firstLineChars="20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lang w:val="zh-CN" w:eastAsia="zh-CN"/>
              </w:rPr>
              <w:t>一个 CA。</w:t>
            </w:r>
          </w:p>
        </w:tc>
      </w:tr>
      <w:tr>
        <w:tblPrEx>
          <w:tblCellMar>
            <w:top w:w="0" w:type="dxa"/>
            <w:left w:w="108" w:type="dxa"/>
            <w:bottom w:w="0" w:type="dxa"/>
            <w:right w:w="108" w:type="dxa"/>
          </w:tblCellMar>
        </w:tblPrEx>
        <w:trPr>
          <w:trHeight w:val="97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8</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b/>
                <w:bCs/>
                <w:sz w:val="24"/>
                <w:szCs w:val="24"/>
              </w:rPr>
              <w:t>递交投标文件截止时间及地点</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时间：</w:t>
            </w:r>
            <w:r>
              <w:rPr>
                <w:rFonts w:hint="eastAsia" w:ascii="宋体" w:hAnsi="宋体" w:eastAsia="宋体" w:cs="宋体"/>
                <w:b/>
                <w:bCs/>
                <w:sz w:val="24"/>
                <w:szCs w:val="24"/>
                <w:highlight w:val="none"/>
                <w:u w:val="single"/>
                <w:lang w:val="zh-CN"/>
              </w:rPr>
              <w:t>20</w:t>
            </w:r>
            <w:r>
              <w:rPr>
                <w:rFonts w:hint="eastAsia" w:ascii="宋体" w:hAnsi="宋体" w:eastAsia="宋体" w:cs="宋体"/>
                <w:b/>
                <w:bCs/>
                <w:sz w:val="24"/>
                <w:szCs w:val="24"/>
                <w:highlight w:val="none"/>
                <w:u w:val="single"/>
                <w:lang w:val="en-US" w:eastAsia="zh-CN"/>
              </w:rPr>
              <w:t>22</w:t>
            </w:r>
            <w:r>
              <w:rPr>
                <w:rFonts w:hint="eastAsia" w:ascii="宋体" w:hAnsi="宋体" w:eastAsia="宋体" w:cs="宋体"/>
                <w:b/>
                <w:bCs/>
                <w:sz w:val="24"/>
                <w:szCs w:val="24"/>
                <w:highlight w:val="none"/>
                <w:lang w:val="zh-CN"/>
              </w:rPr>
              <w:t>年</w:t>
            </w:r>
            <w:r>
              <w:rPr>
                <w:rFonts w:hint="eastAsia" w:ascii="宋体" w:hAnsi="宋体" w:eastAsia="宋体" w:cs="宋体"/>
                <w:b/>
                <w:bCs/>
                <w:sz w:val="24"/>
                <w:szCs w:val="24"/>
                <w:highlight w:val="none"/>
                <w:u w:val="single"/>
                <w:lang w:val="en-US" w:eastAsia="zh-CN"/>
              </w:rPr>
              <w:t>06月20日</w:t>
            </w:r>
            <w:r>
              <w:rPr>
                <w:rFonts w:hint="eastAsia" w:ascii="宋体" w:hAnsi="宋体" w:cs="宋体"/>
                <w:b/>
                <w:bCs/>
                <w:sz w:val="24"/>
                <w:szCs w:val="24"/>
                <w:highlight w:val="none"/>
                <w:lang w:val="en-US" w:eastAsia="zh-CN"/>
              </w:rPr>
              <w:t>下</w:t>
            </w:r>
            <w:r>
              <w:rPr>
                <w:rFonts w:hint="eastAsia" w:ascii="宋体" w:hAnsi="宋体" w:eastAsia="宋体" w:cs="宋体"/>
                <w:b/>
                <w:bCs/>
                <w:sz w:val="24"/>
                <w:szCs w:val="24"/>
                <w:highlight w:val="none"/>
                <w:lang w:val="en-US" w:eastAsia="zh-CN"/>
              </w:rPr>
              <w:t>午</w:t>
            </w:r>
            <w:r>
              <w:rPr>
                <w:rFonts w:hint="eastAsia" w:ascii="宋体" w:hAnsi="宋体" w:cs="宋体"/>
                <w:b/>
                <w:bCs/>
                <w:sz w:val="24"/>
                <w:szCs w:val="24"/>
                <w:highlight w:val="none"/>
                <w:u w:val="single"/>
                <w:lang w:val="en-US" w:eastAsia="zh-CN"/>
              </w:rPr>
              <w:t>16</w:t>
            </w:r>
            <w:r>
              <w:rPr>
                <w:rFonts w:hint="eastAsia" w:ascii="宋体" w:hAnsi="宋体" w:eastAsia="宋体" w:cs="宋体"/>
                <w:b/>
                <w:bCs/>
                <w:sz w:val="24"/>
                <w:szCs w:val="24"/>
                <w:highlight w:val="none"/>
                <w:lang w:val="zh-CN"/>
              </w:rPr>
              <w:t>时</w:t>
            </w:r>
            <w:r>
              <w:rPr>
                <w:rFonts w:hint="eastAsia" w:ascii="宋体" w:hAnsi="宋体" w:cs="宋体"/>
                <w:b/>
                <w:bCs/>
                <w:sz w:val="24"/>
                <w:szCs w:val="24"/>
                <w:highlight w:val="none"/>
                <w:u w:val="single"/>
                <w:lang w:val="en-US" w:eastAsia="zh-CN"/>
              </w:rPr>
              <w:t>3</w:t>
            </w:r>
            <w:r>
              <w:rPr>
                <w:rFonts w:hint="eastAsia" w:ascii="宋体" w:hAnsi="宋体" w:eastAsia="宋体" w:cs="宋体"/>
                <w:b/>
                <w:bCs/>
                <w:sz w:val="24"/>
                <w:szCs w:val="24"/>
                <w:highlight w:val="none"/>
                <w:u w:val="single"/>
                <w:lang w:val="en-US" w:eastAsia="zh-CN"/>
              </w:rPr>
              <w:t>0</w:t>
            </w:r>
            <w:r>
              <w:rPr>
                <w:rFonts w:hint="eastAsia" w:ascii="宋体" w:hAnsi="宋体" w:eastAsia="宋体" w:cs="宋体"/>
                <w:b/>
                <w:bCs/>
                <w:sz w:val="24"/>
                <w:szCs w:val="24"/>
                <w:highlight w:val="none"/>
                <w:lang w:val="zh-CN"/>
              </w:rPr>
              <w:t>分</w:t>
            </w:r>
            <w:r>
              <w:rPr>
                <w:rFonts w:hint="eastAsia" w:ascii="宋体" w:hAnsi="宋体" w:cs="宋体"/>
                <w:b/>
                <w:bCs/>
                <w:sz w:val="24"/>
                <w:szCs w:val="24"/>
                <w:highlight w:val="none"/>
                <w:lang w:val="zh-CN"/>
              </w:rPr>
              <w:t>（北京时间）</w:t>
            </w:r>
          </w:p>
          <w:p>
            <w:pPr>
              <w:spacing w:line="400" w:lineRule="exact"/>
              <w:ind w:left="360" w:hanging="360"/>
              <w:jc w:val="left"/>
              <w:rPr>
                <w:rFonts w:hint="eastAsia" w:ascii="宋体" w:hAnsi="宋体" w:eastAsia="宋体" w:cs="宋体"/>
                <w:b/>
                <w:color w:val="auto"/>
                <w:sz w:val="24"/>
                <w:highlight w:val="none"/>
                <w:lang w:val="zh-CN"/>
              </w:rPr>
            </w:pPr>
            <w:r>
              <w:rPr>
                <w:rFonts w:hint="eastAsia" w:ascii="宋体" w:hAnsi="宋体" w:eastAsia="宋体" w:cs="宋体"/>
                <w:b/>
                <w:bCs/>
                <w:sz w:val="24"/>
                <w:szCs w:val="24"/>
                <w:highlight w:val="none"/>
                <w:lang w:val="zh-CN"/>
              </w:rPr>
              <w:t>地点：政采云一站式政府采购云平台</w:t>
            </w:r>
          </w:p>
        </w:tc>
      </w:tr>
      <w:tr>
        <w:tblPrEx>
          <w:tblCellMar>
            <w:top w:w="0" w:type="dxa"/>
            <w:left w:w="108" w:type="dxa"/>
            <w:bottom w:w="0" w:type="dxa"/>
            <w:right w:w="108" w:type="dxa"/>
          </w:tblCellMar>
        </w:tblPrEx>
        <w:trPr>
          <w:trHeight w:val="140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9</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开标时间及地点</w:t>
            </w:r>
          </w:p>
        </w:tc>
        <w:tc>
          <w:tcPr>
            <w:tcW w:w="627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时间：</w:t>
            </w:r>
            <w:r>
              <w:rPr>
                <w:rFonts w:hint="eastAsia" w:ascii="宋体" w:hAnsi="宋体" w:eastAsia="宋体" w:cs="宋体"/>
                <w:b/>
                <w:bCs/>
                <w:sz w:val="24"/>
                <w:szCs w:val="24"/>
                <w:highlight w:val="none"/>
                <w:u w:val="single"/>
                <w:lang w:val="zh-CN"/>
              </w:rPr>
              <w:t>20</w:t>
            </w:r>
            <w:r>
              <w:rPr>
                <w:rFonts w:hint="eastAsia" w:ascii="宋体" w:hAnsi="宋体" w:eastAsia="宋体" w:cs="宋体"/>
                <w:b/>
                <w:bCs/>
                <w:sz w:val="24"/>
                <w:szCs w:val="24"/>
                <w:highlight w:val="none"/>
                <w:u w:val="single"/>
                <w:lang w:val="en-US" w:eastAsia="zh-CN"/>
              </w:rPr>
              <w:t>22</w:t>
            </w:r>
            <w:r>
              <w:rPr>
                <w:rFonts w:hint="eastAsia" w:ascii="宋体" w:hAnsi="宋体" w:eastAsia="宋体" w:cs="宋体"/>
                <w:b/>
                <w:bCs/>
                <w:sz w:val="24"/>
                <w:szCs w:val="24"/>
                <w:highlight w:val="none"/>
                <w:lang w:val="zh-CN"/>
              </w:rPr>
              <w:t>年</w:t>
            </w:r>
            <w:r>
              <w:rPr>
                <w:rFonts w:hint="eastAsia" w:ascii="宋体" w:hAnsi="宋体" w:eastAsia="宋体" w:cs="宋体"/>
                <w:b/>
                <w:bCs/>
                <w:sz w:val="24"/>
                <w:szCs w:val="24"/>
                <w:highlight w:val="none"/>
                <w:u w:val="single"/>
                <w:lang w:val="en-US" w:eastAsia="zh-CN"/>
              </w:rPr>
              <w:t>06月20日</w:t>
            </w:r>
            <w:r>
              <w:rPr>
                <w:rFonts w:hint="eastAsia" w:ascii="宋体" w:hAnsi="宋体" w:cs="宋体"/>
                <w:b/>
                <w:bCs/>
                <w:sz w:val="24"/>
                <w:szCs w:val="24"/>
                <w:highlight w:val="none"/>
                <w:lang w:val="en-US" w:eastAsia="zh-CN"/>
              </w:rPr>
              <w:t>下</w:t>
            </w:r>
            <w:r>
              <w:rPr>
                <w:rFonts w:hint="eastAsia" w:ascii="宋体" w:hAnsi="宋体" w:eastAsia="宋体" w:cs="宋体"/>
                <w:b/>
                <w:bCs/>
                <w:sz w:val="24"/>
                <w:szCs w:val="24"/>
                <w:highlight w:val="none"/>
                <w:lang w:val="en-US" w:eastAsia="zh-CN"/>
              </w:rPr>
              <w:t>午</w:t>
            </w:r>
            <w:r>
              <w:rPr>
                <w:rFonts w:hint="eastAsia" w:ascii="宋体" w:hAnsi="宋体" w:cs="宋体"/>
                <w:b/>
                <w:bCs/>
                <w:sz w:val="24"/>
                <w:szCs w:val="24"/>
                <w:highlight w:val="none"/>
                <w:u w:val="single"/>
                <w:lang w:val="en-US" w:eastAsia="zh-CN"/>
              </w:rPr>
              <w:t>16</w:t>
            </w:r>
            <w:r>
              <w:rPr>
                <w:rFonts w:hint="eastAsia" w:ascii="宋体" w:hAnsi="宋体" w:eastAsia="宋体" w:cs="宋体"/>
                <w:b/>
                <w:bCs/>
                <w:sz w:val="24"/>
                <w:szCs w:val="24"/>
                <w:highlight w:val="none"/>
                <w:lang w:val="zh-CN"/>
              </w:rPr>
              <w:t>时</w:t>
            </w:r>
            <w:r>
              <w:rPr>
                <w:rFonts w:hint="eastAsia" w:ascii="宋体" w:hAnsi="宋体" w:cs="宋体"/>
                <w:b/>
                <w:bCs/>
                <w:sz w:val="24"/>
                <w:szCs w:val="24"/>
                <w:highlight w:val="none"/>
                <w:u w:val="single"/>
                <w:lang w:val="en-US" w:eastAsia="zh-CN"/>
              </w:rPr>
              <w:t>3</w:t>
            </w:r>
            <w:r>
              <w:rPr>
                <w:rFonts w:hint="eastAsia" w:ascii="宋体" w:hAnsi="宋体" w:eastAsia="宋体" w:cs="宋体"/>
                <w:b/>
                <w:bCs/>
                <w:sz w:val="24"/>
                <w:szCs w:val="24"/>
                <w:highlight w:val="none"/>
                <w:u w:val="single"/>
                <w:lang w:val="en-US" w:eastAsia="zh-CN"/>
              </w:rPr>
              <w:t>0</w:t>
            </w:r>
            <w:r>
              <w:rPr>
                <w:rFonts w:hint="eastAsia" w:ascii="宋体" w:hAnsi="宋体" w:eastAsia="宋体" w:cs="宋体"/>
                <w:b/>
                <w:bCs/>
                <w:sz w:val="24"/>
                <w:szCs w:val="24"/>
                <w:highlight w:val="none"/>
                <w:lang w:val="zh-CN"/>
              </w:rPr>
              <w:t>分</w:t>
            </w:r>
            <w:r>
              <w:rPr>
                <w:rFonts w:hint="eastAsia" w:ascii="宋体" w:hAnsi="宋体" w:cs="宋体"/>
                <w:b/>
                <w:bCs/>
                <w:sz w:val="24"/>
                <w:szCs w:val="24"/>
                <w:highlight w:val="none"/>
                <w:lang w:val="zh-CN"/>
              </w:rPr>
              <w:t>（北京时间）</w:t>
            </w:r>
          </w:p>
          <w:p>
            <w:pPr>
              <w:spacing w:line="380" w:lineRule="exact"/>
              <w:jc w:val="left"/>
              <w:rPr>
                <w:rFonts w:hint="eastAsia" w:ascii="宋体" w:hAnsi="宋体" w:eastAsia="宋体" w:cs="宋体"/>
                <w:color w:val="auto"/>
                <w:sz w:val="24"/>
                <w:szCs w:val="24"/>
                <w:highlight w:val="none"/>
                <w:lang w:val="zh-CN"/>
              </w:rPr>
            </w:pPr>
            <w:r>
              <w:rPr>
                <w:rFonts w:hint="eastAsia" w:ascii="宋体" w:hAnsi="宋体" w:cs="宋体"/>
                <w:b/>
                <w:bCs/>
                <w:color w:val="auto"/>
                <w:sz w:val="24"/>
                <w:szCs w:val="24"/>
                <w:highlight w:val="none"/>
                <w:lang w:val="zh-CN" w:eastAsia="zh-CN"/>
              </w:rPr>
              <w:t>开标</w:t>
            </w:r>
            <w:r>
              <w:rPr>
                <w:rFonts w:hint="eastAsia" w:ascii="宋体" w:hAnsi="宋体" w:eastAsia="宋体" w:cs="宋体"/>
                <w:b/>
                <w:bCs/>
                <w:color w:val="auto"/>
                <w:sz w:val="24"/>
                <w:szCs w:val="24"/>
                <w:highlight w:val="none"/>
                <w:lang w:val="zh-CN"/>
              </w:rPr>
              <w:t>地点：阿克苏药品集散中心办公大楼</w:t>
            </w:r>
            <w:r>
              <w:rPr>
                <w:rFonts w:hint="eastAsia" w:ascii="宋体" w:hAnsi="宋体" w:eastAsia="宋体" w:cs="宋体"/>
                <w:b/>
                <w:bCs/>
                <w:color w:val="auto"/>
                <w:sz w:val="24"/>
                <w:szCs w:val="24"/>
                <w:highlight w:val="none"/>
                <w:lang w:val="zh-CN" w:eastAsia="zh-CN"/>
              </w:rPr>
              <w:t>一楼</w:t>
            </w:r>
            <w:r>
              <w:rPr>
                <w:rFonts w:hint="eastAsia" w:ascii="宋体" w:hAnsi="宋体" w:eastAsia="宋体" w:cs="宋体"/>
                <w:b/>
                <w:bCs/>
                <w:color w:val="auto"/>
                <w:sz w:val="24"/>
                <w:szCs w:val="24"/>
                <w:highlight w:val="none"/>
                <w:lang w:val="zh-CN"/>
              </w:rPr>
              <w:t>（地址：温宿县长兴街15号）</w:t>
            </w:r>
          </w:p>
        </w:tc>
      </w:tr>
      <w:tr>
        <w:tblPrEx>
          <w:tblCellMar>
            <w:top w:w="0" w:type="dxa"/>
            <w:left w:w="108" w:type="dxa"/>
            <w:bottom w:w="0" w:type="dxa"/>
            <w:right w:w="108" w:type="dxa"/>
          </w:tblCellMar>
        </w:tblPrEx>
        <w:trPr>
          <w:trHeight w:val="137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2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评标委员会</w:t>
            </w:r>
          </w:p>
        </w:tc>
        <w:tc>
          <w:tcPr>
            <w:tcW w:w="62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hint="eastAsia" w:ascii="宋体" w:hAnsi="宋体" w:eastAsia="宋体" w:cs="宋体"/>
                <w:color w:val="auto"/>
                <w:sz w:val="24"/>
                <w:szCs w:val="24"/>
                <w:lang w:val="zh-CN"/>
              </w:rPr>
            </w:pPr>
            <w:r>
              <w:rPr>
                <w:rFonts w:hint="eastAsia" w:ascii="宋体" w:hAnsi="宋体" w:eastAsia="宋体" w:cs="宋体"/>
                <w:sz w:val="24"/>
                <w:szCs w:val="24"/>
              </w:rPr>
              <w:t>（1）构成：</w:t>
            </w:r>
            <w:r>
              <w:rPr>
                <w:rFonts w:hint="eastAsia" w:ascii="宋体" w:hAnsi="宋体" w:eastAsia="宋体" w:cs="宋体"/>
                <w:sz w:val="24"/>
                <w:szCs w:val="24"/>
                <w:lang w:val="en-US" w:eastAsia="zh-CN"/>
              </w:rPr>
              <w:t>5</w:t>
            </w:r>
            <w:r>
              <w:rPr>
                <w:rFonts w:hint="eastAsia" w:ascii="宋体" w:hAnsi="宋体" w:eastAsia="宋体" w:cs="宋体"/>
                <w:sz w:val="24"/>
                <w:szCs w:val="24"/>
              </w:rPr>
              <w:t>人，其中招标人代表</w:t>
            </w:r>
            <w:r>
              <w:rPr>
                <w:rFonts w:hint="eastAsia" w:ascii="宋体" w:hAnsi="宋体" w:eastAsia="宋体" w:cs="宋体"/>
                <w:sz w:val="24"/>
                <w:szCs w:val="24"/>
                <w:lang w:val="en-US" w:eastAsia="zh-CN"/>
              </w:rPr>
              <w:t>1</w:t>
            </w:r>
            <w:r>
              <w:rPr>
                <w:rFonts w:hint="eastAsia" w:ascii="宋体" w:hAnsi="宋体" w:eastAsia="宋体" w:cs="宋体"/>
                <w:sz w:val="24"/>
                <w:szCs w:val="24"/>
              </w:rPr>
              <w:t>人，专家</w:t>
            </w:r>
            <w:r>
              <w:rPr>
                <w:rFonts w:hint="eastAsia" w:ascii="宋体" w:hAnsi="宋体" w:eastAsia="宋体" w:cs="宋体"/>
                <w:sz w:val="24"/>
                <w:szCs w:val="24"/>
                <w:lang w:val="en-US" w:eastAsia="zh-CN"/>
              </w:rPr>
              <w:t>4</w:t>
            </w:r>
            <w:r>
              <w:rPr>
                <w:rFonts w:hint="eastAsia" w:ascii="宋体" w:hAnsi="宋体" w:eastAsia="宋体" w:cs="宋体"/>
                <w:sz w:val="24"/>
                <w:szCs w:val="24"/>
              </w:rPr>
              <w:t>人；（2）评标专家确定方式：由招标代理在开标前48小时在政采云专家库中随机抽取此次评标专家。</w:t>
            </w:r>
          </w:p>
        </w:tc>
      </w:tr>
      <w:tr>
        <w:tblPrEx>
          <w:tblCellMar>
            <w:top w:w="0" w:type="dxa"/>
            <w:left w:w="108" w:type="dxa"/>
            <w:bottom w:w="0" w:type="dxa"/>
            <w:right w:w="108" w:type="dxa"/>
          </w:tblCellMar>
        </w:tblPrEx>
        <w:trPr>
          <w:trHeight w:val="895" w:hRule="atLeast"/>
          <w:jc w:val="center"/>
        </w:trPr>
        <w:tc>
          <w:tcPr>
            <w:tcW w:w="966" w:type="dxa"/>
            <w:tcBorders>
              <w:top w:val="single" w:color="auto" w:sz="4" w:space="0"/>
              <w:left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1</w:t>
            </w:r>
          </w:p>
        </w:tc>
        <w:tc>
          <w:tcPr>
            <w:tcW w:w="2702"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评标办法</w:t>
            </w:r>
          </w:p>
        </w:tc>
        <w:tc>
          <w:tcPr>
            <w:tcW w:w="6273" w:type="dxa"/>
            <w:tcBorders>
              <w:top w:val="single" w:color="auto" w:sz="4" w:space="0"/>
              <w:left w:val="single" w:color="auto" w:sz="4" w:space="0"/>
              <w:right w:val="single" w:color="auto" w:sz="4" w:space="0"/>
            </w:tcBorders>
            <w:vAlign w:val="center"/>
          </w:tcPr>
          <w:p>
            <w:pPr>
              <w:spacing w:line="38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☑综合评分法</w:t>
            </w:r>
          </w:p>
          <w:p>
            <w:pPr>
              <w:spacing w:line="38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□最低评标价法</w:t>
            </w:r>
          </w:p>
        </w:tc>
      </w:tr>
      <w:tr>
        <w:tblPrEx>
          <w:tblCellMar>
            <w:top w:w="0" w:type="dxa"/>
            <w:left w:w="108" w:type="dxa"/>
            <w:bottom w:w="0" w:type="dxa"/>
            <w:right w:w="108" w:type="dxa"/>
          </w:tblCellMar>
        </w:tblPrEx>
        <w:trPr>
          <w:trHeight w:val="97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2</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rPr>
              <w:t>是否授权评标委员会确定中标人</w:t>
            </w:r>
          </w:p>
        </w:tc>
        <w:tc>
          <w:tcPr>
            <w:tcW w:w="6273"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jc w:val="left"/>
              <w:rPr>
                <w:rFonts w:hint="eastAsia" w:ascii="宋体" w:hAnsi="宋体" w:eastAsia="宋体" w:cs="宋体"/>
                <w:color w:val="auto"/>
                <w:sz w:val="24"/>
                <w:szCs w:val="24"/>
              </w:rPr>
            </w:pPr>
            <w:r>
              <w:rPr>
                <w:rFonts w:hint="eastAsia" w:ascii="宋体" w:hAnsi="宋体" w:eastAsia="宋体" w:cs="宋体"/>
                <w:color w:val="auto"/>
                <w:sz w:val="24"/>
                <w:szCs w:val="24"/>
              </w:rPr>
              <w:t>□是，</w:t>
            </w:r>
            <w:r>
              <w:rPr>
                <w:rFonts w:hint="eastAsia" w:ascii="宋体" w:hAnsi="宋体" w:eastAsia="宋体" w:cs="宋体"/>
                <w:color w:val="auto"/>
                <w:sz w:val="24"/>
                <w:szCs w:val="24"/>
                <w:lang w:val="zh-CN"/>
              </w:rPr>
              <w:t>每包确定一个中标人。</w:t>
            </w:r>
          </w:p>
          <w:p>
            <w:pPr>
              <w:spacing w:line="380" w:lineRule="exact"/>
              <w:jc w:val="left"/>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color w:val="auto"/>
                <w:sz w:val="24"/>
                <w:szCs w:val="24"/>
              </w:rPr>
              <w:t>否，确定的中标候选人数：</w:t>
            </w:r>
            <w:r>
              <w:rPr>
                <w:rFonts w:hint="eastAsia" w:ascii="宋体" w:hAnsi="宋体" w:eastAsia="宋体" w:cs="宋体"/>
                <w:color w:val="auto"/>
                <w:sz w:val="24"/>
                <w:szCs w:val="24"/>
                <w:u w:val="single"/>
              </w:rPr>
              <w:t xml:space="preserve"> 3</w:t>
            </w:r>
          </w:p>
        </w:tc>
      </w:tr>
      <w:tr>
        <w:tblPrEx>
          <w:tblCellMar>
            <w:top w:w="0" w:type="dxa"/>
            <w:left w:w="108" w:type="dxa"/>
            <w:bottom w:w="0" w:type="dxa"/>
            <w:right w:w="108" w:type="dxa"/>
          </w:tblCellMar>
        </w:tblPrEx>
        <w:trPr>
          <w:trHeight w:val="134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是否退还投标文件</w:t>
            </w:r>
          </w:p>
        </w:tc>
        <w:tc>
          <w:tcPr>
            <w:tcW w:w="627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sz w:val="24"/>
                <w:szCs w:val="24"/>
              </w:rPr>
            </w:pPr>
            <w:r>
              <w:rPr>
                <w:rFonts w:hint="eastAsia" w:ascii="宋体" w:hAnsi="宋体" w:eastAsia="宋体" w:cs="宋体"/>
                <w:sz w:val="24"/>
                <w:szCs w:val="24"/>
              </w:rPr>
              <w:t>除投标人需收回的资格、资信等证明文件中的证明材料原件（如营业执照、合同、相关资质证书等）外，其他文件概不退还。</w:t>
            </w:r>
          </w:p>
        </w:tc>
      </w:tr>
      <w:tr>
        <w:tblPrEx>
          <w:tblCellMar>
            <w:top w:w="0" w:type="dxa"/>
            <w:left w:w="108" w:type="dxa"/>
            <w:bottom w:w="0" w:type="dxa"/>
            <w:right w:w="108" w:type="dxa"/>
          </w:tblCellMar>
        </w:tblPrEx>
        <w:trPr>
          <w:trHeight w:val="88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4</w:t>
            </w:r>
          </w:p>
        </w:tc>
        <w:tc>
          <w:tcPr>
            <w:tcW w:w="897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其他需补充的内容</w:t>
            </w:r>
          </w:p>
        </w:tc>
      </w:tr>
      <w:tr>
        <w:tblPrEx>
          <w:tblCellMar>
            <w:top w:w="0" w:type="dxa"/>
            <w:left w:w="108" w:type="dxa"/>
            <w:bottom w:w="0" w:type="dxa"/>
            <w:right w:w="108" w:type="dxa"/>
          </w:tblCellMar>
        </w:tblPrEx>
        <w:trPr>
          <w:trHeight w:val="908"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投标人在开标时需携带的验资文件</w:t>
            </w:r>
          </w:p>
        </w:tc>
        <w:tc>
          <w:tcPr>
            <w:tcW w:w="627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sz w:val="24"/>
                <w:szCs w:val="24"/>
                <w:lang w:val="en-US" w:eastAsia="zh-CN"/>
              </w:rPr>
            </w:pPr>
            <w:r>
              <w:rPr>
                <w:rFonts w:hint="eastAsia" w:ascii="宋体" w:hAnsi="宋体" w:eastAsia="宋体" w:cs="宋体"/>
                <w:b/>
                <w:bCs/>
                <w:sz w:val="24"/>
                <w:szCs w:val="24"/>
              </w:rPr>
              <w:t>本项目实行电子招投标，</w:t>
            </w:r>
            <w:r>
              <w:rPr>
                <w:rFonts w:hint="eastAsia" w:ascii="宋体" w:hAnsi="宋体" w:eastAsia="宋体" w:cs="宋体"/>
                <w:b/>
                <w:bCs/>
                <w:sz w:val="24"/>
                <w:szCs w:val="24"/>
                <w:lang w:val="en-US" w:eastAsia="zh-CN"/>
              </w:rPr>
              <w:t>无需人员到场开标。</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.2</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资金支付</w:t>
            </w:r>
          </w:p>
        </w:tc>
        <w:tc>
          <w:tcPr>
            <w:tcW w:w="627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采购资金支付方式、支付时间由采购人与中标供应商按照相关法律法规及本项目具体要求在合同中约定。</w:t>
            </w:r>
          </w:p>
        </w:tc>
      </w:tr>
      <w:tr>
        <w:tblPrEx>
          <w:tblCellMar>
            <w:top w:w="0" w:type="dxa"/>
            <w:left w:w="108" w:type="dxa"/>
            <w:bottom w:w="0" w:type="dxa"/>
            <w:right w:w="108" w:type="dxa"/>
          </w:tblCellMar>
        </w:tblPrEx>
        <w:trPr>
          <w:jc w:val="center"/>
        </w:trPr>
        <w:tc>
          <w:tcPr>
            <w:tcW w:w="96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rPr>
              <w:t>3</w:t>
            </w:r>
            <w:r>
              <w:rPr>
                <w:rFonts w:hint="eastAsia" w:ascii="宋体" w:hAnsi="宋体" w:cs="宋体"/>
                <w:sz w:val="24"/>
                <w:szCs w:val="24"/>
                <w:lang w:val="en-US" w:eastAsia="zh-CN"/>
              </w:rPr>
              <w:t>4</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3</w:t>
            </w:r>
          </w:p>
        </w:tc>
        <w:tc>
          <w:tcPr>
            <w:tcW w:w="270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定义</w:t>
            </w:r>
          </w:p>
        </w:tc>
        <w:tc>
          <w:tcPr>
            <w:tcW w:w="627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sz w:val="24"/>
                <w:szCs w:val="24"/>
              </w:rPr>
            </w:pPr>
            <w:r>
              <w:rPr>
                <w:rFonts w:hint="eastAsia" w:ascii="宋体" w:hAnsi="宋体" w:eastAsia="宋体" w:cs="宋体"/>
                <w:sz w:val="24"/>
                <w:szCs w:val="24"/>
                <w:lang w:val="zh-CN"/>
              </w:rPr>
              <w:t>原件：</w:t>
            </w:r>
            <w:r>
              <w:rPr>
                <w:rFonts w:hint="eastAsia" w:ascii="宋体" w:hAnsi="宋体" w:eastAsia="宋体" w:cs="宋体"/>
                <w:sz w:val="24"/>
                <w:szCs w:val="24"/>
              </w:rPr>
              <w:t>最初产生的区别于复制件的原始文件或文件的原本或公证处出具的文件复制件公证书。</w:t>
            </w:r>
          </w:p>
        </w:tc>
      </w:tr>
      <w:tr>
        <w:tblPrEx>
          <w:tblCellMar>
            <w:top w:w="0" w:type="dxa"/>
            <w:left w:w="108" w:type="dxa"/>
            <w:bottom w:w="0" w:type="dxa"/>
            <w:right w:w="108" w:type="dxa"/>
          </w:tblCellMar>
        </w:tblPrEx>
        <w:trPr>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p>
        </w:tc>
        <w:tc>
          <w:tcPr>
            <w:tcW w:w="270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p>
        </w:tc>
        <w:tc>
          <w:tcPr>
            <w:tcW w:w="627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sz w:val="24"/>
                <w:szCs w:val="24"/>
                <w:lang w:val="zh-CN"/>
              </w:rPr>
            </w:pPr>
            <w:r>
              <w:rPr>
                <w:rFonts w:hint="eastAsia" w:ascii="宋体" w:hAnsi="宋体" w:eastAsia="宋体" w:cs="宋体"/>
                <w:sz w:val="24"/>
                <w:szCs w:val="24"/>
              </w:rPr>
              <w:t>书面形式：包括文字的打印或复印件、传真、信函、电传、电报、</w:t>
            </w:r>
            <w:r>
              <w:rPr>
                <w:rFonts w:hint="eastAsia" w:ascii="宋体" w:hAnsi="宋体" w:eastAsia="宋体" w:cs="宋体"/>
                <w:sz w:val="24"/>
                <w:szCs w:val="24"/>
                <w:shd w:val="clear" w:color="auto" w:fill="FFFFFF"/>
              </w:rPr>
              <w:t>电子邮件、</w:t>
            </w:r>
            <w:r>
              <w:rPr>
                <w:rFonts w:hint="eastAsia" w:ascii="宋体" w:hAnsi="宋体" w:eastAsia="宋体" w:cs="宋体"/>
                <w:sz w:val="24"/>
                <w:szCs w:val="24"/>
              </w:rPr>
              <w:t>相关媒介发布的公告</w:t>
            </w:r>
            <w:r>
              <w:rPr>
                <w:rFonts w:hint="eastAsia" w:ascii="宋体" w:hAnsi="宋体" w:eastAsia="宋体" w:cs="宋体"/>
                <w:sz w:val="24"/>
                <w:szCs w:val="24"/>
                <w:shd w:val="clear" w:color="auto" w:fill="FFFFFF"/>
              </w:rPr>
              <w:t>等可以有形地表现所载内容的形式。</w:t>
            </w:r>
          </w:p>
        </w:tc>
      </w:tr>
      <w:tr>
        <w:tblPrEx>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3</w:t>
            </w:r>
            <w:r>
              <w:rPr>
                <w:rFonts w:hint="eastAsia" w:ascii="宋体" w:hAnsi="宋体" w:cs="宋体"/>
                <w:sz w:val="24"/>
                <w:szCs w:val="24"/>
                <w:lang w:val="en-US" w:eastAsia="zh-CN"/>
              </w:rPr>
              <w:t>4</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4</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rPr>
              <w:t>分包和非主体、非关键性工作</w:t>
            </w:r>
          </w:p>
        </w:tc>
        <w:tc>
          <w:tcPr>
            <w:tcW w:w="6273"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jc w:val="left"/>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不允许</w:t>
            </w:r>
          </w:p>
          <w:p>
            <w:pPr>
              <w:spacing w:line="380" w:lineRule="exact"/>
              <w:jc w:val="left"/>
              <w:rPr>
                <w:rFonts w:hint="eastAsia" w:ascii="宋体" w:hAnsi="宋体" w:eastAsia="宋体" w:cs="宋体"/>
                <w:sz w:val="24"/>
                <w:szCs w:val="24"/>
              </w:rPr>
            </w:pPr>
            <w:r>
              <w:rPr>
                <w:rFonts w:hint="eastAsia" w:ascii="宋体" w:hAnsi="宋体" w:eastAsia="宋体" w:cs="宋体"/>
                <w:sz w:val="24"/>
                <w:szCs w:val="24"/>
              </w:rPr>
              <w:t>□允许</w:t>
            </w:r>
            <w:r>
              <w:rPr>
                <w:rFonts w:hint="eastAsia" w:ascii="宋体" w:hAnsi="宋体" w:eastAsia="宋体" w:cs="宋体"/>
                <w:sz w:val="24"/>
                <w:szCs w:val="24"/>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tc>
      </w:tr>
      <w:tr>
        <w:tblPrEx>
          <w:tblCellMar>
            <w:top w:w="0" w:type="dxa"/>
            <w:left w:w="108" w:type="dxa"/>
            <w:bottom w:w="0" w:type="dxa"/>
            <w:right w:w="108" w:type="dxa"/>
          </w:tblCellMar>
        </w:tblPrEx>
        <w:trPr>
          <w:trHeight w:val="107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3</w:t>
            </w:r>
            <w:r>
              <w:rPr>
                <w:rFonts w:hint="eastAsia" w:ascii="宋体" w:hAnsi="宋体" w:cs="宋体"/>
                <w:sz w:val="24"/>
                <w:szCs w:val="24"/>
                <w:lang w:val="en-US" w:eastAsia="zh-CN"/>
              </w:rPr>
              <w:t>4</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5</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监督</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本次招标投标活动以及相关当事人应当接受相关部门依法实施的监督。</w:t>
            </w:r>
          </w:p>
        </w:tc>
      </w:tr>
      <w:tr>
        <w:tblPrEx>
          <w:tblCellMar>
            <w:top w:w="0" w:type="dxa"/>
            <w:left w:w="108" w:type="dxa"/>
            <w:bottom w:w="0" w:type="dxa"/>
            <w:right w:w="108" w:type="dxa"/>
          </w:tblCellMar>
        </w:tblPrEx>
        <w:trPr>
          <w:trHeight w:val="152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.6</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场地费及公证费</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lang w:val="en-US"/>
              </w:rPr>
            </w:pPr>
            <w:r>
              <w:rPr>
                <w:rFonts w:hint="eastAsia" w:ascii="宋体" w:hAnsi="宋体" w:eastAsia="宋体" w:cs="宋体"/>
                <w:sz w:val="24"/>
                <w:szCs w:val="24"/>
                <w:lang w:val="zh-CN"/>
              </w:rPr>
              <w:t>投标人</w:t>
            </w:r>
            <w:r>
              <w:rPr>
                <w:rFonts w:hint="eastAsia" w:ascii="宋体" w:hAnsi="宋体" w:eastAsia="宋体" w:cs="宋体"/>
                <w:sz w:val="24"/>
                <w:szCs w:val="24"/>
                <w:lang w:val="en-US"/>
              </w:rPr>
              <w:t>应承担其编制投标文件与递交投标文件所涉及的一切费用（进场费、公证费等）。不管投标结果如何，</w:t>
            </w:r>
            <w:r>
              <w:rPr>
                <w:rFonts w:hint="eastAsia" w:ascii="宋体" w:hAnsi="宋体" w:eastAsia="宋体" w:cs="宋体"/>
                <w:sz w:val="24"/>
                <w:szCs w:val="24"/>
                <w:lang w:val="en-US" w:eastAsia="zh-CN"/>
              </w:rPr>
              <w:t>采购</w:t>
            </w:r>
            <w:r>
              <w:rPr>
                <w:rFonts w:hint="eastAsia" w:ascii="宋体" w:hAnsi="宋体" w:eastAsia="宋体" w:cs="宋体"/>
                <w:sz w:val="24"/>
                <w:szCs w:val="24"/>
                <w:lang w:val="en-US"/>
              </w:rPr>
              <w:t>人</w:t>
            </w:r>
            <w:r>
              <w:rPr>
                <w:rFonts w:hint="eastAsia" w:ascii="宋体" w:hAnsi="宋体" w:eastAsia="宋体" w:cs="宋体"/>
                <w:sz w:val="24"/>
                <w:szCs w:val="24"/>
                <w:lang w:val="en-US" w:eastAsia="zh-CN"/>
              </w:rPr>
              <w:t>及采购代理机构</w:t>
            </w:r>
            <w:r>
              <w:rPr>
                <w:rFonts w:hint="eastAsia" w:ascii="宋体" w:hAnsi="宋体" w:eastAsia="宋体" w:cs="宋体"/>
                <w:sz w:val="24"/>
                <w:szCs w:val="24"/>
                <w:lang w:val="en-US"/>
              </w:rPr>
              <w:t>对上述费用不负任何责任。</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.7</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小、微企业投标产品价格扣除</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在6%～10%之间确定给予价格扣除的具体百分值。</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34.8</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中标结果公告</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对中标结果在规定的媒体上进行公告，中标公告期限为</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个工作日</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34.9</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其他方式采购</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开招标数额标准以上的采购项目，投标截止后投标人不足3家或者通过资格审查或符合性审查的投标人不足3家的，除采购任务取消情形外，根据《政府采购货物和服务招标投标管理办法》（中华人民共和国财政部令第87号）第四十三条规定，按照以下方式处理：</w:t>
            </w:r>
          </w:p>
          <w:p>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（1）招标文件存在不合理条款或者招标程序不符合规定的，采购人、采购代理机构改正后依法重新招标；</w:t>
            </w:r>
          </w:p>
          <w:p>
            <w:p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（2）招标文件没有不合理条款、招标程序符合规定，需要采用其他采购方式采购的，采购人应当依法报财政部门批准。</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34.10</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质疑</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人认为招标文件、招标过程或中标结果使自己的合法权益受到损害的，应当在知道或者应知其权益受到损害之日起在规定的期限内，以书面形式向招标人（招标代理机构）提出质疑或投标人对招标人（招标代理机构）的质疑答复不满意或者招标人（招标代理机构）未在规定时间内做出答复的，可以在答复期满后五个工作日内向有关监管部门投诉。</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34.11</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投诉</w:t>
            </w:r>
          </w:p>
        </w:tc>
        <w:tc>
          <w:tcPr>
            <w:tcW w:w="62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（1）质疑供应商对采购人、采购代理机构的答复不满意或者采购人、采购代理机构未在规定的时间内作出答复的，可以在答复期满后十五个工作日内向同级政府采购监理部门投诉。</w:t>
            </w:r>
          </w:p>
          <w:p>
            <w:p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34.12</w:t>
            </w:r>
          </w:p>
        </w:tc>
        <w:tc>
          <w:tcPr>
            <w:tcW w:w="2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其它要求</w:t>
            </w:r>
          </w:p>
        </w:tc>
        <w:tc>
          <w:tcPr>
            <w:tcW w:w="6273"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before="120" w:beforeLines="50" w:line="24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须在投标文件投标函中</w:t>
            </w:r>
            <w:r>
              <w:rPr>
                <w:rFonts w:hint="eastAsia" w:ascii="宋体" w:hAnsi="宋体" w:cs="宋体"/>
                <w:b/>
                <w:bCs/>
                <w:color w:val="auto"/>
                <w:sz w:val="24"/>
                <w:szCs w:val="24"/>
                <w:highlight w:val="none"/>
                <w:u w:val="none"/>
                <w:lang w:val="en-US" w:eastAsia="zh-CN"/>
              </w:rPr>
              <w:t>须</w:t>
            </w:r>
            <w:r>
              <w:rPr>
                <w:rFonts w:hint="eastAsia" w:ascii="宋体" w:hAnsi="宋体" w:eastAsia="宋体" w:cs="宋体"/>
                <w:b/>
                <w:bCs/>
                <w:color w:val="auto"/>
                <w:sz w:val="24"/>
                <w:szCs w:val="24"/>
                <w:highlight w:val="none"/>
                <w:u w:val="none"/>
                <w:lang w:val="en-US" w:eastAsia="zh-CN"/>
              </w:rPr>
              <w:t>添加如下附件（原件扫描件）</w:t>
            </w:r>
            <w:r>
              <w:rPr>
                <w:rFonts w:hint="eastAsia" w:ascii="宋体" w:hAnsi="宋体" w:eastAsia="宋体" w:cs="宋体"/>
                <w:color w:val="auto"/>
                <w:sz w:val="24"/>
                <w:szCs w:val="24"/>
                <w:highlight w:val="none"/>
                <w:u w:val="none"/>
                <w:lang w:val="en-US" w:eastAsia="zh-CN"/>
              </w:rPr>
              <w:t>：</w:t>
            </w:r>
          </w:p>
          <w:p>
            <w:pPr>
              <w:keepNext w:val="0"/>
              <w:keepLines w:val="0"/>
              <w:pageBreakBefore w:val="0"/>
              <w:widowControl w:val="0"/>
              <w:numPr>
                <w:ilvl w:val="0"/>
                <w:numId w:val="6"/>
              </w:numPr>
              <w:kinsoku/>
              <w:wordWrap/>
              <w:overflowPunct/>
              <w:topLinePunct w:val="0"/>
              <w:autoSpaceDE/>
              <w:autoSpaceDN/>
              <w:bidi w:val="0"/>
              <w:spacing w:line="400" w:lineRule="exac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满足《中华人民共和国政府采购法》第二十二条规定（须提供承诺书，加盖单位公章）；</w:t>
            </w:r>
          </w:p>
          <w:p>
            <w:pPr>
              <w:keepNext w:val="0"/>
              <w:keepLines w:val="0"/>
              <w:pageBreakBefore w:val="0"/>
              <w:widowControl w:val="0"/>
              <w:numPr>
                <w:ilvl w:val="0"/>
                <w:numId w:val="6"/>
              </w:numPr>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法人代表或其委托代理人应提供本人身份证原件，委托代理人还应提供《法人代表授权委托书》</w:t>
            </w:r>
            <w:r>
              <w:rPr>
                <w:rFonts w:hint="eastAsia" w:ascii="宋体" w:hAnsi="宋体" w:cs="宋体"/>
                <w:color w:val="auto"/>
                <w:sz w:val="24"/>
                <w:lang w:val="zh-CN"/>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、有效的营业执照</w:t>
            </w:r>
            <w:r>
              <w:rPr>
                <w:rFonts w:hint="eastAsia" w:ascii="宋体" w:hAnsi="宋体" w:cs="宋体"/>
                <w:color w:val="auto"/>
                <w:sz w:val="24"/>
                <w:lang w:val="en-US" w:eastAsia="zh-CN"/>
              </w:rPr>
              <w:t>（营业执照经营范围满足招标文件要求）</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lang w:val="zh-CN"/>
              </w:rPr>
            </w:pP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zh-CN"/>
              </w:rPr>
              <w:t>半年内任意三个月完税证明及</w:t>
            </w:r>
            <w:r>
              <w:rPr>
                <w:rFonts w:hint="eastAsia" w:ascii="宋体" w:hAnsi="宋体" w:cs="宋体"/>
                <w:color w:val="auto"/>
                <w:sz w:val="24"/>
                <w:lang w:val="zh-CN" w:eastAsia="zh-CN"/>
              </w:rPr>
              <w:t>近一年财务审计报告或财务报表（成立不足一年的提供成立至今的财务报表）</w:t>
            </w:r>
            <w:r>
              <w:rPr>
                <w:rFonts w:hint="eastAsia" w:ascii="宋体" w:hAnsi="宋体" w:cs="宋体"/>
                <w:color w:val="auto"/>
                <w:sz w:val="24"/>
                <w:lang w:val="zh-CN"/>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lang w:val="zh-CN" w:eastAsia="zh-CN"/>
              </w:rPr>
            </w:pPr>
            <w:r>
              <w:rPr>
                <w:rFonts w:hint="eastAsia" w:ascii="宋体" w:hAnsi="宋体" w:cs="宋体"/>
                <w:color w:val="auto"/>
                <w:sz w:val="24"/>
                <w:lang w:val="en-US" w:eastAsia="zh-CN"/>
              </w:rPr>
              <w:t>5</w:t>
            </w:r>
            <w:r>
              <w:rPr>
                <w:rFonts w:hint="eastAsia" w:ascii="宋体" w:hAnsi="宋体" w:cs="宋体"/>
                <w:color w:val="auto"/>
                <w:sz w:val="24"/>
              </w:rPr>
              <w:t>、</w:t>
            </w:r>
            <w:r>
              <w:rPr>
                <w:rFonts w:hint="eastAsia" w:ascii="宋体" w:hAnsi="宋体" w:cs="宋体"/>
                <w:color w:val="auto"/>
                <w:sz w:val="24"/>
                <w:lang w:val="en-US" w:eastAsia="zh-CN"/>
              </w:rPr>
              <w:t>未被“信用中国”（</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"http://www.creditchina.gov.cn/" \h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www.creditchina.gov.cn</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）、中国政府采购网（</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"http://www.ccgp.gov.cn/" \h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www.ccgp.gov.cn</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）列入失信被执行人、重大税收违法案件当事人名单、政府采购严重违法失信行为记录名单（查询时间为发布公告之日至投标截止时间前，需加盖公章）。</w:t>
            </w:r>
          </w:p>
          <w:p>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6、不参与围标串标承诺书（加盖单位公章）；</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b/>
                <w:bCs/>
                <w:sz w:val="24"/>
                <w:lang w:val="en-US" w:eastAsia="zh-CN"/>
              </w:rPr>
            </w:pPr>
            <w:r>
              <w:rPr>
                <w:rFonts w:hint="eastAsia" w:ascii="宋体" w:hAnsi="宋体" w:cs="宋体"/>
                <w:b/>
                <w:bCs/>
                <w:sz w:val="24"/>
                <w:lang w:val="en-US" w:eastAsia="zh-CN"/>
              </w:rPr>
              <w:t>备注：上述证件、资料齐全、满足要求的投标人为有效投标人。</w:t>
            </w:r>
          </w:p>
          <w:p>
            <w:pPr>
              <w:spacing w:line="400" w:lineRule="exact"/>
              <w:jc w:val="left"/>
              <w:rPr>
                <w:rFonts w:hint="eastAsia" w:ascii="宋体" w:hAnsi="宋体" w:eastAsia="宋体" w:cs="宋体"/>
                <w:sz w:val="24"/>
                <w:szCs w:val="24"/>
                <w:highlight w:val="none"/>
              </w:rPr>
            </w:pPr>
            <w:r>
              <w:rPr>
                <w:rFonts w:hint="eastAsia" w:ascii="宋体" w:hAnsi="宋体" w:cs="宋体"/>
                <w:b/>
                <w:bCs/>
                <w:sz w:val="24"/>
                <w:lang w:val="en-US" w:eastAsia="zh-CN"/>
              </w:rPr>
              <w:t>上述证件的公证件，本次招标不予认可</w:t>
            </w:r>
          </w:p>
        </w:tc>
      </w:tr>
    </w:tbl>
    <w:p>
      <w:pPr>
        <w:spacing w:line="400" w:lineRule="exact"/>
        <w:jc w:val="center"/>
        <w:rPr>
          <w:rFonts w:hint="eastAsia" w:ascii="宋体" w:hAnsi="宋体" w:eastAsia="宋体" w:cs="宋体"/>
          <w:sz w:val="24"/>
          <w:szCs w:val="24"/>
          <w:highlight w:val="none"/>
        </w:rPr>
      </w:pPr>
    </w:p>
    <w:p>
      <w:pPr>
        <w:spacing w:line="400" w:lineRule="exact"/>
        <w:jc w:val="center"/>
        <w:rPr>
          <w:rFonts w:hint="eastAsia" w:ascii="宋体" w:hAnsi="宋体" w:eastAsia="宋体" w:cs="宋体"/>
          <w:sz w:val="24"/>
          <w:szCs w:val="24"/>
          <w:highlight w:val="none"/>
        </w:rPr>
      </w:pPr>
    </w:p>
    <w:p>
      <w:pPr>
        <w:spacing w:line="400" w:lineRule="exact"/>
        <w:jc w:val="both"/>
        <w:rPr>
          <w:rFonts w:hint="eastAsia" w:ascii="宋体" w:hAnsi="宋体" w:eastAsia="宋体" w:cs="宋体"/>
          <w:sz w:val="24"/>
          <w:szCs w:val="24"/>
          <w:highlight w:val="none"/>
        </w:rPr>
      </w:pPr>
    </w:p>
    <w:p>
      <w:pPr>
        <w:spacing w:line="360" w:lineRule="auto"/>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特别提醒：</w:t>
      </w:r>
    </w:p>
    <w:p>
      <w:pPr>
        <w:spacing w:line="360" w:lineRule="auto"/>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投标企业下载招标文件后请仔细阅读，如对招标文件内容有质疑，投标人应在投标截止7日前按招标文件中载明的邮箱：</w:t>
      </w:r>
      <w:r>
        <w:rPr>
          <w:rFonts w:hint="eastAsia" w:ascii="宋体" w:hAnsi="宋体" w:eastAsia="宋体" w:cs="宋体"/>
          <w:b/>
          <w:bCs/>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mailto:82594091@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lang w:val="en-US" w:eastAsia="zh-CN"/>
        </w:rPr>
        <w:t>51600051</w:t>
      </w:r>
      <w:r>
        <w:rPr>
          <w:rFonts w:hint="eastAsia" w:ascii="宋体" w:hAnsi="宋体" w:eastAsia="宋体" w:cs="宋体"/>
          <w:b/>
          <w:bCs/>
          <w:sz w:val="24"/>
          <w:szCs w:val="24"/>
          <w:highlight w:val="none"/>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Fonts w:hint="eastAsia" w:ascii="宋体" w:hAnsi="宋体" w:eastAsia="宋体" w:cs="宋体"/>
          <w:b/>
          <w:bCs/>
          <w:sz w:val="24"/>
          <w:szCs w:val="24"/>
          <w:highlight w:val="none"/>
          <w:lang w:val="en-US" w:eastAsia="zh-CN"/>
        </w:rPr>
        <w:fldChar w:fldCharType="end"/>
      </w:r>
    </w:p>
    <w:p>
      <w:pPr>
        <w:numPr>
          <w:ilvl w:val="0"/>
          <w:numId w:val="0"/>
        </w:numPr>
        <w:spacing w:afterLines="50" w:line="36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br w:type="page"/>
      </w:r>
    </w:p>
    <w:p>
      <w:pPr>
        <w:spacing w:afterLines="50" w:line="440" w:lineRule="exact"/>
        <w:jc w:val="center"/>
        <w:outlineLvl w:val="1"/>
        <w:rPr>
          <w:rFonts w:hint="eastAsia" w:ascii="宋体" w:hAnsi="宋体" w:eastAsia="宋体" w:cs="宋体"/>
          <w:sz w:val="28"/>
          <w:szCs w:val="28"/>
          <w:lang w:val="en-US" w:eastAsia="zh-CN"/>
        </w:rPr>
      </w:pPr>
      <w:bookmarkStart w:id="13" w:name="_Toc14086"/>
      <w:bookmarkStart w:id="14" w:name="_Toc16701"/>
      <w:r>
        <w:rPr>
          <w:rFonts w:hint="eastAsia" w:ascii="宋体" w:hAnsi="宋体" w:eastAsia="宋体" w:cs="宋体"/>
          <w:sz w:val="28"/>
          <w:szCs w:val="28"/>
        </w:rPr>
        <w:t>投标人须知</w:t>
      </w:r>
      <w:r>
        <w:rPr>
          <w:rFonts w:hint="eastAsia" w:ascii="宋体" w:hAnsi="宋体" w:eastAsia="宋体" w:cs="宋体"/>
          <w:sz w:val="28"/>
          <w:szCs w:val="28"/>
          <w:lang w:val="en-US" w:eastAsia="zh-CN"/>
        </w:rPr>
        <w:t>正文</w:t>
      </w:r>
      <w:bookmarkEnd w:id="13"/>
      <w:bookmarkEnd w:id="14"/>
    </w:p>
    <w:p>
      <w:pPr>
        <w:spacing w:line="440" w:lineRule="exact"/>
        <w:ind w:firstLine="560" w:firstLineChars="200"/>
        <w:outlineLvl w:val="2"/>
        <w:rPr>
          <w:rFonts w:hint="eastAsia" w:ascii="宋体" w:hAnsi="宋体" w:eastAsia="宋体" w:cs="宋体"/>
          <w:sz w:val="28"/>
          <w:szCs w:val="28"/>
        </w:rPr>
      </w:pPr>
      <w:bookmarkStart w:id="15" w:name="_Toc30860"/>
      <w:bookmarkStart w:id="16" w:name="_Toc30488"/>
      <w:bookmarkStart w:id="17" w:name="_Toc494455650"/>
      <w:r>
        <w:rPr>
          <w:rFonts w:hint="eastAsia" w:ascii="宋体" w:hAnsi="宋体" w:eastAsia="宋体" w:cs="宋体"/>
          <w:sz w:val="28"/>
          <w:szCs w:val="28"/>
        </w:rPr>
        <w:t>1.招标依据以及原则</w:t>
      </w:r>
      <w:bookmarkEnd w:id="15"/>
      <w:bookmarkEnd w:id="16"/>
      <w:bookmarkEnd w:id="17"/>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1.1《中华人民共和国政府采购法》；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1.2《中华人民共和国合同法》；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1.3《中华人民共和国政府采购法实施条例》；</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1.4《政府采购货物和服务招标投标管理办法》；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1.5《政府采购供应商投诉处理办法》；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1.6其他有关法律、行政法规以及省市规范性文件规定。</w:t>
      </w:r>
    </w:p>
    <w:p>
      <w:pPr>
        <w:spacing w:line="440" w:lineRule="exact"/>
        <w:ind w:firstLine="560" w:firstLineChars="200"/>
        <w:outlineLvl w:val="2"/>
        <w:rPr>
          <w:rFonts w:hint="eastAsia" w:ascii="宋体" w:hAnsi="宋体" w:eastAsia="宋体" w:cs="宋体"/>
          <w:sz w:val="28"/>
          <w:szCs w:val="28"/>
        </w:rPr>
      </w:pPr>
      <w:bookmarkStart w:id="18" w:name="_Toc19991"/>
      <w:bookmarkStart w:id="19" w:name="_Toc8140"/>
      <w:bookmarkStart w:id="20" w:name="_Toc494455651"/>
      <w:r>
        <w:rPr>
          <w:rFonts w:hint="eastAsia" w:ascii="宋体" w:hAnsi="宋体" w:eastAsia="宋体" w:cs="宋体"/>
          <w:sz w:val="28"/>
          <w:szCs w:val="28"/>
        </w:rPr>
        <w:t>2.合格的投标人</w:t>
      </w:r>
      <w:bookmarkEnd w:id="18"/>
      <w:bookmarkEnd w:id="19"/>
      <w:bookmarkEnd w:id="20"/>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2.1符合《中华人民共和国政府采购法》第二十二条规定的条件；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2.2符合本招标文件规定的资格要求，且按照要求提供相关证明材料；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2.3单位负责人为同一个人的两个以及两个以上法人，母公司、全资子公司以及其控股公司或者存在管理关系的不同单位，都不得在同一包或者未划分包的同一招标项目同时投标；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2.4投标人须知前附表规定接受联合体投标的，应符合以下规定：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2.4.1联合体各方应按照招标文件提供的格式签订联合体协议书，明确联合体牵头人和各方权利义务；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2.4.2联合体各方均应当符合《政府采购法》第二十二条第一款规定的条件；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2.4.3联合体中有同类资质的投标人按照联合体分工承担相同工作的，应当按照资质等级较低的投标人确定资质等级。</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2.4.4以联合体形式参加政府采购活动的，联合体各方不得再单独参加或者与其他投标人另外组成联合体参加同一合同项下的政府采购活动。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2.4.5联合体各方应当共同与采购人签订采购合同，就合同约定的事项对采购人承担连带责任；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2.4.6鼓励大中型企业和其他自然人、法人或者其他组织与小型、微型企业组成联合体投标，但联合体各方均应符合上述规定。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2.5除采购人拟采购进口产品通过财政部门审核外，投标人不得提供直接进口或者委托进口产品（包括已进入中国境内的进口产品）。</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2.6为本项目提供整体设计、规范编制或者项目管理、监理、检测等服务的投标人，不得再参加本项目的招标活动。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2.7采购代理机构及其分支机构不得在所代理的采购项目中投标或者代理投标，不得为所代理的采购项目的投标人参加本项目提供投标咨询。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2.8投标人提供的证明材料内容必须真实可靠。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符合上述条件的投标人即为合格投标人，具有参与公开招标的资格。</w:t>
      </w:r>
    </w:p>
    <w:p>
      <w:pPr>
        <w:spacing w:line="440" w:lineRule="exact"/>
        <w:ind w:firstLine="560" w:firstLineChars="200"/>
        <w:outlineLvl w:val="2"/>
        <w:rPr>
          <w:rFonts w:hint="eastAsia" w:ascii="宋体" w:hAnsi="宋体" w:eastAsia="宋体" w:cs="宋体"/>
          <w:sz w:val="28"/>
          <w:szCs w:val="28"/>
        </w:rPr>
      </w:pPr>
      <w:bookmarkStart w:id="21" w:name="_Toc494455652"/>
      <w:bookmarkStart w:id="22" w:name="_Toc28661"/>
      <w:bookmarkStart w:id="23" w:name="_Toc2666"/>
      <w:r>
        <w:rPr>
          <w:rFonts w:hint="eastAsia" w:ascii="宋体" w:hAnsi="宋体" w:eastAsia="宋体" w:cs="宋体"/>
          <w:sz w:val="28"/>
          <w:szCs w:val="28"/>
        </w:rPr>
        <w:t>3.保密</w:t>
      </w:r>
      <w:bookmarkEnd w:id="21"/>
      <w:bookmarkEnd w:id="22"/>
      <w:bookmarkEnd w:id="23"/>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参与招标投标活动的当事人应对招标文件和投标文件中的商业和技术等秘密保密，违者应对由此造成的后果承担法律责任。</w:t>
      </w:r>
    </w:p>
    <w:p>
      <w:pPr>
        <w:spacing w:line="440" w:lineRule="exact"/>
        <w:ind w:firstLine="560" w:firstLineChars="200"/>
        <w:outlineLvl w:val="2"/>
        <w:rPr>
          <w:rFonts w:hint="eastAsia" w:ascii="宋体" w:hAnsi="宋体" w:eastAsia="宋体" w:cs="宋体"/>
          <w:sz w:val="28"/>
          <w:szCs w:val="28"/>
        </w:rPr>
      </w:pPr>
      <w:bookmarkStart w:id="24" w:name="_Toc494455653"/>
      <w:bookmarkStart w:id="25" w:name="_Toc15532"/>
      <w:bookmarkStart w:id="26" w:name="_Toc25963"/>
      <w:r>
        <w:rPr>
          <w:rFonts w:hint="eastAsia" w:ascii="宋体" w:hAnsi="宋体" w:eastAsia="宋体" w:cs="宋体"/>
          <w:sz w:val="28"/>
          <w:szCs w:val="28"/>
        </w:rPr>
        <w:t>4.语言文字、计量单位、时间单位、投标有效期以及投标费用</w:t>
      </w:r>
      <w:bookmarkEnd w:id="24"/>
      <w:bookmarkEnd w:id="25"/>
      <w:bookmarkEnd w:id="26"/>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4.1语言文字</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4.2计量单位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除招标文件另有规定外，计量均应采用中华人民共和国法定计量单位；所有报价一律使用人民币，货币单位为“元”。</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4.3时间单位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除招标文件中另有规定外，招标文件所使用的时间单位“天”、“日”均指日历天，时、分均为北京时间。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4.4投标有效期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4.4.1在投标人须知前附表规定的投标有效期内，投标文件以及其补充、承诺等部分均保持有效。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4.4.2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4.4.3投标有效期内投标人撤销投标文件的，采购人或者采购代理机构可以不退还投标保证金。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4.5投标费用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投标人应自行承担其准备和参加投标活动发生的所有费用。</w:t>
      </w:r>
    </w:p>
    <w:p>
      <w:pPr>
        <w:spacing w:line="440" w:lineRule="exact"/>
        <w:ind w:firstLine="560" w:firstLineChars="200"/>
        <w:outlineLvl w:val="2"/>
        <w:rPr>
          <w:rFonts w:hint="eastAsia" w:ascii="宋体" w:hAnsi="宋体" w:eastAsia="宋体" w:cs="宋体"/>
          <w:sz w:val="28"/>
          <w:szCs w:val="28"/>
        </w:rPr>
      </w:pPr>
      <w:bookmarkStart w:id="27" w:name="_Toc494455654"/>
      <w:bookmarkStart w:id="28" w:name="_Toc11935"/>
      <w:bookmarkStart w:id="29" w:name="_Toc27687"/>
      <w:r>
        <w:rPr>
          <w:rFonts w:hint="eastAsia" w:ascii="宋体" w:hAnsi="宋体" w:eastAsia="宋体" w:cs="宋体"/>
          <w:sz w:val="28"/>
          <w:szCs w:val="28"/>
        </w:rPr>
        <w:t>5.踏勘现场</w:t>
      </w:r>
      <w:bookmarkEnd w:id="27"/>
      <w:bookmarkEnd w:id="28"/>
      <w:bookmarkEnd w:id="29"/>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5.1投标人须知前附表规定组织踏勘现场的，采购人必须按照规定时间、地点组织投标人踏勘项目现场，以便投标人获取有关编制投标文件和签署合同所涉及现场的资料。投标人承担踏勘现场所发生的自身费用。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5.2采购人向投标人提供的有关现场的资料和数据，是采购人现有的能使投标人利用的资料，采购人对投标人由此而做出的推论、理解和结论不负责任。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5.3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pPr>
        <w:spacing w:line="440" w:lineRule="exact"/>
        <w:ind w:firstLine="560" w:firstLineChars="200"/>
        <w:outlineLvl w:val="2"/>
        <w:rPr>
          <w:rFonts w:hint="eastAsia" w:ascii="宋体" w:hAnsi="宋体" w:eastAsia="宋体" w:cs="宋体"/>
          <w:sz w:val="28"/>
          <w:szCs w:val="28"/>
        </w:rPr>
      </w:pPr>
      <w:bookmarkStart w:id="30" w:name="_Toc17226"/>
      <w:bookmarkStart w:id="31" w:name="_Toc494455655"/>
      <w:bookmarkStart w:id="32" w:name="_Toc6095"/>
      <w:r>
        <w:rPr>
          <w:rFonts w:hint="eastAsia" w:ascii="宋体" w:hAnsi="宋体" w:eastAsia="宋体" w:cs="宋体"/>
          <w:sz w:val="28"/>
          <w:szCs w:val="28"/>
        </w:rPr>
        <w:t>6.询问</w:t>
      </w:r>
      <w:bookmarkEnd w:id="30"/>
      <w:bookmarkEnd w:id="31"/>
      <w:bookmarkEnd w:id="32"/>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6.1投标人对招标投标活动事项有疑问的，可以向采购代理机构提出询问；采购代理机构应当及时作出答复，但答复的内容不得涉及商业秘密。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6.2询问及答复既可以采取书面形式，也可以采取电话、面谈等口头方式。</w:t>
      </w:r>
    </w:p>
    <w:p>
      <w:pPr>
        <w:spacing w:line="440" w:lineRule="exact"/>
        <w:ind w:firstLine="560" w:firstLineChars="200"/>
        <w:outlineLvl w:val="2"/>
        <w:rPr>
          <w:rFonts w:hint="eastAsia" w:ascii="宋体" w:hAnsi="宋体" w:eastAsia="宋体" w:cs="宋体"/>
          <w:sz w:val="28"/>
          <w:szCs w:val="28"/>
        </w:rPr>
      </w:pPr>
      <w:bookmarkStart w:id="33" w:name="_Toc30639"/>
      <w:bookmarkStart w:id="34" w:name="_Toc13742"/>
      <w:bookmarkStart w:id="35" w:name="_Toc494455656"/>
      <w:r>
        <w:rPr>
          <w:rFonts w:hint="eastAsia" w:ascii="宋体" w:hAnsi="宋体" w:eastAsia="宋体" w:cs="宋体"/>
          <w:sz w:val="28"/>
          <w:szCs w:val="28"/>
        </w:rPr>
        <w:t>7.偏离</w:t>
      </w:r>
      <w:bookmarkEnd w:id="33"/>
      <w:bookmarkEnd w:id="34"/>
      <w:bookmarkEnd w:id="3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采购人允许投标文件偏离招标文件某些非实质性要求的，偏离应当符合招标文件规定的偏离范围和幅度。</w:t>
      </w:r>
    </w:p>
    <w:p>
      <w:pPr>
        <w:spacing w:line="440" w:lineRule="exact"/>
        <w:ind w:firstLine="560" w:firstLineChars="200"/>
        <w:outlineLvl w:val="2"/>
        <w:rPr>
          <w:rFonts w:hint="eastAsia" w:ascii="宋体" w:hAnsi="宋体" w:eastAsia="宋体" w:cs="宋体"/>
          <w:sz w:val="28"/>
          <w:szCs w:val="28"/>
        </w:rPr>
      </w:pPr>
      <w:bookmarkStart w:id="36" w:name="_Toc11651"/>
      <w:bookmarkStart w:id="37" w:name="_Toc6203"/>
      <w:bookmarkStart w:id="38" w:name="_Toc494455657"/>
      <w:r>
        <w:rPr>
          <w:rFonts w:hint="eastAsia" w:ascii="宋体" w:hAnsi="宋体" w:eastAsia="宋体" w:cs="宋体"/>
          <w:sz w:val="28"/>
          <w:szCs w:val="28"/>
        </w:rPr>
        <w:t>8.履约担保</w:t>
      </w:r>
      <w:bookmarkEnd w:id="36"/>
      <w:bookmarkEnd w:id="37"/>
      <w:bookmarkEnd w:id="38"/>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8.1在签订合同前，中标人应按照有关规定或者事先经过采购人书面认可的履约担保要求向采购人提交履约担保。除另有规定外，履约担保金额不超过中标合同金额的10%。</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8.2中标人未按照要求提交履约担保的，视为放弃中标，其投标保证金不予退还，给采购人造成的损失超过投标保证金的，中标人应当对超过部分予以赔偿。</w:t>
      </w:r>
    </w:p>
    <w:p>
      <w:pPr>
        <w:spacing w:line="440" w:lineRule="exact"/>
        <w:ind w:firstLine="560" w:firstLineChars="200"/>
        <w:outlineLvl w:val="2"/>
        <w:rPr>
          <w:rFonts w:hint="eastAsia" w:ascii="宋体" w:hAnsi="宋体" w:eastAsia="宋体" w:cs="宋体"/>
          <w:sz w:val="28"/>
          <w:szCs w:val="28"/>
        </w:rPr>
      </w:pPr>
      <w:bookmarkStart w:id="39" w:name="_Toc21616"/>
      <w:bookmarkStart w:id="40" w:name="_Toc8201"/>
      <w:bookmarkStart w:id="41" w:name="_Toc494455658"/>
      <w:r>
        <w:rPr>
          <w:rFonts w:hint="eastAsia" w:ascii="宋体" w:hAnsi="宋体" w:eastAsia="宋体" w:cs="宋体"/>
          <w:sz w:val="28"/>
          <w:szCs w:val="28"/>
        </w:rPr>
        <w:t>9.采购代理服务费</w:t>
      </w:r>
      <w:bookmarkEnd w:id="39"/>
      <w:bookmarkEnd w:id="40"/>
      <w:bookmarkEnd w:id="41"/>
    </w:p>
    <w:p>
      <w:pPr>
        <w:spacing w:line="440" w:lineRule="exact"/>
        <w:ind w:firstLine="480" w:firstLineChars="200"/>
        <w:rPr>
          <w:rFonts w:hint="eastAsia" w:ascii="宋体" w:hAnsi="宋体" w:eastAsia="宋体" w:cs="宋体"/>
          <w:sz w:val="24"/>
          <w:szCs w:val="24"/>
          <w:lang w:val="en-US" w:eastAsia="zh-CN"/>
        </w:rPr>
      </w:pPr>
      <w:bookmarkStart w:id="42" w:name="_Toc537"/>
      <w:bookmarkStart w:id="43" w:name="_Toc494455659"/>
      <w:r>
        <w:rPr>
          <w:rFonts w:hint="eastAsia" w:ascii="宋体" w:hAnsi="宋体" w:eastAsia="宋体" w:cs="宋体"/>
          <w:sz w:val="24"/>
          <w:szCs w:val="24"/>
        </w:rPr>
        <w:t>中标供应商应在领取成交通知书前，一次性向采购代理机构支付招标代理服务费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pPr>
        <w:spacing w:line="440" w:lineRule="exact"/>
        <w:ind w:firstLine="482" w:firstLineChars="200"/>
        <w:rPr>
          <w:rFonts w:hint="eastAsia" w:ascii="宋体" w:hAnsi="宋体" w:eastAsia="宋体" w:cs="宋体"/>
          <w:b/>
          <w:bCs/>
          <w:sz w:val="24"/>
          <w:szCs w:val="24"/>
          <w:lang w:eastAsia="zh-CN"/>
        </w:rPr>
      </w:pPr>
      <w:bookmarkStart w:id="44" w:name="_Toc3691"/>
      <w:r>
        <w:rPr>
          <w:rFonts w:hint="eastAsia" w:ascii="宋体" w:hAnsi="宋体" w:eastAsia="宋体" w:cs="宋体"/>
          <w:b/>
          <w:bCs/>
          <w:sz w:val="24"/>
          <w:szCs w:val="24"/>
        </w:rPr>
        <w:t>单位名称：</w:t>
      </w:r>
      <w:r>
        <w:rPr>
          <w:rFonts w:hint="eastAsia" w:ascii="宋体" w:hAnsi="宋体" w:eastAsia="宋体" w:cs="宋体"/>
          <w:b/>
          <w:bCs/>
          <w:sz w:val="24"/>
          <w:szCs w:val="24"/>
          <w:lang w:eastAsia="zh-CN"/>
        </w:rPr>
        <w:t>阿克苏地区振远项目咨询管理有限公司</w:t>
      </w:r>
    </w:p>
    <w:p>
      <w:pPr>
        <w:spacing w:line="440" w:lineRule="exact"/>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rPr>
        <w:t>地    址：</w:t>
      </w:r>
      <w:r>
        <w:rPr>
          <w:rFonts w:hint="eastAsia" w:ascii="宋体" w:hAnsi="宋体" w:eastAsia="宋体" w:cs="宋体"/>
          <w:b/>
          <w:bCs/>
          <w:sz w:val="24"/>
          <w:szCs w:val="24"/>
          <w:lang w:eastAsia="zh-CN"/>
        </w:rPr>
        <w:t>阿克苏农一师二中高层家属院</w:t>
      </w:r>
      <w:r>
        <w:rPr>
          <w:rFonts w:hint="eastAsia" w:ascii="宋体" w:hAnsi="宋体" w:eastAsia="宋体" w:cs="宋体"/>
          <w:b/>
          <w:bCs/>
          <w:sz w:val="24"/>
          <w:szCs w:val="24"/>
          <w:lang w:val="en-US" w:eastAsia="zh-CN"/>
        </w:rPr>
        <w:t>1-1-706号</w:t>
      </w:r>
    </w:p>
    <w:p>
      <w:pPr>
        <w:spacing w:line="44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开户银行：</w:t>
      </w:r>
      <w:r>
        <w:rPr>
          <w:rFonts w:hint="eastAsia" w:ascii="宋体" w:hAnsi="宋体" w:eastAsia="宋体" w:cs="宋体"/>
          <w:b/>
          <w:bCs/>
          <w:sz w:val="24"/>
          <w:szCs w:val="24"/>
          <w:lang w:eastAsia="zh-CN"/>
        </w:rPr>
        <w:t>中国工商银行股份有限公司阿克苏分行塔北路支行</w:t>
      </w:r>
    </w:p>
    <w:p>
      <w:pPr>
        <w:spacing w:line="440" w:lineRule="exact"/>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rPr>
        <w:t>账    号：</w:t>
      </w:r>
      <w:r>
        <w:rPr>
          <w:rFonts w:hint="eastAsia" w:ascii="宋体" w:hAnsi="宋体" w:eastAsia="宋体" w:cs="宋体"/>
          <w:b/>
          <w:bCs/>
          <w:sz w:val="24"/>
          <w:szCs w:val="24"/>
          <w:lang w:val="en-US" w:eastAsia="zh-CN"/>
        </w:rPr>
        <w:t>3014020909200059464</w:t>
      </w:r>
    </w:p>
    <w:p>
      <w:pPr>
        <w:spacing w:line="440" w:lineRule="exact"/>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10.招标文件</w:t>
      </w:r>
      <w:bookmarkEnd w:id="42"/>
      <w:bookmarkEnd w:id="43"/>
      <w:bookmarkEnd w:id="44"/>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10.1招标文件的组成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10.1.1招标文件是用以阐明所需货物以及服务、招标程序和合同格式的规范性文件。招标文件主要由以下部分组成：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第一章  招标公告；</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第二章  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第三章  采购需求；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第四章  评标办法；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第五章  签订合同、合同主要条款；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第六章  投标文件格式；</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10.1.2根据本章第10.2款对采购文件所作的澄清和修改，构成采购文件的组成部分。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10.1.3除非有特殊要求，招标文件不单独提供项目所在地的自然环境、气候条件、公用设施等情况，投标人被视为熟悉上述与履行合同有关的一切情况。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10.2招标文件的澄清和修改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10.2.1采购人对已发出的招标文件进行必要澄清或者修改的，应当在规定的投标截止时间15日前，向各投标人发出补充文件，以书面形式通知所有招标文件收受人，但不指明澄清问题的来源。如果澄清或者修改招标文件的时间距投标截止时间不足15日，采购人应延长投标截止时间，具体时间将在补充文件中予以明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的电子信箱，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10.2.3招标文件的澄清或者修改文件，应作为招标文件组成部分并具有法律效力，任何口头答复、通知无效。招标文件的澄清或者修改在同一内容的表述上不一致时，以最后发出的公告为准。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10.2.4投标人认为招标文件存在歧视性条款或者不合理要求等需要澄清的，应在规定时间内一次性全部提出。在规定时间未一次性提出或者对已澄清的条款再提异议者，即视为同意和接受相关条款。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10.2.5从补充文件发出时间开始，投标人应在投标人须知前附表规定的时间内回复确认函，加盖投标人单位公章以及确认日期，采用信函、传真或者直接送达的形式通知采购代理机构。否则，即视为同意和接受该公告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10.3延长投标截止时间和开标时间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采购人可以视采购具体情况，延长投标截止时间和开标时间，但至少应当在招标文件要求提交投标文件的截止时间3日前，以书面形式通知所有招标文件收受人。</w:t>
      </w:r>
    </w:p>
    <w:p>
      <w:pPr>
        <w:spacing w:line="440" w:lineRule="exact"/>
        <w:ind w:firstLine="560" w:firstLineChars="200"/>
        <w:outlineLvl w:val="2"/>
        <w:rPr>
          <w:rFonts w:hint="eastAsia" w:ascii="宋体" w:hAnsi="宋体" w:eastAsia="宋体" w:cs="宋体"/>
          <w:sz w:val="28"/>
          <w:szCs w:val="28"/>
        </w:rPr>
      </w:pPr>
      <w:bookmarkStart w:id="45" w:name="_Toc494455660"/>
      <w:bookmarkStart w:id="46" w:name="_Toc24258"/>
      <w:bookmarkStart w:id="47" w:name="_Toc13654"/>
      <w:r>
        <w:rPr>
          <w:rFonts w:hint="eastAsia" w:ascii="宋体" w:hAnsi="宋体" w:eastAsia="宋体" w:cs="宋体"/>
          <w:sz w:val="28"/>
          <w:szCs w:val="28"/>
        </w:rPr>
        <w:t>11.投标文件的组成</w:t>
      </w:r>
      <w:bookmarkEnd w:id="45"/>
      <w:bookmarkEnd w:id="46"/>
      <w:bookmarkEnd w:id="47"/>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11.1投标人应按照招标文件的要求以及格式编制投标文件，并保证其真实性、准确性以及完整性，并按照招标文件要求提交全部资料并做出实质性响应。</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11.2投标文件由商务文件、技术文件以及电子版投标文件组成：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11.3商务文件：详见“第六章 投标文件格式 商务文件”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11.4技术文件：详见“第六章 投标文件格式 技术文件”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11.5电子版投标文件内容为技术文件、商务文件要求的内容。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11.6电子版投标文件作为投标文件的一部分，均不退回。</w:t>
      </w:r>
    </w:p>
    <w:p>
      <w:pPr>
        <w:spacing w:line="440" w:lineRule="exact"/>
        <w:ind w:firstLine="560" w:firstLineChars="200"/>
        <w:outlineLvl w:val="2"/>
        <w:rPr>
          <w:rFonts w:hint="eastAsia" w:ascii="宋体" w:hAnsi="宋体" w:eastAsia="宋体" w:cs="宋体"/>
          <w:sz w:val="28"/>
          <w:szCs w:val="28"/>
        </w:rPr>
      </w:pPr>
      <w:bookmarkStart w:id="48" w:name="_Toc8207"/>
      <w:bookmarkStart w:id="49" w:name="_Toc28937"/>
      <w:bookmarkStart w:id="50" w:name="_Toc494455661"/>
      <w:r>
        <w:rPr>
          <w:rFonts w:hint="eastAsia" w:ascii="宋体" w:hAnsi="宋体" w:eastAsia="宋体" w:cs="宋体"/>
          <w:sz w:val="28"/>
          <w:szCs w:val="28"/>
        </w:rPr>
        <w:t>12.投标报价</w:t>
      </w:r>
      <w:bookmarkEnd w:id="48"/>
      <w:bookmarkEnd w:id="49"/>
      <w:bookmarkEnd w:id="50"/>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12.1投标报价的范围：见投标人须知前附表。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12.2投标人应对所投</w:t>
      </w:r>
      <w:r>
        <w:rPr>
          <w:rFonts w:hint="eastAsia" w:ascii="宋体" w:hAnsi="宋体" w:eastAsia="宋体" w:cs="宋体"/>
          <w:sz w:val="24"/>
          <w:szCs w:val="24"/>
          <w:lang w:val="en-US" w:eastAsia="zh-CN"/>
        </w:rPr>
        <w:t>项目</w:t>
      </w:r>
      <w:r>
        <w:rPr>
          <w:rFonts w:hint="eastAsia" w:ascii="宋体" w:hAnsi="宋体" w:eastAsia="宋体" w:cs="宋体"/>
          <w:sz w:val="24"/>
          <w:szCs w:val="24"/>
        </w:rPr>
        <w:t>的货物进行报价，对</w:t>
      </w:r>
      <w:r>
        <w:rPr>
          <w:rFonts w:hint="eastAsia" w:ascii="宋体" w:hAnsi="宋体" w:eastAsia="宋体" w:cs="宋体"/>
          <w:sz w:val="24"/>
          <w:szCs w:val="24"/>
          <w:lang w:val="en-US" w:eastAsia="zh-CN"/>
        </w:rPr>
        <w:t>所有</w:t>
      </w:r>
      <w:r>
        <w:rPr>
          <w:rFonts w:hint="eastAsia" w:ascii="宋体" w:hAnsi="宋体" w:eastAsia="宋体" w:cs="宋体"/>
          <w:sz w:val="24"/>
          <w:szCs w:val="24"/>
        </w:rPr>
        <w:t>货物</w:t>
      </w:r>
      <w:r>
        <w:rPr>
          <w:rFonts w:hint="eastAsia" w:ascii="宋体" w:hAnsi="宋体" w:eastAsia="宋体" w:cs="宋体"/>
          <w:sz w:val="24"/>
          <w:szCs w:val="24"/>
          <w:lang w:val="en-US" w:eastAsia="zh-CN"/>
        </w:rPr>
        <w:t>包含的所有内容</w:t>
      </w:r>
      <w:r>
        <w:rPr>
          <w:rFonts w:hint="eastAsia" w:ascii="宋体" w:hAnsi="宋体" w:eastAsia="宋体" w:cs="宋体"/>
          <w:sz w:val="24"/>
          <w:szCs w:val="24"/>
        </w:rPr>
        <w:t>的报价必须全部报齐。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12.3投标报价的次数：见投标人须知前附表。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12.4投标人不得以任何方式或者方法提供投标以外的任何附赠条款。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12.5投标人应按照招标文件中要求的内容填写报价，并由法定代表人或者被授权代表签署。</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12.6投标人须按照附件格式表中的各单项明细逐项填写，以方便评标委员会对各投标文件进行比较。</w:t>
      </w:r>
    </w:p>
    <w:p>
      <w:pPr>
        <w:pStyle w:val="11"/>
        <w:rPr>
          <w:rFonts w:hint="eastAsia" w:ascii="宋体" w:hAnsi="宋体" w:eastAsia="宋体" w:cs="宋体"/>
          <w:lang w:val="en-US" w:eastAsia="zh-CN"/>
        </w:rPr>
      </w:pPr>
      <w:r>
        <w:rPr>
          <w:rFonts w:hint="eastAsia" w:ascii="宋体" w:hAnsi="宋体" w:eastAsia="宋体" w:cs="宋体"/>
          <w:sz w:val="24"/>
          <w:szCs w:val="24"/>
          <w:lang w:val="en-US" w:eastAsia="zh-CN"/>
        </w:rPr>
        <w:t>12.7本项目只允许有一个报价，且投标人的投标报价应保持一致。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8</w:t>
      </w:r>
      <w:r>
        <w:rPr>
          <w:rFonts w:hint="eastAsia" w:ascii="宋体" w:hAnsi="宋体" w:eastAsia="宋体" w:cs="宋体"/>
          <w:sz w:val="24"/>
          <w:szCs w:val="24"/>
        </w:rPr>
        <w:t>投标文件报价出现前后不一致的，除招标文件另有规定外，按照下列规定修正：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（一）投标文件中开标一览表（报价表）内容与投标文件中相应内容不一致的，以开标一览表（报价表）为准；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（二）大写金额和小写金额不一致的，以大写金额为准；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（三）单价金额小数点或者百分比有明显错位的，以开标一览表的总价为准，并修改单价；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（四）总价金额与按单价汇总金额不一致的，以单价金额计算结果为准。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9</w:t>
      </w:r>
      <w:r>
        <w:rPr>
          <w:rFonts w:hint="eastAsia" w:ascii="宋体" w:hAnsi="宋体" w:eastAsia="宋体" w:cs="宋体"/>
          <w:sz w:val="24"/>
          <w:szCs w:val="24"/>
        </w:rPr>
        <w:t>唱标时，采购代理机构只对按照招标文件要求编制的投标报价进行唱标。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10</w:t>
      </w:r>
      <w:r>
        <w:rPr>
          <w:rFonts w:hint="eastAsia" w:ascii="宋体" w:hAnsi="宋体" w:eastAsia="宋体" w:cs="宋体"/>
          <w:sz w:val="24"/>
          <w:szCs w:val="24"/>
        </w:rPr>
        <w:t>投标人的中标价格在合同执行中是固定不变的，不得以任何理由予以变更，不得出现任何包含价格调整的要求。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w:t>
      </w:r>
      <w:r>
        <w:rPr>
          <w:rFonts w:hint="eastAsia" w:ascii="宋体" w:hAnsi="宋体" w:eastAsia="宋体" w:cs="宋体"/>
          <w:sz w:val="24"/>
          <w:szCs w:val="24"/>
          <w:lang w:val="en-US" w:eastAsia="zh-CN"/>
        </w:rPr>
        <w:t>1</w:t>
      </w:r>
      <w:r>
        <w:rPr>
          <w:rFonts w:hint="eastAsia" w:ascii="宋体" w:hAnsi="宋体" w:eastAsia="宋体" w:cs="宋体"/>
          <w:sz w:val="24"/>
          <w:szCs w:val="24"/>
        </w:rPr>
        <w:t>采购人不接受未经中国海关报验放进入中国境内且产自关境外的货物报价。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w:t>
      </w:r>
      <w:r>
        <w:rPr>
          <w:rFonts w:hint="eastAsia" w:ascii="宋体" w:hAnsi="宋体" w:eastAsia="宋体" w:cs="宋体"/>
          <w:sz w:val="24"/>
          <w:szCs w:val="24"/>
          <w:lang w:val="en-US" w:eastAsia="zh-CN"/>
        </w:rPr>
        <w:t>2</w:t>
      </w:r>
      <w:r>
        <w:rPr>
          <w:rFonts w:hint="eastAsia" w:ascii="宋体" w:hAnsi="宋体" w:eastAsia="宋体" w:cs="宋体"/>
          <w:sz w:val="24"/>
          <w:szCs w:val="24"/>
          <w:lang w:val="en-GB"/>
        </w:rPr>
        <w:t>投标人须知前附表未规定可以采购进口产品的，不允许进口产品参加投标。</w:t>
      </w:r>
    </w:p>
    <w:p>
      <w:pPr>
        <w:spacing w:line="440" w:lineRule="exact"/>
        <w:ind w:firstLine="560" w:firstLineChars="200"/>
        <w:outlineLvl w:val="2"/>
        <w:rPr>
          <w:rFonts w:hint="eastAsia" w:ascii="宋体" w:hAnsi="宋体" w:eastAsia="宋体" w:cs="宋体"/>
          <w:sz w:val="28"/>
          <w:szCs w:val="28"/>
        </w:rPr>
      </w:pPr>
      <w:bookmarkStart w:id="51" w:name="_Toc30173"/>
      <w:bookmarkStart w:id="52" w:name="_Toc494455662"/>
      <w:bookmarkStart w:id="53" w:name="_Toc24675"/>
      <w:r>
        <w:rPr>
          <w:rFonts w:hint="eastAsia" w:ascii="宋体" w:hAnsi="宋体" w:eastAsia="宋体" w:cs="宋体"/>
          <w:sz w:val="28"/>
          <w:szCs w:val="28"/>
        </w:rPr>
        <w:t>13.投标文件格式以及编制要求</w:t>
      </w:r>
      <w:bookmarkEnd w:id="51"/>
      <w:bookmarkEnd w:id="52"/>
      <w:bookmarkEnd w:id="53"/>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13.1投标文件应按所投包分别进行编制。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13.2投标文件编制装订：见投标人须知前附表。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13.3投标文件签署和盖章：见投标人须知前附表。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13.4投标人可对供货现场以及其范围环境进行考察，以获取有关编制投标文件和签署实施合同所需的各项资料，投标人应承担现场考察的费用、责任和风险。</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13.5投标人编制投标文件时，应当如实在技术响应表和资信以及商务响应表中填写响应情况。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13.6投标文件份数及要求：见投标人须知前附表。</w:t>
      </w:r>
    </w:p>
    <w:p>
      <w:pPr>
        <w:spacing w:line="440" w:lineRule="exact"/>
        <w:ind w:firstLine="560" w:firstLineChars="200"/>
        <w:outlineLvl w:val="2"/>
        <w:rPr>
          <w:rFonts w:hint="eastAsia" w:ascii="宋体" w:hAnsi="宋体" w:eastAsia="宋体" w:cs="宋体"/>
          <w:sz w:val="28"/>
          <w:szCs w:val="28"/>
        </w:rPr>
      </w:pPr>
      <w:bookmarkStart w:id="54" w:name="_Toc494455663"/>
      <w:bookmarkStart w:id="55" w:name="_Toc22295"/>
      <w:bookmarkStart w:id="56" w:name="_Toc283"/>
      <w:r>
        <w:rPr>
          <w:rFonts w:hint="eastAsia" w:ascii="宋体" w:hAnsi="宋体" w:eastAsia="宋体" w:cs="宋体"/>
          <w:sz w:val="28"/>
          <w:szCs w:val="28"/>
        </w:rPr>
        <w:t>14.投标文件的密封和标记</w:t>
      </w:r>
      <w:bookmarkEnd w:id="54"/>
      <w:bookmarkEnd w:id="55"/>
      <w:bookmarkEnd w:id="56"/>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见投标人须知前附表。</w:t>
      </w:r>
    </w:p>
    <w:p>
      <w:pPr>
        <w:spacing w:line="440" w:lineRule="exact"/>
        <w:ind w:firstLine="560" w:firstLineChars="200"/>
        <w:outlineLvl w:val="2"/>
        <w:rPr>
          <w:rFonts w:hint="eastAsia" w:ascii="宋体" w:hAnsi="宋体" w:eastAsia="宋体" w:cs="宋体"/>
          <w:sz w:val="28"/>
          <w:szCs w:val="28"/>
        </w:rPr>
      </w:pPr>
      <w:bookmarkStart w:id="57" w:name="_Toc4171"/>
      <w:bookmarkStart w:id="58" w:name="_Toc15416"/>
      <w:bookmarkStart w:id="59" w:name="_Toc494455664"/>
      <w:r>
        <w:rPr>
          <w:rFonts w:hint="eastAsia" w:ascii="宋体" w:hAnsi="宋体" w:eastAsia="宋体" w:cs="宋体"/>
          <w:sz w:val="28"/>
          <w:szCs w:val="28"/>
        </w:rPr>
        <w:t>15.投标文件的递交</w:t>
      </w:r>
      <w:bookmarkEnd w:id="57"/>
      <w:bookmarkEnd w:id="58"/>
      <w:bookmarkEnd w:id="59"/>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15.1投标人应在投标截止时间前递交投标文件。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15.2投标人递交投标文件的时间、地点和要求：见投标人须知前附表。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15.3投标人有下列情况之一，采购人或者采购代理机构应当拒绝接收投标人的投标文件：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15.3.1逾期送达的或者未送达指定地点的；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15.3.2投标文件未按招标文件要求密封的。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15.4除投标人须知前附表另有规定外，不论招标过程和结果如何，投标人的投标文件均不退还。</w:t>
      </w:r>
    </w:p>
    <w:p>
      <w:pPr>
        <w:spacing w:line="440" w:lineRule="exact"/>
        <w:ind w:firstLine="560" w:firstLineChars="200"/>
        <w:outlineLvl w:val="2"/>
        <w:rPr>
          <w:rFonts w:hint="eastAsia" w:ascii="宋体" w:hAnsi="宋体" w:eastAsia="宋体" w:cs="宋体"/>
          <w:sz w:val="28"/>
          <w:szCs w:val="28"/>
        </w:rPr>
      </w:pPr>
      <w:bookmarkStart w:id="60" w:name="_Toc2916"/>
      <w:bookmarkStart w:id="61" w:name="_Toc494455665"/>
      <w:bookmarkStart w:id="62" w:name="_Toc10901"/>
      <w:r>
        <w:rPr>
          <w:rFonts w:hint="eastAsia" w:ascii="宋体" w:hAnsi="宋体" w:eastAsia="宋体" w:cs="宋体"/>
          <w:sz w:val="28"/>
          <w:szCs w:val="28"/>
        </w:rPr>
        <w:t>16.投标文件的修改与撤回</w:t>
      </w:r>
      <w:bookmarkEnd w:id="60"/>
      <w:bookmarkEnd w:id="61"/>
      <w:bookmarkEnd w:id="62"/>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16.1投标人在招标文件要求提交投标文件截止时间前，可以补充、修改或者撤回已提交的投标文件，并书面形式通知采购人或者采购代理机构。补充、修改的内容为投标文件的组成部分。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16.2投标人对投标文件的补充、修改，应按照本招标文件有关规定进行编制、密封、标记、盖章和递交，并在投标文件密封袋上，清楚标明“修改投标文件”或者“撤回投标”字样。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16.3在提交投标文件截止时间后到招标文件规定的投标有效期终止之前，投标人不得补充、修改或者撤回其投标文件。投标人撤回全部或者部分投标文件的，其投标保证金将被没收。</w:t>
      </w:r>
    </w:p>
    <w:p>
      <w:pPr>
        <w:spacing w:line="440" w:lineRule="exact"/>
        <w:ind w:firstLine="560" w:firstLineChars="200"/>
        <w:outlineLvl w:val="2"/>
        <w:rPr>
          <w:rFonts w:hint="eastAsia" w:ascii="宋体" w:hAnsi="宋体" w:eastAsia="宋体" w:cs="宋体"/>
          <w:sz w:val="28"/>
          <w:szCs w:val="28"/>
          <w:lang w:eastAsia="zh-CN"/>
        </w:rPr>
      </w:pPr>
      <w:bookmarkStart w:id="63" w:name="_Toc7601"/>
      <w:bookmarkStart w:id="64" w:name="_Toc27148"/>
      <w:bookmarkStart w:id="65" w:name="_Toc494455666"/>
      <w:r>
        <w:rPr>
          <w:rFonts w:hint="eastAsia" w:ascii="宋体" w:hAnsi="宋体" w:eastAsia="宋体" w:cs="宋体"/>
          <w:sz w:val="28"/>
          <w:szCs w:val="28"/>
        </w:rPr>
        <w:t>17.投标保证金</w:t>
      </w:r>
      <w:bookmarkEnd w:id="63"/>
      <w:bookmarkEnd w:id="64"/>
      <w:bookmarkEnd w:id="6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17.1投标保证金的交纳</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17.1.1投标保证金的交纳金额和形式：见投标人须知前附表。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17.1.2投标保证金以到账时间为准。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17.1.3投标人为联合体的，联合体牵头人交纳的保证金对联合体各方均具有约束力。</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17.2投标保证金的退还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17.2.1投标人在招标文件要求提交投标文件截止时间前撤回已提交的投标文件的，采购人或者采购代理机构自收到投标人书面撤回通知之日起5个工作日内，退还已收取的投标保证金，但因投标人自身原因导致无法及时退还的除外。</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17.2.2采购代理机构应当自中标通知书发出之日起2个工作日内退还未中标人的投标保证金，自采购合同签订之日起5个工作日内退还中标人的投标保证金或者转为中标人的履约保证金。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17.3投标保证金的不予退还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17.3.1投标人有下列情形之一的，投标保证金将不予退还：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（1）提供的有关资料不真实或者提供虚假材料的；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（2）投标有效期内投标人撤销投标文件的；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（3）损害采购人或者采购代理机构合法权益的；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（4）投标人向采购代理机构、采购人、专家提供不正当利益的；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（5）经评标委员会认定有故意哄抬报价、串标或者其它违法行为的;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（6）中标人未按照招标文件规定签订合同或者未按照招标文件规定提供履约保证金的；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（7）法律、行政法规以及有关规定的其它情形。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17.3.2不予退还的投标保证金应在规定时间内上缴国库。</w:t>
      </w:r>
    </w:p>
    <w:p>
      <w:pPr>
        <w:spacing w:line="440" w:lineRule="exact"/>
        <w:ind w:firstLine="560" w:firstLineChars="200"/>
        <w:outlineLvl w:val="2"/>
        <w:rPr>
          <w:rFonts w:hint="eastAsia" w:ascii="宋体" w:hAnsi="宋体" w:eastAsia="宋体" w:cs="宋体"/>
          <w:sz w:val="28"/>
          <w:szCs w:val="28"/>
        </w:rPr>
      </w:pPr>
      <w:bookmarkStart w:id="66" w:name="_Toc16491"/>
      <w:bookmarkStart w:id="67" w:name="_Toc494455670"/>
      <w:bookmarkStart w:id="68" w:name="_Toc884"/>
      <w:bookmarkStart w:id="69" w:name="_Toc494455667"/>
      <w:r>
        <w:rPr>
          <w:rFonts w:hint="eastAsia" w:ascii="宋体" w:hAnsi="宋体" w:eastAsia="宋体" w:cs="宋体"/>
          <w:sz w:val="28"/>
          <w:szCs w:val="28"/>
        </w:rPr>
        <w:t>18.开标、评标、定标</w:t>
      </w:r>
      <w:bookmarkEnd w:id="66"/>
      <w:bookmarkEnd w:id="67"/>
      <w:bookmarkEnd w:id="68"/>
    </w:p>
    <w:p>
      <w:pPr>
        <w:spacing w:line="440" w:lineRule="exact"/>
        <w:ind w:firstLine="480" w:firstLineChars="200"/>
        <w:rPr>
          <w:rFonts w:hint="eastAsia" w:ascii="宋体" w:hAnsi="宋体" w:eastAsia="宋体" w:cs="宋体"/>
          <w:sz w:val="24"/>
          <w:szCs w:val="24"/>
        </w:rPr>
      </w:pPr>
      <w:bookmarkStart w:id="70" w:name="_Toc494455671"/>
      <w:r>
        <w:rPr>
          <w:rFonts w:hint="eastAsia" w:ascii="宋体" w:hAnsi="宋体" w:eastAsia="宋体" w:cs="宋体"/>
          <w:sz w:val="24"/>
          <w:szCs w:val="24"/>
        </w:rPr>
        <w:t>18.1开标程序</w:t>
      </w:r>
      <w:bookmarkEnd w:id="70"/>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18.1.1宣布开标纪律；</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18.1.2宣布主持人、唱标人、记录人等有关人员姓名；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18.1.3公布在投标截止时间前递交投标文件的投标人名称及签到顺序；</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18.1.4投标人相互检查投标文件密封情况，并签字确认；</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18.1.5由公证人员、采购人及监督对各投标单位验资，各投标人在验资表上签字确认；</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18.1.6开启投标文件，按照签到顺序公布投标人名称、投标报价等内容，并记录在案；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18.1.7投标人法定代表人（或者被授权代表）、采购人代表、记录人等有关人员在开标记录上签字确认；</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18.1.8开标结束。</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采购过程中出现以下情形，导致电子交易平台无法正常运行，或者无法保证电子交易的公平、公正和安全时，可中止电子交易活动：</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（一）电子交易平台发生故障而无法登录访问的；</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（二）电子交易平台应用或数据库出现错误，不能进行正常操作的；</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（三）电子交易平台发现严重安全漏洞，有潜在泄密危险的；</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（四）病毒发作导致不能进行正常操作的；</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（五）其他无法保证电子交易的公平、公正和安全的情况。</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出现前款规定情形，不影响采购公平、公正性的，采购代理机构可以待上述情形消除后继续组织电子交易活动；影响或可能影响采购公平、公正性的，重新组织采购。</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采购代理机构或谈判小组因不可抗力（不可抗力包括但不限于自然灾害、断电、传播疫病等）原因造成电子交易活动无法正常运行的，将采取以下措施：</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⑴短时间内能消除不可抗力因素的，采购代理机构或</w:t>
      </w:r>
      <w:r>
        <w:rPr>
          <w:rFonts w:hint="eastAsia" w:ascii="宋体" w:hAnsi="宋体" w:eastAsia="宋体" w:cs="宋体"/>
          <w:sz w:val="24"/>
          <w:szCs w:val="24"/>
          <w:lang w:val="en-US" w:eastAsia="zh-CN"/>
        </w:rPr>
        <w:t>评委</w:t>
      </w:r>
      <w:r>
        <w:rPr>
          <w:rFonts w:hint="eastAsia" w:ascii="宋体" w:hAnsi="宋体" w:eastAsia="宋体" w:cs="宋体"/>
          <w:sz w:val="24"/>
          <w:szCs w:val="24"/>
          <w:lang w:eastAsia="zh-CN"/>
        </w:rPr>
        <w:t>小组在消除不可抗力因素后继续组织电子交易活动。</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⑵长时间内无法消除不可抗力因素的，采购代理机构或谈判小组将中止电子交易活动。中止电子交易活动的，采购人应当重新组织政府采购活动。</w:t>
      </w:r>
    </w:p>
    <w:p>
      <w:pPr>
        <w:spacing w:line="440" w:lineRule="exact"/>
        <w:ind w:firstLine="480" w:firstLineChars="200"/>
        <w:rPr>
          <w:rFonts w:hint="eastAsia" w:ascii="宋体" w:hAnsi="宋体" w:eastAsia="宋体" w:cs="宋体"/>
          <w:sz w:val="24"/>
          <w:szCs w:val="24"/>
        </w:rPr>
      </w:pPr>
      <w:bookmarkStart w:id="71" w:name="_Toc494455672"/>
      <w:r>
        <w:rPr>
          <w:rFonts w:hint="eastAsia" w:ascii="宋体" w:hAnsi="宋体" w:eastAsia="宋体" w:cs="宋体"/>
          <w:sz w:val="24"/>
          <w:szCs w:val="24"/>
        </w:rPr>
        <w:t>18.2开标</w:t>
      </w:r>
      <w:bookmarkEnd w:id="71"/>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18.2.1开标应当在招标文件确定的提交投标文件截止时间的同一时间公开进行。开标地点应当为招标文件中预先确定的地点。邀请投标人法定代表人或者被授权代表参加，参加开标会议的代表应签名报到。</w:t>
      </w:r>
    </w:p>
    <w:p>
      <w:pPr>
        <w:spacing w:line="440" w:lineRule="exact"/>
        <w:ind w:firstLine="480" w:firstLineChars="200"/>
        <w:rPr>
          <w:rFonts w:hint="eastAsia" w:ascii="宋体" w:hAnsi="宋体" w:eastAsia="宋体" w:cs="宋体"/>
          <w:b w:val="0"/>
          <w:bCs/>
          <w:sz w:val="24"/>
          <w:lang w:val="zh-CN"/>
        </w:rPr>
      </w:pPr>
      <w:r>
        <w:rPr>
          <w:rFonts w:hint="eastAsia" w:ascii="宋体" w:hAnsi="宋体" w:eastAsia="宋体" w:cs="宋体"/>
          <w:b w:val="0"/>
          <w:bCs/>
          <w:sz w:val="24"/>
          <w:lang w:val="zh-CN"/>
        </w:rPr>
        <w:t>法定代表人参加开标会议的，应出示法定代表人身份证明原件和本人身份证原件；被授权代表参加开标会议的，应出示授权委托书原件和本人身份证原件。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或者采购代理机构收到投标文件后，应当如实记载投标文件的送达时间和密封情况，签收保存，并向投标人出具签收回执。逾期送达或者未按照招标文件要求密封的投标文件，采购人、采购代理机构应当拒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18.2.2检查投标文件密封情况，由投标人法定代表人或者被授权代表互相检查各投标人投标文件的密封情况，采购人并请各投标人法定代表人或者被授权代表签字确认。投标人法定代表人或者被授权代表认为某个或者某些投标人的投标文件密封不符合规定的，应当面提出，采购代理机构现场记录，相关各方投标人法定代表人或者被授权代表签字确认无异议后，由采购代理机构工作人员当众拆封，开启符合密封规定的投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相关各方投标人法定代表人或者被授权代表签字确认有异议的，报现场监督人员和评标委员会处理，在处理决定未作出之前有异议各方的投标文件均不得开启；处理决定认为投标文件符合或者不符合规定的，各方均应签字确认，拒绝签字的不影响处理决定的执行；处理决定认为投标文件不符合规定的，按照投标无效处理。处理决定公布后，由采购代理机构工作人员当众拆封，开启符合密封规定的投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按照上述规定开启投标文件后，投标人再对投标文件的密封情况提出异议的，采购人或者采购代理机构不予受理。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18.2.3由采购代理机构工作人员唱标。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18.2.4开标和唱标由采购代理机构指定专人负责，开标记录由投标人法定代表人或者被授权代表、采购人代表、记录人等有关人员签字确认，采购代理机构负责存档备查。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18.2.5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18.2.6投标人不足3家的，不得开标。</w:t>
      </w:r>
    </w:p>
    <w:p>
      <w:pPr>
        <w:spacing w:line="440" w:lineRule="exact"/>
        <w:ind w:firstLine="480" w:firstLineChars="200"/>
        <w:rPr>
          <w:rFonts w:hint="eastAsia" w:ascii="宋体" w:hAnsi="宋体" w:eastAsia="宋体" w:cs="宋体"/>
          <w:sz w:val="24"/>
          <w:szCs w:val="24"/>
        </w:rPr>
      </w:pPr>
      <w:bookmarkStart w:id="72" w:name="_Toc494455673"/>
      <w:r>
        <w:rPr>
          <w:rFonts w:hint="eastAsia" w:ascii="宋体" w:hAnsi="宋体" w:eastAsia="宋体" w:cs="宋体"/>
          <w:sz w:val="24"/>
          <w:szCs w:val="24"/>
        </w:rPr>
        <w:t>18.3评标委员会</w:t>
      </w:r>
      <w:bookmarkEnd w:id="72"/>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18.3.1评标委员会的组成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采购人按照《中华人民共和国政府采购法》以及有关规定组建评标委员会。评标由依法组建的评标委员会负责。</w:t>
      </w:r>
      <w:r>
        <w:rPr>
          <w:rFonts w:hint="eastAsia" w:ascii="宋体" w:hAnsi="宋体" w:eastAsia="宋体" w:cs="宋体"/>
          <w:sz w:val="24"/>
          <w:szCs w:val="24"/>
          <w:lang w:val="en-US" w:eastAsia="zh-CN"/>
        </w:rPr>
        <w:t>本项目</w:t>
      </w:r>
      <w:r>
        <w:rPr>
          <w:rFonts w:hint="eastAsia" w:ascii="宋体" w:hAnsi="宋体" w:eastAsia="宋体" w:cs="宋体"/>
          <w:sz w:val="24"/>
          <w:szCs w:val="24"/>
        </w:rPr>
        <w:t>评标委员会由采购人代表和评标专家组成，成员人数为</w:t>
      </w:r>
      <w:r>
        <w:rPr>
          <w:rFonts w:hint="eastAsia" w:ascii="宋体" w:hAnsi="宋体" w:eastAsia="宋体" w:cs="宋体"/>
          <w:sz w:val="24"/>
          <w:szCs w:val="24"/>
          <w:lang w:val="en-US" w:eastAsia="zh-CN"/>
        </w:rPr>
        <w:t>5</w:t>
      </w:r>
      <w:r>
        <w:rPr>
          <w:rFonts w:hint="eastAsia" w:ascii="宋体" w:hAnsi="宋体" w:eastAsia="宋体" w:cs="宋体"/>
          <w:sz w:val="24"/>
          <w:szCs w:val="24"/>
        </w:rPr>
        <w:t>人，技术、经济等方面的评审专家不得少于成员总数的三分之二。评审专家对本单位的采购项目只能作为采购人代表参与评标，采购人可以自行选定相应专业领域评审专家的规定情形除外。采购代理机构工作人员不得参加由本机构代理的政府采购项目的评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18.3.2评审专家的抽取</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18.3.2.1采用随机抽取方式从地区以上财政部门设立的政府采购评审专家库中抽取评审专家。任何单位和个人都不得指定评审专家或干预评审专家的抽取工作。</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18.3.2.2参加评审专家抽取的有关人员对被抽取的专家的姓名、单位和联系方式等内容负有保密的义务。评标委员会成员的名单在中标结果确定前必须严格保密。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18.3.3评标委员会成员不得参加与自己有利害关系的评审活动，与自己有利害关系的应当回避，已经进入的必须更换。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18.3.4评标委员会负责对各投标文件进行评审、比较、评定，并按本招标文件的规定确定中标候选人名单，以及根据采购人委托直接确定中标人。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18.3.5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18.3.6评标委员会的职责：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18.3.6.1审查、评价投标文件是否符合招标文件的商务、技术等实质性要求；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18.3.6.2要求投标人对投标文件有关事项作出澄清或者说明；</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18.3.6.3对投标文件进行比较和评价；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18.3.6.4确定中标候选人名单，以及根据采购人委托直接确定中标人；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18.3.6.5向采购人、采购代理机构或者有关部门报告评标中发现的违法行为。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18.3.7评标委员会的义务：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18.3.7.1遵纪守法，客观、公正、廉洁地履行职责；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18.3.7.2提出真实、可靠的评审意见；</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18.3.7.3严格遵守评标纪律，不得向外界泄露评标情况；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18.3.7.4发现投标人在招投标活动中有不正当竞争或者恶意串通等违规行为，应及时向监督部门报告并加以制止；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18.3.7.5按照招标文件规定的评标方法和评标标准进行评标，对评标意见承担个人责任；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18.3.7.6编写评标报告；</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18.3.7.7配合采购人或者采购代理机构答复投标人提出的质疑；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18.3.7.8对评标过程和结果，以及采购人、投标人的商业秘密保密；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18.3.7.9配合监管部门处理投诉；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18.3.8评标委员会成员有下列情形之一的，应当回避：</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18.3.8.1投标人或者投标人主要负责人的近亲属；</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18.3.8.2项目主管部门或者行政监督部门的人员；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18.3.8.3与投标人有经济利益关系；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18.3.8.4曾因在招标、评标以及其他与招标投标有关系活动中从事违法行为而受到行政处罚或者刑事处罚的；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18.3.8.5与投标人有其他利害关系。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18.3.9评标中因评标委员会成员缺席、回避或者健康等特殊原因导致评标委员会组成不符合本办法规定的，采购人或者采购代理机构应当依法补足后继续评标。被更换的评标委员会成员所作出的评标意见无效。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无法及时补足评标委员会成员的，采购人或者采购代理机构应当停止评标活动，封存所有投标文件和开标、评标资料，依法重新组建评标委员会进行评标。原评标委员会所作出的评标意见无效。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采购人或者采购代理机构应当将变更、重新组建评标委员会的情况予以记录，并随采购文件一并存档。</w:t>
      </w:r>
    </w:p>
    <w:p>
      <w:pPr>
        <w:spacing w:line="440" w:lineRule="exact"/>
        <w:ind w:firstLine="480" w:firstLineChars="200"/>
        <w:rPr>
          <w:rFonts w:hint="eastAsia" w:ascii="宋体" w:hAnsi="宋体" w:eastAsia="宋体" w:cs="宋体"/>
          <w:sz w:val="24"/>
          <w:szCs w:val="24"/>
        </w:rPr>
      </w:pPr>
      <w:bookmarkStart w:id="73" w:name="_Toc494455674"/>
      <w:r>
        <w:rPr>
          <w:rFonts w:hint="eastAsia" w:ascii="宋体" w:hAnsi="宋体" w:eastAsia="宋体" w:cs="宋体"/>
          <w:sz w:val="24"/>
          <w:szCs w:val="24"/>
        </w:rPr>
        <w:t>18.4评标程序</w:t>
      </w:r>
      <w:bookmarkEnd w:id="73"/>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18.4.1宣布评标纪律以及回避提示；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18.4.2组织推荐评标委员会组长；</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18.4.3资格性审查；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18.4.4符合性审查；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18.4.5技术和商务评审；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18.4.6澄清有关问题；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18.4.7比较与评价；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18.4.8确定中标人或者推荐中标候选人名单；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18.4.9编写评标报告；</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18.4.10宣布评标结果。</w:t>
      </w:r>
    </w:p>
    <w:p>
      <w:pPr>
        <w:spacing w:line="440" w:lineRule="exact"/>
        <w:ind w:firstLine="480" w:firstLineChars="200"/>
        <w:rPr>
          <w:rFonts w:hint="eastAsia" w:ascii="宋体" w:hAnsi="宋体" w:eastAsia="宋体" w:cs="宋体"/>
          <w:sz w:val="24"/>
          <w:szCs w:val="24"/>
        </w:rPr>
      </w:pPr>
      <w:bookmarkStart w:id="74" w:name="_Toc494455675"/>
      <w:r>
        <w:rPr>
          <w:rFonts w:hint="eastAsia" w:ascii="宋体" w:hAnsi="宋体" w:eastAsia="宋体" w:cs="宋体"/>
          <w:sz w:val="24"/>
          <w:szCs w:val="24"/>
        </w:rPr>
        <w:t>18.5评标</w:t>
      </w:r>
      <w:bookmarkEnd w:id="74"/>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18.5.1采购人或者采购代理机构负责组织评标工作，并履行下列职责：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18.5.1.1核对评审专家身份和采购人代表授权函，对评审专家在政府采购活动中的职责履行情况予以记录，并及时将有关违法违规行为向财政部门报告；</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18.5.1.2宣布评标纪律；</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18.5.1.3公布投标人名单，告知评审专家应当回避的情形；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18.5.1.4组织评标委员会推选评标组长，采购人代表不得担任组长；</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18.5.1.5在评标期间采取必要的通讯管理措施，保证评标活动不受外界干扰；</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18.5.1.6根据评标委员会的要求介绍政府采购相关政策法规、招标文件；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18.5.1.7维护评标秩序，监督评标委员会依照招标文件规定的评标程序、方法和标准进行独立评审，及时制止和纠正采购人代表、评审专家的倾向性言论或者违法违规行为；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18.5.1.8核对评标结果，有以下情形的，要求评标委员会复核或者书面说明理由，评标委员会拒绝的，应予记录并向本级财政部门报告；</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18.5.1.8.1分值汇总计算错误的；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18.5.1.8.2分项评分超出评分标准范围的；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18.5.1.8.3评标委员会成员对客观评审因素评分不一致的；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18.5.1.8.4经评标委员会认定评分畸高、畸低的。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18.5.1.9评审工作完成后，按照规定向评审专家支付劳务报酬和异地评审差旅费，不得向评审专家以外的其他人员支付评审劳务报酬；</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18.5.1.10处理与评标有关的其他事项。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采购人可以在评标前说明项目背景和采购需求，说明内容不得含有歧视性、倾向性意见，不得超出招标文件所述范围。说明应当提交书面材料，并随采购文件一并存档。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18.5.2资格性审查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18.5.2.1采购人或者采购代理机构依据法律法规和招标文件的规定，对投标文件中的资格证明、投标保证金等进行审查，以确定投标人是否具备投标资格。</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18.5.2.2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信用信息查询记录及相关证据应当与其他采购文件一并保存。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18.5.3符合性审查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评标委员会依据招标文件的规定，从投标文件的有效性、完整性和对招标文件的响应程度进行审查，以确定是否对招标文件的实质性要求作出响应。</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18.5.4技术和商务评审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18.5.4.1按照招标文件要求，评标委员会审查投标人所投货物和服务的规格、质量、数量以及服务等技术要求和参数，进行技术部分的评审，并记录实质性响应、技术偏离等事项。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18.5.4.2按照招标文件要求，评标委员会审查投标人业绩、政策性加分、价格扣除等事项，进行商务部分评审，并记录相关事项。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pPr>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18.5.4.4采用综合评分法的，商务部分由评标委员会审核认定评分结果</w:t>
      </w:r>
      <w:r>
        <w:rPr>
          <w:rFonts w:hint="eastAsia" w:ascii="宋体" w:hAnsi="宋体" w:eastAsia="宋体" w:cs="宋体"/>
          <w:color w:val="auto"/>
          <w:sz w:val="24"/>
          <w:szCs w:val="24"/>
          <w:lang w:eastAsia="zh-CN"/>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18.5.4.5采用最低评标价法的采购项目，提供相同品牌产品（非单一产品采购项目，系指采购人确定的核心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18.5.4.6使用综合评分法的采购项目，提供相同品牌产品（非单一产品采购项目，系指采购人确定的核心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440" w:lineRule="exact"/>
        <w:ind w:firstLine="480" w:firstLineChars="200"/>
        <w:rPr>
          <w:rFonts w:hint="eastAsia" w:ascii="宋体" w:hAnsi="宋体" w:eastAsia="宋体" w:cs="宋体"/>
          <w:sz w:val="24"/>
          <w:szCs w:val="24"/>
        </w:rPr>
      </w:pPr>
      <w:bookmarkStart w:id="75" w:name="_Toc494455676"/>
      <w:r>
        <w:rPr>
          <w:rFonts w:hint="eastAsia" w:ascii="宋体" w:hAnsi="宋体" w:eastAsia="宋体" w:cs="宋体"/>
          <w:sz w:val="24"/>
          <w:szCs w:val="24"/>
        </w:rPr>
        <w:t>18.6澄清有关问题</w:t>
      </w:r>
      <w:bookmarkEnd w:id="7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18.6.1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18.6.2评标委员会判断投标文件的响应性仅基于投标文件本身而不靠外部因素。未响应实质性条款的，评标委员会有权确定其投标无效，投标人不能通过修正、撤销或者澄清不符之处而使其投标成为实质性响应的投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18.6.3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hint="eastAsia" w:ascii="宋体" w:hAnsi="宋体" w:eastAsia="宋体" w:cs="宋体"/>
          <w:sz w:val="24"/>
          <w:szCs w:val="24"/>
        </w:rPr>
      </w:pPr>
      <w:bookmarkStart w:id="76" w:name="_Toc494455677"/>
      <w:r>
        <w:rPr>
          <w:rFonts w:hint="eastAsia" w:ascii="宋体" w:hAnsi="宋体" w:eastAsia="宋体" w:cs="宋体"/>
          <w:sz w:val="24"/>
          <w:szCs w:val="24"/>
        </w:rPr>
        <w:t>18.7定标</w:t>
      </w:r>
      <w:bookmarkEnd w:id="76"/>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18.7.1评标委员会根据投标人须知前附表的规定确定中标候选人或直接确定中标人。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确定中标候选人的，中标候选人数见投标人须知前附表。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18.7.2本次招标评标办法：见投标人须知前附表。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18.7.3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18.7.4采用最低评标价法的，评标结果按投标报价由低到高顺序排列，投标报价相同的并列。投标文件满足招标文件全部实质性要求且投标报价最低的投标人为排名第一的中标候选人。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18.7.5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根据前项规定，导致各包参与综合得分排名的投标人不足3家时，评委会认为不足以构成竞争的有权对该包予以废标。</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18.7.6按照有关规定中标人因不可抗力或者自身原因不能履行政府采购合同的，报经同级财政部门同意后，可顺延排序第二的投标人中标；或者报同级财政部门同意后，做废标处理，由采购人依法重新组织招标。</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18.7.7以入围方式确定多个中标人的，入围中标人数量应当根据招标需要并在招标活动开始前确定，由评标委员会按照招标文件规定的评标办法确定各投标人排列顺序，依照顺序确定入围中标人。</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18.7.8评标委员会成员对需要共同认定的事项存在争议的，应当按照少数服从多数的原则作出结论。持不同意见的评标委员会成员应当在评标报告上签署不同意见及理由，否则视为同意评标报告。</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18.7.9评标结果汇总完成后，除下列情形外，任何人不得修改评标结果：</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（一）分值汇总计算错误的；</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（二）分项评分超出评分标准范围的；</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（三）评标委员会成员对客观评审因素评分不一致的；</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（四）经评标委员会认定评分畸高、畸低的。</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480" w:firstLineChars="200"/>
        <w:rPr>
          <w:rFonts w:hint="eastAsia" w:ascii="宋体" w:hAnsi="宋体" w:eastAsia="宋体" w:cs="宋体"/>
          <w:kern w:val="0"/>
          <w:sz w:val="24"/>
          <w:szCs w:val="24"/>
        </w:rPr>
      </w:pPr>
      <w:bookmarkStart w:id="77" w:name="_Toc494455678"/>
      <w:r>
        <w:rPr>
          <w:rFonts w:hint="eastAsia" w:ascii="宋体" w:hAnsi="宋体" w:eastAsia="宋体" w:cs="宋体"/>
          <w:kern w:val="0"/>
          <w:sz w:val="24"/>
          <w:szCs w:val="24"/>
        </w:rPr>
        <w:t>18.7.10评标委员会根据全体评标成员签字的原始评标记录和评标结果编写评标报告。</w:t>
      </w:r>
      <w:bookmarkEnd w:id="77"/>
    </w:p>
    <w:p>
      <w:pPr>
        <w:spacing w:line="440" w:lineRule="exact"/>
        <w:ind w:firstLine="480" w:firstLineChars="200"/>
        <w:rPr>
          <w:rFonts w:hint="eastAsia" w:ascii="宋体" w:hAnsi="宋体" w:eastAsia="宋体" w:cs="宋体"/>
          <w:kern w:val="0"/>
          <w:sz w:val="24"/>
          <w:szCs w:val="24"/>
        </w:rPr>
      </w:pPr>
      <w:bookmarkStart w:id="78" w:name="_Toc494455679"/>
      <w:r>
        <w:rPr>
          <w:rFonts w:hint="eastAsia" w:ascii="宋体" w:hAnsi="宋体" w:eastAsia="宋体" w:cs="宋体"/>
          <w:kern w:val="0"/>
          <w:sz w:val="24"/>
          <w:szCs w:val="24"/>
        </w:rPr>
        <w:t>18.8中标公告以及中标通知书</w:t>
      </w:r>
      <w:bookmarkEnd w:id="78"/>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18.8.1采购人或者采购代理机构应当自中标人确定之日起2个工作日内，发出中标通知书，并在相关媒介公告中标结果（公告期限为1个工作日），招标文件随中标结果同时公告；采用综合评分法评审的，还应当告知未中标人本人的评审得分与排序。</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18.8.2采购人或采购代理机构不按照规定发布中标公告或者发布中标公告后不签发中标通知书的，应当承担法律责任，给中标人造成经济损失的应承担赔偿责任。</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18.8.3中标通知书对采购人和中标人都具有法律效力。中标通知书发出后，采购人改变中标结果的，或者中标人放弃中标，应当依法承担法律责任。</w:t>
      </w:r>
    </w:p>
    <w:p>
      <w:pPr>
        <w:spacing w:line="440" w:lineRule="exact"/>
        <w:ind w:firstLine="480" w:firstLineChars="200"/>
        <w:rPr>
          <w:rStyle w:val="38"/>
          <w:rFonts w:hint="eastAsia" w:ascii="宋体" w:hAnsi="宋体" w:eastAsia="宋体" w:cs="宋体"/>
          <w:sz w:val="24"/>
          <w:szCs w:val="24"/>
        </w:rPr>
      </w:pPr>
      <w:bookmarkStart w:id="79" w:name="_Toc494455680"/>
      <w:r>
        <w:rPr>
          <w:rStyle w:val="38"/>
          <w:rFonts w:hint="eastAsia" w:ascii="宋体" w:hAnsi="宋体" w:eastAsia="宋体" w:cs="宋体"/>
          <w:sz w:val="24"/>
          <w:szCs w:val="24"/>
        </w:rPr>
        <w:t>18.9投标无效</w:t>
      </w:r>
      <w:bookmarkEnd w:id="79"/>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出现下列情形之一的，投标无效：</w:t>
      </w:r>
    </w:p>
    <w:p>
      <w:pPr>
        <w:spacing w:line="440" w:lineRule="exact"/>
        <w:ind w:firstLine="480" w:firstLineChars="200"/>
        <w:rPr>
          <w:rStyle w:val="38"/>
          <w:rFonts w:hint="eastAsia" w:ascii="宋体" w:hAnsi="宋体" w:eastAsia="宋体" w:cs="宋体"/>
          <w:color w:val="auto"/>
          <w:sz w:val="24"/>
          <w:szCs w:val="24"/>
        </w:rPr>
      </w:pPr>
      <w:r>
        <w:rPr>
          <w:rStyle w:val="38"/>
          <w:rFonts w:hint="eastAsia" w:ascii="宋体" w:hAnsi="宋体" w:eastAsia="宋体" w:cs="宋体"/>
          <w:color w:val="auto"/>
          <w:sz w:val="24"/>
          <w:szCs w:val="24"/>
        </w:rPr>
        <w:t>18.9.1报价超过招标文件中规定的预算金额或者最高限价的；</w:t>
      </w:r>
    </w:p>
    <w:p>
      <w:pPr>
        <w:spacing w:line="440" w:lineRule="exact"/>
        <w:ind w:firstLine="480" w:firstLineChars="200"/>
        <w:rPr>
          <w:rStyle w:val="38"/>
          <w:rFonts w:hint="eastAsia" w:ascii="宋体" w:hAnsi="宋体" w:eastAsia="宋体" w:cs="宋体"/>
          <w:color w:val="auto"/>
          <w:sz w:val="24"/>
          <w:szCs w:val="24"/>
        </w:rPr>
      </w:pPr>
      <w:r>
        <w:rPr>
          <w:rStyle w:val="38"/>
          <w:rFonts w:hint="eastAsia" w:ascii="宋体" w:hAnsi="宋体" w:eastAsia="宋体" w:cs="宋体"/>
          <w:color w:val="auto"/>
          <w:sz w:val="24"/>
          <w:szCs w:val="24"/>
        </w:rPr>
        <w:t>18.9.2对招标文件要求的不可更改的参数未做出实质性响应或者发生负偏离的；</w:t>
      </w:r>
    </w:p>
    <w:p>
      <w:pPr>
        <w:spacing w:line="440" w:lineRule="exact"/>
        <w:ind w:firstLine="480" w:firstLineChars="200"/>
        <w:rPr>
          <w:rStyle w:val="38"/>
          <w:rFonts w:hint="eastAsia" w:ascii="宋体" w:hAnsi="宋体" w:eastAsia="宋体" w:cs="宋体"/>
          <w:color w:val="auto"/>
          <w:sz w:val="24"/>
          <w:szCs w:val="24"/>
        </w:rPr>
      </w:pPr>
      <w:r>
        <w:rPr>
          <w:rStyle w:val="38"/>
          <w:rFonts w:hint="eastAsia" w:ascii="宋体" w:hAnsi="宋体" w:eastAsia="宋体" w:cs="宋体"/>
          <w:color w:val="auto"/>
          <w:sz w:val="24"/>
          <w:szCs w:val="24"/>
        </w:rPr>
        <w:t>18.9.3应提供而未提供标注的政府强制采购节能、环保产品的；</w:t>
      </w:r>
    </w:p>
    <w:p>
      <w:pPr>
        <w:spacing w:line="440" w:lineRule="exact"/>
        <w:ind w:firstLine="480" w:firstLineChars="200"/>
        <w:rPr>
          <w:rStyle w:val="38"/>
          <w:rFonts w:hint="eastAsia" w:ascii="宋体" w:hAnsi="宋体" w:eastAsia="宋体" w:cs="宋体"/>
          <w:color w:val="auto"/>
          <w:sz w:val="24"/>
          <w:szCs w:val="24"/>
        </w:rPr>
      </w:pPr>
      <w:r>
        <w:rPr>
          <w:rStyle w:val="38"/>
          <w:rFonts w:hint="eastAsia" w:ascii="宋体" w:hAnsi="宋体" w:eastAsia="宋体" w:cs="宋体"/>
          <w:color w:val="auto"/>
          <w:sz w:val="24"/>
          <w:szCs w:val="24"/>
        </w:rPr>
        <w:t>18.9.4对于不允许偏离的实质性要求和条件发生偏离的；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18.9.5不按照招标文件规定报价、没有分项报价、拒绝报价、有多个报价（招标文件另有规定的除外）、有选择性报价、附有条件的报价或者拒绝修正报价的；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18.9.6投标文件正副本未区分或者内容严重不一致的；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18.9.7未按照招标文件的规定提交投标保证金的；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18.9.8投标有效期不满足招标文件要求的；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18.9.9投标超出营业执照经营范围的；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18.9.10评标委员会2/3及以上成员认定投标方案技术含量低、不符合招标文件要求的；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18.9.11评标委员会判定投标人涂改证明材料或者提供虚假材料和承诺的；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18.9.12投标文件未按招标文件要求编制、签署、盖章、装订的；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18.9.13投标人</w:t>
      </w:r>
      <w:r>
        <w:rPr>
          <w:rStyle w:val="38"/>
          <w:rFonts w:hint="eastAsia" w:ascii="宋体" w:hAnsi="宋体" w:eastAsia="宋体" w:cs="宋体"/>
          <w:sz w:val="24"/>
          <w:szCs w:val="24"/>
          <w:lang w:val="en-US" w:eastAsia="zh-CN"/>
        </w:rPr>
        <w:t>未按招标文件要求提交</w:t>
      </w:r>
      <w:r>
        <w:rPr>
          <w:rStyle w:val="38"/>
          <w:rFonts w:hint="eastAsia" w:ascii="宋体" w:hAnsi="宋体" w:eastAsia="宋体" w:cs="宋体"/>
          <w:sz w:val="24"/>
          <w:szCs w:val="24"/>
        </w:rPr>
        <w:t>必须提交的资格证明、提交不齐全或者复印件未装订于投标文件中的；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18.9.14</w:t>
      </w:r>
      <w:r>
        <w:rPr>
          <w:rStyle w:val="38"/>
          <w:rFonts w:hint="eastAsia" w:ascii="宋体" w:hAnsi="宋体" w:eastAsia="宋体" w:cs="宋体"/>
          <w:sz w:val="24"/>
          <w:szCs w:val="24"/>
          <w:lang w:val="en-US" w:eastAsia="zh-CN"/>
        </w:rPr>
        <w:t>商务、技术</w:t>
      </w:r>
      <w:r>
        <w:rPr>
          <w:rStyle w:val="38"/>
          <w:rFonts w:hint="eastAsia" w:ascii="宋体" w:hAnsi="宋体" w:eastAsia="宋体" w:cs="宋体"/>
          <w:sz w:val="24"/>
          <w:szCs w:val="24"/>
        </w:rPr>
        <w:t>等证明文件可以为复印件的，复印件未加盖单位公章的；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18.9.15投标文件含有采购人不能接受的附加条件的；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18.9.16法律、法规和招标文件规定的其他无效情形。</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对投标无效的认定，必须经评标委员会集体做出决定并出具投标无效的事实依据，由投标人法定代表人或者被授权代表签字确认，拒绝签字的，不影响评标委员会做出的决定。</w:t>
      </w:r>
    </w:p>
    <w:p>
      <w:pPr>
        <w:spacing w:line="440" w:lineRule="exact"/>
        <w:ind w:firstLine="480" w:firstLineChars="200"/>
        <w:rPr>
          <w:rStyle w:val="38"/>
          <w:rFonts w:hint="eastAsia" w:ascii="宋体" w:hAnsi="宋体" w:eastAsia="宋体" w:cs="宋体"/>
          <w:sz w:val="24"/>
          <w:szCs w:val="24"/>
        </w:rPr>
      </w:pPr>
      <w:bookmarkStart w:id="80" w:name="_Toc494455681"/>
      <w:r>
        <w:rPr>
          <w:rStyle w:val="38"/>
          <w:rFonts w:hint="eastAsia" w:ascii="宋体" w:hAnsi="宋体" w:eastAsia="宋体" w:cs="宋体"/>
          <w:sz w:val="24"/>
          <w:szCs w:val="24"/>
        </w:rPr>
        <w:t>18.10废标</w:t>
      </w:r>
      <w:bookmarkEnd w:id="80"/>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18.10.1出现下列情形之一的，应予废标：</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18.10.1.1在投标截止时间后参加投标的投标人不足3家或者通过资格审查或符合性审查的投标人不足3家的；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18.10.1.2出现影响采购公正的违法违规行为的；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18.10.1.3投标人的报价均超过预算金额或者最高限价的；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18.10.1.4因重大变故，采购任务取消的；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18.10.1.5法律、法规以及招标文件规定的其他废标情形。</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18.10.2废标后，采购人或者采购代理机构应当将废标理由通知所有投标人。</w:t>
      </w:r>
    </w:p>
    <w:p>
      <w:pPr>
        <w:spacing w:line="440" w:lineRule="exact"/>
        <w:ind w:firstLine="480" w:firstLineChars="200"/>
        <w:rPr>
          <w:rStyle w:val="38"/>
          <w:rFonts w:hint="eastAsia" w:ascii="宋体" w:hAnsi="宋体" w:eastAsia="宋体" w:cs="宋体"/>
          <w:sz w:val="24"/>
          <w:szCs w:val="24"/>
        </w:rPr>
      </w:pPr>
      <w:bookmarkStart w:id="81" w:name="_Toc494455682"/>
      <w:r>
        <w:rPr>
          <w:rStyle w:val="38"/>
          <w:rFonts w:hint="eastAsia" w:ascii="宋体" w:hAnsi="宋体" w:eastAsia="宋体" w:cs="宋体"/>
          <w:sz w:val="24"/>
          <w:szCs w:val="24"/>
        </w:rPr>
        <w:t>18.11特殊情况处置程序</w:t>
      </w:r>
      <w:bookmarkEnd w:id="81"/>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18.11.1评标委员会成员的更换</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18.11.1.1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18.11.1.2退出评标委员会的成员，其已完成的评审行为无效。由采购人向监督人员提出更换评标委员会成员意见并获准后，根据本招标文件规定的评标委员会成员产生方式另行确定替代者进行评标。</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18.11.2记名投票</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在评标过程中，评标委员会发生分歧或者评审结论有异议需表决的，按照少数服从多数的原则，由评标委员会全体成员以记名投票方式表决。</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18.11.3延期开标</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因特殊情况需要推迟开标时间的，采购人或者采购代理机构必须提前报监督部门审批，经批准后按规定提前告知所有参加投标的投标人，否则必须按时开标。</w:t>
      </w:r>
    </w:p>
    <w:p>
      <w:pPr>
        <w:spacing w:line="440" w:lineRule="exact"/>
        <w:ind w:firstLine="480" w:firstLineChars="200"/>
        <w:rPr>
          <w:rStyle w:val="38"/>
          <w:rFonts w:hint="eastAsia" w:ascii="宋体" w:hAnsi="宋体" w:eastAsia="宋体" w:cs="宋体"/>
          <w:sz w:val="24"/>
          <w:szCs w:val="24"/>
        </w:rPr>
      </w:pPr>
      <w:bookmarkStart w:id="82" w:name="_Toc494455683"/>
      <w:r>
        <w:rPr>
          <w:rStyle w:val="38"/>
          <w:rFonts w:hint="eastAsia" w:ascii="宋体" w:hAnsi="宋体" w:eastAsia="宋体" w:cs="宋体"/>
          <w:sz w:val="24"/>
          <w:szCs w:val="24"/>
        </w:rPr>
        <w:t>18.12违法违规情形</w:t>
      </w:r>
      <w:bookmarkEnd w:id="82"/>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18.12.1有下列情形之一的，属于投标人相互串通投标：</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18.12.1.1投标人之间协商投标报价等投标文件的实质性内容；</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18.12.1.2投标人之间约定中标人；</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18.12.1.3投标人之间约定部分投标人放弃投标或者中标；</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18.12.1.4属于同一集团、协会、商会等组织成员的投标人按照该组织要求协同投标；</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18.12.1.5投标人之间为谋取中标或者排斥特定投标人而采取的其他联合行动。</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18.12.2有下列情形之一的，视为投标人相互串通投标，评标委员会应当出具违法违规认定意见并作投标无效处理：</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18.12.2.1不同投标人的投标文件由同一单位或者个人编制；</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18.12.2.2不同投标人委托同一单位或者个人办理投标事宜；</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18.12.2.3不同投标人的投标文件载明的项目管理成员或者联系人员为同一人；</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18.12.2.4不同投标人的投标文件异常一致或者投标报价呈规律性差异；</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18.12.2.5不同投标人的投标文件相互混装；</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18.12.2.6不同投标人的投标保证金从同一单位或者个人的账户转出。</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18.12.3有下列情形之一的，属于采购人与投标人串通投标：</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18.12.3.1采购人在开标前开启投标文件并将有关信息泄露给其他投标人；</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18.12.3.2采购人直接或者间接向投标人泄露标底、评标委员会成员等信息；</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18.12.3.3采购人明示或者暗示投标人压低或者抬高投标报价；</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18.12.3.4采购人授意投标人撤换、修改投标文件；</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18.12.3.5采购人明示或者暗示投标人为特定投标人中标提供方便；</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18.12.3.6采购人与投标人为谋求特定投标人中标而采取的其他串通行为。</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在评标过程中发现投标人有上述情形的，评标委员会应当认定其投标无效，并书面报告本级财政部门。</w:t>
      </w:r>
    </w:p>
    <w:p>
      <w:pPr>
        <w:spacing w:line="440" w:lineRule="exact"/>
        <w:ind w:firstLine="480" w:firstLineChars="200"/>
        <w:rPr>
          <w:rStyle w:val="38"/>
          <w:rFonts w:hint="eastAsia" w:ascii="宋体" w:hAnsi="宋体" w:eastAsia="宋体" w:cs="宋体"/>
          <w:sz w:val="24"/>
          <w:szCs w:val="24"/>
        </w:rPr>
      </w:pPr>
      <w:bookmarkStart w:id="83" w:name="_Toc494455684"/>
      <w:r>
        <w:rPr>
          <w:rStyle w:val="38"/>
          <w:rFonts w:hint="eastAsia" w:ascii="宋体" w:hAnsi="宋体" w:eastAsia="宋体" w:cs="宋体"/>
          <w:sz w:val="24"/>
          <w:szCs w:val="24"/>
        </w:rPr>
        <w:t>18.13违规处理</w:t>
      </w:r>
      <w:bookmarkEnd w:id="83"/>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投标人有下列情形之一的，列入不良行为记录名单，在一至三年内禁止参加政府采购活动：</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18.13.1提供虚假投标材料谋取中标、成交的；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18.13.2采取不正当手段诋毁、排挤其他投标人的；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18.13.3与采购人、其他投标人或者采购代理机构恶意串通的；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18.13.4向采购人、采购代理机构行贿或者提供其他不正当利益的；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18.13.5在招标采购过程中与采购人进行协商谈判的；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18.13.6拒绝有关部门监督检查或者提供虚假情况的；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18.13.7一年内累计三次以上投诉均查无实据，并带有明显故意行为的；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18.13.8捏造事实或者提供虚假投诉材料的；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18.13.9不按照规定程序以及正常途径质疑、投诉，采用匿名信、匿名电话、发短信息等手段，威胁、恫吓、辱骂、恶意中伤其他相关当事人的；</w:t>
      </w:r>
    </w:p>
    <w:p>
      <w:pPr>
        <w:spacing w:line="440" w:lineRule="exact"/>
        <w:ind w:firstLine="480" w:firstLineChars="200"/>
        <w:rPr>
          <w:rStyle w:val="38"/>
          <w:rFonts w:hint="eastAsia" w:ascii="宋体" w:hAnsi="宋体" w:eastAsia="宋体" w:cs="宋体"/>
          <w:sz w:val="24"/>
          <w:szCs w:val="24"/>
        </w:rPr>
      </w:pPr>
      <w:r>
        <w:rPr>
          <w:rStyle w:val="38"/>
          <w:rFonts w:hint="eastAsia" w:ascii="宋体" w:hAnsi="宋体" w:eastAsia="宋体" w:cs="宋体"/>
          <w:sz w:val="24"/>
          <w:szCs w:val="24"/>
        </w:rPr>
        <w:t>18.13.10法律、法规和招标文件中规定的其他情形。</w:t>
      </w:r>
    </w:p>
    <w:p>
      <w:pPr>
        <w:spacing w:line="440" w:lineRule="exact"/>
        <w:ind w:firstLine="560" w:firstLineChars="200"/>
        <w:outlineLvl w:val="2"/>
        <w:rPr>
          <w:rFonts w:hint="eastAsia" w:ascii="宋体" w:hAnsi="宋体" w:eastAsia="宋体" w:cs="宋体"/>
          <w:sz w:val="28"/>
          <w:szCs w:val="28"/>
        </w:rPr>
      </w:pPr>
      <w:bookmarkStart w:id="84" w:name="_Toc26581"/>
      <w:bookmarkStart w:id="85" w:name="_Toc32695"/>
      <w:r>
        <w:rPr>
          <w:rFonts w:hint="eastAsia" w:ascii="宋体" w:hAnsi="宋体" w:eastAsia="宋体" w:cs="宋体"/>
          <w:sz w:val="28"/>
          <w:szCs w:val="28"/>
        </w:rPr>
        <w:t>19.纪律要求</w:t>
      </w:r>
      <w:bookmarkEnd w:id="84"/>
      <w:bookmarkEnd w:id="85"/>
    </w:p>
    <w:p>
      <w:pPr>
        <w:spacing w:line="440" w:lineRule="exact"/>
        <w:ind w:firstLine="480" w:firstLineChars="200"/>
        <w:rPr>
          <w:rFonts w:hint="eastAsia" w:ascii="宋体" w:hAnsi="宋体" w:eastAsia="宋体" w:cs="宋体"/>
          <w:sz w:val="24"/>
          <w:szCs w:val="24"/>
        </w:rPr>
      </w:pPr>
      <w:bookmarkStart w:id="86" w:name="_Toc494455686"/>
      <w:r>
        <w:rPr>
          <w:rFonts w:hint="eastAsia" w:ascii="宋体" w:hAnsi="宋体" w:eastAsia="宋体" w:cs="宋体"/>
          <w:sz w:val="24"/>
          <w:szCs w:val="24"/>
        </w:rPr>
        <w:t>19.1对采购人的纪律要求</w:t>
      </w:r>
      <w:bookmarkEnd w:id="86"/>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采购人不得向供应商索要或者接受其给予的赠品、回扣或者与采购无关的其他商品、服务。</w:t>
      </w:r>
    </w:p>
    <w:p>
      <w:pPr>
        <w:spacing w:line="440" w:lineRule="exact"/>
        <w:ind w:firstLine="480" w:firstLineChars="200"/>
        <w:rPr>
          <w:rFonts w:hint="eastAsia" w:ascii="宋体" w:hAnsi="宋体" w:eastAsia="宋体" w:cs="宋体"/>
          <w:sz w:val="24"/>
          <w:szCs w:val="24"/>
        </w:rPr>
      </w:pPr>
      <w:bookmarkStart w:id="87" w:name="_Toc494455687"/>
      <w:r>
        <w:rPr>
          <w:rFonts w:hint="eastAsia" w:ascii="宋体" w:hAnsi="宋体" w:eastAsia="宋体" w:cs="宋体"/>
          <w:sz w:val="24"/>
          <w:szCs w:val="24"/>
        </w:rPr>
        <w:t>19.2对投标人的纪律要求</w:t>
      </w:r>
      <w:bookmarkEnd w:id="87"/>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投标人应当遵循公平竞争的原则，不得恶意串通，不得妨碍其他投标人的竞争行为，不得损害采购人或者其他投标人的合法权益。</w:t>
      </w:r>
    </w:p>
    <w:p>
      <w:pPr>
        <w:spacing w:line="440" w:lineRule="exact"/>
        <w:ind w:firstLine="480" w:firstLineChars="200"/>
        <w:rPr>
          <w:rFonts w:hint="eastAsia" w:ascii="宋体" w:hAnsi="宋体" w:eastAsia="宋体" w:cs="宋体"/>
          <w:sz w:val="24"/>
          <w:szCs w:val="24"/>
        </w:rPr>
      </w:pPr>
      <w:bookmarkStart w:id="88" w:name="_Toc494455688"/>
      <w:r>
        <w:rPr>
          <w:rFonts w:hint="eastAsia" w:ascii="宋体" w:hAnsi="宋体" w:eastAsia="宋体" w:cs="宋体"/>
          <w:sz w:val="24"/>
          <w:szCs w:val="24"/>
        </w:rPr>
        <w:t>19.3对评标委员会成员的纪律要求</w:t>
      </w:r>
      <w:bookmarkEnd w:id="88"/>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评标委员会及其成员不得有下列行为：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（一）确定参与评标至评标结束前私自接触投标人；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（二）接受投标人提出的与投标文件不一致的澄清或者说明，法律规定允许澄清或说明的情形除外；</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（三）违反评标纪律发表倾向性意见或者征询采购人的倾向性意见；</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（四）对需要专业判断的主观评审因素协商评分；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（五）在评标过程中擅离职守，影响评标程序正常进行的；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（六）记录、复制或者带走任何评标资料；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（七）其他不遵守评标纪律的行为。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评标委员会成员有前款第一至五项行为之一的，其评审意见无效，并不得获取评审劳务报酬和报销异地评审差旅费。</w:t>
      </w:r>
    </w:p>
    <w:p>
      <w:pPr>
        <w:spacing w:line="440" w:lineRule="exact"/>
        <w:ind w:firstLine="480" w:firstLineChars="200"/>
        <w:rPr>
          <w:rFonts w:hint="eastAsia" w:ascii="宋体" w:hAnsi="宋体" w:eastAsia="宋体" w:cs="宋体"/>
          <w:sz w:val="24"/>
          <w:szCs w:val="24"/>
        </w:rPr>
      </w:pPr>
      <w:bookmarkStart w:id="89" w:name="_Toc494455689"/>
      <w:r>
        <w:rPr>
          <w:rFonts w:hint="eastAsia" w:ascii="宋体" w:hAnsi="宋体" w:eastAsia="宋体" w:cs="宋体"/>
          <w:sz w:val="24"/>
          <w:szCs w:val="24"/>
        </w:rPr>
        <w:t>19.4对与评标活动有关的工作人员的纪律要求</w:t>
      </w:r>
      <w:bookmarkEnd w:id="89"/>
    </w:p>
    <w:p>
      <w:pPr>
        <w:spacing w:line="440" w:lineRule="exact"/>
        <w:ind w:firstLine="480" w:firstLineChars="200"/>
        <w:rPr>
          <w:rStyle w:val="38"/>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bookmarkEnd w:id="69"/>
    <w:p>
      <w:pPr>
        <w:spacing w:line="440" w:lineRule="exact"/>
        <w:ind w:firstLine="560" w:firstLineChars="200"/>
        <w:outlineLvl w:val="2"/>
        <w:rPr>
          <w:rFonts w:hint="eastAsia" w:ascii="宋体" w:hAnsi="宋体" w:eastAsia="宋体" w:cs="宋体"/>
          <w:sz w:val="28"/>
          <w:szCs w:val="28"/>
        </w:rPr>
      </w:pPr>
      <w:bookmarkStart w:id="90" w:name="_Toc28233"/>
      <w:bookmarkStart w:id="91" w:name="_Toc16617"/>
      <w:r>
        <w:rPr>
          <w:rFonts w:hint="eastAsia" w:ascii="宋体" w:hAnsi="宋体" w:eastAsia="宋体" w:cs="宋体"/>
          <w:sz w:val="28"/>
          <w:szCs w:val="28"/>
        </w:rPr>
        <w:t>20.质疑</w:t>
      </w:r>
      <w:bookmarkEnd w:id="90"/>
      <w:bookmarkEnd w:id="91"/>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20.1参加本次政府采购活动的投标人认为招标文件、招标过程和中标结果使自己的权益受到损害的，可以在知道或者应知道其权益受到损害之日起7个工作日内，以书面形式向采购人或者采购代理机构提出质疑。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20.2质疑书内容应包括以下主要内容：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20.2.1质疑人的名称、地址、电话等；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20.2.2具体的质疑事项、证据以及法律、法规依据；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20.2.3提出质疑的日期。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20.3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20.4除书面形式外，其他任何方式的质疑，采购人或者采购代理机构均不予接受和回复。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20.5采购人或者采购代理机构在收到质疑书后7个工作日内做出书面答复，并以书面形式通知质疑人和其他有关投标人，但答复不得涉及商业秘密。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20.6质疑人对采购人、采购代理机构的答复不满意或者采购人、采购代理机构未在规定的时间内做出答复的，可以在答复期满后15个工作日内向同级监管部门投诉。</w:t>
      </w:r>
    </w:p>
    <w:p>
      <w:pPr>
        <w:spacing w:line="440" w:lineRule="exact"/>
        <w:ind w:firstLine="560" w:firstLineChars="200"/>
        <w:outlineLvl w:val="2"/>
        <w:rPr>
          <w:rFonts w:hint="eastAsia" w:ascii="宋体" w:hAnsi="宋体" w:eastAsia="宋体" w:cs="宋体"/>
          <w:sz w:val="28"/>
          <w:szCs w:val="28"/>
        </w:rPr>
      </w:pPr>
      <w:bookmarkStart w:id="92" w:name="_Toc548"/>
      <w:bookmarkStart w:id="93" w:name="_Toc3444"/>
      <w:bookmarkStart w:id="94" w:name="_Toc494455668"/>
      <w:r>
        <w:rPr>
          <w:rFonts w:hint="eastAsia" w:ascii="宋体" w:hAnsi="宋体" w:eastAsia="宋体" w:cs="宋体"/>
          <w:sz w:val="28"/>
          <w:szCs w:val="28"/>
        </w:rPr>
        <w:t>21.投诉</w:t>
      </w:r>
      <w:bookmarkEnd w:id="92"/>
      <w:bookmarkEnd w:id="93"/>
      <w:bookmarkEnd w:id="94"/>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按照《中华人民共和国政府采购法》、财政部《政府采购供应商投诉处理办法》（第20号令）和财政部《关于加强政府采购供应商投诉受理审查工作的通知》（财库〔2007〕1号）文件以及相关的法律、法规及规定，质疑人对采购人、采购代理机构的答复不满意或者采购人、采购代理机构未在规定的时间内做出答复的，可以在答复期满后15个工作日内向同级监管部门投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21.2投诉人提起投诉应符合下列条件：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21.2.1投诉人是参与所投诉政府采购活动的投标人；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21.2.2提起投诉前已依法进行质疑；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21.2.3投诉书内容符合财政部《政府采购投标人投诉处理办法》（第20号令）规定；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21.2.4在投诉有效期限内提起投诉；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21.2.5属于本财政部门管辖；</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21.2.6同一投诉事项未经财政部门投诉处理；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21.2.7法律法规规定的其他条件。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21.3投诉人投诉时，应当提交投诉书，并按照被投诉采购人、采购代理机构和与投诉事项有关的投标人数量提供投诉书的副本。</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21.4投诉书应当包括以下主要内容：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21.4.1投诉人和被投诉人的名称、地址、电话等；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21.4.2具体的投诉事宜以及事实依据；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21.4.3质疑书和质疑答复情况以及相关证明材料；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21.4.4提起投诉的日期。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21.5投诉书应当署名。投诉人为自然人的，应当由本人签字；投诉人为法人或者其他组织的，应当由法定代表人或者主要负责人签字盖章并加盖公章。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21.6投诉人可以委托代理人办理投诉事务。代理人办理投诉事务时，除提交投诉书外，还应当向同级监管部门提交投诉人的授权委托书，授权委托书应当载明委托代理的具体权限和事项。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21.7投诉人不符合上述规定提起的投诉，监管部门不予受理。</w:t>
      </w:r>
    </w:p>
    <w:p>
      <w:pPr>
        <w:spacing w:line="440" w:lineRule="exact"/>
        <w:ind w:firstLine="560" w:firstLineChars="200"/>
        <w:outlineLvl w:val="2"/>
        <w:rPr>
          <w:rFonts w:hint="eastAsia" w:ascii="宋体" w:hAnsi="宋体" w:eastAsia="宋体" w:cs="宋体"/>
          <w:sz w:val="28"/>
          <w:szCs w:val="28"/>
        </w:rPr>
      </w:pPr>
      <w:bookmarkStart w:id="95" w:name="_Toc8491"/>
      <w:bookmarkStart w:id="96" w:name="_Toc494455669"/>
      <w:bookmarkStart w:id="97" w:name="_Toc14605"/>
      <w:r>
        <w:rPr>
          <w:rFonts w:hint="eastAsia" w:ascii="宋体" w:hAnsi="宋体" w:eastAsia="宋体" w:cs="宋体"/>
          <w:sz w:val="28"/>
          <w:szCs w:val="28"/>
        </w:rPr>
        <w:t>22.其他需补充的内容</w:t>
      </w:r>
      <w:bookmarkEnd w:id="95"/>
      <w:bookmarkEnd w:id="96"/>
      <w:bookmarkEnd w:id="97"/>
    </w:p>
    <w:p>
      <w:pPr>
        <w:spacing w:line="440" w:lineRule="exact"/>
        <w:ind w:firstLine="560" w:firstLineChars="200"/>
        <w:outlineLvl w:val="2"/>
        <w:rPr>
          <w:rFonts w:hint="eastAsia" w:ascii="宋体" w:hAnsi="宋体" w:eastAsia="宋体" w:cs="宋体"/>
          <w:sz w:val="28"/>
          <w:szCs w:val="28"/>
        </w:rPr>
      </w:pPr>
      <w:bookmarkStart w:id="98" w:name="_Toc33510794"/>
      <w:bookmarkStart w:id="99" w:name="_Toc41103223"/>
      <w:bookmarkStart w:id="100" w:name="_Toc18775"/>
      <w:bookmarkStart w:id="101" w:name="_Toc34734808"/>
      <w:bookmarkStart w:id="102" w:name="_Toc34732915"/>
      <w:bookmarkStart w:id="103" w:name="_Toc75410114"/>
      <w:bookmarkStart w:id="104" w:name="_Toc290746885"/>
      <w:bookmarkStart w:id="105" w:name="_Toc34708564"/>
      <w:bookmarkStart w:id="106" w:name="_Toc41287898"/>
      <w:bookmarkStart w:id="107" w:name="_Toc41102981"/>
      <w:bookmarkStart w:id="108" w:name="_Toc33679405"/>
      <w:bookmarkStart w:id="109" w:name="_Toc35662900"/>
      <w:bookmarkStart w:id="110" w:name="_Toc34735250"/>
      <w:bookmarkStart w:id="111" w:name="_Toc11833"/>
      <w:bookmarkStart w:id="112" w:name="_Toc3714"/>
      <w:r>
        <w:rPr>
          <w:rFonts w:hint="eastAsia" w:ascii="宋体" w:hAnsi="宋体" w:eastAsia="宋体" w:cs="宋体"/>
          <w:sz w:val="28"/>
          <w:szCs w:val="28"/>
          <w:lang w:val="en-US" w:eastAsia="zh-CN"/>
        </w:rPr>
        <w:t>22.1</w:t>
      </w:r>
      <w:r>
        <w:rPr>
          <w:rFonts w:hint="eastAsia" w:ascii="宋体" w:hAnsi="宋体" w:eastAsia="宋体" w:cs="宋体"/>
          <w:sz w:val="28"/>
          <w:szCs w:val="28"/>
        </w:rPr>
        <w:t>投标人的商务文件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1投标人的法人资格证明书。</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2投标人的法人授权委托书，受委托人的身份证复印件。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22.1.3</w:t>
      </w:r>
      <w:r>
        <w:rPr>
          <w:rFonts w:hint="eastAsia" w:ascii="宋体" w:hAnsi="宋体" w:eastAsia="宋体" w:cs="宋体"/>
          <w:sz w:val="24"/>
          <w:szCs w:val="24"/>
        </w:rPr>
        <w:t>投标人各种证件复印件，包括营业执照复印件（加盖单位公章，并注明与原件一致）。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22.1.4</w:t>
      </w:r>
      <w:r>
        <w:rPr>
          <w:rFonts w:hint="eastAsia" w:ascii="宋体" w:hAnsi="宋体" w:eastAsia="宋体" w:cs="宋体"/>
          <w:sz w:val="24"/>
          <w:szCs w:val="24"/>
        </w:rPr>
        <w:t>售后服务、</w:t>
      </w:r>
      <w:r>
        <w:rPr>
          <w:rFonts w:hint="eastAsia" w:ascii="宋体" w:hAnsi="宋体" w:eastAsia="宋体" w:cs="宋体"/>
          <w:sz w:val="24"/>
          <w:szCs w:val="24"/>
          <w:lang w:val="en-US" w:eastAsia="zh-CN"/>
        </w:rPr>
        <w:t>质量保证</w:t>
      </w:r>
      <w:r>
        <w:rPr>
          <w:rFonts w:hint="eastAsia" w:ascii="宋体" w:hAnsi="宋体" w:eastAsia="宋体" w:cs="宋体"/>
          <w:sz w:val="24"/>
          <w:szCs w:val="24"/>
        </w:rPr>
        <w:t>等承诺。</w:t>
      </w:r>
    </w:p>
    <w:p>
      <w:pPr>
        <w:spacing w:line="440" w:lineRule="exact"/>
        <w:ind w:firstLine="480" w:firstLineChars="200"/>
        <w:rPr>
          <w:rFonts w:hint="eastAsia" w:ascii="宋体" w:hAnsi="宋体" w:eastAsia="宋体" w:cs="宋体"/>
          <w:sz w:val="24"/>
          <w:szCs w:val="24"/>
        </w:rPr>
      </w:pPr>
      <w:bookmarkStart w:id="113" w:name="_Toc35662901"/>
      <w:bookmarkStart w:id="114" w:name="_Toc33679406"/>
      <w:bookmarkStart w:id="115" w:name="_Toc34735251"/>
      <w:bookmarkStart w:id="116" w:name="_Toc34708565"/>
      <w:bookmarkStart w:id="117" w:name="_Toc33510795"/>
      <w:bookmarkStart w:id="118" w:name="_Toc34734809"/>
      <w:bookmarkStart w:id="119" w:name="_Toc34732916"/>
      <w:r>
        <w:rPr>
          <w:rFonts w:hint="eastAsia" w:ascii="宋体" w:hAnsi="宋体" w:eastAsia="宋体" w:cs="宋体"/>
          <w:sz w:val="24"/>
          <w:szCs w:val="24"/>
          <w:lang w:val="en-US" w:eastAsia="zh-CN"/>
        </w:rPr>
        <w:t>22.1.5</w:t>
      </w:r>
      <w:r>
        <w:rPr>
          <w:rFonts w:hint="eastAsia" w:ascii="宋体" w:hAnsi="宋体" w:eastAsia="宋体" w:cs="宋体"/>
          <w:sz w:val="24"/>
          <w:szCs w:val="24"/>
        </w:rPr>
        <w:t>商务差异情况。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22.1.6</w:t>
      </w:r>
      <w:r>
        <w:rPr>
          <w:rFonts w:hint="eastAsia" w:ascii="宋体" w:hAnsi="宋体" w:eastAsia="宋体" w:cs="宋体"/>
          <w:sz w:val="24"/>
          <w:szCs w:val="24"/>
        </w:rPr>
        <w:t>对合同条款的响应情况。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22.1.7</w:t>
      </w:r>
      <w:r>
        <w:rPr>
          <w:rFonts w:hint="eastAsia" w:ascii="宋体" w:hAnsi="宋体" w:eastAsia="宋体" w:cs="宋体"/>
          <w:sz w:val="24"/>
          <w:szCs w:val="24"/>
        </w:rPr>
        <w:t>投标人提供的投标保证金。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22.1.8</w:t>
      </w:r>
      <w:r>
        <w:rPr>
          <w:rFonts w:hint="eastAsia" w:ascii="宋体" w:hAnsi="宋体" w:eastAsia="宋体" w:cs="宋体"/>
          <w:sz w:val="24"/>
          <w:szCs w:val="24"/>
        </w:rPr>
        <w:t>投标提供产品的有关资料：供货名称规格；产品种类、标号；数量（附明细表）。</w:t>
      </w:r>
    </w:p>
    <w:p>
      <w:pPr>
        <w:spacing w:line="440" w:lineRule="exact"/>
        <w:ind w:firstLine="560" w:firstLineChars="200"/>
        <w:outlineLvl w:val="2"/>
        <w:rPr>
          <w:rFonts w:hint="eastAsia" w:ascii="宋体" w:hAnsi="宋体" w:eastAsia="宋体" w:cs="宋体"/>
          <w:sz w:val="28"/>
          <w:szCs w:val="28"/>
          <w:lang w:val="en-US" w:eastAsia="zh-CN"/>
        </w:rPr>
      </w:pPr>
      <w:bookmarkStart w:id="120" w:name="_Toc10927"/>
      <w:bookmarkStart w:id="121" w:name="_Toc41287899"/>
      <w:bookmarkStart w:id="122" w:name="_Toc29111"/>
      <w:bookmarkStart w:id="123" w:name="_Toc290746886"/>
      <w:bookmarkStart w:id="124" w:name="_Toc5142"/>
      <w:bookmarkStart w:id="125" w:name="_Toc41103224"/>
      <w:bookmarkStart w:id="126" w:name="_Toc41102982"/>
      <w:bookmarkStart w:id="127" w:name="_Toc75410115"/>
      <w:r>
        <w:rPr>
          <w:rFonts w:hint="eastAsia" w:ascii="宋体" w:hAnsi="宋体" w:eastAsia="宋体" w:cs="宋体"/>
          <w:sz w:val="28"/>
          <w:szCs w:val="28"/>
          <w:lang w:val="en-US" w:eastAsia="zh-CN"/>
        </w:rPr>
        <w:t>22.2投标人的技术文件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22.2.1投标人须按招标文件中“技术规范”的要求提交证明其拟供货物和服务符合招标文件规定的技术响应性文件（可以是文字资料、图纸和数据等）。</w:t>
      </w:r>
    </w:p>
    <w:p>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22.2.2投标人须严格按 “技术规范”中所指出材料和设备的标准编制技术文件，可以提出替代标准，但该替代应相当于或优于招标文件“技术规范”中的规定。</w:t>
      </w:r>
    </w:p>
    <w:p>
      <w:pPr>
        <w:spacing w:line="440" w:lineRule="exact"/>
        <w:ind w:firstLine="480" w:firstLineChars="200"/>
        <w:rPr>
          <w:rFonts w:hint="eastAsia" w:ascii="宋体" w:hAnsi="宋体" w:eastAsia="宋体" w:cs="宋体"/>
          <w:b/>
          <w:bCs/>
          <w:sz w:val="32"/>
          <w:szCs w:val="32"/>
        </w:rPr>
      </w:pPr>
      <w:r>
        <w:rPr>
          <w:rFonts w:hint="eastAsia" w:ascii="宋体" w:hAnsi="宋体" w:eastAsia="宋体" w:cs="宋体"/>
          <w:sz w:val="24"/>
          <w:szCs w:val="24"/>
          <w:lang w:val="en-US" w:eastAsia="zh-CN"/>
        </w:rPr>
        <w:t>22.2.3投标人应提交各种实验报告、鉴定报告复印件，产品的样本说明书等技术资料，获奖产品的证明复印件，作为其技术响应文件的附件。</w:t>
      </w:r>
      <w:bookmarkStart w:id="128" w:name="_Toc4944559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val="0"/>
          <w:bCs w:val="0"/>
          <w:sz w:val="36"/>
          <w:szCs w:val="36"/>
        </w:rPr>
      </w:pPr>
      <w:r>
        <w:rPr>
          <w:rFonts w:hint="eastAsia" w:ascii="宋体" w:hAnsi="宋体" w:eastAsia="宋体" w:cs="宋体"/>
          <w:b/>
          <w:bCs/>
          <w:sz w:val="32"/>
          <w:szCs w:val="32"/>
        </w:rPr>
        <w:t>第三章  采购需求</w:t>
      </w:r>
      <w:bookmarkEnd w:id="128"/>
      <w:bookmarkStart w:id="129" w:name="_Toc24669"/>
      <w:bookmarkStart w:id="130" w:name="_Toc9977"/>
      <w:bookmarkStart w:id="131" w:name="_Toc8637"/>
    </w:p>
    <w:p>
      <w:pPr>
        <w:spacing w:afterLines="50" w:line="400" w:lineRule="exact"/>
        <w:outlineLvl w:val="2"/>
        <w:rPr>
          <w:rFonts w:hint="eastAsia" w:ascii="宋体" w:hAnsi="宋体" w:eastAsia="宋体" w:cs="宋体"/>
          <w:sz w:val="28"/>
          <w:szCs w:val="28"/>
        </w:rPr>
      </w:pPr>
      <w:bookmarkStart w:id="132" w:name="_Toc1034"/>
      <w:bookmarkStart w:id="133" w:name="_Toc12535"/>
      <w:bookmarkStart w:id="134" w:name="_Toc494455913"/>
      <w:r>
        <w:rPr>
          <w:rFonts w:hint="eastAsia" w:ascii="宋体" w:hAnsi="宋体" w:eastAsia="宋体" w:cs="宋体"/>
          <w:sz w:val="28"/>
          <w:szCs w:val="28"/>
        </w:rPr>
        <w:t>项目说明</w:t>
      </w:r>
      <w:bookmarkEnd w:id="132"/>
      <w:bookmarkEnd w:id="133"/>
      <w:bookmarkEnd w:id="134"/>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1.1本章内容是根据采购项目的实际需求制定的。</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1.2货物必须为合格产品，质量达到国家相关标准、行业标准、地方标准或者其他标准、规范，中标人供货时应当提供有关货物的合格证明材料等。</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投标人应保证货物是全新、未使用过的合格产品。并完全符合合同规定的质量、规格和性能的要求。中标人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1.4进口产品是指通过中国海关报关验放进入中国境内且产自关境外的产品。</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府采购应当采购本国产品。采购人确需招标采购进口产品的，应在招投标活动开始前，按照财政部《政府采购进口产品管理办法》（财库〔2007〕119号）文件规定办理审核手续，通过财政部门审核后，方可招标采购进口产品，否则采购人不得招标采购进口产品，投标人不得提供直接进口或者委托进口产品（包括已进入中国境内的进口产品）。</w:t>
      </w:r>
    </w:p>
    <w:p>
      <w:pPr>
        <w:spacing w:line="480" w:lineRule="auto"/>
        <w:ind w:firstLine="480" w:firstLineChars="200"/>
        <w:rPr>
          <w:rFonts w:hint="eastAsia" w:ascii="宋体" w:hAnsi="宋体" w:eastAsia="宋体" w:cs="宋体"/>
          <w:b/>
          <w:sz w:val="28"/>
          <w:szCs w:val="28"/>
          <w:highlight w:val="none"/>
        </w:rPr>
      </w:pPr>
      <w:r>
        <w:rPr>
          <w:rFonts w:hint="eastAsia" w:ascii="宋体" w:hAnsi="宋体" w:eastAsia="宋体" w:cs="宋体"/>
          <w:sz w:val="24"/>
          <w:szCs w:val="24"/>
        </w:rPr>
        <w:t>采购人或采购代理机构在采购进口产品时不得拒绝国产相同质量产品的制造商或代理商参与投标。</w:t>
      </w:r>
      <w:bookmarkEnd w:id="129"/>
      <w:bookmarkEnd w:id="130"/>
      <w:bookmarkEnd w:id="131"/>
      <w:bookmarkStart w:id="135" w:name="_Toc494455690"/>
    </w:p>
    <w:p>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货物（产品）采购清单及技术要求</w:t>
      </w:r>
    </w:p>
    <w:p>
      <w:pPr>
        <w:spacing w:line="360" w:lineRule="auto"/>
        <w:ind w:firstLine="482" w:firstLineChars="200"/>
        <w:rPr>
          <w:rFonts w:hint="eastAsia" w:ascii="宋体" w:hAnsi="宋体" w:eastAsia="宋体" w:cs="宋体"/>
          <w:b/>
          <w:bCs/>
          <w:sz w:val="24"/>
          <w:szCs w:val="24"/>
        </w:rPr>
      </w:pPr>
      <w:bookmarkStart w:id="136" w:name="_Toc13678547"/>
      <w:bookmarkStart w:id="137" w:name="_Toc13676645"/>
      <w:bookmarkStart w:id="138" w:name="_Toc22200990"/>
      <w:bookmarkStart w:id="139" w:name="_Toc13758296"/>
      <w:bookmarkStart w:id="140" w:name="_Toc495414113"/>
      <w:bookmarkStart w:id="141" w:name="_Toc13656148"/>
      <w:bookmarkStart w:id="142" w:name="_Toc13682863"/>
      <w:r>
        <w:rPr>
          <w:rFonts w:hint="eastAsia" w:ascii="宋体" w:hAnsi="宋体" w:eastAsia="宋体" w:cs="宋体"/>
          <w:b/>
          <w:bCs/>
          <w:sz w:val="24"/>
          <w:szCs w:val="24"/>
        </w:rPr>
        <w:t>投标人需注意：</w:t>
      </w:r>
      <w:bookmarkEnd w:id="136"/>
      <w:bookmarkEnd w:id="137"/>
      <w:bookmarkEnd w:id="138"/>
      <w:bookmarkEnd w:id="139"/>
      <w:bookmarkEnd w:id="140"/>
      <w:bookmarkEnd w:id="141"/>
      <w:bookmarkEnd w:id="142"/>
    </w:p>
    <w:p>
      <w:pPr>
        <w:spacing w:line="360" w:lineRule="auto"/>
        <w:ind w:firstLine="482" w:firstLineChars="200"/>
        <w:rPr>
          <w:rFonts w:hint="eastAsia" w:ascii="宋体" w:hAnsi="宋体" w:eastAsia="宋体" w:cs="宋体"/>
          <w:b/>
          <w:bCs/>
          <w:sz w:val="24"/>
          <w:szCs w:val="24"/>
          <w:lang w:val="en-US" w:eastAsia="zh-CN"/>
        </w:rPr>
      </w:pPr>
      <w:bookmarkStart w:id="143" w:name="_Toc13656149"/>
      <w:bookmarkStart w:id="144" w:name="_Toc22200991"/>
      <w:bookmarkStart w:id="145" w:name="_Toc13676646"/>
      <w:bookmarkStart w:id="146" w:name="_Toc13682864"/>
      <w:bookmarkStart w:id="147" w:name="_Toc13758297"/>
      <w:bookmarkStart w:id="148" w:name="_Toc495414114"/>
      <w:bookmarkStart w:id="149" w:name="_Toc13678548"/>
      <w:r>
        <w:rPr>
          <w:rFonts w:hint="eastAsia" w:ascii="宋体" w:hAnsi="宋体" w:eastAsia="宋体" w:cs="宋体"/>
          <w:b/>
          <w:bCs/>
          <w:sz w:val="24"/>
          <w:szCs w:val="24"/>
        </w:rPr>
        <w:t>技术参数是评标过程中的重要依据，如发现投标人标书中参数为直接复制粘贴招标文件技术参数，技术评审中均视为不符合招标文件要求。请投标人根据投标实际情况，编制自己单位的实际参数，如若直接复制粘贴招标文件技术参数，产生的后果由投标人自行承担。</w:t>
      </w:r>
      <w:bookmarkEnd w:id="143"/>
      <w:bookmarkEnd w:id="144"/>
      <w:bookmarkEnd w:id="145"/>
      <w:bookmarkEnd w:id="146"/>
      <w:bookmarkEnd w:id="147"/>
      <w:bookmarkEnd w:id="148"/>
      <w:bookmarkEnd w:id="149"/>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1.1项目名称：新和县疾病预防控制中心实验室设备采购项目</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1.2项目编号：XHX-ZY-GKZB-2022-001</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1.3最高限价：2000000.00元（大写：贰佰万元整）</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1.4采购范围：实验室设备</w:t>
      </w:r>
      <w:r>
        <w:rPr>
          <w:rFonts w:hint="eastAsia" w:ascii="宋体" w:hAnsi="宋体" w:cs="宋体"/>
          <w:b/>
          <w:bCs/>
          <w:sz w:val="24"/>
          <w:szCs w:val="24"/>
          <w:lang w:val="en-US" w:eastAsia="zh-CN"/>
        </w:rPr>
        <w:t>采购</w:t>
      </w:r>
      <w:r>
        <w:rPr>
          <w:rFonts w:hint="eastAsia" w:ascii="宋体" w:hAnsi="宋体" w:eastAsia="宋体" w:cs="宋体"/>
          <w:b/>
          <w:bCs/>
          <w:sz w:val="24"/>
          <w:szCs w:val="24"/>
          <w:lang w:val="en-US" w:eastAsia="zh-CN"/>
        </w:rPr>
        <w:t>（详见清单及参数）</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1.5质保期：</w:t>
      </w: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年</w:t>
      </w:r>
    </w:p>
    <w:p>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1.6交货期：按照甲、乙双方约定并签订合同日期执行。</w:t>
      </w:r>
    </w:p>
    <w:p>
      <w:pPr>
        <w:spacing w:line="360" w:lineRule="auto"/>
        <w:ind w:firstLine="482" w:firstLineChars="200"/>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1.7清单：</w:t>
      </w:r>
      <w:r>
        <w:rPr>
          <w:rFonts w:hint="eastAsia" w:ascii="宋体" w:hAnsi="宋体" w:cs="宋体"/>
          <w:b/>
          <w:bCs/>
          <w:sz w:val="24"/>
          <w:szCs w:val="24"/>
          <w:lang w:val="en-US" w:eastAsia="zh-CN"/>
        </w:rPr>
        <w:t xml:space="preserve">          </w:t>
      </w:r>
    </w:p>
    <w:p>
      <w:pPr>
        <w:spacing w:line="480" w:lineRule="auto"/>
        <w:ind w:firstLine="723" w:firstLineChars="200"/>
        <w:jc w:val="center"/>
        <w:rPr>
          <w:rFonts w:hint="eastAsia" w:ascii="宋体" w:hAnsi="宋体"/>
          <w:b/>
          <w:bCs/>
          <w:color w:val="000000"/>
          <w:sz w:val="36"/>
          <w:szCs w:val="36"/>
          <w:lang w:val="en-US" w:eastAsia="zh-CN"/>
        </w:rPr>
      </w:pPr>
      <w:r>
        <w:rPr>
          <w:rFonts w:hint="eastAsia" w:ascii="宋体" w:hAnsi="宋体"/>
          <w:b/>
          <w:bCs/>
          <w:color w:val="000000"/>
          <w:sz w:val="36"/>
          <w:szCs w:val="36"/>
          <w:lang w:val="en-US" w:eastAsia="zh-CN"/>
        </w:rPr>
        <w:t>采购清单</w:t>
      </w:r>
    </w:p>
    <w:tbl>
      <w:tblPr>
        <w:tblStyle w:val="30"/>
        <w:tblW w:w="9318" w:type="dxa"/>
        <w:tblInd w:w="3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9"/>
        <w:gridCol w:w="4679"/>
        <w:gridCol w:w="1829"/>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序号</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设备名称</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单位</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高压灭菌锅</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霉菌培养箱</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电热恒温水槽</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4</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olor w:val="000000"/>
                <w:sz w:val="24"/>
                <w:szCs w:val="24"/>
                <w:lang w:eastAsia="zh-CN"/>
              </w:rPr>
            </w:pPr>
            <w:r>
              <w:rPr>
                <w:rFonts w:hint="eastAsia" w:ascii="宋体" w:hAnsi="宋体"/>
                <w:color w:val="000000"/>
                <w:sz w:val="24"/>
                <w:szCs w:val="24"/>
                <w:lang w:val="en-US" w:eastAsia="zh-CN"/>
              </w:rPr>
              <w:t>分散机</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5</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全自动流动注射分析仪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6</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11250"/>
              </w:tabs>
              <w:jc w:val="left"/>
              <w:rPr>
                <w:rFonts w:hint="eastAsia" w:ascii="宋体" w:hAnsi="宋体"/>
                <w:color w:val="000000"/>
                <w:sz w:val="24"/>
                <w:szCs w:val="24"/>
              </w:rPr>
            </w:pPr>
            <w:r>
              <w:rPr>
                <w:rFonts w:hint="eastAsia" w:ascii="宋体" w:hAnsi="宋体"/>
                <w:color w:val="000000"/>
                <w:sz w:val="24"/>
                <w:szCs w:val="24"/>
              </w:rPr>
              <w:t>超高效液相色谱仪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7</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离子色谱仪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8</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医用冷藏箱</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9</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洁净工作台</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10</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高压灭菌锅</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11</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自动精密蠕动分液仪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12</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全自动菌落计数仪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13</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万分之一电子天平</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14</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电热恒温水浴锅</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15</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olor w:val="000000"/>
                <w:sz w:val="24"/>
                <w:szCs w:val="24"/>
                <w:lang w:eastAsia="zh-CN"/>
              </w:rPr>
            </w:pPr>
            <w:r>
              <w:rPr>
                <w:rFonts w:hint="eastAsia" w:ascii="宋体" w:hAnsi="宋体"/>
                <w:color w:val="000000"/>
                <w:sz w:val="24"/>
                <w:szCs w:val="24"/>
                <w:lang w:val="en-US" w:eastAsia="zh-CN"/>
              </w:rPr>
              <w:t>分散机</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16</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立式智能精密摇床</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17</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纯水超纯水机</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333333"/>
          <w:sz w:val="36"/>
          <w:szCs w:val="36"/>
          <w:shd w:val="clear" w:color="auto" w:fill="FFFFFF"/>
          <w:lang w:val="en-US" w:eastAsia="zh-CN"/>
        </w:rPr>
      </w:pPr>
    </w:p>
    <w:p>
      <w:pPr>
        <w:pStyle w:val="2"/>
        <w:rPr>
          <w:rFonts w:hint="eastAsia"/>
          <w:sz w:val="21"/>
          <w:szCs w:val="21"/>
          <w:lang w:val="en-US" w:eastAsia="zh-CN"/>
        </w:rPr>
      </w:pPr>
      <w:r>
        <w:rPr>
          <w:rFonts w:hint="eastAsia" w:ascii="宋体" w:hAnsi="宋体" w:cs="宋体"/>
          <w:b/>
          <w:bCs/>
          <w:color w:val="333333"/>
          <w:sz w:val="21"/>
          <w:szCs w:val="21"/>
          <w:shd w:val="clear" w:color="auto" w:fill="FFFFFF"/>
          <w:lang w:val="en-US" w:eastAsia="zh-CN"/>
        </w:rPr>
        <w:t>备注：若参数中出现品牌型号，仅供参考，采购人未指定任何品牌及型号。</w:t>
      </w:r>
    </w:p>
    <w:p>
      <w:pPr>
        <w:spacing w:line="480" w:lineRule="auto"/>
        <w:ind w:firstLine="482" w:firstLineChars="200"/>
        <w:rPr>
          <w:rFonts w:hint="eastAsia" w:ascii="宋体" w:hAnsi="宋体" w:eastAsia="宋体" w:cs="宋体"/>
          <w:b/>
          <w:bCs/>
          <w:sz w:val="24"/>
          <w:szCs w:val="24"/>
          <w:lang w:val="en-US" w:eastAsia="zh-CN"/>
        </w:rPr>
      </w:pPr>
    </w:p>
    <w:p>
      <w:pPr>
        <w:spacing w:line="480" w:lineRule="auto"/>
        <w:ind w:firstLine="482" w:firstLineChars="200"/>
        <w:rPr>
          <w:rFonts w:hint="eastAsia" w:ascii="宋体" w:hAnsi="宋体" w:cs="宋体"/>
          <w:b/>
          <w:bCs/>
          <w:color w:val="333333"/>
          <w:sz w:val="36"/>
          <w:szCs w:val="36"/>
          <w:shd w:val="clear" w:color="auto" w:fill="FFFFFF"/>
          <w:lang w:val="en-US" w:eastAsia="zh-CN"/>
        </w:rPr>
      </w:pPr>
      <w:r>
        <w:rPr>
          <w:rFonts w:hint="eastAsia" w:ascii="宋体" w:hAnsi="宋体" w:eastAsia="宋体" w:cs="宋体"/>
          <w:b/>
          <w:bCs/>
          <w:sz w:val="24"/>
          <w:szCs w:val="24"/>
          <w:lang w:val="en-US" w:eastAsia="zh-CN"/>
        </w:rPr>
        <w:t>1.8产品技术参数</w:t>
      </w:r>
      <w:r>
        <w:rPr>
          <w:rFonts w:hint="eastAsia" w:ascii="宋体" w:hAnsi="宋体" w:cs="宋体"/>
          <w:b/>
          <w:bCs/>
          <w:sz w:val="24"/>
          <w:szCs w:val="24"/>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高压灭菌锅</w:t>
      </w:r>
    </w:p>
    <w:p>
      <w:pPr>
        <w:pStyle w:val="3"/>
        <w:jc w:val="center"/>
        <w:rPr>
          <w:rFonts w:hint="eastAsia" w:ascii="宋体" w:hAnsi="宋体" w:eastAsia="宋体" w:cs="宋体"/>
          <w:b w:val="0"/>
          <w:bCs w:val="0"/>
          <w:color w:val="333333"/>
          <w:kern w:val="2"/>
          <w:sz w:val="32"/>
          <w:szCs w:val="32"/>
          <w:shd w:val="clear" w:color="auto" w:fill="FFFFFF"/>
          <w:lang w:val="en-US" w:eastAsia="zh-CN" w:bidi="ar-SA"/>
        </w:rPr>
      </w:pPr>
      <w:r>
        <w:rPr>
          <w:rFonts w:hint="eastAsia" w:ascii="Times New Roman" w:hAnsi="Times New Roman" w:eastAsia="宋体" w:cs="Times New Roman"/>
          <w:b/>
          <w:bCs/>
          <w:sz w:val="32"/>
          <w:szCs w:val="32"/>
        </w:rPr>
        <w:t>立式</w:t>
      </w:r>
      <w:r>
        <w:rPr>
          <w:rFonts w:hint="eastAsia"/>
          <w:sz w:val="32"/>
          <w:szCs w:val="32"/>
        </w:rPr>
        <w:t>灭菌器参数</w:t>
      </w:r>
    </w:p>
    <w:p>
      <w:pPr>
        <w:numPr>
          <w:ilvl w:val="0"/>
          <w:numId w:val="8"/>
        </w:num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产品技术参数</w:t>
      </w:r>
    </w:p>
    <w:p>
      <w:pPr>
        <w:numPr>
          <w:ilvl w:val="0"/>
          <w:numId w:val="0"/>
        </w:num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1、</w:t>
      </w:r>
      <w:r>
        <w:rPr>
          <w:rFonts w:hint="eastAsia" w:ascii="宋体" w:hAnsi="宋体" w:eastAsia="宋体" w:cs="宋体"/>
          <w:color w:val="333333"/>
          <w:sz w:val="24"/>
          <w:szCs w:val="24"/>
          <w:shd w:val="clear" w:color="auto" w:fill="FFFFFF"/>
        </w:rPr>
        <w:t>容积</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75L</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rPr>
        <w:t>功率</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4700w</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净重</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85kg</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内腔尺寸</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Φ386x695mm</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提篮数</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2</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rPr>
        <w:t>提篮尺寸</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Φ365×265</w:t>
      </w:r>
    </w:p>
    <w:p>
      <w:pPr>
        <w:numPr>
          <w:ilvl w:val="0"/>
          <w:numId w:val="9"/>
        </w:num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b/>
          <w:bCs/>
          <w:color w:val="333333"/>
          <w:sz w:val="24"/>
          <w:szCs w:val="24"/>
          <w:shd w:val="clear" w:color="auto" w:fill="FFFFFF"/>
        </w:rPr>
        <w:t>产品技术特点</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1.额定工作压力0.22Mpa，</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2.额定工作温度134℃</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3.使用温度105～136℃</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.灭菌腔体、灭菌提篮均为优质不锈钢SUS304材质制成，内部抛光处理，汽水内循环。</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.手轮式平移门结构，并具有门安全联锁装置及门检测装置，有压力时门无法打开，门关闭不到位程序不能运行。</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rPr>
        <w:t>.具有防干烧报警、超压自泄、超温保护、电力安全保护，所有报警具有声光警示。</w:t>
      </w:r>
    </w:p>
    <w:p>
      <w:pPr>
        <w:pStyle w:val="45"/>
        <w:spacing w:line="360" w:lineRule="auto"/>
        <w:ind w:firstLine="0" w:firstLineChars="0"/>
        <w:rPr>
          <w:rFonts w:hint="eastAsia" w:ascii="宋体" w:hAnsi="宋体" w:eastAsia="宋体" w:cs="宋体"/>
          <w:sz w:val="24"/>
          <w:szCs w:val="24"/>
        </w:rPr>
      </w:pPr>
      <w:r>
        <w:rPr>
          <w:rFonts w:hint="eastAsia" w:ascii="宋体" w:hAnsi="宋体" w:eastAsia="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LED数字显示灭菌腔内温度、时间和故障报警代码。</w:t>
      </w:r>
    </w:p>
    <w:p>
      <w:pPr>
        <w:pStyle w:val="45"/>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.自胀式硅橡胶密封圈，密封效果好，使用寿命长。</w:t>
      </w:r>
    </w:p>
    <w:p>
      <w:pPr>
        <w:pStyle w:val="45"/>
        <w:spacing w:line="360" w:lineRule="auto"/>
        <w:ind w:left="-357" w:leftChars="-170" w:firstLine="0" w:firstLineChars="0"/>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9</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电磁阀使用进口品牌，压力表、安全阀均按照国家标准提供编号、铭牌、合格证等强制性资料。</w:t>
      </w:r>
    </w:p>
    <w:p>
      <w:pPr>
        <w:pStyle w:val="45"/>
        <w:spacing w:line="360" w:lineRule="auto"/>
        <w:ind w:left="-357" w:leftChars="-170" w:firstLine="0" w:firstLineChars="0"/>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 xml:space="preserve">  1</w:t>
      </w:r>
      <w:r>
        <w:rPr>
          <w:rFonts w:hint="eastAsia" w:ascii="宋体" w:hAnsi="宋体" w:eastAsia="宋体" w:cs="宋体"/>
          <w:color w:val="333333"/>
          <w:sz w:val="24"/>
          <w:szCs w:val="24"/>
          <w:shd w:val="clear" w:color="auto" w:fill="FFFFFF"/>
          <w:lang w:val="en-US" w:eastAsia="zh-CN"/>
        </w:rPr>
        <w:t>0</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微电脑控制，具有器械、敷料、液体等五项固定程序，两项自定义程序，并具有干燥功能。</w:t>
      </w:r>
    </w:p>
    <w:p>
      <w:pPr>
        <w:pStyle w:val="45"/>
        <w:spacing w:line="360" w:lineRule="auto"/>
        <w:ind w:left="-357" w:leftChars="-170" w:firstLine="0" w:firstLineChars="0"/>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设备注水、升温、灭菌、排气、干燥整个流程全自动运行，灭菌完成后声光提醒。</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color w:val="333333"/>
          <w:sz w:val="24"/>
          <w:szCs w:val="24"/>
          <w:shd w:val="clear" w:color="auto" w:fill="FFFFFF"/>
        </w:rPr>
        <w:t>★灭菌腔体温度均匀性</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rPr>
        <w:t>℃，干燥温度范围：50~120℃。</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1</w:t>
      </w:r>
      <w:r>
        <w:rPr>
          <w:rFonts w:hint="eastAsia" w:ascii="宋体" w:hAnsi="宋体" w:eastAsia="宋体"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.★脉动排气技术，确保蒸汽饱和度。</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1</w:t>
      </w:r>
      <w:r>
        <w:rPr>
          <w:rFonts w:hint="eastAsia" w:ascii="宋体" w:hAnsi="宋体" w:eastAsia="宋体"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.★全防护式门罩，铰链、转轴均不外露。</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1</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.★具有快速排气和慢速排气功能，避免灭菌液体溢出。</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1</w:t>
      </w:r>
      <w:r>
        <w:rPr>
          <w:rFonts w:hint="eastAsia" w:ascii="宋体" w:hAnsi="宋体" w:eastAsia="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rPr>
        <w:t>.★具有快速维修窗口，电气部分维护无需拆解外罩。</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cs="宋体"/>
          <w:b/>
          <w:bCs/>
          <w:kern w:val="44"/>
          <w:sz w:val="36"/>
          <w:szCs w:val="36"/>
          <w:lang w:val="en-US" w:eastAsia="zh-CN" w:bidi="ar-SA"/>
        </w:rPr>
        <w:t>2</w:t>
      </w:r>
      <w:r>
        <w:rPr>
          <w:rFonts w:hint="eastAsia" w:ascii="宋体" w:hAnsi="宋体" w:eastAsia="宋体" w:cs="宋体"/>
          <w:b/>
          <w:bCs/>
          <w:kern w:val="44"/>
          <w:sz w:val="36"/>
          <w:szCs w:val="36"/>
          <w:lang w:val="en-US" w:eastAsia="zh-CN" w:bidi="ar-SA"/>
        </w:rPr>
        <w:t>、霉菌培养箱</w:t>
      </w:r>
      <w:r>
        <w:rPr>
          <w:rFonts w:ascii="Arial" w:hAnsi="Arial" w:cs="Arial"/>
        </w:rPr>
        <w:br w:type="textWrapping"/>
      </w:r>
      <w:r>
        <w:rPr>
          <w:rFonts w:ascii="Arial" w:hAnsi="Arial" w:cs="Arial"/>
          <w:b/>
          <w:sz w:val="24"/>
          <w:szCs w:val="24"/>
        </w:rPr>
        <w:t>应用范围:</w:t>
      </w:r>
      <w:r>
        <w:rPr>
          <w:rFonts w:ascii="Arial" w:hAnsi="Arial" w:cs="Arial"/>
          <w:sz w:val="24"/>
          <w:szCs w:val="24"/>
        </w:rPr>
        <w:br w:type="textWrapping"/>
      </w:r>
      <w:r>
        <w:rPr>
          <w:rFonts w:ascii="Arial" w:hAnsi="Arial" w:cs="Arial"/>
          <w:sz w:val="24"/>
          <w:szCs w:val="24"/>
        </w:rPr>
        <w:t>本产品适用于环境保护、农畜、药检、水产等科研、院校实验和生产部门，是水体分析和BOD测定细菌、霉菌、微生物的培养、保存、植物的栽培、育种实验的专用恒温设备。</w:t>
      </w:r>
      <w:r>
        <w:rPr>
          <w:rFonts w:ascii="Arial" w:hAnsi="Arial" w:cs="Arial"/>
          <w:b/>
          <w:sz w:val="24"/>
          <w:szCs w:val="24"/>
        </w:rPr>
        <w:br w:type="textWrapping"/>
      </w:r>
      <w:r>
        <w:rPr>
          <w:rFonts w:ascii="Arial" w:hAnsi="Arial" w:cs="Arial"/>
          <w:b/>
          <w:sz w:val="24"/>
          <w:szCs w:val="24"/>
        </w:rPr>
        <w:t>产品特点：</w:t>
      </w:r>
      <w:r>
        <w:rPr>
          <w:rFonts w:ascii="Arial" w:hAnsi="Arial" w:cs="Arial"/>
          <w:b/>
          <w:sz w:val="24"/>
          <w:szCs w:val="24"/>
        </w:rPr>
        <w:br w:type="textWrapping"/>
      </w:r>
      <w:r>
        <w:rPr>
          <w:rFonts w:hint="eastAsia" w:ascii="宋体" w:hAnsi="宋体" w:eastAsia="宋体" w:cs="宋体"/>
          <w:kern w:val="2"/>
          <w:sz w:val="24"/>
          <w:szCs w:val="24"/>
          <w:lang w:val="en-US" w:eastAsia="zh-CN" w:bidi="ar"/>
        </w:rPr>
        <w:t>外壳采用冷轧钢板制造，表面静电喷塑，内胆镜面不锈钢，搁板可以任意调节；</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控制系统，控温精度高，性能稳定，具有超温报警、自我诊断功能；</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背光触控式按键设定，具有温度、时间调节控制，便于观察和操作；</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彩色液晶背光显示，示值直观，简单易懂，性能优越；</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具备屏锁时间、屏保密码设定功能，防止随意操作；</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可编程程序设计，可设置</w:t>
      </w:r>
      <w:r>
        <w:rPr>
          <w:rFonts w:hint="default" w:ascii="Arial" w:hAnsi="Arial" w:eastAsia="宋体" w:cs="Arial"/>
          <w:kern w:val="2"/>
          <w:sz w:val="24"/>
          <w:szCs w:val="24"/>
          <w:lang w:val="en-US" w:eastAsia="zh-CN" w:bidi="ar"/>
        </w:rPr>
        <w:t>30</w:t>
      </w:r>
      <w:r>
        <w:rPr>
          <w:rFonts w:hint="eastAsia" w:ascii="宋体" w:hAnsi="宋体" w:eastAsia="宋体" w:cs="宋体"/>
          <w:kern w:val="2"/>
          <w:sz w:val="24"/>
          <w:szCs w:val="24"/>
          <w:lang w:val="en-US" w:eastAsia="zh-CN" w:bidi="ar"/>
        </w:rPr>
        <w:t>段</w:t>
      </w:r>
      <w:r>
        <w:rPr>
          <w:rFonts w:hint="default" w:ascii="Arial" w:hAnsi="Arial" w:eastAsia="宋体" w:cs="Arial"/>
          <w:kern w:val="2"/>
          <w:sz w:val="24"/>
          <w:szCs w:val="24"/>
          <w:lang w:val="en-US" w:eastAsia="zh-CN" w:bidi="ar"/>
        </w:rPr>
        <w:t>99</w:t>
      </w:r>
      <w:r>
        <w:rPr>
          <w:rFonts w:hint="eastAsia" w:ascii="宋体" w:hAnsi="宋体" w:eastAsia="宋体" w:cs="宋体"/>
          <w:kern w:val="2"/>
          <w:sz w:val="24"/>
          <w:szCs w:val="24"/>
          <w:lang w:val="en-US" w:eastAsia="zh-CN" w:bidi="ar"/>
        </w:rPr>
        <w:t>周期；</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采用离心风机，通过风道设计使冷热充分混合后吹至箱体确保温度更精，均匀度更佳；</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双层门设计，具备全景钢化玻璃观察内门，避免观察样品时造成温度波动；</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设备左右侧各有一个内径为</w:t>
      </w:r>
      <w:r>
        <w:rPr>
          <w:rFonts w:hint="default" w:ascii="Arial" w:hAnsi="Arial" w:eastAsia="宋体" w:cs="Arial"/>
          <w:kern w:val="2"/>
          <w:sz w:val="24"/>
          <w:szCs w:val="24"/>
          <w:lang w:val="en-US" w:eastAsia="zh-CN" w:bidi="ar"/>
        </w:rPr>
        <w:t>3cm</w:t>
      </w:r>
      <w:r>
        <w:rPr>
          <w:rFonts w:hint="eastAsia" w:ascii="宋体" w:hAnsi="宋体" w:eastAsia="宋体" w:cs="宋体"/>
          <w:kern w:val="2"/>
          <w:sz w:val="24"/>
          <w:szCs w:val="24"/>
          <w:lang w:val="en-US" w:eastAsia="zh-CN" w:bidi="ar"/>
        </w:rPr>
        <w:t>的检测孔，方便客户在计量或者验证过程中布线；</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具备</w:t>
      </w:r>
      <w:r>
        <w:rPr>
          <w:rFonts w:hint="default" w:ascii="Arial" w:hAnsi="Arial" w:eastAsia="宋体" w:cs="Arial"/>
          <w:kern w:val="2"/>
          <w:sz w:val="24"/>
          <w:szCs w:val="24"/>
          <w:lang w:val="en-US" w:eastAsia="zh-CN" w:bidi="ar"/>
        </w:rPr>
        <w:t>6</w:t>
      </w:r>
      <w:r>
        <w:rPr>
          <w:rFonts w:hint="eastAsia" w:ascii="宋体" w:hAnsi="宋体" w:eastAsia="宋体" w:cs="宋体"/>
          <w:kern w:val="2"/>
          <w:sz w:val="24"/>
          <w:szCs w:val="24"/>
          <w:lang w:val="en-US" w:eastAsia="zh-CN" w:bidi="ar"/>
        </w:rPr>
        <w:t>级风速调控功能，确保不同培养物的循环风速需求，避免风量过大造成样品挥发；</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具备预约和定时功能，方便客户严格把控设备的开启时间和运行时间；</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具备易拆卸式压缩机冷凝器保养窗口，方便客户定期进行冷凝器清洁；</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标配机械锁，防止任意开门；</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采用变频式制冷系统，环保制冷剂（</w:t>
      </w:r>
      <w:r>
        <w:rPr>
          <w:rFonts w:hint="default" w:ascii="Arial" w:hAnsi="Arial" w:eastAsia="宋体" w:cs="Arial"/>
          <w:kern w:val="2"/>
          <w:sz w:val="24"/>
          <w:szCs w:val="24"/>
          <w:lang w:val="en-US" w:eastAsia="zh-CN" w:bidi="ar"/>
        </w:rPr>
        <w:t>R134a</w:t>
      </w:r>
      <w:r>
        <w:rPr>
          <w:rFonts w:hint="eastAsia" w:ascii="宋体" w:hAnsi="宋体" w:eastAsia="宋体" w:cs="宋体"/>
          <w:kern w:val="2"/>
          <w:sz w:val="24"/>
          <w:szCs w:val="24"/>
          <w:lang w:val="en-US" w:eastAsia="zh-CN" w:bidi="ar"/>
        </w:rPr>
        <w:t>），高效率，低能耗，全温段持续无霜运行，避免对温度的影响，使设备连续长时间使用；</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设备腔体内标配</w:t>
      </w:r>
      <w:r>
        <w:rPr>
          <w:rFonts w:hint="default" w:ascii="Arial" w:hAnsi="Arial" w:eastAsia="宋体" w:cs="Arial"/>
          <w:kern w:val="2"/>
          <w:sz w:val="24"/>
          <w:szCs w:val="24"/>
          <w:lang w:val="en-US" w:eastAsia="zh-CN" w:bidi="ar"/>
        </w:rPr>
        <w:t>220V</w:t>
      </w:r>
      <w:r>
        <w:rPr>
          <w:rFonts w:hint="eastAsia" w:ascii="宋体" w:hAnsi="宋体" w:eastAsia="宋体" w:cs="宋体"/>
          <w:kern w:val="2"/>
          <w:sz w:val="24"/>
          <w:szCs w:val="24"/>
          <w:lang w:val="en-US" w:eastAsia="zh-CN" w:bidi="ar"/>
        </w:rPr>
        <w:t>的防水电源插座，方便客户在箱体内直接接入其他设备使用；</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设备内标配有大功率照明灯（霉菌培养箱为紫外线杀菌灯），方便客户观察内部样品；</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采用进口降噪压缩机组，噪音低，性能稳定；</w:t>
      </w:r>
    </w:p>
    <w:p>
      <w:pPr>
        <w:keepNext w:val="0"/>
        <w:keepLines w:val="0"/>
        <w:widowControl w:val="0"/>
        <w:suppressLineNumbers w:val="0"/>
        <w:spacing w:before="0" w:beforeAutospacing="0" w:after="0" w:afterAutospacing="0" w:line="360" w:lineRule="auto"/>
        <w:ind w:left="0" w:right="0"/>
        <w:jc w:val="both"/>
        <w:rPr>
          <w:rFonts w:ascii="Arial" w:hAnsi="Arial" w:cs="Arial"/>
          <w:sz w:val="24"/>
          <w:szCs w:val="24"/>
        </w:rPr>
      </w:pPr>
      <w:r>
        <w:rPr>
          <w:rFonts w:hint="eastAsia" w:ascii="宋体" w:hAnsi="宋体" w:eastAsia="宋体" w:cs="宋体"/>
          <w:kern w:val="2"/>
          <w:sz w:val="24"/>
          <w:szCs w:val="24"/>
          <w:lang w:val="en-US" w:eastAsia="zh-CN" w:bidi="ar"/>
        </w:rPr>
        <w:t>具有来电恢复功能，保证设备不会因停电、死机而造成数据丢失。</w:t>
      </w:r>
      <w:r>
        <w:rPr>
          <w:rFonts w:ascii="Arial" w:hAnsi="Arial" w:cs="Arial"/>
          <w:b/>
          <w:sz w:val="24"/>
          <w:szCs w:val="24"/>
        </w:rPr>
        <w:br w:type="textWrapping"/>
      </w:r>
      <w:r>
        <w:rPr>
          <w:rFonts w:ascii="Arial" w:hAnsi="Arial" w:cs="Arial"/>
          <w:b/>
          <w:sz w:val="24"/>
          <w:szCs w:val="24"/>
        </w:rPr>
        <w:t>技术参数：</w:t>
      </w:r>
      <w:r>
        <w:rPr>
          <w:rFonts w:ascii="Arial" w:hAnsi="Arial" w:cs="Arial"/>
          <w:sz w:val="24"/>
          <w:szCs w:val="24"/>
        </w:rPr>
        <w:br w:type="textWrapping"/>
      </w:r>
      <w:r>
        <w:rPr>
          <w:rFonts w:ascii="Arial" w:hAnsi="Arial" w:cs="Arial"/>
          <w:sz w:val="24"/>
          <w:szCs w:val="24"/>
        </w:rPr>
        <w:t>控温范围：0℃-</w:t>
      </w:r>
      <w:r>
        <w:rPr>
          <w:rFonts w:hint="eastAsia" w:ascii="Arial" w:hAnsi="Arial" w:cs="Arial"/>
          <w:sz w:val="24"/>
          <w:szCs w:val="24"/>
          <w:lang w:val="en-US" w:eastAsia="zh-CN"/>
        </w:rPr>
        <w:t>7</w:t>
      </w:r>
      <w:r>
        <w:rPr>
          <w:rFonts w:ascii="Arial" w:hAnsi="Arial" w:cs="Arial"/>
          <w:sz w:val="24"/>
          <w:szCs w:val="24"/>
        </w:rPr>
        <w:t>0℃</w:t>
      </w:r>
    </w:p>
    <w:p>
      <w:pPr>
        <w:spacing w:line="360" w:lineRule="auto"/>
        <w:rPr>
          <w:rFonts w:ascii="Arial" w:hAnsi="Arial" w:cs="Arial"/>
        </w:rPr>
      </w:pPr>
      <w:r>
        <w:rPr>
          <w:rFonts w:hint="eastAsia" w:ascii="Arial" w:hAnsi="Arial" w:cs="Arial"/>
          <w:sz w:val="24"/>
          <w:szCs w:val="24"/>
          <w:lang w:val="en-US" w:eastAsia="zh-CN"/>
        </w:rPr>
        <w:t>有效容积：≥155L</w:t>
      </w:r>
      <w:r>
        <w:rPr>
          <w:rFonts w:ascii="Arial" w:hAnsi="Arial" w:cs="Arial"/>
          <w:sz w:val="24"/>
          <w:szCs w:val="24"/>
        </w:rPr>
        <w:br w:type="textWrapping"/>
      </w:r>
      <w:r>
        <w:rPr>
          <w:rFonts w:ascii="Arial" w:hAnsi="Arial" w:cs="Arial"/>
          <w:sz w:val="24"/>
          <w:szCs w:val="24"/>
        </w:rPr>
        <w:t>分辨率：0.1℃</w:t>
      </w:r>
      <w:r>
        <w:rPr>
          <w:rFonts w:ascii="Arial" w:hAnsi="Arial" w:cs="Arial"/>
          <w:sz w:val="24"/>
          <w:szCs w:val="24"/>
        </w:rPr>
        <w:br w:type="textWrapping"/>
      </w:r>
      <w:r>
        <w:rPr>
          <w:rFonts w:ascii="Arial" w:hAnsi="Arial" w:cs="Arial"/>
          <w:sz w:val="24"/>
          <w:szCs w:val="24"/>
        </w:rPr>
        <w:t>波动度：±0.5℃</w:t>
      </w:r>
      <w:r>
        <w:rPr>
          <w:rFonts w:ascii="Arial" w:hAnsi="Arial" w:cs="Arial"/>
          <w:sz w:val="24"/>
          <w:szCs w:val="24"/>
        </w:rPr>
        <w:br w:type="textWrapping"/>
      </w:r>
      <w:r>
        <w:rPr>
          <w:rFonts w:ascii="Arial" w:hAnsi="Arial" w:cs="Arial"/>
          <w:sz w:val="24"/>
          <w:szCs w:val="24"/>
        </w:rPr>
        <w:t>均匀度：±1℃（37℃时）</w:t>
      </w:r>
      <w:r>
        <w:rPr>
          <w:rFonts w:ascii="Arial" w:hAnsi="Arial" w:cs="Arial"/>
          <w:sz w:val="24"/>
          <w:szCs w:val="24"/>
        </w:rPr>
        <w:br w:type="textWrapping"/>
      </w:r>
      <w:r>
        <w:rPr>
          <w:rFonts w:ascii="Arial" w:hAnsi="Arial" w:cs="Arial"/>
          <w:sz w:val="24"/>
          <w:szCs w:val="24"/>
        </w:rPr>
        <w:t>输入功率：1000W</w:t>
      </w:r>
      <w:r>
        <w:rPr>
          <w:rFonts w:ascii="Arial" w:hAnsi="Arial" w:cs="Arial"/>
          <w:sz w:val="24"/>
          <w:szCs w:val="24"/>
        </w:rPr>
        <w:br w:type="textWrapping"/>
      </w:r>
      <w:r>
        <w:rPr>
          <w:rFonts w:ascii="Arial" w:hAnsi="Arial" w:cs="Arial"/>
          <w:sz w:val="24"/>
          <w:szCs w:val="24"/>
        </w:rPr>
        <w:t>定时范围：0-9999min/h</w:t>
      </w:r>
      <w:r>
        <w:rPr>
          <w:rFonts w:ascii="Arial" w:hAnsi="Arial" w:cs="Arial"/>
          <w:sz w:val="24"/>
          <w:szCs w:val="24"/>
        </w:rPr>
        <w:br w:type="textWrapping"/>
      </w:r>
      <w:r>
        <w:rPr>
          <w:rFonts w:ascii="Arial" w:hAnsi="Arial" w:cs="Arial"/>
          <w:sz w:val="24"/>
          <w:szCs w:val="24"/>
        </w:rPr>
        <w:t>内胆尺寸(mm)：510×390×760</w:t>
      </w:r>
      <w:r>
        <w:rPr>
          <w:rFonts w:ascii="Arial" w:hAnsi="Arial" w:cs="Arial"/>
          <w:sz w:val="24"/>
          <w:szCs w:val="24"/>
        </w:rPr>
        <w:br w:type="textWrapping"/>
      </w:r>
      <w:r>
        <w:rPr>
          <w:rFonts w:ascii="Arial" w:hAnsi="Arial" w:cs="Arial"/>
          <w:sz w:val="24"/>
          <w:szCs w:val="24"/>
        </w:rPr>
        <w:t>外形尺寸(mm)：650×680×1400</w:t>
      </w:r>
      <w:r>
        <w:rPr>
          <w:rFonts w:ascii="Arial" w:hAnsi="Arial" w:cs="Arial"/>
          <w:sz w:val="24"/>
          <w:szCs w:val="24"/>
        </w:rPr>
        <w:br w:type="textWrapping"/>
      </w:r>
      <w:r>
        <w:rPr>
          <w:rFonts w:ascii="Arial" w:hAnsi="Arial" w:cs="Arial"/>
          <w:sz w:val="24"/>
          <w:szCs w:val="24"/>
        </w:rPr>
        <w:t>载物托架</w:t>
      </w:r>
      <w:r>
        <w:rPr>
          <w:rFonts w:hint="eastAsia" w:ascii="Arial" w:hAnsi="Arial" w:cs="Arial"/>
          <w:sz w:val="24"/>
          <w:szCs w:val="24"/>
          <w:lang w:eastAsia="zh-CN"/>
        </w:rPr>
        <w:t>【</w:t>
      </w:r>
      <w:r>
        <w:rPr>
          <w:rFonts w:hint="eastAsia" w:ascii="Arial" w:hAnsi="Arial" w:cs="Arial"/>
          <w:sz w:val="24"/>
          <w:szCs w:val="24"/>
          <w:lang w:val="en-US" w:eastAsia="zh-CN"/>
        </w:rPr>
        <w:t>标配/最多</w:t>
      </w:r>
      <w:r>
        <w:rPr>
          <w:rFonts w:hint="eastAsia" w:ascii="Arial" w:hAnsi="Arial" w:cs="Arial"/>
          <w:sz w:val="24"/>
          <w:szCs w:val="24"/>
          <w:lang w:eastAsia="zh-CN"/>
        </w:rPr>
        <w:t>】</w:t>
      </w:r>
      <w:r>
        <w:rPr>
          <w:rFonts w:ascii="Arial" w:hAnsi="Arial" w:cs="Arial"/>
          <w:sz w:val="24"/>
          <w:szCs w:val="24"/>
        </w:rPr>
        <w:t>：</w:t>
      </w:r>
      <w:r>
        <w:rPr>
          <w:rFonts w:hint="eastAsia" w:ascii="Arial" w:hAnsi="Arial" w:cs="Arial"/>
          <w:sz w:val="24"/>
          <w:szCs w:val="24"/>
          <w:lang w:val="en-US" w:eastAsia="zh-CN"/>
        </w:rPr>
        <w:t>3/5</w:t>
      </w:r>
      <w:r>
        <w:rPr>
          <w:rFonts w:ascii="Arial" w:hAnsi="Arial" w:cs="Arial"/>
          <w:sz w:val="24"/>
          <w:szCs w:val="24"/>
        </w:rPr>
        <w:t>块</w:t>
      </w:r>
      <w:r>
        <w:rPr>
          <w:rFonts w:ascii="Arial" w:hAnsi="Arial" w:cs="Arial"/>
          <w:sz w:val="24"/>
          <w:szCs w:val="24"/>
        </w:rPr>
        <w:br w:type="textWrapping"/>
      </w:r>
      <w:r>
        <w:rPr>
          <w:rFonts w:ascii="Arial" w:hAnsi="Arial" w:cs="Arial"/>
        </w:rPr>
        <w:br w:type="textWrapping"/>
      </w:r>
    </w:p>
    <w:p>
      <w:pPr>
        <w:keepNext w:val="0"/>
        <w:keepLines w:val="0"/>
        <w:widowControl/>
        <w:numPr>
          <w:ilvl w:val="0"/>
          <w:numId w:val="0"/>
        </w:numPr>
        <w:suppressLineNumbers w:val="0"/>
        <w:spacing w:line="360" w:lineRule="auto"/>
        <w:ind w:leftChars="0"/>
        <w:jc w:val="both"/>
        <w:rPr>
          <w:rFonts w:hint="eastAsia" w:ascii="宋体" w:hAnsi="宋体" w:eastAsia="宋体" w:cs="宋体"/>
          <w:b/>
          <w:bCs/>
          <w:kern w:val="44"/>
          <w:sz w:val="36"/>
          <w:szCs w:val="36"/>
          <w:lang w:val="en-US" w:eastAsia="zh-CN" w:bidi="ar-SA"/>
        </w:rPr>
      </w:pPr>
      <w:r>
        <w:rPr>
          <w:rFonts w:hint="eastAsia" w:ascii="宋体" w:hAnsi="宋体" w:cs="宋体"/>
          <w:b/>
          <w:bCs/>
          <w:kern w:val="44"/>
          <w:sz w:val="36"/>
          <w:szCs w:val="36"/>
          <w:lang w:val="en-US" w:eastAsia="zh-CN" w:bidi="ar-SA"/>
        </w:rPr>
        <w:t>3、</w:t>
      </w:r>
      <w:r>
        <w:rPr>
          <w:rFonts w:hint="eastAsia" w:ascii="宋体" w:hAnsi="宋体" w:eastAsia="宋体" w:cs="宋体"/>
          <w:b/>
          <w:bCs/>
          <w:kern w:val="44"/>
          <w:sz w:val="36"/>
          <w:szCs w:val="36"/>
          <w:lang w:val="en-US" w:eastAsia="zh-CN" w:bidi="ar-SA"/>
        </w:rPr>
        <w:t>电热恒温水槽</w:t>
      </w:r>
    </w:p>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应用范围:本系列产品可供医疗卫生、医学院校检查化验病理血清和工矿企业，科研单位作精密恒温和辅助加热。</w:t>
      </w:r>
    </w:p>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技术参数：</w:t>
      </w:r>
      <w:r>
        <w:rPr>
          <w:rFonts w:hint="eastAsia" w:ascii="新宋体" w:hAnsi="新宋体" w:eastAsia="新宋体" w:cs="新宋体"/>
          <w:color w:val="auto"/>
          <w:sz w:val="24"/>
          <w:szCs w:val="24"/>
        </w:rPr>
        <w:br w:type="textWrapping"/>
      </w:r>
      <w:r>
        <w:rPr>
          <w:rFonts w:hint="eastAsia" w:ascii="新宋体" w:hAnsi="新宋体" w:eastAsia="新宋体" w:cs="新宋体"/>
          <w:color w:val="auto"/>
          <w:sz w:val="24"/>
          <w:szCs w:val="24"/>
        </w:rPr>
        <w:t>本系列产品外壳采用优质钢板制成，表面喷塑，内胆采用不锈钢板，温控系统选用高精度传感器和集成元件，电路经过精心设计，使控温精确可靠。</w:t>
      </w:r>
    </w:p>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电源电压</w:t>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ab/>
      </w:r>
      <w:r>
        <w:rPr>
          <w:rFonts w:hint="eastAsia" w:ascii="新宋体" w:hAnsi="新宋体" w:eastAsia="新宋体" w:cs="新宋体"/>
          <w:color w:val="auto"/>
          <w:sz w:val="24"/>
          <w:szCs w:val="24"/>
        </w:rPr>
        <w:t>220V/50Hz</w:t>
      </w:r>
    </w:p>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功 率</w:t>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ab/>
      </w:r>
      <w:r>
        <w:rPr>
          <w:rFonts w:hint="eastAsia" w:ascii="新宋体" w:hAnsi="新宋体" w:eastAsia="新宋体" w:cs="新宋体"/>
          <w:color w:val="auto"/>
          <w:sz w:val="24"/>
          <w:szCs w:val="24"/>
        </w:rPr>
        <w:t>700W</w:t>
      </w:r>
    </w:p>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控温范围</w:t>
      </w:r>
      <w:r>
        <w:rPr>
          <w:rFonts w:hint="eastAsia" w:ascii="新宋体" w:hAnsi="新宋体" w:eastAsia="新宋体" w:cs="新宋体"/>
          <w:color w:val="auto"/>
          <w:sz w:val="24"/>
          <w:szCs w:val="24"/>
        </w:rPr>
        <w:tab/>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RT+5℃-100℃</w:t>
      </w:r>
    </w:p>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温度波动</w:t>
      </w:r>
      <w:r>
        <w:rPr>
          <w:rFonts w:hint="eastAsia" w:ascii="新宋体" w:hAnsi="新宋体" w:eastAsia="新宋体" w:cs="新宋体"/>
          <w:color w:val="auto"/>
          <w:sz w:val="24"/>
          <w:szCs w:val="24"/>
        </w:rPr>
        <w:tab/>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±0.2℃</w:t>
      </w:r>
    </w:p>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跟踪报警</w:t>
      </w:r>
      <w:r>
        <w:rPr>
          <w:rFonts w:hint="eastAsia" w:ascii="新宋体" w:hAnsi="新宋体" w:eastAsia="新宋体" w:cs="新宋体"/>
          <w:color w:val="auto"/>
          <w:sz w:val="24"/>
          <w:szCs w:val="24"/>
        </w:rPr>
        <w:tab/>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+2℃±0.5℃</w:t>
      </w:r>
    </w:p>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工作室尺寸(mm)</w:t>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600×290×190</w:t>
      </w:r>
    </w:p>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外形尺寸(mm)</w:t>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745×340×295</w:t>
      </w:r>
    </w:p>
    <w:p>
      <w:pPr>
        <w:keepNext w:val="0"/>
        <w:keepLines w:val="0"/>
        <w:widowControl/>
        <w:suppressLineNumbers w:val="0"/>
        <w:spacing w:line="360" w:lineRule="auto"/>
        <w:jc w:val="both"/>
        <w:rPr>
          <w:rFonts w:hint="eastAsia" w:ascii="宋体" w:hAnsi="宋体" w:eastAsia="宋体" w:cs="宋体"/>
          <w:b/>
          <w:bCs/>
          <w:kern w:val="44"/>
          <w:sz w:val="36"/>
          <w:szCs w:val="36"/>
          <w:lang w:val="en-US" w:eastAsia="zh-CN" w:bidi="ar-SA"/>
        </w:rPr>
      </w:pPr>
    </w:p>
    <w:p>
      <w:pPr>
        <w:keepNext w:val="0"/>
        <w:keepLines w:val="0"/>
        <w:widowControl/>
        <w:numPr>
          <w:ilvl w:val="0"/>
          <w:numId w:val="10"/>
        </w:numPr>
        <w:suppressLineNumbers w:val="0"/>
        <w:spacing w:line="360" w:lineRule="auto"/>
        <w:jc w:val="both"/>
        <w:rPr>
          <w:rFonts w:hint="eastAsia" w:ascii="宋体" w:hAnsi="宋体" w:eastAsia="宋体" w:cs="宋体"/>
          <w:b/>
          <w:bCs/>
          <w:kern w:val="44"/>
          <w:sz w:val="36"/>
          <w:szCs w:val="36"/>
          <w:lang w:val="en-US" w:eastAsia="zh-CN" w:bidi="ar-SA"/>
        </w:rPr>
      </w:pPr>
      <w:r>
        <w:rPr>
          <w:rFonts w:hint="eastAsia" w:ascii="宋体" w:hAnsi="宋体" w:eastAsia="宋体" w:cs="宋体"/>
          <w:b/>
          <w:bCs/>
          <w:kern w:val="44"/>
          <w:sz w:val="36"/>
          <w:szCs w:val="36"/>
          <w:lang w:val="en-US" w:eastAsia="zh-CN" w:bidi="ar-SA"/>
        </w:rPr>
        <w:t>分散机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产品描述：</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处理量为 1 – 1500 ml 的高性价比分散机，数字显示转速。宽广的转速范围(3000 – 25,000 rpm)确保用户即使使用小直径转子也能够以高线速度作业。拥有多种分散刀具可选，因而能适用于各种不同的应用领域。</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产品招标参数：</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 xml:space="preserve">马达输入 </w:t>
      </w:r>
      <w:r>
        <w:rPr>
          <w:rFonts w:hint="eastAsia" w:asciiTheme="minorEastAsia" w:hAnsiTheme="minorEastAsia" w:eastAsiaTheme="minorEastAsia" w:cstheme="minorEastAsia"/>
          <w:sz w:val="24"/>
          <w:szCs w:val="24"/>
        </w:rPr>
        <w:t>/ 输出功率: 500 / 300 W</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处理量 (H2O): 1 – 1,500 ml</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速度调整: 无级调速</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速度范围: 3,000 – 25,000 rpm</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即使粘度改变时也能保证转速恒定，有效保证操作的可重复性</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最大工作粘度: 5000mPas</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速度显示: 数显</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空载噪音: 75 dB (A)</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过载保护: 是</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可选一次性分散刀具，和一次性分散管，用于处理生物样品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外形尺寸 (W x D x H): 87 x 106 x 271 mm</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重量: 2.5kg</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允许环境温度:5 – 40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允许相对湿度:80%</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保护等级 DIN EN 60529：IP20</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质保：2+1年</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配置：主机1台、19G分散刀头1个、支架1个、夹头1个、容器固定夹1个</w:t>
      </w:r>
    </w:p>
    <w:p>
      <w:pPr>
        <w:spacing w:line="360" w:lineRule="auto"/>
        <w:rPr>
          <w:rFonts w:hint="eastAsia" w:asciiTheme="minorEastAsia" w:hAnsiTheme="minorEastAsia" w:eastAsiaTheme="minorEastAsia" w:cstheme="minorEastAsia"/>
          <w:sz w:val="24"/>
          <w:szCs w:val="24"/>
        </w:rPr>
      </w:pPr>
    </w:p>
    <w:p>
      <w:pPr>
        <w:keepNext w:val="0"/>
        <w:keepLines w:val="0"/>
        <w:widowControl/>
        <w:numPr>
          <w:ilvl w:val="0"/>
          <w:numId w:val="10"/>
        </w:numPr>
        <w:suppressLineNumbers w:val="0"/>
        <w:spacing w:line="360" w:lineRule="auto"/>
        <w:jc w:val="both"/>
        <w:rPr>
          <w:rFonts w:hint="eastAsia" w:ascii="宋体" w:hAnsi="宋体" w:eastAsia="宋体" w:cs="宋体"/>
          <w:b/>
          <w:bCs/>
          <w:kern w:val="44"/>
          <w:sz w:val="36"/>
          <w:szCs w:val="36"/>
          <w:lang w:val="en-US" w:eastAsia="zh-CN" w:bidi="ar-SA"/>
        </w:rPr>
      </w:pPr>
      <w:r>
        <w:rPr>
          <w:rFonts w:hint="eastAsia" w:ascii="宋体" w:hAnsi="宋体" w:eastAsia="宋体" w:cs="宋体"/>
          <w:b/>
          <w:bCs/>
          <w:kern w:val="44"/>
          <w:sz w:val="36"/>
          <w:szCs w:val="36"/>
          <w:lang w:val="en-US" w:eastAsia="zh-CN" w:bidi="ar-SA"/>
        </w:rPr>
        <w:t>全自动流动注射分析仪参数</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设备原理用途</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1.1 仪器原理：利用流动注射（FIA）的原理：在封闭的管路中向连续流动的载流注入一定体积的样品，试剂与样品在混合圈中反应，然后流过检测器来实现自动化分析。</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2．试剂包要求：每种检测项目配置试剂包，试剂包无需称量，开包溶解即用，一种试剂包对应一种方法。</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3、自动进样器</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3.1 </w:t>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rPr>
        <w:t>配置自动进样器，可自动补液，进样器样品位≥</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0位。</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 </w:t>
      </w:r>
      <w:r>
        <w:rPr>
          <w:rFonts w:hint="eastAsia" w:asciiTheme="minorEastAsia" w:hAnsiTheme="minorEastAsia" w:eastAsiaTheme="minorEastAsia" w:cstheme="minorEastAsia"/>
          <w:sz w:val="24"/>
          <w:szCs w:val="24"/>
          <w:lang w:val="en-US" w:eastAsia="zh-CN"/>
        </w:rPr>
        <w:t>可配置</w:t>
      </w:r>
      <w:r>
        <w:rPr>
          <w:rFonts w:hint="eastAsia" w:asciiTheme="minorEastAsia" w:hAnsiTheme="minorEastAsia" w:eastAsiaTheme="minorEastAsia" w:cstheme="minorEastAsia"/>
          <w:sz w:val="24"/>
          <w:szCs w:val="24"/>
        </w:rPr>
        <w:t>样品盘上可放置50mL样品位≥40个，多项目检测时样品无需进行试管分装转移，一次进样动作</w:t>
      </w:r>
      <w:r>
        <w:rPr>
          <w:rFonts w:hint="eastAsia" w:asciiTheme="minorEastAsia" w:hAnsiTheme="minorEastAsia" w:eastAsiaTheme="minorEastAsia" w:cstheme="minorEastAsia"/>
          <w:sz w:val="24"/>
          <w:szCs w:val="24"/>
          <w:lang w:val="en-US" w:eastAsia="zh-CN"/>
        </w:rPr>
        <w:t>各个</w:t>
      </w:r>
      <w:r>
        <w:rPr>
          <w:rFonts w:hint="eastAsia" w:asciiTheme="minorEastAsia" w:hAnsiTheme="minorEastAsia" w:eastAsiaTheme="minorEastAsia" w:cstheme="minorEastAsia"/>
          <w:sz w:val="24"/>
          <w:szCs w:val="24"/>
        </w:rPr>
        <w:t>通道同时进行检测。</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系统功能指标要求</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4.1系统采用内置在线紫外消解、在线加热和蒸馏、在线蒸馏液冷凝、在线萃取、在线透析等装置。</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4.2在线蒸馏和在线萃取采取膜分离装置，采用0.2μm孔径 PTFE膜进行相分离，高效分离气相/液相、水相/有机相，每次使用前无需镀膜等手工处理。</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4.3在线冷凝采取内置式电子冷凝装置，快速冷却气态样品。</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4.4在线加热采用电加热方式，内置数字式温度控制系统。</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进液系统使用压力自调节式整体压盖泵技术≥12通道。</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仪器采用双光束检测器，每个通道都包括一个专用的检测器，波长范围340-1100nm，噪音：≤0.0006Au，漂移：≤0.001Au，还包括一个流通式比色皿，光程10-30mm。</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4.7采用自适应光学系统，根据检测方法波长自动调节，同时根据波长可自动增益调节光强。</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 仪器配套的化学流路板呈水平设计，不可有倾斜角度。</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4.9仪器具备漏液监测功能，设有漏液传感装置，进液系统、化学流路板一旦发生漏液可自动停止仪器运行，提示故障情况。</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4.10软件系统：可实时监控检测仪器状态，各检测处理单元实时状态可视化显示，实现自我诊断故障维护相关功能；检测结果可以转换成至少5种以上常用文件格式，包括pdf、xlsx、doc等。</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4.11所有管道使用PTFE塑料管,具有良好化学惰性，不易沾染。</w:t>
      </w:r>
    </w:p>
    <w:p>
      <w:pPr>
        <w:tabs>
          <w:tab w:val="left" w:pos="64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5.主要分析项目的具体技术性能指标</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5.1分析项目：挥发酚</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方法原理：在线蒸馏4-氨基安替比林光度法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要求：膜分离在线蒸馏装置，内置式电子冷凝装置</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线性范围：0.002 - 0.2 mg/L  （最高5.0 mg/L 应分段测量）</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MDL: ≤0.0003 mg/L</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样品分析频率：20样/小时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 1%</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5.2分析项目：总氰化物/氰化物</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方法原理：在线蒸馏异烟酸-巴比妥酸光度法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要求：膜分离在线蒸馏装置、在线消解模块</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线性范围：0.002 - 0.2 mg/L （最高10.0 mg/L 分段测量）</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MDL： ≤ 0.0005 mg/L</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样品分析频率：20样/小时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 1%</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5.3分析项目：阴离子表面活性剂</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方法原理：在线萃取亚甲基蓝光度法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要求：双在线膜分离装置</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线性范围：0.025 - 1.0 mg/L （最高10.0 mg/L 分段测量）</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MDL：≤0.010 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样品分析频率：≥20样/小时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 2%</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.4分析项目：总氮</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方法原理：还原-1-萘基乙二胺盐酸盐光度法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特别要求：镉柱还原</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线性范围：0.02 -2.0mg/L（最高20.0 mg/L分段测量）</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MDL：&lt; 0.010mg/L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样品分析频率：34样/小时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 1%</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5.5</w:t>
      </w:r>
      <w:r>
        <w:rPr>
          <w:rFonts w:hint="eastAsia" w:asciiTheme="minorEastAsia" w:hAnsiTheme="minorEastAsia" w:eastAsiaTheme="minorEastAsia" w:cstheme="minorEastAsia"/>
          <w:sz w:val="24"/>
          <w:szCs w:val="24"/>
        </w:rPr>
        <w:t>分析项目：总磷</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方法原理：在线消解-钼酸铵光度法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特别要求：单独的在线消解装置（包括紫外消解和热消解）</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线性范围：0.01 -1.0 mg/L （最高10.0 mg/L分段测量）（以P计）</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MDL：&lt; 0.002mg/L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样品分析频率：30样/小时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 1%</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分析项目：氨氮</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方法原理：水杨酸光度法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线性范围：0.01 - 5.0 mg/L （最高20.0 mg/L分段测量）</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MDL：≤0.003 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样品分析频率：≥50样/小时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 1%</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分析项目：六价铬（含蠕动泵、六通阀、化学分析模板、双光束检测器）</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方法原理：二苯碳酰二肼光度法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线性范围：0.004 -1.0mg/L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MDL：≤0.002 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样品分析频率：≥35样/小时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精密度：≤2%</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分析项目：硝酸盐氮/亚硝酸盐氮</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方法原理：在线镉柱还原重氮偶合光度法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要求：镉柱还原</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 0.01 - 2.0 mg/L（最高20.0 mg/L分段测量）</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MDL：≤ 0.002 mg/L</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样品分析频率：≥40样/小时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 1%</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分析项目：正磷酸盐</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方法原理：磷钼兰光度法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特别要求：具有在线加热功能</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线性范围：0.01 -2mg/L （以P计）</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MDL：≤0.005 mg/L （以P计）</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样品分析频率：≥30样/小时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精密度：≤2%</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分析项目：硅酸盐</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方法原理：硅钼蓝光度法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线性范围：0.02 -2.0mg/L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MDL：≤ 0.01 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样品分析频率：≥30样/小时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 2%</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 xml:space="preserve"> 分析项目：铁离子</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方法原理：邻菲罗啉光度法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 0.01-1.0mg/L （以P计）</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MDL：≤ 0.005mg/L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样品分析频率：≥60样/小时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精密度：≤3%</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分析项目：铝离子</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方法原理：铬天青光度法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 1.0-10.0mg/L （以P计）</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MDL：≤ 0.5mg/L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样品分析频率：≥45样/小时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精密度：≤5%</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分析项目：总硬度</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方法原理：钙镁指示剂光度法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线性范围：10-400mg/L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MDL：≤4mg/L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样品分析频率：≥60样/小时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精密度：≤3%</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分析项目：总碱度</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方法原理：甲基橙光度法</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线性范围：10.0 -500.0mg/L (以CaCO3计)</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MDL：≤4.0 mg/L </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样品分析频率：≥35样/小时</w:t>
      </w:r>
    </w:p>
    <w:p>
      <w:pPr>
        <w:tabs>
          <w:tab w:val="left" w:pos="64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精密度：≤2%</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7、主要配置要求：配置可检测挥发酚、氰化物、阴离子表面活性剂、</w:t>
      </w:r>
      <w:r>
        <w:rPr>
          <w:rFonts w:hint="eastAsia" w:asciiTheme="minorEastAsia" w:hAnsiTheme="minorEastAsia" w:eastAsiaTheme="minorEastAsia" w:cstheme="minorEastAsia"/>
          <w:sz w:val="24"/>
          <w:szCs w:val="24"/>
          <w:lang w:val="en-US" w:eastAsia="zh-CN"/>
        </w:rPr>
        <w:t>总磷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总氮</w:t>
      </w:r>
      <w:r>
        <w:rPr>
          <w:rFonts w:hint="eastAsia" w:asciiTheme="minorEastAsia" w:hAnsiTheme="minorEastAsia" w:eastAsiaTheme="minorEastAsia" w:cstheme="minorEastAsia"/>
          <w:sz w:val="24"/>
          <w:szCs w:val="24"/>
        </w:rPr>
        <w:t>、氨氮、六价铬、硝酸盐、亚硝酸盐、正磷酸盐、硅酸盐、总硬度、总碱度、硼、总凯式氮、总凯式磷、铁离子、铝离子、钙离子项目的单独或组合分析模块，自动进样器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套，试剂启动运维包</w:t>
      </w:r>
      <w:r>
        <w:rPr>
          <w:rFonts w:hint="eastAsia" w:asciiTheme="minorEastAsia" w:hAnsiTheme="minorEastAsia" w:eastAsiaTheme="minorEastAsia" w:cstheme="minorEastAsia"/>
          <w:sz w:val="24"/>
          <w:szCs w:val="24"/>
          <w:lang w:val="en-US" w:eastAsia="zh-CN"/>
        </w:rPr>
        <w:t>每个模块2</w:t>
      </w:r>
      <w:r>
        <w:rPr>
          <w:rFonts w:hint="eastAsia" w:asciiTheme="minorEastAsia" w:hAnsiTheme="minorEastAsia" w:eastAsiaTheme="minorEastAsia" w:cstheme="minorEastAsia"/>
          <w:sz w:val="24"/>
          <w:szCs w:val="24"/>
        </w:rPr>
        <w:t>套、溶剂过滤器1套，超声波清洗器1套，真空泵1套，</w:t>
      </w:r>
      <w:r>
        <w:rPr>
          <w:rFonts w:hint="eastAsia" w:asciiTheme="minorEastAsia" w:hAnsiTheme="minorEastAsia" w:eastAsiaTheme="minorEastAsia" w:cstheme="minorEastAsia"/>
          <w:sz w:val="24"/>
          <w:szCs w:val="24"/>
          <w:lang w:val="en-US" w:eastAsia="zh-CN"/>
        </w:rPr>
        <w:t>防腐电热板1套，电导率仪1套，</w:t>
      </w:r>
      <w:r>
        <w:rPr>
          <w:rFonts w:hint="eastAsia" w:asciiTheme="minorEastAsia" w:hAnsiTheme="minorEastAsia" w:eastAsiaTheme="minorEastAsia" w:cstheme="minorEastAsia"/>
          <w:sz w:val="24"/>
          <w:szCs w:val="24"/>
        </w:rPr>
        <w:t>台式商用电脑，I7及以上CPU,1TB及以上硬盘，8GB及以上内存，集成显卡，21.5寸及以上显示器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套，A4黑白激光打印机</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台，一体式硒鼓，单面打印，打印速度≥18ppm，操作手册工具箱1套。</w:t>
      </w:r>
    </w:p>
    <w:p>
      <w:pPr>
        <w:tabs>
          <w:tab w:val="left" w:pos="11250"/>
        </w:tabs>
        <w:jc w:val="center"/>
        <w:rPr>
          <w:rFonts w:hint="eastAsia" w:ascii="宋体" w:hAnsi="宋体" w:eastAsia="宋体" w:cs="宋体"/>
          <w:b/>
          <w:kern w:val="0"/>
          <w:sz w:val="21"/>
          <w:szCs w:val="21"/>
        </w:rPr>
      </w:pPr>
    </w:p>
    <w:p>
      <w:pPr>
        <w:numPr>
          <w:ilvl w:val="0"/>
          <w:numId w:val="10"/>
        </w:numPr>
        <w:tabs>
          <w:tab w:val="left" w:pos="11250"/>
        </w:tabs>
        <w:spacing w:line="360" w:lineRule="auto"/>
        <w:ind w:left="0" w:leftChars="0" w:firstLine="0" w:firstLineChars="0"/>
        <w:jc w:val="both"/>
        <w:rPr>
          <w:rFonts w:hint="eastAsia" w:ascii="宋体" w:hAnsi="宋体" w:eastAsia="宋体" w:cs="宋体"/>
          <w:b/>
          <w:kern w:val="0"/>
          <w:sz w:val="36"/>
          <w:szCs w:val="36"/>
        </w:rPr>
      </w:pPr>
      <w:r>
        <w:rPr>
          <w:rFonts w:hint="eastAsia" w:ascii="宋体" w:hAnsi="宋体" w:eastAsia="宋体" w:cs="宋体"/>
          <w:b/>
          <w:kern w:val="0"/>
          <w:sz w:val="36"/>
          <w:szCs w:val="36"/>
        </w:rPr>
        <w:t>超高效液相色谱仪</w:t>
      </w:r>
    </w:p>
    <w:p>
      <w:pPr>
        <w:spacing w:line="360" w:lineRule="auto"/>
        <w:rPr>
          <w:rFonts w:hint="eastAsia" w:ascii="宋体" w:hAnsi="宋体" w:eastAsia="宋体" w:cs="宋体"/>
          <w:sz w:val="24"/>
          <w:szCs w:val="24"/>
        </w:rPr>
      </w:pPr>
      <w:r>
        <w:rPr>
          <w:rFonts w:hint="eastAsia" w:ascii="宋体" w:hAnsi="宋体" w:eastAsia="宋体" w:cs="宋体"/>
          <w:b/>
          <w:sz w:val="24"/>
          <w:szCs w:val="24"/>
        </w:rPr>
        <w:t>1、主要用途：</w:t>
      </w:r>
      <w:r>
        <w:rPr>
          <w:rFonts w:hint="eastAsia" w:ascii="宋体" w:hAnsi="宋体" w:eastAsia="宋体" w:cs="宋体"/>
          <w:sz w:val="24"/>
          <w:szCs w:val="24"/>
        </w:rPr>
        <w:t xml:space="preserve"> 分离、分析、纯化有机化合物。</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2、工件条件: </w:t>
      </w:r>
    </w:p>
    <w:p>
      <w:pPr>
        <w:spacing w:line="360" w:lineRule="auto"/>
        <w:rPr>
          <w:rFonts w:hint="eastAsia" w:ascii="宋体" w:hAnsi="宋体" w:eastAsia="宋体" w:cs="宋体"/>
          <w:sz w:val="24"/>
          <w:szCs w:val="24"/>
        </w:rPr>
      </w:pPr>
      <w:r>
        <w:rPr>
          <w:rFonts w:hint="eastAsia" w:ascii="宋体" w:hAnsi="宋体" w:eastAsia="宋体" w:cs="宋体"/>
          <w:sz w:val="24"/>
          <w:szCs w:val="24"/>
        </w:rPr>
        <w:t>2.1电源电压：单相220V ±10% 50/60Hz</w:t>
      </w:r>
    </w:p>
    <w:p>
      <w:pPr>
        <w:spacing w:line="360" w:lineRule="auto"/>
        <w:rPr>
          <w:rFonts w:hint="eastAsia" w:ascii="宋体" w:hAnsi="宋体" w:eastAsia="宋体" w:cs="宋体"/>
          <w:sz w:val="24"/>
          <w:szCs w:val="24"/>
        </w:rPr>
      </w:pPr>
      <w:r>
        <w:rPr>
          <w:rFonts w:hint="eastAsia" w:ascii="宋体" w:hAnsi="宋体" w:eastAsia="宋体" w:cs="宋体"/>
          <w:sz w:val="24"/>
          <w:szCs w:val="24"/>
        </w:rPr>
        <w:t>2.2 环境温度：15-35℃</w:t>
      </w:r>
    </w:p>
    <w:p>
      <w:pPr>
        <w:spacing w:line="360" w:lineRule="auto"/>
        <w:rPr>
          <w:rFonts w:hint="eastAsia" w:ascii="宋体" w:hAnsi="宋体" w:eastAsia="宋体" w:cs="宋体"/>
          <w:sz w:val="24"/>
          <w:szCs w:val="24"/>
        </w:rPr>
      </w:pPr>
      <w:r>
        <w:rPr>
          <w:rFonts w:hint="eastAsia" w:ascii="宋体" w:hAnsi="宋体" w:eastAsia="宋体" w:cs="宋体"/>
          <w:sz w:val="24"/>
          <w:szCs w:val="24"/>
        </w:rPr>
        <w:t>2.3 相对湿度：小于85%</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3、技术指标： </w:t>
      </w:r>
    </w:p>
    <w:p>
      <w:pPr>
        <w:spacing w:line="360" w:lineRule="auto"/>
        <w:rPr>
          <w:rFonts w:hint="eastAsia" w:ascii="宋体" w:hAnsi="宋体" w:eastAsia="宋体" w:cs="宋体"/>
          <w:sz w:val="24"/>
          <w:szCs w:val="24"/>
        </w:rPr>
      </w:pPr>
      <w:r>
        <w:rPr>
          <w:rFonts w:hint="eastAsia" w:ascii="宋体" w:hAnsi="宋体" w:eastAsia="宋体" w:cs="宋体"/>
          <w:sz w:val="24"/>
          <w:szCs w:val="24"/>
        </w:rPr>
        <w:t>3.1四元输液泵</w:t>
      </w:r>
    </w:p>
    <w:p>
      <w:pPr>
        <w:spacing w:line="360" w:lineRule="auto"/>
        <w:rPr>
          <w:rFonts w:hint="eastAsia" w:ascii="宋体" w:hAnsi="宋体" w:eastAsia="宋体" w:cs="宋体"/>
          <w:sz w:val="24"/>
          <w:szCs w:val="24"/>
        </w:rPr>
      </w:pPr>
      <w:r>
        <w:rPr>
          <w:rFonts w:hint="eastAsia" w:ascii="宋体" w:hAnsi="宋体" w:eastAsia="宋体" w:cs="宋体"/>
          <w:sz w:val="24"/>
          <w:szCs w:val="24"/>
        </w:rPr>
        <w:t>3.1.1串联双柱塞往复泵，双球单向阀，双重高效保证高压密封。</w:t>
      </w:r>
    </w:p>
    <w:p>
      <w:pPr>
        <w:spacing w:line="360" w:lineRule="auto"/>
        <w:rPr>
          <w:rFonts w:hint="eastAsia" w:ascii="宋体" w:hAnsi="宋体" w:eastAsia="宋体" w:cs="宋体"/>
          <w:sz w:val="24"/>
          <w:szCs w:val="24"/>
        </w:rPr>
      </w:pPr>
      <w:r>
        <w:rPr>
          <w:rFonts w:hint="eastAsia" w:ascii="宋体" w:hAnsi="宋体" w:eastAsia="宋体" w:cs="宋体"/>
          <w:sz w:val="24"/>
          <w:szCs w:val="24"/>
        </w:rPr>
        <w:t>3.1.2独立四通道设计，可实现6种双溶剂混合梯度和4种三溶剂混合梯度模式以及4溶剂混合梯度和4等度模式；</w:t>
      </w:r>
    </w:p>
    <w:p>
      <w:pPr>
        <w:spacing w:line="360" w:lineRule="auto"/>
        <w:rPr>
          <w:rFonts w:hint="eastAsia" w:ascii="宋体" w:hAnsi="宋体" w:eastAsia="宋体" w:cs="宋体"/>
          <w:sz w:val="24"/>
          <w:szCs w:val="24"/>
        </w:rPr>
      </w:pPr>
      <w:r>
        <w:rPr>
          <w:rFonts w:hint="eastAsia" w:ascii="宋体" w:hAnsi="宋体" w:eastAsia="宋体" w:cs="宋体"/>
          <w:sz w:val="24"/>
          <w:szCs w:val="24"/>
        </w:rPr>
        <w:t>3.1.3可升级5通道的在线脱气机，对洗针液也可实现在线脱气，减少气泡，增加进样精度。</w:t>
      </w:r>
    </w:p>
    <w:p>
      <w:pPr>
        <w:spacing w:line="360" w:lineRule="auto"/>
        <w:rPr>
          <w:rFonts w:hint="eastAsia" w:ascii="宋体" w:hAnsi="宋体" w:eastAsia="宋体" w:cs="宋体"/>
          <w:sz w:val="24"/>
          <w:szCs w:val="24"/>
        </w:rPr>
      </w:pPr>
      <w:r>
        <w:rPr>
          <w:rFonts w:hint="eastAsia" w:ascii="宋体" w:hAnsi="宋体" w:eastAsia="宋体" w:cs="宋体"/>
          <w:sz w:val="24"/>
          <w:szCs w:val="24"/>
        </w:rPr>
        <w:t>3.1.4流量精度：≤0.06% RSD (@1mL/min，水) (ASTM)</w:t>
      </w:r>
    </w:p>
    <w:p>
      <w:pPr>
        <w:spacing w:line="360" w:lineRule="auto"/>
        <w:rPr>
          <w:rFonts w:hint="eastAsia" w:ascii="宋体" w:hAnsi="宋体" w:eastAsia="宋体" w:cs="宋体"/>
          <w:sz w:val="24"/>
          <w:szCs w:val="24"/>
        </w:rPr>
      </w:pPr>
      <w:r>
        <w:rPr>
          <w:rFonts w:hint="eastAsia" w:ascii="宋体" w:hAnsi="宋体" w:eastAsia="宋体" w:cs="宋体"/>
          <w:sz w:val="24"/>
          <w:szCs w:val="24"/>
        </w:rPr>
        <w:t>3.1.5 流量范围：0.001 mL/min - 10.000 mL/min (增量 0.001mL/min)</w:t>
      </w:r>
    </w:p>
    <w:p>
      <w:pPr>
        <w:spacing w:line="360" w:lineRule="auto"/>
        <w:rPr>
          <w:rFonts w:hint="eastAsia" w:ascii="宋体" w:hAnsi="宋体" w:eastAsia="宋体" w:cs="宋体"/>
          <w:sz w:val="24"/>
          <w:szCs w:val="24"/>
        </w:rPr>
      </w:pPr>
      <w:r>
        <w:rPr>
          <w:rFonts w:hint="eastAsia" w:ascii="宋体" w:hAnsi="宋体" w:eastAsia="宋体" w:cs="宋体"/>
          <w:sz w:val="24"/>
          <w:szCs w:val="24"/>
        </w:rPr>
        <w:t>3.1.6 流量准确度：±0.5% (@1mL/min，水）</w:t>
      </w:r>
    </w:p>
    <w:p>
      <w:pPr>
        <w:spacing w:line="360" w:lineRule="auto"/>
        <w:rPr>
          <w:rFonts w:hint="eastAsia" w:ascii="宋体" w:hAnsi="宋体" w:eastAsia="宋体" w:cs="宋体"/>
          <w:sz w:val="24"/>
          <w:szCs w:val="24"/>
        </w:rPr>
      </w:pPr>
      <w:r>
        <w:rPr>
          <w:rFonts w:hint="eastAsia" w:ascii="宋体" w:hAnsi="宋体" w:eastAsia="宋体" w:cs="宋体"/>
          <w:sz w:val="24"/>
          <w:szCs w:val="24"/>
        </w:rPr>
        <w:t>3.1.7 压力操作范围：0-10500 psi（72Mpa）</w:t>
      </w:r>
    </w:p>
    <w:p>
      <w:pPr>
        <w:spacing w:line="360" w:lineRule="auto"/>
        <w:rPr>
          <w:rFonts w:hint="eastAsia" w:ascii="宋体" w:hAnsi="宋体" w:eastAsia="宋体" w:cs="宋体"/>
          <w:sz w:val="24"/>
          <w:szCs w:val="24"/>
        </w:rPr>
      </w:pPr>
      <w:r>
        <w:rPr>
          <w:rFonts w:hint="eastAsia" w:ascii="宋体" w:hAnsi="宋体" w:eastAsia="宋体" w:cs="宋体"/>
          <w:sz w:val="24"/>
          <w:szCs w:val="24"/>
        </w:rPr>
        <w:t>3.1.8 梯度准确度：±0.5%</w:t>
      </w:r>
    </w:p>
    <w:p>
      <w:pPr>
        <w:spacing w:line="360" w:lineRule="auto"/>
        <w:rPr>
          <w:rFonts w:hint="eastAsia" w:ascii="宋体" w:hAnsi="宋体" w:eastAsia="宋体" w:cs="宋体"/>
          <w:sz w:val="24"/>
          <w:szCs w:val="24"/>
        </w:rPr>
      </w:pPr>
      <w:r>
        <w:rPr>
          <w:rFonts w:hint="eastAsia" w:ascii="宋体" w:hAnsi="宋体" w:eastAsia="宋体" w:cs="宋体"/>
          <w:sz w:val="24"/>
          <w:szCs w:val="24"/>
        </w:rPr>
        <w:t>3.1.9 梯度重复性：≤0.2% SD</w:t>
      </w:r>
    </w:p>
    <w:p>
      <w:pPr>
        <w:spacing w:line="360" w:lineRule="auto"/>
        <w:rPr>
          <w:rFonts w:hint="eastAsia" w:ascii="宋体" w:hAnsi="宋体" w:eastAsia="宋体" w:cs="宋体"/>
          <w:sz w:val="24"/>
          <w:szCs w:val="24"/>
        </w:rPr>
      </w:pPr>
      <w:r>
        <w:rPr>
          <w:rFonts w:hint="eastAsia" w:ascii="宋体" w:hAnsi="宋体" w:eastAsia="宋体" w:cs="宋体"/>
          <w:sz w:val="24"/>
          <w:szCs w:val="24"/>
        </w:rPr>
        <w:t>3.1.10 压力脉动：≤1% (@1mL/min,水,背压&gt;10Mpa)</w:t>
      </w:r>
    </w:p>
    <w:p>
      <w:pPr>
        <w:spacing w:line="360" w:lineRule="auto"/>
        <w:rPr>
          <w:rFonts w:hint="eastAsia" w:ascii="宋体" w:hAnsi="宋体" w:eastAsia="宋体" w:cs="宋体"/>
          <w:sz w:val="24"/>
          <w:szCs w:val="24"/>
        </w:rPr>
      </w:pPr>
      <w:r>
        <w:rPr>
          <w:rFonts w:hint="eastAsia" w:ascii="宋体" w:hAnsi="宋体" w:eastAsia="宋体" w:cs="宋体"/>
          <w:sz w:val="24"/>
          <w:szCs w:val="24"/>
        </w:rPr>
        <w:t>3.2 可变波长紫外-可见检测</w:t>
      </w:r>
    </w:p>
    <w:p>
      <w:pPr>
        <w:spacing w:line="360" w:lineRule="auto"/>
        <w:rPr>
          <w:rFonts w:hint="eastAsia" w:ascii="宋体" w:hAnsi="宋体" w:eastAsia="宋体" w:cs="宋体"/>
          <w:sz w:val="24"/>
          <w:szCs w:val="24"/>
        </w:rPr>
      </w:pPr>
      <w:r>
        <w:rPr>
          <w:rFonts w:hint="eastAsia" w:ascii="宋体" w:hAnsi="宋体" w:eastAsia="宋体" w:cs="宋体"/>
          <w:sz w:val="24"/>
          <w:szCs w:val="24"/>
        </w:rPr>
        <w:t>3.2.1 先进的光路设计，强大的DSP驱动，双灯可自动控制和切换，避免了手动切换的延时和误差，保温装置，保证全波段能量充足和稳定，从而获得更低的检出限，和检测范围。侧面氘灯定位系统，可方便快速更换氘灯。</w:t>
      </w:r>
    </w:p>
    <w:p>
      <w:pPr>
        <w:spacing w:line="360" w:lineRule="auto"/>
        <w:rPr>
          <w:rFonts w:hint="eastAsia" w:ascii="宋体" w:hAnsi="宋体" w:eastAsia="宋体" w:cs="宋体"/>
          <w:sz w:val="24"/>
          <w:szCs w:val="24"/>
        </w:rPr>
      </w:pPr>
      <w:r>
        <w:rPr>
          <w:rFonts w:hint="eastAsia" w:ascii="宋体" w:hAnsi="宋体" w:eastAsia="宋体" w:cs="宋体"/>
          <w:sz w:val="24"/>
          <w:szCs w:val="24"/>
        </w:rPr>
        <w:t>3.2.2 光源：配备氘灯和钨灯，光源数量≥2</w:t>
      </w:r>
    </w:p>
    <w:p>
      <w:pPr>
        <w:spacing w:line="360" w:lineRule="auto"/>
        <w:rPr>
          <w:rFonts w:hint="eastAsia" w:ascii="宋体" w:hAnsi="宋体" w:eastAsia="宋体" w:cs="宋体"/>
          <w:sz w:val="24"/>
          <w:szCs w:val="24"/>
        </w:rPr>
      </w:pPr>
      <w:r>
        <w:rPr>
          <w:rFonts w:hint="eastAsia" w:ascii="宋体" w:hAnsi="宋体" w:eastAsia="宋体" w:cs="宋体"/>
          <w:sz w:val="24"/>
          <w:szCs w:val="24"/>
        </w:rPr>
        <w:t>3.2.3 波长范围: 190-900 nm</w:t>
      </w:r>
    </w:p>
    <w:p>
      <w:pPr>
        <w:spacing w:line="360" w:lineRule="auto"/>
        <w:rPr>
          <w:rFonts w:hint="eastAsia" w:ascii="宋体" w:hAnsi="宋体" w:eastAsia="宋体" w:cs="宋体"/>
          <w:sz w:val="24"/>
          <w:szCs w:val="24"/>
        </w:rPr>
      </w:pPr>
      <w:r>
        <w:rPr>
          <w:rFonts w:hint="eastAsia" w:ascii="宋体" w:hAnsi="宋体" w:eastAsia="宋体" w:cs="宋体"/>
          <w:sz w:val="24"/>
          <w:szCs w:val="24"/>
        </w:rPr>
        <w:t>3.2.4 波长校正：氘灯和内置氧化钬滤光片自动校正</w:t>
      </w:r>
    </w:p>
    <w:p>
      <w:pPr>
        <w:spacing w:line="360" w:lineRule="auto"/>
        <w:rPr>
          <w:rFonts w:hint="eastAsia" w:ascii="宋体" w:hAnsi="宋体" w:eastAsia="宋体" w:cs="宋体"/>
          <w:sz w:val="24"/>
          <w:szCs w:val="24"/>
        </w:rPr>
      </w:pPr>
      <w:r>
        <w:rPr>
          <w:rFonts w:hint="eastAsia" w:ascii="宋体" w:hAnsi="宋体" w:eastAsia="宋体" w:cs="宋体"/>
          <w:sz w:val="24"/>
          <w:szCs w:val="24"/>
        </w:rPr>
        <w:t>3.2.5 波长精度: ±0.1 nm</w:t>
      </w:r>
    </w:p>
    <w:p>
      <w:pPr>
        <w:spacing w:line="360" w:lineRule="auto"/>
        <w:rPr>
          <w:rFonts w:hint="eastAsia" w:ascii="宋体" w:hAnsi="宋体" w:eastAsia="宋体" w:cs="宋体"/>
          <w:sz w:val="24"/>
          <w:szCs w:val="24"/>
        </w:rPr>
      </w:pPr>
      <w:r>
        <w:rPr>
          <w:rFonts w:hint="eastAsia" w:ascii="宋体" w:hAnsi="宋体" w:eastAsia="宋体" w:cs="宋体"/>
          <w:sz w:val="24"/>
          <w:szCs w:val="24"/>
        </w:rPr>
        <w:t>3.2.6 波长准确度: ±1 nm</w:t>
      </w:r>
    </w:p>
    <w:p>
      <w:pPr>
        <w:spacing w:line="360" w:lineRule="auto"/>
        <w:rPr>
          <w:rFonts w:hint="eastAsia" w:ascii="宋体" w:hAnsi="宋体" w:eastAsia="宋体" w:cs="宋体"/>
          <w:sz w:val="24"/>
          <w:szCs w:val="24"/>
        </w:rPr>
      </w:pPr>
      <w:r>
        <w:rPr>
          <w:rFonts w:hint="eastAsia" w:ascii="宋体" w:hAnsi="宋体" w:eastAsia="宋体" w:cs="宋体"/>
          <w:sz w:val="24"/>
          <w:szCs w:val="24"/>
        </w:rPr>
        <w:t>3.2.7 噪声: ±5.0×10-6   AU (JJG)  / ±3.5×10-6  AU (ASTM)</w:t>
      </w:r>
    </w:p>
    <w:p>
      <w:pPr>
        <w:spacing w:line="360" w:lineRule="auto"/>
        <w:rPr>
          <w:rFonts w:hint="eastAsia" w:ascii="宋体" w:hAnsi="宋体" w:eastAsia="宋体" w:cs="宋体"/>
          <w:sz w:val="24"/>
          <w:szCs w:val="24"/>
        </w:rPr>
      </w:pPr>
      <w:r>
        <w:rPr>
          <w:rFonts w:hint="eastAsia" w:ascii="宋体" w:hAnsi="宋体" w:eastAsia="宋体" w:cs="宋体"/>
          <w:sz w:val="24"/>
          <w:szCs w:val="24"/>
        </w:rPr>
        <w:t>3.2.8 漂移: 1×10-4  AU/Hr</w:t>
      </w:r>
    </w:p>
    <w:p>
      <w:pPr>
        <w:spacing w:line="360" w:lineRule="auto"/>
        <w:rPr>
          <w:rFonts w:hint="eastAsia" w:ascii="宋体" w:hAnsi="宋体" w:eastAsia="宋体" w:cs="宋体"/>
          <w:sz w:val="24"/>
          <w:szCs w:val="24"/>
        </w:rPr>
      </w:pPr>
      <w:r>
        <w:rPr>
          <w:rFonts w:hint="eastAsia" w:ascii="宋体" w:hAnsi="宋体" w:eastAsia="宋体" w:cs="宋体"/>
          <w:sz w:val="24"/>
          <w:szCs w:val="24"/>
        </w:rPr>
        <w:t>3.2.9 线性范围: &gt;5×104 (JJG) /  &gt;2.5AU (ASTM)</w:t>
      </w:r>
    </w:p>
    <w:p>
      <w:pPr>
        <w:spacing w:line="360" w:lineRule="auto"/>
        <w:rPr>
          <w:rFonts w:hint="eastAsia" w:ascii="宋体" w:hAnsi="宋体" w:eastAsia="宋体" w:cs="宋体"/>
          <w:sz w:val="24"/>
          <w:szCs w:val="24"/>
        </w:rPr>
      </w:pPr>
      <w:r>
        <w:rPr>
          <w:rFonts w:hint="eastAsia" w:ascii="宋体" w:hAnsi="宋体" w:eastAsia="宋体" w:cs="宋体"/>
          <w:sz w:val="24"/>
          <w:szCs w:val="24"/>
        </w:rPr>
        <w:t>3.2.10 波长带宽:8 nm</w:t>
      </w:r>
    </w:p>
    <w:p>
      <w:pPr>
        <w:spacing w:line="360" w:lineRule="auto"/>
        <w:rPr>
          <w:rFonts w:hint="eastAsia" w:ascii="宋体" w:hAnsi="宋体" w:eastAsia="宋体" w:cs="宋体"/>
          <w:sz w:val="24"/>
          <w:szCs w:val="24"/>
        </w:rPr>
      </w:pPr>
      <w:r>
        <w:rPr>
          <w:rFonts w:hint="eastAsia" w:ascii="宋体" w:hAnsi="宋体" w:eastAsia="宋体" w:cs="宋体"/>
          <w:sz w:val="24"/>
          <w:szCs w:val="24"/>
        </w:rPr>
        <w:t>3.2.11 最大采样率: ≥100Hz</w:t>
      </w:r>
    </w:p>
    <w:p>
      <w:pPr>
        <w:spacing w:line="360" w:lineRule="auto"/>
        <w:rPr>
          <w:rFonts w:hint="eastAsia" w:ascii="宋体" w:hAnsi="宋体" w:eastAsia="宋体" w:cs="宋体"/>
          <w:sz w:val="24"/>
          <w:szCs w:val="24"/>
        </w:rPr>
      </w:pPr>
      <w:r>
        <w:rPr>
          <w:rFonts w:hint="eastAsia" w:ascii="宋体" w:hAnsi="宋体" w:eastAsia="宋体" w:cs="宋体"/>
          <w:sz w:val="24"/>
          <w:szCs w:val="24"/>
        </w:rPr>
        <w:t>3.2.12 可编程波长时间程序：波长，峰宽，氘灯开/关，信号自动回零，采样频率，采样时间等</w:t>
      </w:r>
    </w:p>
    <w:p>
      <w:pPr>
        <w:spacing w:line="360" w:lineRule="auto"/>
        <w:rPr>
          <w:rFonts w:hint="eastAsia" w:ascii="宋体" w:hAnsi="宋体" w:eastAsia="宋体" w:cs="宋体"/>
          <w:sz w:val="24"/>
          <w:szCs w:val="24"/>
        </w:rPr>
      </w:pPr>
      <w:r>
        <w:rPr>
          <w:rFonts w:hint="eastAsia" w:ascii="宋体" w:hAnsi="宋体" w:eastAsia="宋体" w:cs="宋体"/>
          <w:sz w:val="24"/>
          <w:szCs w:val="24"/>
        </w:rPr>
        <w:t>3.3 柱温箱</w:t>
      </w:r>
    </w:p>
    <w:p>
      <w:pPr>
        <w:spacing w:line="360" w:lineRule="auto"/>
        <w:rPr>
          <w:rFonts w:hint="eastAsia" w:ascii="宋体" w:hAnsi="宋体" w:eastAsia="宋体" w:cs="宋体"/>
          <w:sz w:val="24"/>
          <w:szCs w:val="24"/>
        </w:rPr>
      </w:pPr>
      <w:r>
        <w:rPr>
          <w:rFonts w:hint="eastAsia" w:ascii="宋体" w:hAnsi="宋体" w:eastAsia="宋体" w:cs="宋体"/>
          <w:sz w:val="24"/>
          <w:szCs w:val="24"/>
        </w:rPr>
        <w:t>3.3.1 大容量空间设计，至少容纳4只300mm长色谱柱；</w:t>
      </w:r>
    </w:p>
    <w:p>
      <w:pPr>
        <w:spacing w:line="360" w:lineRule="auto"/>
        <w:rPr>
          <w:rFonts w:hint="eastAsia" w:ascii="宋体" w:hAnsi="宋体" w:eastAsia="宋体" w:cs="宋体"/>
          <w:sz w:val="24"/>
          <w:szCs w:val="24"/>
        </w:rPr>
      </w:pPr>
      <w:r>
        <w:rPr>
          <w:rFonts w:hint="eastAsia" w:ascii="宋体" w:hAnsi="宋体" w:eastAsia="宋体" w:cs="宋体"/>
          <w:sz w:val="24"/>
          <w:szCs w:val="24"/>
        </w:rPr>
        <w:t>3.3.2 采用智能温控设计，强制风循环系统，可快速达到设置温度和保证温度稳定。标配温度时间程序，可实现阶段恒温和区间升温和降温；</w:t>
      </w:r>
    </w:p>
    <w:p>
      <w:pPr>
        <w:spacing w:line="360" w:lineRule="auto"/>
        <w:rPr>
          <w:rFonts w:hint="eastAsia" w:ascii="宋体" w:hAnsi="宋体" w:eastAsia="宋体" w:cs="宋体"/>
          <w:sz w:val="24"/>
          <w:szCs w:val="24"/>
        </w:rPr>
      </w:pPr>
      <w:r>
        <w:rPr>
          <w:rFonts w:hint="eastAsia" w:ascii="宋体" w:hAnsi="宋体" w:eastAsia="宋体" w:cs="宋体"/>
          <w:sz w:val="24"/>
          <w:szCs w:val="24"/>
        </w:rPr>
        <w:t>3.3.3 控温范围 室温+5 ℃ - 85 ℃</w:t>
      </w:r>
    </w:p>
    <w:p>
      <w:pPr>
        <w:spacing w:line="360" w:lineRule="auto"/>
        <w:rPr>
          <w:rFonts w:hint="eastAsia" w:ascii="宋体" w:hAnsi="宋体" w:eastAsia="宋体" w:cs="宋体"/>
          <w:sz w:val="24"/>
          <w:szCs w:val="24"/>
        </w:rPr>
      </w:pPr>
      <w:r>
        <w:rPr>
          <w:rFonts w:hint="eastAsia" w:ascii="宋体" w:hAnsi="宋体" w:eastAsia="宋体" w:cs="宋体"/>
          <w:sz w:val="24"/>
          <w:szCs w:val="24"/>
        </w:rPr>
        <w:t>3.3.4 温度准确度：±1.0 ℃</w:t>
      </w:r>
    </w:p>
    <w:p>
      <w:pPr>
        <w:spacing w:line="360" w:lineRule="auto"/>
        <w:rPr>
          <w:rFonts w:hint="eastAsia" w:ascii="宋体" w:hAnsi="宋体" w:eastAsia="宋体" w:cs="宋体"/>
          <w:sz w:val="24"/>
          <w:szCs w:val="24"/>
        </w:rPr>
      </w:pPr>
      <w:r>
        <w:rPr>
          <w:rFonts w:hint="eastAsia" w:ascii="宋体" w:hAnsi="宋体" w:eastAsia="宋体" w:cs="宋体"/>
          <w:sz w:val="24"/>
          <w:szCs w:val="24"/>
        </w:rPr>
        <w:t>3.3.5 温度稳定性 ±0.1 ℃</w:t>
      </w:r>
    </w:p>
    <w:p>
      <w:pPr>
        <w:spacing w:line="360" w:lineRule="auto"/>
        <w:rPr>
          <w:rFonts w:hint="eastAsia" w:ascii="宋体" w:hAnsi="宋体" w:eastAsia="宋体" w:cs="宋体"/>
          <w:sz w:val="24"/>
          <w:szCs w:val="24"/>
        </w:rPr>
      </w:pPr>
      <w:r>
        <w:rPr>
          <w:rFonts w:hint="eastAsia" w:ascii="宋体" w:hAnsi="宋体" w:eastAsia="宋体" w:cs="宋体"/>
          <w:sz w:val="24"/>
          <w:szCs w:val="24"/>
        </w:rPr>
        <w:t>3.4 进样系统</w:t>
      </w:r>
    </w:p>
    <w:p>
      <w:pPr>
        <w:spacing w:line="360" w:lineRule="auto"/>
        <w:rPr>
          <w:rFonts w:hint="eastAsia" w:ascii="宋体" w:hAnsi="宋体" w:eastAsia="宋体" w:cs="宋体"/>
          <w:sz w:val="24"/>
          <w:szCs w:val="24"/>
        </w:rPr>
      </w:pPr>
      <w:r>
        <w:rPr>
          <w:rFonts w:hint="eastAsia" w:ascii="宋体" w:hAnsi="宋体" w:eastAsia="宋体" w:cs="宋体"/>
          <w:sz w:val="24"/>
          <w:szCs w:val="24"/>
        </w:rPr>
        <w:t>3.4.1 进样模式：满环进样/部分进样/微升携带进样</w:t>
      </w:r>
    </w:p>
    <w:p>
      <w:pPr>
        <w:spacing w:line="360" w:lineRule="auto"/>
        <w:rPr>
          <w:rFonts w:hint="eastAsia" w:ascii="宋体" w:hAnsi="宋体" w:eastAsia="宋体" w:cs="宋体"/>
          <w:sz w:val="24"/>
          <w:szCs w:val="24"/>
        </w:rPr>
      </w:pPr>
      <w:r>
        <w:rPr>
          <w:rFonts w:hint="eastAsia" w:ascii="宋体" w:hAnsi="宋体" w:eastAsia="宋体" w:cs="宋体"/>
          <w:sz w:val="24"/>
          <w:szCs w:val="24"/>
        </w:rPr>
        <w:t>3.4.2 样品容量：≥108位（1.5mL），可选≥190位孔板进样</w:t>
      </w:r>
    </w:p>
    <w:p>
      <w:pPr>
        <w:spacing w:line="360" w:lineRule="auto"/>
        <w:rPr>
          <w:rFonts w:hint="eastAsia" w:ascii="宋体" w:hAnsi="宋体" w:eastAsia="宋体" w:cs="宋体"/>
          <w:sz w:val="24"/>
          <w:szCs w:val="24"/>
        </w:rPr>
      </w:pPr>
      <w:r>
        <w:rPr>
          <w:rFonts w:hint="eastAsia" w:ascii="宋体" w:hAnsi="宋体" w:eastAsia="宋体" w:cs="宋体"/>
          <w:sz w:val="24"/>
          <w:szCs w:val="24"/>
        </w:rPr>
        <w:t>3.4.3 定量环体积：标配100 μL；可选 20 μL /50 μL/200 μL/1000 μL</w:t>
      </w:r>
    </w:p>
    <w:p>
      <w:pPr>
        <w:spacing w:line="360" w:lineRule="auto"/>
        <w:rPr>
          <w:rFonts w:hint="eastAsia" w:ascii="宋体" w:hAnsi="宋体" w:eastAsia="宋体" w:cs="宋体"/>
          <w:sz w:val="24"/>
          <w:szCs w:val="24"/>
        </w:rPr>
      </w:pPr>
      <w:r>
        <w:rPr>
          <w:rFonts w:hint="eastAsia" w:ascii="宋体" w:hAnsi="宋体" w:eastAsia="宋体" w:cs="宋体"/>
          <w:sz w:val="24"/>
          <w:szCs w:val="24"/>
        </w:rPr>
        <w:t>3.4.4 进样精度：≤0.3%RSD</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3.4.5 交叉污染&lt;0.0025% </w:t>
      </w:r>
    </w:p>
    <w:p>
      <w:pPr>
        <w:spacing w:line="360" w:lineRule="auto"/>
        <w:rPr>
          <w:rFonts w:hint="eastAsia" w:ascii="宋体" w:hAnsi="宋体" w:eastAsia="宋体" w:cs="宋体"/>
          <w:sz w:val="24"/>
          <w:szCs w:val="24"/>
        </w:rPr>
      </w:pPr>
      <w:r>
        <w:rPr>
          <w:rFonts w:hint="eastAsia" w:ascii="宋体" w:hAnsi="宋体" w:eastAsia="宋体" w:cs="宋体"/>
          <w:sz w:val="24"/>
          <w:szCs w:val="24"/>
        </w:rPr>
        <w:t>3.4.6 可选配制冷功能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3.5 操作软件</w:t>
      </w:r>
    </w:p>
    <w:p>
      <w:pPr>
        <w:spacing w:line="360" w:lineRule="auto"/>
        <w:rPr>
          <w:rFonts w:hint="eastAsia" w:ascii="宋体" w:hAnsi="宋体" w:eastAsia="宋体" w:cs="宋体"/>
          <w:sz w:val="24"/>
          <w:szCs w:val="24"/>
        </w:rPr>
      </w:pPr>
      <w:r>
        <w:rPr>
          <w:rFonts w:hint="eastAsia" w:ascii="宋体" w:hAnsi="宋体" w:eastAsia="宋体" w:cs="宋体"/>
          <w:sz w:val="24"/>
          <w:szCs w:val="24"/>
        </w:rPr>
        <w:t>3.5.1 数据库版</w:t>
      </w:r>
      <w:r>
        <w:rPr>
          <w:rFonts w:hint="eastAsia" w:ascii="宋体" w:hAnsi="宋体" w:eastAsia="宋体" w:cs="宋体"/>
          <w:sz w:val="24"/>
          <w:szCs w:val="24"/>
          <w:lang w:eastAsia="zh-CN"/>
        </w:rPr>
        <w:t>：</w:t>
      </w:r>
      <w:r>
        <w:rPr>
          <w:rFonts w:hint="eastAsia" w:ascii="宋体" w:hAnsi="宋体" w:eastAsia="宋体" w:cs="宋体"/>
          <w:sz w:val="24"/>
          <w:szCs w:val="24"/>
        </w:rPr>
        <w:t>有效保证数据安全，自动备份，电子签名，审计追踪，用户多级权限管理</w:t>
      </w:r>
    </w:p>
    <w:p>
      <w:pPr>
        <w:spacing w:line="360" w:lineRule="auto"/>
        <w:rPr>
          <w:rFonts w:hint="eastAsia" w:ascii="宋体" w:hAnsi="宋体" w:eastAsia="宋体" w:cs="宋体"/>
          <w:sz w:val="24"/>
          <w:szCs w:val="24"/>
        </w:rPr>
      </w:pPr>
      <w:r>
        <w:rPr>
          <w:rFonts w:hint="eastAsia" w:ascii="宋体" w:hAnsi="宋体" w:eastAsia="宋体" w:cs="宋体"/>
          <w:sz w:val="24"/>
          <w:szCs w:val="24"/>
        </w:rPr>
        <w:t>3.5.2 仪器控制参数，数据采集及数据处理参数的设定自动峰宽，自动阈值算法，自适应采集数据，自动调节算法达到最佳积分效果；</w:t>
      </w:r>
    </w:p>
    <w:p>
      <w:pPr>
        <w:spacing w:line="360" w:lineRule="auto"/>
        <w:rPr>
          <w:rFonts w:hint="eastAsia" w:ascii="宋体" w:hAnsi="宋体" w:eastAsia="宋体" w:cs="宋体"/>
          <w:sz w:val="24"/>
          <w:szCs w:val="24"/>
        </w:rPr>
      </w:pPr>
      <w:r>
        <w:rPr>
          <w:rFonts w:hint="eastAsia" w:ascii="宋体" w:hAnsi="宋体" w:eastAsia="宋体" w:cs="宋体"/>
          <w:sz w:val="24"/>
          <w:szCs w:val="24"/>
        </w:rPr>
        <w:t>3.5.3 诊断维护功能：自动诊断仪器各个组件的多种性能，内置多种常见故障分析</w:t>
      </w:r>
    </w:p>
    <w:p>
      <w:pPr>
        <w:spacing w:line="360" w:lineRule="auto"/>
        <w:rPr>
          <w:rFonts w:hint="eastAsia" w:ascii="宋体" w:hAnsi="宋体" w:eastAsia="宋体" w:cs="宋体"/>
          <w:sz w:val="24"/>
          <w:szCs w:val="24"/>
        </w:rPr>
      </w:pPr>
      <w:r>
        <w:rPr>
          <w:rFonts w:hint="eastAsia" w:ascii="宋体" w:hAnsi="宋体" w:eastAsia="宋体" w:cs="宋体"/>
          <w:sz w:val="24"/>
          <w:szCs w:val="24"/>
        </w:rPr>
        <w:t>3.5.4 早期维护预警功能：记录主要耗材累计时间和更换次数，主动提醒客户定期维护更换</w:t>
      </w:r>
    </w:p>
    <w:p>
      <w:pPr>
        <w:spacing w:line="360" w:lineRule="auto"/>
        <w:rPr>
          <w:rFonts w:hint="eastAsia" w:ascii="宋体" w:hAnsi="宋体" w:eastAsia="宋体" w:cs="宋体"/>
          <w:sz w:val="24"/>
          <w:szCs w:val="24"/>
        </w:rPr>
      </w:pPr>
      <w:r>
        <w:rPr>
          <w:rFonts w:hint="eastAsia" w:ascii="宋体" w:hAnsi="宋体" w:eastAsia="宋体" w:cs="宋体"/>
          <w:sz w:val="24"/>
          <w:szCs w:val="24"/>
        </w:rPr>
        <w:t>3.5.5 内置自动安装验证(IQ):仪器软、硬件的认证方便</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4、配置： </w:t>
      </w:r>
    </w:p>
    <w:p>
      <w:pPr>
        <w:spacing w:line="360" w:lineRule="auto"/>
        <w:rPr>
          <w:rFonts w:hint="eastAsia" w:ascii="宋体" w:hAnsi="宋体" w:eastAsia="宋体" w:cs="宋体"/>
          <w:sz w:val="24"/>
          <w:szCs w:val="24"/>
        </w:rPr>
      </w:pPr>
      <w:r>
        <w:rPr>
          <w:rFonts w:hint="eastAsia" w:ascii="宋体" w:hAnsi="宋体" w:eastAsia="宋体" w:cs="宋体"/>
          <w:sz w:val="24"/>
          <w:szCs w:val="24"/>
        </w:rPr>
        <w:t>4.1 超高效液相色谱主机1套，包括：输液泵（</w:t>
      </w:r>
      <w:r>
        <w:rPr>
          <w:rFonts w:hint="eastAsia" w:ascii="宋体" w:hAnsi="宋体" w:eastAsia="宋体" w:cs="宋体"/>
          <w:color w:val="000000" w:themeColor="text1"/>
          <w:kern w:val="0"/>
          <w:sz w:val="24"/>
          <w:szCs w:val="24"/>
          <w14:textFill>
            <w14:solidFill>
              <w14:schemeClr w14:val="tx1"/>
            </w14:solidFill>
          </w14:textFill>
        </w:rPr>
        <w:t>含四通道脱气机</w:t>
      </w:r>
      <w:r>
        <w:rPr>
          <w:rFonts w:hint="eastAsia" w:ascii="宋体" w:hAnsi="宋体" w:eastAsia="宋体" w:cs="宋体"/>
          <w:sz w:val="24"/>
          <w:szCs w:val="24"/>
        </w:rPr>
        <w:t>）/自动进样器/柱温箱 等</w:t>
      </w:r>
    </w:p>
    <w:p>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rPr>
        <w:t xml:space="preserve">4.2 </w:t>
      </w:r>
      <w:r>
        <w:rPr>
          <w:rFonts w:hint="eastAsia" w:ascii="宋体" w:hAnsi="宋体" w:eastAsia="宋体" w:cs="宋体"/>
          <w:color w:val="000000" w:themeColor="text1"/>
          <w:kern w:val="0"/>
          <w:sz w:val="24"/>
          <w:szCs w:val="24"/>
          <w14:textFill>
            <w14:solidFill>
              <w14:schemeClr w14:val="tx1"/>
            </w14:solidFill>
          </w14:textFill>
        </w:rPr>
        <w:t>紫外-可见检测器1套</w:t>
      </w:r>
    </w:p>
    <w:p>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 色谱工作站1套</w:t>
      </w:r>
    </w:p>
    <w:p>
      <w:pPr>
        <w:spacing w:line="360" w:lineRule="auto"/>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4.4 色谱柱1根：C18色谱柱， 4.6×250mm，5μm</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 电脑打印机各1套</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4.6台式电脑（i7及以上处理器、16G内存及256G固态等配置）4台</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4.7双面打印机3台</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sz w:val="24"/>
          <w:szCs w:val="24"/>
          <w:lang w:val="en-US" w:eastAsia="zh-CN"/>
        </w:rPr>
      </w:pP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kern w:val="0"/>
          <w:sz w:val="36"/>
          <w:szCs w:val="36"/>
          <w:lang w:val="en-US" w:eastAsia="zh-CN" w:bidi="ar-SA"/>
        </w:rPr>
      </w:pPr>
      <w:r>
        <w:rPr>
          <w:rFonts w:hint="eastAsia" w:ascii="宋体" w:hAnsi="宋体" w:eastAsia="宋体" w:cs="宋体"/>
          <w:b/>
          <w:bCs w:val="0"/>
          <w:kern w:val="0"/>
          <w:sz w:val="36"/>
          <w:szCs w:val="36"/>
          <w:lang w:val="en-US" w:eastAsia="zh-CN" w:bidi="ar-SA"/>
        </w:rPr>
        <w:t>7、离子色谱仪技术参数</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4"/>
          <w:szCs w:val="24"/>
          <w:lang w:val="en-US" w:eastAsia="zh-CN"/>
        </w:rPr>
        <w:t>用途</w:t>
      </w:r>
    </w:p>
    <w:p>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lang w:val="en-US" w:eastAsia="zh-CN"/>
        </w:rPr>
        <w:t>用途：可用于</w:t>
      </w:r>
      <w:r>
        <w:rPr>
          <w:rFonts w:hint="eastAsia" w:ascii="宋体" w:hAnsi="宋体" w:eastAsia="宋体" w:cs="宋体"/>
          <w:sz w:val="24"/>
          <w:szCs w:val="24"/>
          <w:highlight w:val="none"/>
        </w:rPr>
        <w:t>阴离子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w:t>
      </w:r>
      <w:r>
        <w:rPr>
          <w:rFonts w:hint="eastAsia" w:ascii="宋体" w:hAnsi="宋体" w:eastAsia="宋体" w:cs="宋体"/>
          <w:sz w:val="24"/>
          <w:szCs w:val="24"/>
          <w:highlight w:val="none"/>
        </w:rPr>
        <w:t>F</w:t>
      </w:r>
      <w:r>
        <w:rPr>
          <w:rFonts w:hint="eastAsia" w:ascii="宋体" w:hAnsi="宋体" w:eastAsia="宋体" w:cs="宋体"/>
          <w:sz w:val="24"/>
          <w:szCs w:val="24"/>
          <w:highlight w:val="none"/>
          <w:vertAlign w:val="superscript"/>
        </w:rPr>
        <w:t>-</w:t>
      </w:r>
      <w:r>
        <w:rPr>
          <w:rFonts w:hint="eastAsia" w:ascii="宋体" w:hAnsi="宋体" w:eastAsia="宋体" w:cs="宋体"/>
          <w:sz w:val="24"/>
          <w:szCs w:val="24"/>
          <w:highlight w:val="none"/>
        </w:rPr>
        <w:t>、Cl</w:t>
      </w:r>
      <w:r>
        <w:rPr>
          <w:rFonts w:hint="eastAsia" w:ascii="宋体" w:hAnsi="宋体" w:eastAsia="宋体" w:cs="宋体"/>
          <w:sz w:val="24"/>
          <w:szCs w:val="24"/>
          <w:highlight w:val="none"/>
          <w:vertAlign w:val="superscript"/>
        </w:rPr>
        <w:t>-</w:t>
      </w:r>
      <w:r>
        <w:rPr>
          <w:rFonts w:hint="eastAsia" w:ascii="宋体" w:hAnsi="宋体" w:eastAsia="宋体" w:cs="宋体"/>
          <w:sz w:val="24"/>
          <w:szCs w:val="24"/>
          <w:highlight w:val="none"/>
        </w:rPr>
        <w:t>、Br</w:t>
      </w:r>
      <w:r>
        <w:rPr>
          <w:rFonts w:hint="eastAsia" w:ascii="宋体" w:hAnsi="宋体" w:eastAsia="宋体" w:cs="宋体"/>
          <w:sz w:val="24"/>
          <w:szCs w:val="24"/>
          <w:highlight w:val="none"/>
          <w:vertAlign w:val="superscript"/>
        </w:rPr>
        <w:t>-</w:t>
      </w:r>
      <w:r>
        <w:rPr>
          <w:rFonts w:hint="eastAsia" w:ascii="宋体" w:hAnsi="宋体" w:eastAsia="宋体" w:cs="宋体"/>
          <w:sz w:val="24"/>
          <w:szCs w:val="24"/>
          <w:highlight w:val="none"/>
        </w:rPr>
        <w:t>、BrO</w:t>
      </w:r>
      <w:r>
        <w:rPr>
          <w:rFonts w:hint="eastAsia" w:ascii="宋体" w:hAnsi="宋体" w:eastAsia="宋体" w:cs="宋体"/>
          <w:sz w:val="24"/>
          <w:szCs w:val="24"/>
          <w:highlight w:val="none"/>
          <w:vertAlign w:val="subscript"/>
        </w:rPr>
        <w:t>3</w:t>
      </w:r>
      <w:r>
        <w:rPr>
          <w:rFonts w:hint="eastAsia" w:ascii="宋体" w:hAnsi="宋体" w:eastAsia="宋体" w:cs="宋体"/>
          <w:sz w:val="24"/>
          <w:szCs w:val="24"/>
          <w:highlight w:val="none"/>
          <w:vertAlign w:val="superscript"/>
        </w:rPr>
        <w:t>-</w:t>
      </w:r>
      <w:r>
        <w:rPr>
          <w:rFonts w:hint="eastAsia" w:ascii="宋体" w:hAnsi="宋体" w:eastAsia="宋体" w:cs="宋体"/>
          <w:sz w:val="24"/>
          <w:szCs w:val="24"/>
          <w:highlight w:val="none"/>
        </w:rPr>
        <w:t>、NO</w:t>
      </w:r>
      <w:r>
        <w:rPr>
          <w:rFonts w:hint="eastAsia" w:ascii="宋体" w:hAnsi="宋体" w:eastAsia="宋体" w:cs="宋体"/>
          <w:sz w:val="24"/>
          <w:szCs w:val="24"/>
          <w:highlight w:val="none"/>
          <w:vertAlign w:val="subscript"/>
        </w:rPr>
        <w:t>3</w:t>
      </w:r>
      <w:r>
        <w:rPr>
          <w:rFonts w:hint="eastAsia" w:ascii="宋体" w:hAnsi="宋体" w:eastAsia="宋体" w:cs="宋体"/>
          <w:sz w:val="24"/>
          <w:szCs w:val="24"/>
          <w:highlight w:val="none"/>
          <w:vertAlign w:val="superscript"/>
        </w:rPr>
        <w:t>-</w:t>
      </w:r>
      <w:r>
        <w:rPr>
          <w:rFonts w:hint="eastAsia" w:ascii="宋体" w:hAnsi="宋体" w:eastAsia="宋体" w:cs="宋体"/>
          <w:sz w:val="24"/>
          <w:szCs w:val="24"/>
          <w:highlight w:val="none"/>
        </w:rPr>
        <w:t>、NO</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vertAlign w:val="superscript"/>
        </w:rPr>
        <w:t>-</w:t>
      </w:r>
      <w:r>
        <w:rPr>
          <w:rFonts w:hint="eastAsia" w:ascii="宋体" w:hAnsi="宋体" w:eastAsia="宋体" w:cs="宋体"/>
          <w:sz w:val="24"/>
          <w:szCs w:val="24"/>
          <w:highlight w:val="none"/>
        </w:rPr>
        <w:t>、SO</w:t>
      </w:r>
      <w:r>
        <w:rPr>
          <w:rFonts w:hint="eastAsia" w:ascii="宋体" w:hAnsi="宋体" w:eastAsia="宋体" w:cs="宋体"/>
          <w:sz w:val="24"/>
          <w:szCs w:val="24"/>
          <w:highlight w:val="none"/>
          <w:vertAlign w:val="subscript"/>
        </w:rPr>
        <w:t>4</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 xml:space="preserve"> 、PO</w:t>
      </w:r>
      <w:r>
        <w:rPr>
          <w:rFonts w:hint="eastAsia" w:ascii="宋体" w:hAnsi="宋体" w:eastAsia="宋体" w:cs="宋体"/>
          <w:sz w:val="24"/>
          <w:szCs w:val="24"/>
          <w:highlight w:val="none"/>
          <w:vertAlign w:val="subscript"/>
        </w:rPr>
        <w:t>4</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消毒副产物</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阳离子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w:t>
      </w:r>
      <w:r>
        <w:rPr>
          <w:rFonts w:hint="eastAsia" w:ascii="宋体" w:hAnsi="宋体" w:eastAsia="宋体" w:cs="宋体"/>
          <w:sz w:val="24"/>
          <w:szCs w:val="24"/>
          <w:highlight w:val="none"/>
        </w:rPr>
        <w:t>Li</w:t>
      </w:r>
      <w:r>
        <w:rPr>
          <w:rFonts w:hint="eastAsia" w:ascii="宋体" w:hAnsi="宋体" w:eastAsia="宋体" w:cs="宋体"/>
          <w:sz w:val="24"/>
          <w:szCs w:val="24"/>
          <w:highlight w:val="none"/>
          <w:vertAlign w:val="superscript"/>
        </w:rPr>
        <w:t>+</w:t>
      </w:r>
      <w:r>
        <w:rPr>
          <w:rFonts w:hint="eastAsia" w:ascii="宋体" w:hAnsi="宋体" w:eastAsia="宋体" w:cs="宋体"/>
          <w:sz w:val="24"/>
          <w:szCs w:val="24"/>
          <w:highlight w:val="none"/>
        </w:rPr>
        <w:t>、Na</w:t>
      </w:r>
      <w:r>
        <w:rPr>
          <w:rFonts w:hint="eastAsia" w:ascii="宋体" w:hAnsi="宋体" w:eastAsia="宋体" w:cs="宋体"/>
          <w:sz w:val="24"/>
          <w:szCs w:val="24"/>
          <w:highlight w:val="none"/>
          <w:vertAlign w:val="superscript"/>
        </w:rPr>
        <w:t>+</w:t>
      </w:r>
      <w:r>
        <w:rPr>
          <w:rFonts w:hint="eastAsia" w:ascii="宋体" w:hAnsi="宋体" w:eastAsia="宋体" w:cs="宋体"/>
          <w:sz w:val="24"/>
          <w:szCs w:val="24"/>
          <w:highlight w:val="none"/>
        </w:rPr>
        <w:t>、NH</w:t>
      </w:r>
      <w:r>
        <w:rPr>
          <w:rFonts w:hint="eastAsia" w:ascii="宋体" w:hAnsi="宋体" w:eastAsia="宋体" w:cs="宋体"/>
          <w:sz w:val="24"/>
          <w:szCs w:val="24"/>
          <w:highlight w:val="none"/>
          <w:vertAlign w:val="subscript"/>
        </w:rPr>
        <w:t>4</w:t>
      </w:r>
      <w:r>
        <w:rPr>
          <w:rFonts w:hint="eastAsia" w:ascii="宋体" w:hAnsi="宋体" w:eastAsia="宋体" w:cs="宋体"/>
          <w:sz w:val="24"/>
          <w:szCs w:val="24"/>
          <w:highlight w:val="none"/>
          <w:vertAlign w:val="superscript"/>
        </w:rPr>
        <w:t>+</w:t>
      </w:r>
      <w:r>
        <w:rPr>
          <w:rFonts w:hint="eastAsia" w:ascii="宋体" w:hAnsi="宋体" w:eastAsia="宋体" w:cs="宋体"/>
          <w:sz w:val="24"/>
          <w:szCs w:val="24"/>
          <w:highlight w:val="none"/>
        </w:rPr>
        <w:t>、K</w:t>
      </w:r>
      <w:r>
        <w:rPr>
          <w:rFonts w:hint="eastAsia" w:ascii="宋体" w:hAnsi="宋体" w:eastAsia="宋体" w:cs="宋体"/>
          <w:sz w:val="24"/>
          <w:szCs w:val="24"/>
          <w:highlight w:val="none"/>
          <w:vertAlign w:val="superscript"/>
        </w:rPr>
        <w:t>+</w:t>
      </w:r>
      <w:r>
        <w:rPr>
          <w:rFonts w:hint="eastAsia" w:ascii="宋体" w:hAnsi="宋体" w:eastAsia="宋体" w:cs="宋体"/>
          <w:sz w:val="24"/>
          <w:szCs w:val="24"/>
          <w:highlight w:val="none"/>
        </w:rPr>
        <w:t>、Mg</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、Ca</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vertAlign w:val="baseline"/>
          <w:lang w:val="en-US" w:eastAsia="zh-CN"/>
        </w:rPr>
        <w:t>等</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的</w:t>
      </w:r>
      <w:r>
        <w:rPr>
          <w:rFonts w:hint="eastAsia" w:ascii="宋体" w:hAnsi="宋体" w:eastAsia="宋体" w:cs="宋体"/>
          <w:sz w:val="24"/>
          <w:szCs w:val="24"/>
          <w:highlight w:val="none"/>
          <w:lang w:eastAsia="zh-CN"/>
        </w:rPr>
        <w:t>检测</w:t>
      </w:r>
      <w:r>
        <w:rPr>
          <w:rFonts w:hint="eastAsia" w:ascii="宋体" w:hAnsi="宋体" w:eastAsia="宋体" w:cs="宋体"/>
          <w:sz w:val="24"/>
          <w:szCs w:val="24"/>
          <w:highlight w:val="none"/>
        </w:rPr>
        <w:t>分析</w:t>
      </w:r>
      <w:r>
        <w:rPr>
          <w:rFonts w:hint="eastAsia" w:ascii="宋体" w:hAnsi="宋体" w:eastAsia="宋体" w:cs="宋体"/>
          <w:sz w:val="24"/>
          <w:szCs w:val="24"/>
          <w:highlight w:val="none"/>
          <w:lang w:eastAsia="zh-CN"/>
        </w:rPr>
        <w:t>。</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4"/>
          <w:szCs w:val="24"/>
          <w:lang w:val="en-US" w:eastAsia="zh-CN"/>
        </w:rPr>
        <w:t>整机参数</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系统参数</w:t>
      </w:r>
    </w:p>
    <w:p>
      <w:pPr>
        <w:spacing w:line="360" w:lineRule="auto"/>
        <w:rPr>
          <w:rFonts w:hint="eastAsia" w:ascii="宋体" w:hAnsi="宋体" w:eastAsia="宋体" w:cs="宋体"/>
          <w:color w:val="FF0000"/>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.1.1定性重复性：≤0.5%</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.1.2定量重复性：≤1.0%</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.1.3所有的离子色谱流路均标配采用原厂提供的PEEK及PTFE材质，包括分析泵本身及分析泵后至六通阀、色谱柱、抑制器、检测器之间的所有管路</w:t>
      </w:r>
    </w:p>
    <w:p>
      <w:pPr>
        <w:spacing w:line="360" w:lineRule="auto"/>
        <w:rPr>
          <w:rFonts w:hint="eastAsia" w:ascii="宋体" w:hAnsi="宋体" w:eastAsia="宋体" w:cs="宋体"/>
          <w:color w:val="FF0000"/>
          <w:sz w:val="24"/>
          <w:szCs w:val="24"/>
          <w:lang w:val="en-US" w:eastAsia="zh-CN"/>
        </w:rPr>
      </w:pPr>
      <w:r>
        <w:rPr>
          <w:rFonts w:hint="eastAsia" w:ascii="宋体" w:hAnsi="宋体" w:eastAsia="宋体" w:cs="宋体"/>
          <w:color w:val="000000"/>
          <w:sz w:val="24"/>
          <w:szCs w:val="24"/>
          <w:lang w:val="en-US" w:eastAsia="zh-CN"/>
        </w:rPr>
        <w:t>2.1.4独有的“一键清洗”、“一键维护”功能，方便客户进行仪器维护</w:t>
      </w:r>
    </w:p>
    <w:p>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.2 色谱泵系统</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.2.1 高性能/低脉冲双柱塞泵，采用惰性全PEEK泵头、PEEK管路，适合于pH为0~14的淋洗液及反相有机溶剂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.2.2全PEEK泵流量：（0.001～10.000）mL/min；</w:t>
      </w:r>
      <w:r>
        <w:rPr>
          <w:rFonts w:hint="eastAsia" w:ascii="宋体" w:hAnsi="宋体" w:eastAsia="宋体" w:cs="宋体"/>
          <w:color w:val="auto"/>
          <w:kern w:val="0"/>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泵头耐压：（0～35）MPa；</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.2.4 流量设定误差：＜0.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.2.5 流量稳定性：＜0.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.2.6 压力显示精度：0.01Mpa</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2.2.7压力脉动：＜0.5%</w:t>
      </w:r>
    </w:p>
    <w:p>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.3 电导检测器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.3.1基线噪声：≤0.1%FS</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.3.2基线漂移：≤0.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%FS</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.3.3最小检出浓度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Cl</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：≤0.000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ug/mL</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w:t>
      </w:r>
      <w:r>
        <w:rPr>
          <w:rFonts w:hint="eastAsia" w:ascii="宋体" w:hAnsi="宋体" w:eastAsia="宋体" w:cs="宋体"/>
          <w:color w:val="auto"/>
          <w:sz w:val="24"/>
          <w:szCs w:val="24"/>
        </w:rPr>
        <w:t>最小检出浓度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Li</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：≤0.000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ug/mL</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 数字电导检测器</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输出值为电导率值，单位为μS/cm。</w:t>
      </w:r>
    </w:p>
    <w:p>
      <w:pPr>
        <w:spacing w:line="360" w:lineRule="auto"/>
        <w:rPr>
          <w:rFonts w:hint="eastAsia" w:ascii="宋体" w:hAnsi="宋体" w:eastAsia="宋体" w:cs="宋体"/>
          <w:color w:val="auto"/>
          <w:sz w:val="24"/>
          <w:szCs w:val="24"/>
        </w:rPr>
      </w:pPr>
      <w:r>
        <w:rPr>
          <w:rFonts w:hint="eastAsia" w:ascii="宋体" w:hAnsi="宋体" w:eastAsia="宋体" w:cs="宋体"/>
          <w:color w:val="000000"/>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电导池体积：≤0.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μL</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电导检测范围：0-1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000μS/cm</w:t>
      </w:r>
      <w:r>
        <w:rPr>
          <w:rFonts w:hint="eastAsia" w:ascii="宋体" w:hAnsi="宋体" w:eastAsia="宋体" w:cs="宋体"/>
          <w:color w:val="FF0000"/>
          <w:sz w:val="24"/>
          <w:szCs w:val="24"/>
        </w:rPr>
        <w:t xml:space="preserve"> </w:t>
      </w:r>
    </w:p>
    <w:p>
      <w:pPr>
        <w:spacing w:line="360" w:lineRule="auto"/>
        <w:rPr>
          <w:rFonts w:hint="eastAsia" w:ascii="宋体" w:hAnsi="宋体" w:eastAsia="宋体" w:cs="宋体"/>
          <w:color w:val="FF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检测器分辨率：0.002</w:t>
      </w:r>
      <w:r>
        <w:rPr>
          <w:rFonts w:hint="eastAsia" w:ascii="宋体" w:hAnsi="宋体" w:eastAsia="宋体" w:cs="宋体"/>
          <w:color w:val="000000"/>
          <w:sz w:val="24"/>
          <w:szCs w:val="24"/>
          <w:lang w:val="en-US" w:eastAsia="zh-CN"/>
        </w:rPr>
        <w:t>38n</w:t>
      </w:r>
      <w:r>
        <w:rPr>
          <w:rFonts w:hint="eastAsia" w:ascii="宋体" w:hAnsi="宋体" w:eastAsia="宋体" w:cs="宋体"/>
          <w:color w:val="000000"/>
          <w:sz w:val="24"/>
          <w:szCs w:val="24"/>
        </w:rPr>
        <w:t>S/cm</w:t>
      </w:r>
      <w:r>
        <w:rPr>
          <w:rFonts w:hint="eastAsia" w:ascii="宋体" w:hAnsi="宋体" w:eastAsia="宋体" w:cs="宋体"/>
          <w:color w:val="FF0000"/>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 电导池温度设定误差：±0.01℃</w:t>
      </w:r>
      <w:r>
        <w:rPr>
          <w:rFonts w:hint="eastAsia" w:ascii="宋体" w:hAnsi="宋体" w:eastAsia="宋体" w:cs="宋体"/>
          <w:color w:val="FF0000"/>
          <w:kern w:val="0"/>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 xml:space="preserve"> 电导池温度显示分辨率：0.001℃</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.3.</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具有温度补偿功能，温度补偿范围：1.5-3.0%</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rPr>
        <w:t>.3.</w:t>
      </w:r>
      <w:r>
        <w:rPr>
          <w:rFonts w:hint="eastAsia" w:ascii="宋体" w:hAnsi="宋体" w:eastAsia="宋体" w:cs="宋体"/>
          <w:snapToGrid w:val="0"/>
          <w:color w:val="auto"/>
          <w:kern w:val="0"/>
          <w:sz w:val="24"/>
          <w:szCs w:val="24"/>
          <w:lang w:val="en-US" w:eastAsia="zh-CN"/>
        </w:rPr>
        <w:t>10</w:t>
      </w:r>
      <w:r>
        <w:rPr>
          <w:rFonts w:hint="eastAsia" w:ascii="宋体" w:hAnsi="宋体" w:eastAsia="宋体" w:cs="宋体"/>
          <w:snapToGrid w:val="0"/>
          <w:color w:val="auto"/>
          <w:kern w:val="0"/>
          <w:sz w:val="24"/>
          <w:szCs w:val="24"/>
        </w:rPr>
        <w:t>具有基于DSP离子色谱仪数字电导检测装置</w:t>
      </w:r>
    </w:p>
    <w:p>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.4 抑制器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.4.1 抑制器类型：原厂生产的电解自动再生膜抑制器，无需外加硫酸进行轮流再生。具有高容量，免维护，低背景电导，低背景噪声和稳定的基线，无需蠕动泵等其他辅助设备。</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.4.2 可配置阴、阳离子电解自再生膜抑制器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.4.3 恒流源范围：0-500mA，增量0.1mA。</w:t>
      </w:r>
    </w:p>
    <w:p>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.5 柱温箱</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.5.1 内置色谱柱温箱，具有淋洗液预加热功能，可使淋洗液的温度在进入色谱柱前已和色谱柱的柱温保持一致，保证了待测离子的分离效果，同时可获得更平稳的基线，有效的缩短了开机平衡的时间，提高重复性和分析效率</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.5.2 温度范围：室温＋5℃~85℃</w:t>
      </w:r>
    </w:p>
    <w:p>
      <w:pPr>
        <w:spacing w:line="360" w:lineRule="auto"/>
        <w:rPr>
          <w:rFonts w:hint="eastAsia" w:ascii="宋体" w:hAnsi="宋体" w:eastAsia="宋体" w:cs="宋体"/>
          <w:color w:val="FF0000"/>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.5.3控温度稳定性：≤0.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.5.4 可兼容长度为250mm和150mm色谱柱</w:t>
      </w:r>
    </w:p>
    <w:p>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.6 离子色谱柱</w:t>
      </w:r>
    </w:p>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.6.1原装进口</w:t>
      </w:r>
      <w:r>
        <w:rPr>
          <w:rFonts w:hint="eastAsia" w:ascii="宋体" w:hAnsi="宋体" w:eastAsia="宋体" w:cs="宋体"/>
          <w:color w:val="000000"/>
          <w:sz w:val="24"/>
          <w:szCs w:val="24"/>
          <w:lang w:val="en-US" w:eastAsia="zh-CN"/>
        </w:rPr>
        <w:t>/自产</w:t>
      </w:r>
      <w:r>
        <w:rPr>
          <w:rFonts w:hint="eastAsia" w:ascii="宋体" w:hAnsi="宋体" w:eastAsia="宋体" w:cs="宋体"/>
          <w:color w:val="000000"/>
          <w:sz w:val="24"/>
          <w:szCs w:val="24"/>
        </w:rPr>
        <w:t>阴离子色谱柱，色谱填料为聚合物材料，可用于食品、药品、环境、水质等样品中常规阴离子和消毒剂副属产物的检测。</w:t>
      </w:r>
    </w:p>
    <w:p>
      <w:pPr>
        <w:spacing w:line="360" w:lineRule="auto"/>
        <w:rPr>
          <w:rFonts w:hint="eastAsia" w:ascii="宋体" w:hAnsi="宋体" w:eastAsia="宋体" w:cs="宋体"/>
          <w:color w:val="FF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.6.2 原装进口阳离子色谱柱，</w:t>
      </w:r>
      <w:r>
        <w:rPr>
          <w:rFonts w:hint="eastAsia" w:ascii="宋体" w:hAnsi="宋体" w:eastAsia="宋体" w:cs="宋体"/>
          <w:sz w:val="24"/>
          <w:szCs w:val="24"/>
        </w:rPr>
        <w:t>可用于检测环境，药品及食品中Li</w:t>
      </w:r>
      <w:r>
        <w:rPr>
          <w:rFonts w:hint="eastAsia" w:ascii="宋体" w:hAnsi="宋体" w:eastAsia="宋体" w:cs="宋体"/>
          <w:sz w:val="24"/>
          <w:szCs w:val="24"/>
          <w:vertAlign w:val="superscript"/>
        </w:rPr>
        <w:t>+</w:t>
      </w:r>
      <w:r>
        <w:rPr>
          <w:rFonts w:hint="eastAsia" w:ascii="宋体" w:hAnsi="宋体" w:eastAsia="宋体" w:cs="宋体"/>
          <w:sz w:val="24"/>
          <w:szCs w:val="24"/>
        </w:rPr>
        <w:t>，Na</w:t>
      </w:r>
      <w:r>
        <w:rPr>
          <w:rFonts w:hint="eastAsia" w:ascii="宋体" w:hAnsi="宋体" w:eastAsia="宋体" w:cs="宋体"/>
          <w:sz w:val="24"/>
          <w:szCs w:val="24"/>
          <w:vertAlign w:val="superscript"/>
        </w:rPr>
        <w:t>+</w:t>
      </w:r>
      <w:r>
        <w:rPr>
          <w:rFonts w:hint="eastAsia" w:ascii="宋体" w:hAnsi="宋体" w:eastAsia="宋体" w:cs="宋体"/>
          <w:sz w:val="24"/>
          <w:szCs w:val="24"/>
        </w:rPr>
        <w:t>，NH</w:t>
      </w:r>
      <w:r>
        <w:rPr>
          <w:rFonts w:hint="eastAsia" w:ascii="宋体" w:hAnsi="宋体" w:eastAsia="宋体" w:cs="宋体"/>
          <w:sz w:val="24"/>
          <w:szCs w:val="24"/>
          <w:vertAlign w:val="subscript"/>
        </w:rPr>
        <w:t>4</w:t>
      </w:r>
      <w:r>
        <w:rPr>
          <w:rFonts w:hint="eastAsia" w:ascii="宋体" w:hAnsi="宋体" w:eastAsia="宋体" w:cs="宋体"/>
          <w:sz w:val="24"/>
          <w:szCs w:val="24"/>
          <w:vertAlign w:val="superscript"/>
        </w:rPr>
        <w:t>+</w:t>
      </w:r>
      <w:r>
        <w:rPr>
          <w:rFonts w:hint="eastAsia" w:ascii="宋体" w:hAnsi="宋体" w:eastAsia="宋体" w:cs="宋体"/>
          <w:sz w:val="24"/>
          <w:szCs w:val="24"/>
        </w:rPr>
        <w:t>，K</w:t>
      </w:r>
      <w:r>
        <w:rPr>
          <w:rFonts w:hint="eastAsia" w:ascii="宋体" w:hAnsi="宋体" w:eastAsia="宋体" w:cs="宋体"/>
          <w:sz w:val="24"/>
          <w:szCs w:val="24"/>
          <w:vertAlign w:val="superscript"/>
        </w:rPr>
        <w:t>+</w:t>
      </w:r>
      <w:r>
        <w:rPr>
          <w:rFonts w:hint="eastAsia" w:ascii="宋体" w:hAnsi="宋体" w:eastAsia="宋体" w:cs="宋体"/>
          <w:sz w:val="24"/>
          <w:szCs w:val="24"/>
        </w:rPr>
        <w:t>，Ca</w:t>
      </w:r>
      <w:r>
        <w:rPr>
          <w:rFonts w:hint="eastAsia" w:ascii="宋体" w:hAnsi="宋体" w:eastAsia="宋体" w:cs="宋体"/>
          <w:sz w:val="24"/>
          <w:szCs w:val="24"/>
          <w:vertAlign w:val="superscript"/>
        </w:rPr>
        <w:t>2+</w:t>
      </w:r>
      <w:r>
        <w:rPr>
          <w:rFonts w:hint="eastAsia" w:ascii="宋体" w:hAnsi="宋体" w:eastAsia="宋体" w:cs="宋体"/>
          <w:sz w:val="24"/>
          <w:szCs w:val="24"/>
        </w:rPr>
        <w:t>，Mg</w:t>
      </w:r>
      <w:r>
        <w:rPr>
          <w:rFonts w:hint="eastAsia" w:ascii="宋体" w:hAnsi="宋体" w:eastAsia="宋体" w:cs="宋体"/>
          <w:sz w:val="24"/>
          <w:szCs w:val="24"/>
          <w:vertAlign w:val="superscript"/>
        </w:rPr>
        <w:t>2+</w:t>
      </w:r>
      <w:r>
        <w:rPr>
          <w:rFonts w:hint="eastAsia" w:ascii="宋体" w:hAnsi="宋体" w:eastAsia="宋体" w:cs="宋体"/>
          <w:sz w:val="24"/>
          <w:szCs w:val="24"/>
        </w:rPr>
        <w:t>及有机阳离子等</w:t>
      </w:r>
      <w:r>
        <w:rPr>
          <w:rFonts w:hint="eastAsia" w:ascii="宋体" w:hAnsi="宋体" w:eastAsia="宋体" w:cs="宋体"/>
          <w:sz w:val="24"/>
          <w:szCs w:val="24"/>
          <w:lang w:eastAsia="zh-CN"/>
        </w:rPr>
        <w:t>。</w:t>
      </w:r>
    </w:p>
    <w:p>
      <w:pPr>
        <w:numPr>
          <w:ilvl w:val="0"/>
          <w:numId w:val="0"/>
        </w:numPr>
        <w:tabs>
          <w:tab w:val="left" w:pos="1440"/>
        </w:tabs>
        <w:spacing w:line="360" w:lineRule="auto"/>
        <w:rPr>
          <w:rFonts w:hint="eastAsia" w:ascii="宋体" w:hAnsi="宋体" w:eastAsia="宋体" w:cs="宋体"/>
          <w:b/>
          <w:bCs/>
          <w:color w:val="FF0000"/>
          <w:sz w:val="24"/>
          <w:szCs w:val="24"/>
          <w:lang w:eastAsia="zh-CN"/>
        </w:rPr>
      </w:pPr>
      <w:r>
        <w:rPr>
          <w:rFonts w:hint="eastAsia" w:ascii="宋体" w:hAnsi="宋体" w:eastAsia="宋体" w:cs="宋体"/>
          <w:b/>
          <w:bCs/>
          <w:color w:val="auto"/>
          <w:sz w:val="24"/>
          <w:szCs w:val="24"/>
          <w:lang w:val="en-US" w:eastAsia="zh-CN"/>
        </w:rPr>
        <w:t>2.7 自动进样器</w:t>
      </w:r>
    </w:p>
    <w:p>
      <w:pPr>
        <w:numPr>
          <w:ilvl w:val="0"/>
          <w:numId w:val="0"/>
        </w:numPr>
        <w:tabs>
          <w:tab w:val="left" w:pos="144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sz w:val="24"/>
          <w:szCs w:val="24"/>
        </w:rPr>
        <w:t>★</w:t>
      </w:r>
      <w:r>
        <w:rPr>
          <w:rFonts w:hint="eastAsia" w:ascii="宋体" w:hAnsi="宋体" w:eastAsia="宋体" w:cs="宋体"/>
          <w:color w:val="auto"/>
          <w:sz w:val="24"/>
          <w:szCs w:val="24"/>
          <w:lang w:val="en-US" w:eastAsia="zh-CN"/>
        </w:rPr>
        <w:t>2.7.1 工作方式：XYZ定位方式，注射泵定量取样方式，具有满环进样、部分进样及无损进样等可选模式</w:t>
      </w:r>
    </w:p>
    <w:p>
      <w:pPr>
        <w:numPr>
          <w:ilvl w:val="0"/>
          <w:numId w:val="0"/>
        </w:numPr>
        <w:tabs>
          <w:tab w:val="left" w:pos="144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sz w:val="24"/>
          <w:szCs w:val="24"/>
        </w:rPr>
        <w:t>★</w:t>
      </w:r>
      <w:r>
        <w:rPr>
          <w:rFonts w:hint="eastAsia" w:ascii="宋体" w:hAnsi="宋体" w:eastAsia="宋体" w:cs="宋体"/>
          <w:color w:val="auto"/>
          <w:sz w:val="24"/>
          <w:szCs w:val="24"/>
          <w:lang w:val="en-US" w:eastAsia="zh-CN"/>
        </w:rPr>
        <w:t>2.7.2 样品位数：≥120位（1.5ml标准样品瓶），满足仪器连续24小时不间断运行需求</w:t>
      </w:r>
    </w:p>
    <w:p>
      <w:pPr>
        <w:numPr>
          <w:ilvl w:val="0"/>
          <w:numId w:val="0"/>
        </w:numPr>
        <w:tabs>
          <w:tab w:val="left" w:pos="144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 具有缺瓶报警、漏液报警开关门感应灯自动化智能化功能，保证设备可靠运行</w:t>
      </w:r>
    </w:p>
    <w:p>
      <w:pPr>
        <w:numPr>
          <w:ilvl w:val="0"/>
          <w:numId w:val="0"/>
        </w:numPr>
        <w:tabs>
          <w:tab w:val="left" w:pos="144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2.7.4 可升级制冷功能，实现样品温度4-30℃范围内精确控温，保证温度敏感样品的稳定性分析检测结果的一致性。</w:t>
      </w:r>
    </w:p>
    <w:p>
      <w:pPr>
        <w:numPr>
          <w:ilvl w:val="0"/>
          <w:numId w:val="0"/>
        </w:numPr>
        <w:tabs>
          <w:tab w:val="left" w:pos="144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2.7.5 重复性：满环进样&lt;0.3%RSD，部分进样&lt;0.5% RSD，无损进样&lt;1 %RSD （进样体积&gt;5uL）</w:t>
      </w:r>
    </w:p>
    <w:p>
      <w:pPr>
        <w:numPr>
          <w:ilvl w:val="0"/>
          <w:numId w:val="0"/>
        </w:numPr>
        <w:tabs>
          <w:tab w:val="left" w:pos="144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2.7.6 注射器规格：标配：500ul；选配；250ul，1000ul，2500ul</w:t>
      </w:r>
    </w:p>
    <w:p>
      <w:pPr>
        <w:numPr>
          <w:ilvl w:val="0"/>
          <w:numId w:val="0"/>
        </w:numPr>
        <w:tabs>
          <w:tab w:val="left" w:pos="144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2.7.7 定量环规格：标配：100ul ；选配：20ul，50ul,200ul</w:t>
      </w:r>
    </w:p>
    <w:p>
      <w:pPr>
        <w:numPr>
          <w:ilvl w:val="0"/>
          <w:numId w:val="0"/>
        </w:numPr>
        <w:tabs>
          <w:tab w:val="left" w:pos="144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2.7.8 进样针清洗：具有独立清洗内/外壁洗针位，不限次数内外针清洗并具有吹干功能，可在样本间或每一针之间选择是否清洗</w:t>
      </w:r>
    </w:p>
    <w:p>
      <w:pPr>
        <w:numPr>
          <w:ilvl w:val="0"/>
          <w:numId w:val="0"/>
        </w:numPr>
        <w:tabs>
          <w:tab w:val="left" w:pos="144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2.7.9 线性：&gt;0.999</w:t>
      </w:r>
    </w:p>
    <w:p>
      <w:pPr>
        <w:numPr>
          <w:ilvl w:val="0"/>
          <w:numId w:val="0"/>
        </w:numPr>
        <w:tabs>
          <w:tab w:val="left" w:pos="144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2.7.10 交叉污染：&lt;0.01%</w:t>
      </w:r>
    </w:p>
    <w:p>
      <w:pPr>
        <w:tabs>
          <w:tab w:val="left" w:pos="1440"/>
        </w:tabs>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8</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4"/>
          <w:szCs w:val="24"/>
          <w:lang w:val="en-US" w:eastAsia="zh-CN"/>
        </w:rPr>
        <w:t>氮气加压装置</w:t>
      </w:r>
    </w:p>
    <w:p>
      <w:pPr>
        <w:tabs>
          <w:tab w:val="left" w:pos="1440"/>
        </w:tabs>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lang w:val="en-US" w:eastAsia="zh-CN"/>
        </w:rPr>
        <w:t>2.8.1保护淋洗液，避免吸收空气中的CO</w:t>
      </w:r>
      <w:r>
        <w:rPr>
          <w:rFonts w:hint="eastAsia" w:ascii="宋体" w:hAnsi="宋体" w:eastAsia="宋体" w:cs="宋体"/>
          <w:b w:val="0"/>
          <w:bCs w:val="0"/>
          <w:color w:val="000000"/>
          <w:sz w:val="24"/>
          <w:szCs w:val="24"/>
          <w:vertAlign w:val="subscript"/>
          <w:lang w:val="en-US" w:eastAsia="zh-CN"/>
        </w:rPr>
        <w:t>2</w:t>
      </w:r>
      <w:r>
        <w:rPr>
          <w:rFonts w:hint="eastAsia" w:ascii="宋体" w:hAnsi="宋体" w:eastAsia="宋体" w:cs="宋体"/>
          <w:b w:val="0"/>
          <w:bCs w:val="0"/>
          <w:color w:val="000000"/>
          <w:sz w:val="24"/>
          <w:szCs w:val="24"/>
          <w:vertAlign w:val="baseline"/>
          <w:lang w:val="en-US" w:eastAsia="zh-CN"/>
        </w:rPr>
        <w:t>，确保淋洗液流量的稳定性</w:t>
      </w:r>
    </w:p>
    <w:p>
      <w:pPr>
        <w:tabs>
          <w:tab w:val="left" w:pos="1440"/>
        </w:tabs>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2.8.2隔绝空气，避免淋洗液中滋生细菌</w:t>
      </w:r>
    </w:p>
    <w:p>
      <w:pPr>
        <w:tabs>
          <w:tab w:val="left" w:pos="1440"/>
        </w:tabs>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2.8.3防止意外进入的气泡导致泵异常</w:t>
      </w:r>
    </w:p>
    <w:p>
      <w:pPr>
        <w:tabs>
          <w:tab w:val="left" w:pos="1440"/>
        </w:tabs>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2.8.4代替蠕动泵进行再生液、衍生液的输送</w:t>
      </w:r>
    </w:p>
    <w:p>
      <w:pPr>
        <w:tabs>
          <w:tab w:val="left" w:pos="1440"/>
        </w:tabs>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9</w:t>
      </w:r>
      <w:r>
        <w:rPr>
          <w:rFonts w:hint="eastAsia" w:ascii="宋体" w:hAnsi="宋体" w:eastAsia="宋体" w:cs="宋体"/>
          <w:b/>
          <w:bCs/>
          <w:color w:val="000000"/>
          <w:sz w:val="24"/>
          <w:szCs w:val="24"/>
        </w:rPr>
        <w:t xml:space="preserve"> 软件</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自主研发，具有软件著作权</w:t>
      </w:r>
    </w:p>
    <w:p>
      <w:pPr>
        <w:tabs>
          <w:tab w:val="left" w:pos="1440"/>
        </w:tabs>
        <w:spacing w:line="360" w:lineRule="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.2 工作站界面简单、直观，操作流程便捷，具有</w:t>
      </w:r>
      <w:r>
        <w:rPr>
          <w:rFonts w:hint="eastAsia" w:ascii="宋体" w:hAnsi="宋体" w:eastAsia="宋体" w:cs="宋体"/>
          <w:color w:val="000000"/>
          <w:sz w:val="24"/>
          <w:szCs w:val="24"/>
          <w:lang w:val="en-US" w:eastAsia="zh-CN"/>
        </w:rPr>
        <w:t>完善的审计追踪及权限管理功能</w:t>
      </w:r>
    </w:p>
    <w:p>
      <w:pPr>
        <w:tabs>
          <w:tab w:val="left" w:pos="144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3 图形化</w:t>
      </w:r>
      <w:r>
        <w:rPr>
          <w:rFonts w:hint="eastAsia" w:ascii="宋体" w:hAnsi="宋体" w:eastAsia="宋体" w:cs="宋体"/>
          <w:color w:val="000000"/>
          <w:sz w:val="24"/>
          <w:szCs w:val="24"/>
          <w:lang w:val="en-US" w:eastAsia="zh-CN"/>
        </w:rPr>
        <w:t>全</w:t>
      </w:r>
      <w:r>
        <w:rPr>
          <w:rFonts w:hint="eastAsia" w:ascii="宋体" w:hAnsi="宋体" w:eastAsia="宋体" w:cs="宋体"/>
          <w:color w:val="000000"/>
          <w:sz w:val="24"/>
          <w:szCs w:val="24"/>
        </w:rPr>
        <w:t>反控界面，提供适实时分析条件参数和分析结果，在线修改和采集各部件工作参数，可自动进行快速数据采集和后处理，具有仪器相关数据与运行状况溯源功能，方便故障排查。</w:t>
      </w:r>
    </w:p>
    <w:p>
      <w:pPr>
        <w:tabs>
          <w:tab w:val="left" w:pos="144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.4 实现系统部件的有效集成和控制，对公司产品提供色谱类检测器，自动进样器等升级部件可无缝式增加</w:t>
      </w:r>
    </w:p>
    <w:p>
      <w:pPr>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3.0.配置:</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3.0.1一体式离子色谱仪基础主机 1台</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3.0.2自动进样器 1台</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3.0.3阴离子抑制器 1个</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3.0.4阴离子分析柱 1个</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3.0.5阴离子保护柱 1个</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3.0.6阳离子抑制器 1个</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3.0.7阳离子色谱柱 1个</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3.0.8阳离子保护柱 1个</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3.0.9氮气加压装置 1个</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3.0.10品牌电脑打印机 1个</w:t>
      </w:r>
    </w:p>
    <w:p>
      <w:pPr>
        <w:tabs>
          <w:tab w:val="left" w:pos="1440"/>
        </w:tabs>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3.0.11氮气瓶 1个</w:t>
      </w:r>
    </w:p>
    <w:p>
      <w:pPr>
        <w:spacing w:line="360" w:lineRule="auto"/>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3.1</w:t>
      </w:r>
      <w:r>
        <w:rPr>
          <w:rFonts w:hint="eastAsia" w:ascii="宋体" w:hAnsi="宋体" w:eastAsia="宋体" w:cs="宋体"/>
          <w:b/>
          <w:color w:val="000000"/>
          <w:sz w:val="24"/>
          <w:szCs w:val="24"/>
        </w:rPr>
        <w:t>售后服务</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rPr>
        <w:t>3.1.1</w:t>
      </w:r>
      <w:r>
        <w:rPr>
          <w:rFonts w:hint="eastAsia" w:ascii="宋体" w:hAnsi="宋体" w:eastAsia="宋体" w:cs="宋体"/>
          <w:sz w:val="24"/>
          <w:szCs w:val="24"/>
        </w:rPr>
        <w:t>仪器收货后由公司免费进行安装调试并免费为用户培训2-3人。从安装调试之日起，仪器质量保修期壹年，质保期内实行三包服务（即包修、保换、包退）。</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rPr>
        <w:t>3.1</w:t>
      </w:r>
      <w:r>
        <w:rPr>
          <w:rFonts w:hint="eastAsia" w:ascii="宋体" w:hAnsi="宋体" w:eastAsia="宋体" w:cs="宋体"/>
          <w:sz w:val="24"/>
          <w:szCs w:val="24"/>
        </w:rPr>
        <w:t>.2实行7*24小时电话服务，如仪器发生故障，10分钟内作出反应，一般故障4小时内处理完毕,其他重大事故12小时内赶到现场处理问题，必要需提供备用设备并与用户及代理商实时沟通，保证服务及时有效。</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rPr>
        <w:t>3.1</w:t>
      </w:r>
      <w:r>
        <w:rPr>
          <w:rFonts w:hint="eastAsia" w:ascii="宋体" w:hAnsi="宋体" w:eastAsia="宋体" w:cs="宋体"/>
          <w:sz w:val="24"/>
          <w:szCs w:val="24"/>
        </w:rPr>
        <w:t>.3敏感时期、重大节假日提供技术人员值守服务.</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color w:val="000000"/>
          <w:sz w:val="24"/>
          <w:szCs w:val="24"/>
          <w:lang w:val="en-US" w:eastAsia="zh-CN"/>
        </w:rPr>
        <w:t>3.1</w:t>
      </w:r>
      <w:r>
        <w:rPr>
          <w:rFonts w:hint="eastAsia" w:ascii="宋体" w:hAnsi="宋体" w:eastAsia="宋体" w:cs="宋体"/>
          <w:sz w:val="24"/>
          <w:szCs w:val="24"/>
        </w:rPr>
        <w:t>.4本公司对产品实行终身维护，保修期外的维修服务只收取成本费用。</w:t>
      </w:r>
    </w:p>
    <w:p>
      <w:pPr>
        <w:rPr>
          <w:rFonts w:hint="eastAsia"/>
          <w:b w:val="0"/>
          <w:bCs w:val="0"/>
          <w:sz w:val="24"/>
          <w:szCs w:val="24"/>
          <w:lang w:val="en-US" w:eastAsia="zh-CN"/>
        </w:rPr>
      </w:pPr>
    </w:p>
    <w:p>
      <w:pPr>
        <w:numPr>
          <w:ilvl w:val="0"/>
          <w:numId w:val="0"/>
        </w:numPr>
        <w:tabs>
          <w:tab w:val="left" w:pos="10980"/>
        </w:tabs>
        <w:spacing w:line="360" w:lineRule="auto"/>
        <w:ind w:leftChars="0" w:right="-441" w:rightChars="-210"/>
        <w:jc w:val="both"/>
        <w:rPr>
          <w:rFonts w:hint="eastAsia" w:ascii="宋体" w:hAnsi="宋体" w:eastAsia="宋体" w:cs="宋体"/>
          <w:b/>
          <w:bCs/>
          <w:sz w:val="36"/>
          <w:szCs w:val="36"/>
        </w:rPr>
      </w:pPr>
      <w:r>
        <w:rPr>
          <w:rFonts w:hint="eastAsia" w:ascii="宋体" w:hAnsi="宋体" w:cs="宋体"/>
          <w:b/>
          <w:bCs/>
          <w:sz w:val="36"/>
          <w:szCs w:val="36"/>
          <w:lang w:val="en-US" w:eastAsia="zh-CN"/>
        </w:rPr>
        <w:t>8、</w:t>
      </w:r>
      <w:r>
        <w:rPr>
          <w:rFonts w:hint="eastAsia" w:ascii="宋体" w:hAnsi="宋体" w:eastAsia="宋体" w:cs="宋体"/>
          <w:b/>
          <w:bCs/>
          <w:sz w:val="36"/>
          <w:szCs w:val="36"/>
        </w:rPr>
        <w:t>医用冷藏箱</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一、用  途：</w:t>
      </w:r>
    </w:p>
    <w:p>
      <w:pPr>
        <w:spacing w:line="360" w:lineRule="auto"/>
        <w:rPr>
          <w:rFonts w:hint="eastAsia" w:ascii="宋体" w:hAnsi="宋体" w:eastAsia="宋体" w:cs="宋体"/>
          <w:sz w:val="24"/>
          <w:szCs w:val="24"/>
        </w:rPr>
      </w:pPr>
      <w:r>
        <w:rPr>
          <w:rFonts w:hint="eastAsia" w:ascii="宋体" w:hAnsi="宋体" w:eastAsia="宋体" w:cs="宋体"/>
          <w:sz w:val="24"/>
          <w:szCs w:val="24"/>
        </w:rPr>
        <w:t>用于医疗行业冷藏药品的专业冷藏设备，也可用于储存生物制品、疫苗、药品、试剂等，适用于药房、制药厂、医院、疾病预防控制中心、社区卫生服务中心、各类实验室等。</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二、主要指标：</w:t>
      </w:r>
    </w:p>
    <w:p>
      <w:pPr>
        <w:spacing w:line="360" w:lineRule="auto"/>
        <w:rPr>
          <w:rFonts w:hint="eastAsia" w:ascii="宋体" w:hAnsi="宋体" w:eastAsia="宋体" w:cs="宋体"/>
          <w:sz w:val="24"/>
          <w:szCs w:val="24"/>
        </w:rPr>
      </w:pPr>
      <w:r>
        <w:rPr>
          <w:rFonts w:hint="eastAsia" w:ascii="宋体" w:hAnsi="宋体" w:eastAsia="宋体" w:cs="宋体"/>
          <w:sz w:val="24"/>
          <w:szCs w:val="24"/>
        </w:rPr>
        <w:t>2.1、工作条件：环境温度16-32℃，环境湿度：20-80%，电压：220V±10%，频率50±1Hz。</w:t>
      </w:r>
    </w:p>
    <w:p>
      <w:pPr>
        <w:spacing w:line="360" w:lineRule="auto"/>
        <w:rPr>
          <w:rFonts w:hint="eastAsia" w:ascii="宋体" w:hAnsi="宋体" w:eastAsia="宋体" w:cs="宋体"/>
          <w:sz w:val="24"/>
          <w:szCs w:val="24"/>
        </w:rPr>
      </w:pPr>
      <w:r>
        <w:rPr>
          <w:rFonts w:hint="eastAsia" w:ascii="宋体" w:hAnsi="宋体" w:eastAsia="宋体" w:cs="宋体"/>
          <w:sz w:val="24"/>
          <w:szCs w:val="24"/>
        </w:rPr>
        <w:t>2.2、样式：立式，单门。</w:t>
      </w:r>
    </w:p>
    <w:p>
      <w:pPr>
        <w:spacing w:line="360" w:lineRule="auto"/>
        <w:rPr>
          <w:rFonts w:hint="eastAsia" w:ascii="宋体" w:hAnsi="宋体" w:eastAsia="宋体" w:cs="宋体"/>
          <w:sz w:val="24"/>
          <w:szCs w:val="24"/>
        </w:rPr>
      </w:pPr>
      <w:r>
        <w:rPr>
          <w:rFonts w:hint="eastAsia" w:ascii="宋体" w:hAnsi="宋体" w:eastAsia="宋体" w:cs="宋体"/>
          <w:sz w:val="24"/>
          <w:szCs w:val="24"/>
        </w:rPr>
        <w:t>2.3、有效容积(L)：</w:t>
      </w: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eastAsia="宋体" w:cs="宋体"/>
          <w:sz w:val="24"/>
          <w:szCs w:val="24"/>
          <w:lang w:val="en-US" w:eastAsia="zh-CN"/>
        </w:rPr>
        <w:t>80</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2.4、外部尺寸（宽*深*高mm）：</w:t>
      </w:r>
      <w:r>
        <w:rPr>
          <w:rFonts w:hint="eastAsia" w:ascii="宋体" w:hAnsi="宋体" w:eastAsia="宋体" w:cs="宋体"/>
          <w:sz w:val="24"/>
          <w:szCs w:val="24"/>
          <w:lang w:val="en-US" w:eastAsia="zh-CN"/>
        </w:rPr>
        <w:t>≤</w:t>
      </w:r>
      <w:r>
        <w:rPr>
          <w:rFonts w:hint="eastAsia" w:ascii="宋体" w:hAnsi="宋体" w:eastAsia="宋体" w:cs="宋体"/>
          <w:sz w:val="24"/>
          <w:szCs w:val="24"/>
        </w:rPr>
        <w:t>6</w:t>
      </w:r>
      <w:r>
        <w:rPr>
          <w:rFonts w:hint="eastAsia" w:ascii="宋体" w:hAnsi="宋体" w:eastAsia="宋体" w:cs="宋体"/>
          <w:sz w:val="24"/>
          <w:szCs w:val="24"/>
          <w:lang w:val="en-US" w:eastAsia="zh-CN"/>
        </w:rPr>
        <w:t>8</w:t>
      </w:r>
      <w:r>
        <w:rPr>
          <w:rFonts w:hint="eastAsia" w:ascii="宋体" w:hAnsi="宋体" w:eastAsia="宋体" w:cs="宋体"/>
          <w:sz w:val="24"/>
          <w:szCs w:val="24"/>
        </w:rPr>
        <w:t>0*6</w:t>
      </w:r>
      <w:r>
        <w:rPr>
          <w:rFonts w:hint="eastAsia" w:ascii="宋体" w:hAnsi="宋体" w:eastAsia="宋体" w:cs="宋体"/>
          <w:sz w:val="24"/>
          <w:szCs w:val="24"/>
          <w:lang w:val="en-US" w:eastAsia="zh-CN"/>
        </w:rPr>
        <w:t>9</w:t>
      </w:r>
      <w:r>
        <w:rPr>
          <w:rFonts w:hint="eastAsia" w:ascii="宋体" w:hAnsi="宋体" w:eastAsia="宋体" w:cs="宋体"/>
          <w:sz w:val="24"/>
          <w:szCs w:val="24"/>
        </w:rPr>
        <w:t>3*</w:t>
      </w:r>
      <w:r>
        <w:rPr>
          <w:rFonts w:hint="eastAsia" w:ascii="宋体" w:hAnsi="宋体" w:eastAsia="宋体" w:cs="宋体"/>
          <w:sz w:val="24"/>
          <w:szCs w:val="24"/>
          <w:lang w:val="en-US" w:eastAsia="zh-CN"/>
        </w:rPr>
        <w:t>22</w:t>
      </w:r>
      <w:r>
        <w:rPr>
          <w:rFonts w:hint="eastAsia" w:ascii="宋体" w:hAnsi="宋体" w:eastAsia="宋体" w:cs="宋体"/>
          <w:sz w:val="24"/>
          <w:szCs w:val="24"/>
        </w:rPr>
        <w:t>92。</w:t>
      </w:r>
    </w:p>
    <w:p>
      <w:pPr>
        <w:spacing w:line="360" w:lineRule="auto"/>
        <w:rPr>
          <w:rFonts w:hint="eastAsia" w:ascii="宋体" w:hAnsi="宋体" w:eastAsia="宋体" w:cs="宋体"/>
          <w:sz w:val="24"/>
          <w:szCs w:val="24"/>
        </w:rPr>
      </w:pPr>
      <w:r>
        <w:rPr>
          <w:rFonts w:hint="eastAsia" w:ascii="宋体" w:hAnsi="宋体" w:eastAsia="宋体" w:cs="宋体"/>
          <w:sz w:val="24"/>
          <w:szCs w:val="24"/>
        </w:rPr>
        <w:t>2.5、内部尺寸（宽*深*高mm）：</w:t>
      </w:r>
      <w:r>
        <w:rPr>
          <w:rFonts w:hint="eastAsia" w:ascii="宋体" w:hAnsi="宋体" w:eastAsia="宋体" w:cs="宋体"/>
          <w:sz w:val="24"/>
          <w:szCs w:val="24"/>
          <w:lang w:val="en-US" w:eastAsia="zh-CN"/>
        </w:rPr>
        <w:t>≥</w:t>
      </w:r>
      <w:r>
        <w:rPr>
          <w:rFonts w:hint="eastAsia" w:ascii="宋体" w:hAnsi="宋体" w:eastAsia="宋体" w:cs="宋体"/>
          <w:sz w:val="24"/>
          <w:szCs w:val="24"/>
        </w:rPr>
        <w:t>5</w:t>
      </w:r>
      <w:r>
        <w:rPr>
          <w:rFonts w:hint="eastAsia" w:ascii="宋体" w:hAnsi="宋体" w:eastAsia="宋体" w:cs="宋体"/>
          <w:sz w:val="24"/>
          <w:szCs w:val="24"/>
          <w:lang w:val="en-US" w:eastAsia="zh-CN"/>
        </w:rPr>
        <w:t>4</w:t>
      </w:r>
      <w:r>
        <w:rPr>
          <w:rFonts w:hint="eastAsia" w:ascii="宋体" w:hAnsi="宋体" w:eastAsia="宋体" w:cs="宋体"/>
          <w:sz w:val="24"/>
          <w:szCs w:val="24"/>
        </w:rPr>
        <w:t>0*5</w:t>
      </w:r>
      <w:r>
        <w:rPr>
          <w:rFonts w:hint="eastAsia" w:ascii="宋体" w:hAnsi="宋体" w:eastAsia="宋体" w:cs="宋体"/>
          <w:sz w:val="24"/>
          <w:szCs w:val="24"/>
          <w:lang w:val="en-US" w:eastAsia="zh-CN"/>
        </w:rPr>
        <w:t>0</w:t>
      </w:r>
      <w:r>
        <w:rPr>
          <w:rFonts w:hint="eastAsia" w:ascii="宋体" w:hAnsi="宋体" w:eastAsia="宋体" w:cs="宋体"/>
          <w:sz w:val="24"/>
          <w:szCs w:val="24"/>
        </w:rPr>
        <w:t>3*13</w:t>
      </w:r>
      <w:r>
        <w:rPr>
          <w:rFonts w:hint="eastAsia" w:ascii="宋体" w:hAnsi="宋体" w:eastAsia="宋体" w:cs="宋体"/>
          <w:sz w:val="24"/>
          <w:szCs w:val="24"/>
          <w:lang w:val="en-US" w:eastAsia="zh-CN"/>
        </w:rPr>
        <w:t>0</w:t>
      </w:r>
      <w:r>
        <w:rPr>
          <w:rFonts w:hint="eastAsia" w:ascii="宋体" w:hAnsi="宋体" w:eastAsia="宋体" w:cs="宋体"/>
          <w:sz w:val="24"/>
          <w:szCs w:val="24"/>
        </w:rPr>
        <w:t>2。</w:t>
      </w:r>
    </w:p>
    <w:p>
      <w:pPr>
        <w:spacing w:line="360" w:lineRule="auto"/>
        <w:rPr>
          <w:rFonts w:hint="eastAsia" w:ascii="宋体" w:hAnsi="宋体" w:eastAsia="宋体" w:cs="宋体"/>
          <w:sz w:val="24"/>
          <w:szCs w:val="24"/>
        </w:rPr>
      </w:pPr>
      <w:r>
        <w:rPr>
          <w:rFonts w:hint="eastAsia" w:ascii="宋体" w:hAnsi="宋体" w:eastAsia="宋体" w:cs="宋体"/>
          <w:sz w:val="24"/>
          <w:szCs w:val="24"/>
        </w:rPr>
        <w:t>2.6、净重（KG）：</w:t>
      </w:r>
      <w:r>
        <w:rPr>
          <w:rFonts w:hint="eastAsia" w:ascii="宋体" w:hAnsi="宋体" w:eastAsia="宋体" w:cs="宋体"/>
          <w:sz w:val="24"/>
          <w:szCs w:val="24"/>
          <w:lang w:val="en-US" w:eastAsia="zh-CN"/>
        </w:rPr>
        <w:t>≤</w:t>
      </w:r>
      <w:r>
        <w:rPr>
          <w:rFonts w:hint="eastAsia" w:ascii="宋体" w:hAnsi="宋体" w:eastAsia="宋体" w:cs="宋体"/>
          <w:sz w:val="24"/>
          <w:szCs w:val="24"/>
        </w:rPr>
        <w:t>9</w:t>
      </w:r>
      <w:r>
        <w:rPr>
          <w:rFonts w:hint="eastAsia" w:ascii="宋体" w:hAnsi="宋体" w:eastAsia="宋体" w:cs="宋体"/>
          <w:sz w:val="24"/>
          <w:szCs w:val="24"/>
          <w:lang w:val="en-US" w:eastAsia="zh-CN"/>
        </w:rPr>
        <w:t>9</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bookmarkStart w:id="150" w:name="_Hlk81239304"/>
      <w:r>
        <w:rPr>
          <w:rFonts w:hint="eastAsia" w:ascii="宋体" w:hAnsi="宋体" w:eastAsia="宋体" w:cs="宋体"/>
          <w:sz w:val="24"/>
          <w:szCs w:val="24"/>
        </w:rPr>
        <w:t>2.7、内胆材料：HIPS材质，抗腐蚀，使用寿命长，清洗方便。</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2.8、箱体材料：优质结构钢板，经先进防腐磷化、喷涂工艺。</w:t>
      </w:r>
    </w:p>
    <w:bookmarkEnd w:id="150"/>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*2.9、箱内筒状双LED照明系统，功耗低，亮度高</w:t>
      </w:r>
      <w:r>
        <w:rPr>
          <w:rFonts w:hint="eastAsia" w:ascii="宋体" w:hAnsi="宋体" w:eastAsia="宋体" w:cs="宋体"/>
          <w:b/>
          <w:color w:val="auto"/>
          <w:sz w:val="24"/>
          <w:szCs w:val="24"/>
        </w:rPr>
        <w:t>，</w:t>
      </w:r>
      <w:r>
        <w:rPr>
          <w:rFonts w:hint="eastAsia" w:ascii="宋体" w:hAnsi="宋体" w:eastAsia="宋体" w:cs="宋体"/>
          <w:color w:val="auto"/>
          <w:sz w:val="24"/>
          <w:szCs w:val="24"/>
        </w:rPr>
        <w:t>箱体内部一目了然。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2.10、压缩机：采用名牌高效压缩机，品牌风扇电机，节能高效、静音。R600a制冷剂。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2.11、高密度钢丝浸塑搁架（间距小于1公分，防止物品掉落），带标签卡，方便存放物品标识，且易于清洗，配备储物篮筐（6搁架+1吊篮）。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2.12、门体箱体上下双锁设计，可加外挂锁，防止随意开启，存储物品安全。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*2.13、前后四个万向脚轮+前两个支撑脚设计，方便移动安放。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*2.14、门体加热模式：自动加热模式、一直加热模式、关闭模式，实现32℃环温80%湿度条件下无凝露，小角度自动关门功能。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*2.15、高精度微电脑温度控制系统，内置上部温度、下部温度、控制/报警温度、环境温度、蒸发器温度、冷凝器温度、湿度传感器等7路传感器，确保运行状态安全稳定。</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2.16、箱内温度波动范围±3℃，可通过设定温度使箱内温度保持在2-8℃范围内。风道式强制冷气循环系统，确保箱体内部温度均匀性。</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*2.17、1英寸高亮度天蓝色数码温度屏，视觉更柔和，显示精度0.1℃；可调阅湿度。</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*2.18、完善的报警功能：具有高温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开门、断电报警、电池电量低报警、显示板通信故障报警、记录仪通讯故障报警等多种报警功能。开门蜂鸣报警，门关闭报警消除。</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2.19、报警模式：声音蜂鸣、报警代码3秒/次间隔闪烁，物品存放更安全，具备远程报警功能。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*2.20、风冷式高效冷凝器，翅片式蒸发器，冷藏内置吸风风扇，制冷迅速；具备自动化霜功能。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*2.21、选配：温度记录打印机，打印时间间隔1～240分钟可选。系统内时间与北京时间同步。可打印当天及一周内数据，也可打印定义时间段数据。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*2.22、USB数据导出接口，接入U盘可自动存储当月及上月数据，数据PDF格式。U盘持续连接可自动持续存储温度数据。蓄电池可提供不少于48小时报警及为温度记录打印机、USB端口供电。</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*2.23、标配RS485接口、远程报警接口。</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*2.24、左侧标配一个测试孔，方便监控箱内温度。</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*2.25、当控制/报警传感器发生故障时，压缩机以开机5分钟、停机6分钟规律运作，确保物品存储安全。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*2.26、冷凝水汇集后自动蒸发，免除人工处理冷凝水的烦恼。</w:t>
      </w:r>
    </w:p>
    <w:p>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2.27、门开风扇电机停止运行，门关风扇电机自动开始运行。</w:t>
      </w:r>
    </w:p>
    <w:p>
      <w:p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、服务：</w:t>
      </w:r>
    </w:p>
    <w:p>
      <w:pPr>
        <w:spacing w:line="360" w:lineRule="auto"/>
        <w:rPr>
          <w:rFonts w:hint="eastAsia" w:ascii="宋体" w:hAnsi="宋体" w:eastAsia="宋体" w:cs="宋体"/>
          <w:sz w:val="24"/>
          <w:szCs w:val="24"/>
        </w:rPr>
      </w:pPr>
      <w:r>
        <w:rPr>
          <w:rFonts w:hint="eastAsia" w:ascii="宋体" w:hAnsi="宋体" w:eastAsia="宋体" w:cs="宋体"/>
          <w:sz w:val="24"/>
          <w:szCs w:val="24"/>
        </w:rPr>
        <w:t>4.1、验收合格后，整机免费保修一年，压缩机等主要零部件免费保修伍年，终身维修。</w:t>
      </w:r>
    </w:p>
    <w:p>
      <w:pPr>
        <w:spacing w:line="360" w:lineRule="auto"/>
        <w:rPr>
          <w:rFonts w:hint="eastAsia" w:ascii="宋体" w:hAnsi="宋体" w:eastAsia="宋体" w:cs="宋体"/>
          <w:sz w:val="24"/>
          <w:szCs w:val="24"/>
        </w:rPr>
      </w:pPr>
      <w:r>
        <w:rPr>
          <w:rFonts w:hint="eastAsia" w:ascii="宋体" w:hAnsi="宋体" w:eastAsia="宋体" w:cs="宋体"/>
          <w:sz w:val="24"/>
          <w:szCs w:val="24"/>
        </w:rPr>
        <w:t>4.2、接到维修通知后，2小时内响应，48小时内实施维修服务。</w:t>
      </w:r>
    </w:p>
    <w:p>
      <w:pPr>
        <w:spacing w:line="360" w:lineRule="auto"/>
        <w:rPr>
          <w:rFonts w:hint="eastAsia" w:ascii="宋体" w:hAnsi="宋体" w:eastAsia="宋体" w:cs="宋体"/>
          <w:sz w:val="24"/>
          <w:szCs w:val="24"/>
        </w:rPr>
      </w:pPr>
      <w:r>
        <w:rPr>
          <w:rFonts w:hint="eastAsia" w:ascii="宋体" w:hAnsi="宋体" w:eastAsia="宋体" w:cs="宋体"/>
          <w:sz w:val="24"/>
          <w:szCs w:val="24"/>
        </w:rPr>
        <w:t>4.3、终身免费提供技术服务、技术支持及咨询服务，在任何时候、任何地点均可享受到终生的免费咨询服务。</w:t>
      </w:r>
    </w:p>
    <w:p>
      <w:pPr>
        <w:rPr>
          <w:rFonts w:hint="eastAsia" w:ascii="宋体" w:hAnsi="宋体" w:eastAsia="宋体" w:cs="宋体"/>
          <w:sz w:val="24"/>
          <w:szCs w:val="24"/>
        </w:rPr>
      </w:pPr>
    </w:p>
    <w:p>
      <w:pPr>
        <w:numPr>
          <w:ilvl w:val="0"/>
          <w:numId w:val="0"/>
        </w:numPr>
        <w:tabs>
          <w:tab w:val="left" w:pos="10980"/>
        </w:tabs>
        <w:spacing w:line="360" w:lineRule="auto"/>
        <w:ind w:leftChars="0" w:right="-441" w:rightChars="-21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9、洁净工作台</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一、用途：</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专业局部空气净化装置，用于制药、医疗卫生、高校科研实验室、光电/微电子制造等领域</w:t>
      </w:r>
      <w:r>
        <w:rPr>
          <w:rFonts w:hint="eastAsia" w:ascii="宋体" w:hAnsi="宋体" w:eastAsia="宋体" w:cs="宋体"/>
          <w:sz w:val="24"/>
          <w:szCs w:val="24"/>
          <w:lang w:eastAsia="zh-CN"/>
        </w:rPr>
        <w:t>。</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产品技术参数：</w:t>
      </w:r>
    </w:p>
    <w:p>
      <w:pPr>
        <w:spacing w:line="360" w:lineRule="auto"/>
        <w:rPr>
          <w:rFonts w:hint="eastAsia" w:ascii="宋体" w:hAnsi="宋体" w:eastAsia="宋体" w:cs="宋体"/>
          <w:sz w:val="24"/>
          <w:szCs w:val="24"/>
        </w:rPr>
      </w:pPr>
      <w:r>
        <w:rPr>
          <w:rFonts w:hint="eastAsia" w:ascii="宋体" w:hAnsi="宋体" w:eastAsia="宋体" w:cs="宋体"/>
          <w:sz w:val="24"/>
          <w:szCs w:val="24"/>
        </w:rPr>
        <w:t>外部尺寸（宽*深*高mm）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14</w:t>
      </w:r>
      <w:r>
        <w:rPr>
          <w:rFonts w:hint="eastAsia" w:ascii="宋体" w:hAnsi="宋体" w:eastAsia="宋体" w:cs="宋体"/>
          <w:sz w:val="24"/>
          <w:szCs w:val="24"/>
          <w:lang w:val="en-US" w:eastAsia="zh-CN"/>
        </w:rPr>
        <w:t>9</w:t>
      </w:r>
      <w:r>
        <w:rPr>
          <w:rFonts w:hint="eastAsia" w:ascii="宋体" w:hAnsi="宋体" w:eastAsia="宋体" w:cs="宋体"/>
          <w:sz w:val="24"/>
          <w:szCs w:val="24"/>
        </w:rPr>
        <w:t>0*7</w:t>
      </w:r>
      <w:r>
        <w:rPr>
          <w:rFonts w:hint="eastAsia" w:ascii="宋体" w:hAnsi="宋体" w:eastAsia="宋体" w:cs="宋体"/>
          <w:sz w:val="24"/>
          <w:szCs w:val="24"/>
          <w:lang w:val="en-US" w:eastAsia="zh-CN"/>
        </w:rPr>
        <w:t>5</w:t>
      </w:r>
      <w:r>
        <w:rPr>
          <w:rFonts w:hint="eastAsia" w:ascii="宋体" w:hAnsi="宋体" w:eastAsia="宋体" w:cs="宋体"/>
          <w:sz w:val="24"/>
          <w:szCs w:val="24"/>
        </w:rPr>
        <w:t>7*16</w:t>
      </w:r>
      <w:r>
        <w:rPr>
          <w:rFonts w:hint="eastAsia" w:ascii="宋体" w:hAnsi="宋体" w:eastAsia="宋体" w:cs="宋体"/>
          <w:sz w:val="24"/>
          <w:szCs w:val="24"/>
          <w:lang w:val="en-US" w:eastAsia="zh-CN"/>
        </w:rPr>
        <w:t>5</w:t>
      </w:r>
      <w:r>
        <w:rPr>
          <w:rFonts w:hint="eastAsia" w:ascii="宋体" w:hAnsi="宋体" w:eastAsia="宋体" w:cs="宋体"/>
          <w:sz w:val="24"/>
          <w:szCs w:val="24"/>
        </w:rPr>
        <w:t>3</w:t>
      </w:r>
    </w:p>
    <w:p>
      <w:pPr>
        <w:spacing w:line="360" w:lineRule="auto"/>
        <w:rPr>
          <w:rFonts w:hint="eastAsia" w:ascii="宋体" w:hAnsi="宋体" w:eastAsia="宋体" w:cs="宋体"/>
          <w:sz w:val="24"/>
          <w:szCs w:val="24"/>
        </w:rPr>
      </w:pPr>
      <w:r>
        <w:rPr>
          <w:rFonts w:hint="eastAsia" w:ascii="宋体" w:hAnsi="宋体" w:eastAsia="宋体" w:cs="宋体"/>
          <w:sz w:val="24"/>
          <w:szCs w:val="24"/>
        </w:rPr>
        <w:t>工作区尺寸（宽*深*高mm）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29</w:t>
      </w:r>
      <w:r>
        <w:rPr>
          <w:rFonts w:hint="eastAsia" w:ascii="宋体" w:hAnsi="宋体" w:eastAsia="宋体" w:cs="宋体"/>
          <w:sz w:val="24"/>
          <w:szCs w:val="24"/>
        </w:rPr>
        <w:t>0*6</w:t>
      </w:r>
      <w:r>
        <w:rPr>
          <w:rFonts w:hint="eastAsia" w:ascii="宋体" w:hAnsi="宋体" w:eastAsia="宋体" w:cs="宋体"/>
          <w:sz w:val="24"/>
          <w:szCs w:val="24"/>
          <w:lang w:val="en-US" w:eastAsia="zh-CN"/>
        </w:rPr>
        <w:t>0</w:t>
      </w:r>
      <w:r>
        <w:rPr>
          <w:rFonts w:hint="eastAsia" w:ascii="宋体" w:hAnsi="宋体" w:eastAsia="宋体" w:cs="宋体"/>
          <w:sz w:val="24"/>
          <w:szCs w:val="24"/>
        </w:rPr>
        <w:t>0*5</w:t>
      </w:r>
      <w:r>
        <w:rPr>
          <w:rFonts w:hint="eastAsia" w:ascii="宋体" w:hAnsi="宋体" w:eastAsia="宋体" w:cs="宋体"/>
          <w:sz w:val="24"/>
          <w:szCs w:val="24"/>
          <w:lang w:val="en-US" w:eastAsia="zh-CN"/>
        </w:rPr>
        <w:t>0</w:t>
      </w:r>
      <w:r>
        <w:rPr>
          <w:rFonts w:hint="eastAsia" w:ascii="宋体" w:hAnsi="宋体" w:eastAsia="宋体" w:cs="宋体"/>
          <w:sz w:val="24"/>
          <w:szCs w:val="24"/>
        </w:rPr>
        <w:t>0</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气流流速（m/s)</w:t>
      </w:r>
      <w:r>
        <w:rPr>
          <w:rFonts w:hint="eastAsia" w:ascii="宋体" w:hAnsi="宋体" w:eastAsia="宋体" w:cs="宋体"/>
          <w:sz w:val="24"/>
          <w:szCs w:val="24"/>
          <w:lang w:eastAsia="zh-CN"/>
        </w:rPr>
        <w:t>：</w:t>
      </w:r>
      <w:r>
        <w:rPr>
          <w:rFonts w:hint="eastAsia" w:ascii="宋体" w:hAnsi="宋体" w:eastAsia="宋体" w:cs="宋体"/>
          <w:sz w:val="24"/>
          <w:szCs w:val="24"/>
        </w:rPr>
        <w:t>0.2~0.5</w:t>
      </w:r>
      <w:r>
        <w:rPr>
          <w:rFonts w:hint="eastAsia" w:ascii="宋体" w:hAnsi="宋体" w:eastAsia="宋体" w:cs="宋体"/>
          <w:sz w:val="24"/>
          <w:szCs w:val="24"/>
        </w:rPr>
        <w:tab/>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额定频率（Hz）</w:t>
      </w:r>
      <w:r>
        <w:rPr>
          <w:rFonts w:hint="eastAsia" w:ascii="宋体" w:hAnsi="宋体" w:eastAsia="宋体" w:cs="宋体"/>
          <w:sz w:val="24"/>
          <w:szCs w:val="24"/>
          <w:lang w:eastAsia="zh-CN"/>
        </w:rPr>
        <w:t>：</w:t>
      </w:r>
      <w:r>
        <w:rPr>
          <w:rFonts w:hint="eastAsia" w:ascii="宋体" w:hAnsi="宋体" w:eastAsia="宋体" w:cs="宋体"/>
          <w:sz w:val="24"/>
          <w:szCs w:val="24"/>
        </w:rPr>
        <w:t>50</w:t>
      </w:r>
      <w:r>
        <w:rPr>
          <w:rFonts w:hint="eastAsia" w:ascii="宋体" w:hAnsi="宋体" w:eastAsia="宋体" w:cs="宋体"/>
          <w:sz w:val="24"/>
          <w:szCs w:val="24"/>
        </w:rPr>
        <w:tab/>
      </w:r>
    </w:p>
    <w:p>
      <w:pPr>
        <w:spacing w:line="360" w:lineRule="auto"/>
        <w:rPr>
          <w:rFonts w:hint="eastAsia" w:ascii="宋体" w:hAnsi="宋体" w:eastAsia="宋体" w:cs="宋体"/>
          <w:sz w:val="24"/>
          <w:szCs w:val="24"/>
        </w:rPr>
      </w:pPr>
      <w:r>
        <w:rPr>
          <w:rFonts w:hint="eastAsia" w:ascii="宋体" w:hAnsi="宋体" w:eastAsia="宋体" w:cs="宋体"/>
          <w:sz w:val="24"/>
          <w:szCs w:val="24"/>
        </w:rPr>
        <w:t>气流流型</w:t>
      </w:r>
      <w:r>
        <w:rPr>
          <w:rFonts w:hint="eastAsia" w:ascii="宋体" w:hAnsi="宋体" w:eastAsia="宋体" w:cs="宋体"/>
          <w:sz w:val="24"/>
          <w:szCs w:val="24"/>
          <w:lang w:eastAsia="zh-CN"/>
        </w:rPr>
        <w:t>：</w:t>
      </w:r>
      <w:r>
        <w:rPr>
          <w:rFonts w:hint="eastAsia" w:ascii="宋体" w:hAnsi="宋体" w:eastAsia="宋体" w:cs="宋体"/>
          <w:sz w:val="24"/>
          <w:szCs w:val="24"/>
        </w:rPr>
        <w:t>垂直流</w:t>
      </w:r>
    </w:p>
    <w:p>
      <w:pPr>
        <w:spacing w:line="360" w:lineRule="auto"/>
        <w:rPr>
          <w:rFonts w:hint="eastAsia" w:ascii="宋体" w:hAnsi="宋体" w:eastAsia="宋体" w:cs="宋体"/>
          <w:sz w:val="24"/>
          <w:szCs w:val="24"/>
        </w:rPr>
      </w:pPr>
      <w:r>
        <w:rPr>
          <w:rFonts w:hint="eastAsia" w:ascii="宋体" w:hAnsi="宋体" w:eastAsia="宋体" w:cs="宋体"/>
          <w:sz w:val="24"/>
          <w:szCs w:val="24"/>
        </w:rPr>
        <w:t>洁净度等级</w:t>
      </w:r>
      <w:r>
        <w:rPr>
          <w:rFonts w:hint="eastAsia" w:ascii="宋体" w:hAnsi="宋体" w:eastAsia="宋体" w:cs="宋体"/>
          <w:sz w:val="24"/>
          <w:szCs w:val="24"/>
          <w:lang w:eastAsia="zh-CN"/>
        </w:rPr>
        <w:t>：</w:t>
      </w:r>
      <w:r>
        <w:rPr>
          <w:rFonts w:hint="eastAsia" w:ascii="宋体" w:hAnsi="宋体" w:eastAsia="宋体" w:cs="宋体"/>
          <w:sz w:val="24"/>
          <w:szCs w:val="24"/>
        </w:rPr>
        <w:t>ISO 5级</w:t>
      </w:r>
    </w:p>
    <w:p>
      <w:pPr>
        <w:spacing w:line="360" w:lineRule="auto"/>
        <w:rPr>
          <w:rFonts w:hint="eastAsia" w:ascii="宋体" w:hAnsi="宋体" w:eastAsia="宋体" w:cs="宋体"/>
          <w:sz w:val="24"/>
          <w:szCs w:val="24"/>
        </w:rPr>
      </w:pPr>
      <w:r>
        <w:rPr>
          <w:rFonts w:hint="eastAsia" w:ascii="宋体" w:hAnsi="宋体" w:eastAsia="宋体" w:cs="宋体"/>
          <w:sz w:val="24"/>
          <w:szCs w:val="24"/>
        </w:rPr>
        <w:t>照明度（Lx）</w:t>
      </w:r>
      <w:r>
        <w:rPr>
          <w:rFonts w:hint="eastAsia" w:ascii="宋体" w:hAnsi="宋体" w:eastAsia="宋体" w:cs="宋体"/>
          <w:sz w:val="24"/>
          <w:szCs w:val="24"/>
          <w:lang w:eastAsia="zh-CN"/>
        </w:rPr>
        <w:t>：</w:t>
      </w:r>
      <w:r>
        <w:rPr>
          <w:rFonts w:hint="eastAsia" w:ascii="宋体" w:hAnsi="宋体" w:eastAsia="宋体" w:cs="宋体"/>
          <w:sz w:val="24"/>
          <w:szCs w:val="24"/>
        </w:rPr>
        <w:t>＞300</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紫外强度（W/m2)</w:t>
      </w:r>
      <w:r>
        <w:rPr>
          <w:rFonts w:hint="eastAsia" w:ascii="宋体" w:hAnsi="宋体" w:eastAsia="宋体" w:cs="宋体"/>
          <w:sz w:val="24"/>
          <w:szCs w:val="24"/>
          <w:lang w:eastAsia="zh-CN"/>
        </w:rPr>
        <w:t>：</w:t>
      </w:r>
      <w:r>
        <w:rPr>
          <w:rFonts w:hint="eastAsia" w:ascii="宋体" w:hAnsi="宋体" w:eastAsia="宋体" w:cs="宋体"/>
          <w:sz w:val="24"/>
          <w:szCs w:val="24"/>
        </w:rPr>
        <w:t>＞400</w:t>
      </w:r>
      <w:r>
        <w:rPr>
          <w:rFonts w:hint="eastAsia" w:ascii="宋体" w:hAnsi="宋体" w:eastAsia="宋体" w:cs="宋体"/>
          <w:sz w:val="24"/>
          <w:szCs w:val="24"/>
        </w:rPr>
        <w:tab/>
      </w:r>
    </w:p>
    <w:p>
      <w:pPr>
        <w:spacing w:line="360" w:lineRule="auto"/>
        <w:rPr>
          <w:rFonts w:hint="eastAsia" w:ascii="宋体" w:hAnsi="宋体" w:eastAsia="宋体" w:cs="宋体"/>
          <w:sz w:val="24"/>
          <w:szCs w:val="24"/>
        </w:rPr>
      </w:pPr>
      <w:r>
        <w:rPr>
          <w:rFonts w:hint="eastAsia" w:ascii="宋体" w:hAnsi="宋体" w:eastAsia="宋体" w:cs="宋体"/>
          <w:sz w:val="24"/>
          <w:szCs w:val="24"/>
        </w:rPr>
        <w:t>噪音dB（A）</w:t>
      </w:r>
      <w:r>
        <w:rPr>
          <w:rFonts w:hint="eastAsia" w:ascii="宋体" w:hAnsi="宋体" w:eastAsia="宋体" w:cs="宋体"/>
          <w:sz w:val="24"/>
          <w:szCs w:val="24"/>
          <w:lang w:eastAsia="zh-CN"/>
        </w:rPr>
        <w:t>：</w:t>
      </w:r>
      <w:r>
        <w:rPr>
          <w:rFonts w:hint="eastAsia" w:ascii="宋体" w:hAnsi="宋体" w:eastAsia="宋体" w:cs="宋体"/>
          <w:sz w:val="24"/>
          <w:szCs w:val="24"/>
        </w:rPr>
        <w:t>＜65</w:t>
      </w:r>
      <w:r>
        <w:rPr>
          <w:rFonts w:hint="eastAsia" w:ascii="宋体" w:hAnsi="宋体" w:eastAsia="宋体" w:cs="宋体"/>
          <w:sz w:val="24"/>
          <w:szCs w:val="24"/>
        </w:rPr>
        <w:tab/>
      </w:r>
    </w:p>
    <w:p>
      <w:pPr>
        <w:spacing w:line="360" w:lineRule="auto"/>
        <w:rPr>
          <w:rFonts w:hint="eastAsia" w:ascii="宋体" w:hAnsi="宋体" w:eastAsia="宋体" w:cs="宋体"/>
          <w:sz w:val="24"/>
          <w:szCs w:val="24"/>
        </w:rPr>
      </w:pPr>
      <w:r>
        <w:rPr>
          <w:rFonts w:hint="eastAsia" w:ascii="宋体" w:hAnsi="宋体" w:eastAsia="宋体" w:cs="宋体"/>
          <w:sz w:val="24"/>
          <w:szCs w:val="24"/>
        </w:rPr>
        <w:t>震动幅值</w:t>
      </w:r>
      <w:r>
        <w:rPr>
          <w:rFonts w:hint="eastAsia" w:ascii="宋体" w:hAnsi="宋体" w:eastAsia="宋体" w:cs="宋体"/>
          <w:sz w:val="24"/>
          <w:szCs w:val="24"/>
          <w:lang w:eastAsia="zh-CN"/>
        </w:rPr>
        <w:t>：</w:t>
      </w:r>
      <w:r>
        <w:rPr>
          <w:rFonts w:hint="eastAsia" w:ascii="宋体" w:hAnsi="宋体" w:eastAsia="宋体" w:cs="宋体"/>
          <w:sz w:val="24"/>
          <w:szCs w:val="24"/>
        </w:rPr>
        <w:t>≤5μm</w:t>
      </w:r>
    </w:p>
    <w:p>
      <w:pPr>
        <w:spacing w:line="360" w:lineRule="auto"/>
        <w:rPr>
          <w:rFonts w:hint="eastAsia" w:ascii="宋体" w:hAnsi="宋体" w:eastAsia="宋体" w:cs="宋体"/>
          <w:sz w:val="24"/>
          <w:szCs w:val="24"/>
        </w:rPr>
      </w:pPr>
      <w:r>
        <w:rPr>
          <w:rFonts w:hint="eastAsia" w:ascii="宋体" w:hAnsi="宋体" w:eastAsia="宋体" w:cs="宋体"/>
          <w:sz w:val="24"/>
          <w:szCs w:val="24"/>
        </w:rPr>
        <w:t>输入功率（W)</w:t>
      </w:r>
      <w:r>
        <w:rPr>
          <w:rFonts w:hint="eastAsia" w:ascii="宋体" w:hAnsi="宋体" w:eastAsia="宋体" w:cs="宋体"/>
          <w:sz w:val="24"/>
          <w:szCs w:val="24"/>
          <w:lang w:eastAsia="zh-CN"/>
        </w:rPr>
        <w:t>：</w:t>
      </w:r>
      <w:r>
        <w:rPr>
          <w:rFonts w:hint="eastAsia" w:ascii="宋体" w:hAnsi="宋体" w:eastAsia="宋体" w:cs="宋体"/>
          <w:sz w:val="24"/>
          <w:szCs w:val="24"/>
        </w:rPr>
        <w:t>300</w:t>
      </w:r>
    </w:p>
    <w:p>
      <w:pPr>
        <w:spacing w:line="360" w:lineRule="auto"/>
        <w:rPr>
          <w:rFonts w:hint="eastAsia" w:ascii="宋体" w:hAnsi="宋体" w:eastAsia="宋体" w:cs="宋体"/>
          <w:b/>
          <w:bCs/>
          <w:sz w:val="24"/>
          <w:szCs w:val="24"/>
        </w:rPr>
      </w:pPr>
      <w:r>
        <w:rPr>
          <w:rFonts w:hint="eastAsia" w:ascii="宋体" w:hAnsi="宋体" w:eastAsia="宋体" w:cs="宋体"/>
          <w:color w:val="000000"/>
          <w:kern w:val="0"/>
          <w:sz w:val="24"/>
          <w:szCs w:val="24"/>
        </w:rPr>
        <w:tab/>
      </w:r>
      <w:r>
        <w:rPr>
          <w:rFonts w:hint="eastAsia" w:ascii="宋体" w:hAnsi="宋体" w:eastAsia="宋体" w:cs="宋体"/>
          <w:b/>
          <w:bCs/>
          <w:sz w:val="24"/>
          <w:szCs w:val="24"/>
        </w:rPr>
        <w:t>四、产品特点</w:t>
      </w:r>
    </w:p>
    <w:p>
      <w:pPr>
        <w:spacing w:line="360" w:lineRule="auto"/>
        <w:rPr>
          <w:rFonts w:hint="eastAsia" w:ascii="宋体" w:hAnsi="宋体" w:eastAsia="宋体" w:cs="宋体"/>
          <w:sz w:val="24"/>
          <w:szCs w:val="24"/>
        </w:rPr>
      </w:pPr>
      <w:r>
        <w:rPr>
          <w:rFonts w:hint="eastAsia" w:ascii="宋体" w:hAnsi="宋体" w:eastAsia="宋体" w:cs="宋体"/>
          <w:sz w:val="24"/>
          <w:szCs w:val="24"/>
        </w:rPr>
        <w:t>1.垂直流设计</w:t>
      </w:r>
    </w:p>
    <w:p>
      <w:pPr>
        <w:spacing w:line="360" w:lineRule="auto"/>
        <w:rPr>
          <w:rFonts w:hint="eastAsia" w:ascii="宋体" w:hAnsi="宋体" w:eastAsia="宋体" w:cs="宋体"/>
          <w:sz w:val="24"/>
          <w:szCs w:val="24"/>
        </w:rPr>
      </w:pPr>
      <w:r>
        <w:rPr>
          <w:rFonts w:hint="eastAsia" w:ascii="宋体" w:hAnsi="宋体" w:eastAsia="宋体" w:cs="宋体"/>
          <w:sz w:val="24"/>
          <w:szCs w:val="24"/>
        </w:rPr>
        <w:t>高效节能的风机控制，搭配新的层流技术，大面积均流送风，对样本和处理过程多方位保护。</w:t>
      </w:r>
    </w:p>
    <w:p>
      <w:pPr>
        <w:spacing w:line="360" w:lineRule="auto"/>
        <w:rPr>
          <w:rFonts w:hint="eastAsia" w:ascii="宋体" w:hAnsi="宋体" w:eastAsia="宋体" w:cs="宋体"/>
          <w:sz w:val="24"/>
          <w:szCs w:val="24"/>
        </w:rPr>
      </w:pPr>
      <w:r>
        <w:rPr>
          <w:rFonts w:hint="eastAsia" w:ascii="宋体" w:hAnsi="宋体" w:eastAsia="宋体" w:cs="宋体"/>
          <w:sz w:val="24"/>
          <w:szCs w:val="24"/>
        </w:rPr>
        <w:t>2.洁净更安全</w:t>
      </w:r>
    </w:p>
    <w:p>
      <w:pPr>
        <w:spacing w:line="360" w:lineRule="auto"/>
        <w:rPr>
          <w:rFonts w:hint="eastAsia" w:ascii="宋体" w:hAnsi="宋体" w:eastAsia="宋体" w:cs="宋体"/>
          <w:sz w:val="24"/>
          <w:szCs w:val="24"/>
        </w:rPr>
      </w:pPr>
      <w:r>
        <w:rPr>
          <w:rFonts w:hint="eastAsia" w:ascii="宋体" w:hAnsi="宋体" w:eastAsia="宋体" w:cs="宋体"/>
          <w:sz w:val="24"/>
          <w:szCs w:val="24"/>
        </w:rPr>
        <w:t>采用知名品牌高效过滤器（HEPA），对于直径0.3</w:t>
      </w:r>
      <w:r>
        <w:rPr>
          <w:rFonts w:hint="eastAsia" w:ascii="宋体" w:hAnsi="宋体" w:eastAsia="宋体" w:cs="宋体"/>
          <w:color w:val="000000"/>
          <w:kern w:val="0"/>
          <w:sz w:val="24"/>
          <w:szCs w:val="24"/>
        </w:rPr>
        <w:t>μm</w:t>
      </w:r>
      <w:r>
        <w:rPr>
          <w:rFonts w:hint="eastAsia" w:ascii="宋体" w:hAnsi="宋体" w:eastAsia="宋体" w:cs="宋体"/>
          <w:sz w:val="24"/>
          <w:szCs w:val="24"/>
        </w:rPr>
        <w:t>的微粒过滤效率不低于99.99%，洁净度符合ISO 5级标准，更洁净更安全。</w:t>
      </w:r>
    </w:p>
    <w:p>
      <w:pPr>
        <w:spacing w:line="360" w:lineRule="auto"/>
        <w:rPr>
          <w:rFonts w:hint="eastAsia" w:ascii="宋体" w:hAnsi="宋体" w:eastAsia="宋体" w:cs="宋体"/>
          <w:sz w:val="24"/>
          <w:szCs w:val="24"/>
        </w:rPr>
      </w:pPr>
      <w:r>
        <w:rPr>
          <w:rFonts w:hint="eastAsia" w:ascii="宋体" w:hAnsi="宋体" w:eastAsia="宋体" w:cs="宋体"/>
          <w:sz w:val="24"/>
          <w:szCs w:val="24"/>
        </w:rPr>
        <w:t>3.平衡式滑动前窗</w:t>
      </w:r>
    </w:p>
    <w:p>
      <w:pPr>
        <w:spacing w:line="360" w:lineRule="auto"/>
        <w:rPr>
          <w:rFonts w:hint="eastAsia" w:ascii="宋体" w:hAnsi="宋体" w:eastAsia="宋体" w:cs="宋体"/>
          <w:sz w:val="24"/>
          <w:szCs w:val="24"/>
        </w:rPr>
      </w:pPr>
      <w:r>
        <w:rPr>
          <w:rFonts w:hint="eastAsia" w:ascii="宋体" w:hAnsi="宋体" w:eastAsia="宋体" w:cs="宋体"/>
          <w:sz w:val="24"/>
          <w:szCs w:val="24"/>
        </w:rPr>
        <w:t>防紫外线玻璃设计，外箱体采用优质冷轧静电涂装，抗腐蚀能力强。</w:t>
      </w:r>
    </w:p>
    <w:p>
      <w:pPr>
        <w:spacing w:line="360" w:lineRule="auto"/>
        <w:rPr>
          <w:rFonts w:hint="eastAsia" w:ascii="宋体" w:hAnsi="宋体" w:eastAsia="宋体" w:cs="宋体"/>
          <w:sz w:val="24"/>
          <w:szCs w:val="24"/>
        </w:rPr>
      </w:pPr>
      <w:r>
        <w:rPr>
          <w:rFonts w:hint="eastAsia" w:ascii="宋体" w:hAnsi="宋体" w:eastAsia="宋体" w:cs="宋体"/>
          <w:sz w:val="24"/>
          <w:szCs w:val="24"/>
        </w:rPr>
        <w:t>4.分体式底架、柜体</w:t>
      </w:r>
    </w:p>
    <w:p>
      <w:pPr>
        <w:spacing w:line="360" w:lineRule="auto"/>
        <w:rPr>
          <w:rFonts w:hint="eastAsia" w:ascii="宋体" w:hAnsi="宋体" w:eastAsia="宋体" w:cs="宋体"/>
          <w:sz w:val="24"/>
          <w:szCs w:val="24"/>
        </w:rPr>
      </w:pPr>
      <w:r>
        <w:rPr>
          <w:rFonts w:hint="eastAsia" w:ascii="宋体" w:hAnsi="宋体" w:eastAsia="宋体" w:cs="宋体"/>
          <w:sz w:val="24"/>
          <w:szCs w:val="24"/>
        </w:rPr>
        <w:t>底架与柜体分体式，配置万向脚轮和可调高度底脚，方便安装移动。</w:t>
      </w:r>
    </w:p>
    <w:p>
      <w:pPr>
        <w:spacing w:line="360" w:lineRule="auto"/>
        <w:rPr>
          <w:rFonts w:hint="eastAsia" w:ascii="宋体" w:hAnsi="宋体" w:eastAsia="宋体" w:cs="宋体"/>
          <w:sz w:val="24"/>
          <w:szCs w:val="24"/>
        </w:rPr>
      </w:pPr>
      <w:r>
        <w:rPr>
          <w:rFonts w:hint="eastAsia" w:ascii="宋体" w:hAnsi="宋体" w:eastAsia="宋体" w:cs="宋体"/>
          <w:sz w:val="24"/>
          <w:szCs w:val="24"/>
        </w:rPr>
        <w:t>5.紫外灯延时设计</w:t>
      </w:r>
    </w:p>
    <w:p>
      <w:pPr>
        <w:spacing w:line="360" w:lineRule="auto"/>
        <w:rPr>
          <w:rFonts w:hint="eastAsia" w:ascii="宋体" w:hAnsi="宋体" w:eastAsia="宋体" w:cs="宋体"/>
          <w:sz w:val="24"/>
          <w:szCs w:val="24"/>
        </w:rPr>
      </w:pPr>
      <w:r>
        <w:rPr>
          <w:rFonts w:hint="eastAsia" w:ascii="宋体" w:hAnsi="宋体" w:eastAsia="宋体" w:cs="宋体"/>
          <w:sz w:val="24"/>
          <w:szCs w:val="24"/>
        </w:rPr>
        <w:t>紫外灯开关按下后，延时点亮，保护操作者免受紫外伤害。</w:t>
      </w:r>
    </w:p>
    <w:p>
      <w:pPr>
        <w:spacing w:line="360" w:lineRule="auto"/>
        <w:rPr>
          <w:rFonts w:hint="eastAsia" w:ascii="宋体" w:hAnsi="宋体" w:eastAsia="宋体" w:cs="宋体"/>
          <w:sz w:val="24"/>
          <w:szCs w:val="24"/>
        </w:rPr>
      </w:pPr>
      <w:r>
        <w:rPr>
          <w:rFonts w:hint="eastAsia" w:ascii="宋体" w:hAnsi="宋体" w:eastAsia="宋体" w:cs="宋体"/>
          <w:sz w:val="24"/>
          <w:szCs w:val="24"/>
        </w:rPr>
        <w:t>6.高清大屏</w:t>
      </w:r>
    </w:p>
    <w:p>
      <w:pPr>
        <w:spacing w:line="360" w:lineRule="auto"/>
        <w:rPr>
          <w:rFonts w:hint="eastAsia" w:ascii="宋体" w:hAnsi="宋体" w:eastAsia="宋体" w:cs="宋体"/>
          <w:sz w:val="24"/>
          <w:szCs w:val="24"/>
        </w:rPr>
      </w:pPr>
      <w:r>
        <w:rPr>
          <w:rFonts w:hint="eastAsia" w:ascii="宋体" w:hAnsi="宋体" w:eastAsia="宋体" w:cs="宋体"/>
          <w:sz w:val="24"/>
          <w:szCs w:val="24"/>
        </w:rPr>
        <w:t>LED高清4.3寸屏，温湿度，风速，运行状态清晰可见。</w:t>
      </w:r>
    </w:p>
    <w:p>
      <w:pPr>
        <w:spacing w:line="360" w:lineRule="auto"/>
        <w:rPr>
          <w:rFonts w:hint="eastAsia" w:ascii="宋体" w:hAnsi="宋体" w:eastAsia="宋体" w:cs="宋体"/>
          <w:sz w:val="24"/>
          <w:szCs w:val="24"/>
        </w:rPr>
      </w:pPr>
      <w:r>
        <w:rPr>
          <w:rFonts w:hint="eastAsia" w:ascii="宋体" w:hAnsi="宋体" w:eastAsia="宋体" w:cs="宋体"/>
          <w:sz w:val="24"/>
          <w:szCs w:val="24"/>
        </w:rPr>
        <w:t>7.高颜值</w:t>
      </w:r>
    </w:p>
    <w:p>
      <w:pPr>
        <w:spacing w:line="360" w:lineRule="auto"/>
        <w:rPr>
          <w:rFonts w:hint="eastAsia" w:ascii="宋体" w:hAnsi="宋体" w:eastAsia="宋体" w:cs="宋体"/>
          <w:sz w:val="24"/>
          <w:szCs w:val="24"/>
        </w:rPr>
      </w:pPr>
      <w:r>
        <w:rPr>
          <w:rFonts w:hint="eastAsia" w:ascii="宋体" w:hAnsi="宋体" w:eastAsia="宋体" w:cs="宋体"/>
          <w:sz w:val="24"/>
          <w:szCs w:val="24"/>
        </w:rPr>
        <w:t>雪山雾白搭配梵星灰蓝进行整机配色，高颜值，更美观。</w:t>
      </w:r>
    </w:p>
    <w:p>
      <w:pPr>
        <w:spacing w:line="360" w:lineRule="auto"/>
        <w:rPr>
          <w:rFonts w:hint="eastAsia" w:ascii="宋体" w:hAnsi="宋体" w:eastAsia="宋体" w:cs="宋体"/>
          <w:sz w:val="24"/>
          <w:szCs w:val="24"/>
        </w:rPr>
      </w:pPr>
      <w:r>
        <w:rPr>
          <w:rFonts w:hint="eastAsia" w:ascii="宋体" w:hAnsi="宋体" w:eastAsia="宋体" w:cs="宋体"/>
          <w:sz w:val="24"/>
          <w:szCs w:val="24"/>
        </w:rPr>
        <w:t>8.人体工学设计，工作更轻松</w:t>
      </w:r>
    </w:p>
    <w:p>
      <w:pPr>
        <w:spacing w:line="360" w:lineRule="auto"/>
        <w:rPr>
          <w:rFonts w:hint="eastAsia" w:ascii="宋体" w:hAnsi="宋体" w:eastAsia="宋体" w:cs="宋体"/>
          <w:sz w:val="24"/>
          <w:szCs w:val="24"/>
        </w:rPr>
      </w:pPr>
      <w:r>
        <w:rPr>
          <w:rFonts w:hint="eastAsia" w:ascii="宋体" w:hAnsi="宋体" w:eastAsia="宋体" w:cs="宋体"/>
          <w:sz w:val="24"/>
          <w:szCs w:val="24"/>
        </w:rPr>
        <w:t>人性化台面距地面高度，站立、坐式操作均适宜，8°倾斜操作面设计，减轻操作者压迫感，舒适不疲劳。</w:t>
      </w:r>
    </w:p>
    <w:p>
      <w:pPr>
        <w:spacing w:line="360" w:lineRule="auto"/>
        <w:rPr>
          <w:rFonts w:hint="eastAsia" w:ascii="宋体" w:hAnsi="宋体" w:eastAsia="宋体" w:cs="宋体"/>
          <w:sz w:val="24"/>
          <w:szCs w:val="24"/>
        </w:rPr>
      </w:pPr>
      <w:r>
        <w:rPr>
          <w:rFonts w:hint="eastAsia" w:ascii="宋体" w:hAnsi="宋体" w:eastAsia="宋体" w:cs="宋体"/>
          <w:sz w:val="24"/>
          <w:szCs w:val="24"/>
        </w:rPr>
        <w:t>9.紫外灯和前窗关闭互锁</w:t>
      </w:r>
    </w:p>
    <w:p>
      <w:pPr>
        <w:spacing w:line="360" w:lineRule="auto"/>
        <w:rPr>
          <w:rFonts w:hint="eastAsia" w:ascii="宋体" w:hAnsi="宋体" w:eastAsia="宋体" w:cs="宋体"/>
          <w:sz w:val="24"/>
          <w:szCs w:val="24"/>
        </w:rPr>
      </w:pPr>
      <w:r>
        <w:rPr>
          <w:rFonts w:hint="eastAsia" w:ascii="宋体" w:hAnsi="宋体" w:eastAsia="宋体" w:cs="宋体"/>
          <w:sz w:val="24"/>
          <w:szCs w:val="24"/>
        </w:rPr>
        <w:t>前窗采用防紫外玻璃，设有紫外灯前窗互锁功能，当前窗关闭时，紫外灯按键按下可点亮，当前窗打开时，紫外灯被锁闭不可点亮，充分保护操作者免受紫外伤害。</w:t>
      </w:r>
    </w:p>
    <w:p>
      <w:pPr>
        <w:spacing w:line="360" w:lineRule="auto"/>
        <w:rPr>
          <w:rFonts w:hint="eastAsia" w:ascii="宋体" w:hAnsi="宋体" w:eastAsia="宋体" w:cs="宋体"/>
          <w:sz w:val="24"/>
          <w:szCs w:val="24"/>
        </w:rPr>
      </w:pPr>
      <w:r>
        <w:rPr>
          <w:rFonts w:hint="eastAsia" w:ascii="宋体" w:hAnsi="宋体" w:eastAsia="宋体" w:cs="宋体"/>
          <w:sz w:val="24"/>
          <w:szCs w:val="24"/>
        </w:rPr>
        <w:t>10.一键式预约杀菌</w:t>
      </w:r>
    </w:p>
    <w:p>
      <w:pPr>
        <w:spacing w:line="360" w:lineRule="auto"/>
        <w:rPr>
          <w:rFonts w:hint="eastAsia" w:ascii="宋体" w:hAnsi="宋体" w:eastAsia="宋体" w:cs="宋体"/>
          <w:sz w:val="24"/>
          <w:szCs w:val="24"/>
        </w:rPr>
      </w:pPr>
      <w:r>
        <w:rPr>
          <w:rFonts w:hint="eastAsia" w:ascii="宋体" w:hAnsi="宋体" w:eastAsia="宋体" w:cs="宋体"/>
          <w:sz w:val="24"/>
          <w:szCs w:val="24"/>
        </w:rPr>
        <w:t>紫外杀菌延时启动，远离紫外线伤害，紫外灯开关按下后，声光提醒操作者及时离开，紫外灯延时点亮，保护操作者免受紫外照射伤害。</w:t>
      </w:r>
    </w:p>
    <w:p>
      <w:pPr>
        <w:spacing w:line="360" w:lineRule="auto"/>
        <w:rPr>
          <w:rFonts w:hint="eastAsia" w:ascii="宋体" w:hAnsi="宋体" w:eastAsia="宋体" w:cs="宋体"/>
          <w:sz w:val="24"/>
          <w:szCs w:val="24"/>
        </w:rPr>
      </w:pPr>
      <w:r>
        <w:rPr>
          <w:rFonts w:hint="eastAsia" w:ascii="宋体" w:hAnsi="宋体" w:eastAsia="宋体" w:cs="宋体"/>
          <w:sz w:val="24"/>
          <w:szCs w:val="24"/>
        </w:rPr>
        <w:t>11.采用微电脑智能控制面板，可实时显示工作区温湿度、过滤器寿命、洁净台工作时间、风速大小等参数信息，操控简单便捷。</w:t>
      </w:r>
    </w:p>
    <w:p>
      <w:pPr>
        <w:spacing w:line="360" w:lineRule="auto"/>
        <w:rPr>
          <w:rFonts w:hint="eastAsia" w:ascii="宋体" w:hAnsi="宋体" w:eastAsia="宋体" w:cs="宋体"/>
          <w:sz w:val="24"/>
          <w:szCs w:val="24"/>
        </w:rPr>
      </w:pPr>
      <w:r>
        <w:rPr>
          <w:rFonts w:hint="eastAsia" w:ascii="宋体" w:hAnsi="宋体" w:eastAsia="宋体" w:cs="宋体"/>
          <w:sz w:val="24"/>
          <w:szCs w:val="24"/>
        </w:rPr>
        <w:t>12.超强的记忆功能：能记忆紫外灯延时启动时间、杀菌时间、预约启动时间、风机档位等有效信息。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13.独有的前预洁净功能，进一步提高对样本的保护。</w:t>
      </w:r>
    </w:p>
    <w:p>
      <w:pPr>
        <w:spacing w:line="360" w:lineRule="auto"/>
        <w:rPr>
          <w:rFonts w:hint="eastAsia" w:ascii="宋体" w:hAnsi="宋体" w:eastAsia="宋体" w:cs="宋体"/>
          <w:sz w:val="24"/>
          <w:szCs w:val="24"/>
        </w:rPr>
      </w:pPr>
      <w:r>
        <w:rPr>
          <w:rFonts w:hint="eastAsia" w:ascii="宋体" w:hAnsi="宋体" w:eastAsia="宋体" w:cs="宋体"/>
          <w:sz w:val="24"/>
          <w:szCs w:val="24"/>
        </w:rPr>
        <w:t>14不锈钢工作台面，采用优质304不锈钢，便于清洁消毒。</w:t>
      </w:r>
    </w:p>
    <w:p>
      <w:pPr>
        <w:spacing w:line="360" w:lineRule="auto"/>
        <w:rPr>
          <w:rFonts w:hint="eastAsia" w:ascii="宋体" w:hAnsi="宋体" w:eastAsia="宋体" w:cs="宋体"/>
          <w:sz w:val="24"/>
          <w:szCs w:val="24"/>
        </w:rPr>
      </w:pPr>
      <w:r>
        <w:rPr>
          <w:rFonts w:hint="eastAsia" w:ascii="宋体" w:hAnsi="宋体" w:eastAsia="宋体" w:cs="宋体"/>
          <w:sz w:val="24"/>
          <w:szCs w:val="24"/>
        </w:rPr>
        <w:t>15.采用内嵌式照明，避免日光灯对眼睛照射，眼睛不疲劳。</w:t>
      </w:r>
    </w:p>
    <w:p>
      <w:pPr>
        <w:spacing w:line="360" w:lineRule="auto"/>
        <w:rPr>
          <w:rFonts w:hint="eastAsia" w:ascii="宋体" w:hAnsi="宋体" w:eastAsia="宋体" w:cs="宋体"/>
          <w:sz w:val="24"/>
          <w:szCs w:val="24"/>
        </w:rPr>
      </w:pPr>
      <w:r>
        <w:rPr>
          <w:rFonts w:hint="eastAsia" w:ascii="宋体" w:hAnsi="宋体" w:eastAsia="宋体" w:cs="宋体"/>
          <w:sz w:val="24"/>
          <w:szCs w:val="24"/>
        </w:rPr>
        <w:t>16.标配两个万能插座，带刹车装置的万向转动优质脚轮,移动灵活,固定方便可靠。</w:t>
      </w:r>
    </w:p>
    <w:p>
      <w:pPr>
        <w:spacing w:line="360" w:lineRule="auto"/>
        <w:rPr>
          <w:rFonts w:hint="eastAsia"/>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333333"/>
          <w:sz w:val="36"/>
          <w:szCs w:val="36"/>
          <w:shd w:val="clear" w:color="auto" w:fill="FFFFFF"/>
          <w:lang w:val="en-US" w:eastAsia="zh-CN"/>
        </w:rPr>
      </w:pPr>
      <w:r>
        <w:rPr>
          <w:rFonts w:hint="eastAsia" w:ascii="宋体" w:hAnsi="宋体" w:cs="宋体"/>
          <w:b/>
          <w:bCs/>
          <w:color w:val="333333"/>
          <w:sz w:val="36"/>
          <w:szCs w:val="36"/>
          <w:shd w:val="clear" w:color="auto" w:fill="FFFFFF"/>
          <w:lang w:val="en-US" w:eastAsia="zh-CN"/>
        </w:rPr>
        <w:t>10、高压灭菌锅</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333333"/>
          <w:sz w:val="36"/>
          <w:szCs w:val="36"/>
          <w:shd w:val="clear" w:color="auto" w:fill="FFFFFF"/>
          <w:lang w:val="en-US" w:eastAsia="zh-CN"/>
        </w:rPr>
      </w:pPr>
    </w:p>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立式灭菌器参数</w:t>
      </w:r>
    </w:p>
    <w:p>
      <w:pPr>
        <w:numPr>
          <w:ilvl w:val="0"/>
          <w:numId w:val="0"/>
        </w:num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lang w:eastAsia="zh-CN"/>
        </w:rPr>
        <w:t>一、</w:t>
      </w:r>
      <w:r>
        <w:rPr>
          <w:rFonts w:hint="eastAsia" w:ascii="宋体" w:hAnsi="宋体" w:eastAsia="宋体" w:cs="宋体"/>
          <w:b/>
          <w:bCs/>
          <w:color w:val="333333"/>
          <w:sz w:val="24"/>
          <w:szCs w:val="24"/>
          <w:shd w:val="clear" w:color="auto" w:fill="FFFFFF"/>
        </w:rPr>
        <w:t>产品技术参数</w:t>
      </w:r>
    </w:p>
    <w:p>
      <w:pPr>
        <w:numPr>
          <w:ilvl w:val="0"/>
          <w:numId w:val="0"/>
        </w:num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1、</w:t>
      </w:r>
      <w:r>
        <w:rPr>
          <w:rFonts w:hint="eastAsia" w:ascii="宋体" w:hAnsi="宋体" w:eastAsia="宋体" w:cs="宋体"/>
          <w:color w:val="333333"/>
          <w:sz w:val="24"/>
          <w:szCs w:val="24"/>
          <w:shd w:val="clear" w:color="auto" w:fill="FFFFFF"/>
        </w:rPr>
        <w:t>容积</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75L</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rPr>
        <w:t>功率</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4700w</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净重</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85kg</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内腔尺寸</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Φ386x695mm</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提篮数</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2</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rPr>
        <w:t>提篮尺寸</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Φ365×265</w:t>
      </w:r>
    </w:p>
    <w:p>
      <w:pPr>
        <w:numPr>
          <w:ilvl w:val="0"/>
          <w:numId w:val="0"/>
        </w:num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b/>
          <w:bCs/>
          <w:color w:val="333333"/>
          <w:sz w:val="24"/>
          <w:szCs w:val="24"/>
          <w:shd w:val="clear" w:color="auto" w:fill="FFFFFF"/>
          <w:lang w:eastAsia="zh-CN"/>
        </w:rPr>
        <w:t>二、</w:t>
      </w:r>
      <w:r>
        <w:rPr>
          <w:rFonts w:hint="eastAsia" w:ascii="宋体" w:hAnsi="宋体" w:eastAsia="宋体" w:cs="宋体"/>
          <w:b/>
          <w:bCs/>
          <w:color w:val="333333"/>
          <w:sz w:val="24"/>
          <w:szCs w:val="24"/>
          <w:shd w:val="clear" w:color="auto" w:fill="FFFFFF"/>
        </w:rPr>
        <w:t>产品技术特点</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1.额定工作压力0.22Mpa，</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2.额定工作温度134℃</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3.使用温度105～136℃</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.灭菌腔体、灭菌提篮均为优质不锈钢SUS304材质制成，内部抛光处理，汽水内循环。</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.手轮式平移门结构，并具有门安全联锁装置及门检测装置，有压力时门无法打开，门关闭不到位程序不能运行。</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rPr>
        <w:t>.具有防干烧报警、超压自泄、超温保护、电力安全保护，所有报警具有声光警示。</w:t>
      </w:r>
    </w:p>
    <w:p>
      <w:pPr>
        <w:pStyle w:val="45"/>
        <w:spacing w:line="360" w:lineRule="auto"/>
        <w:ind w:firstLine="0" w:firstLineChars="0"/>
        <w:rPr>
          <w:rFonts w:hint="eastAsia" w:ascii="宋体" w:hAnsi="宋体" w:eastAsia="宋体" w:cs="宋体"/>
          <w:sz w:val="24"/>
          <w:szCs w:val="24"/>
        </w:rPr>
      </w:pPr>
      <w:r>
        <w:rPr>
          <w:rFonts w:hint="eastAsia" w:ascii="宋体" w:hAnsi="宋体" w:eastAsia="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LED数字显示灭菌腔内温度、时间和故障报警代码。</w:t>
      </w:r>
    </w:p>
    <w:p>
      <w:pPr>
        <w:pStyle w:val="45"/>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.自胀式硅橡胶密封圈，密封效果好，使用寿命长。</w:t>
      </w:r>
    </w:p>
    <w:p>
      <w:pPr>
        <w:pStyle w:val="45"/>
        <w:spacing w:line="360" w:lineRule="auto"/>
        <w:ind w:left="-357" w:leftChars="-170" w:firstLine="0" w:firstLineChars="0"/>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9</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电磁阀使用进口品牌，压力表、安全阀均按照国家标准提供编号、铭牌、合格证等强制性资料。</w:t>
      </w:r>
    </w:p>
    <w:p>
      <w:pPr>
        <w:pStyle w:val="45"/>
        <w:spacing w:line="360" w:lineRule="auto"/>
        <w:ind w:left="-357" w:leftChars="-170" w:firstLine="0" w:firstLineChars="0"/>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 xml:space="preserve">  1</w:t>
      </w:r>
      <w:r>
        <w:rPr>
          <w:rFonts w:hint="eastAsia" w:ascii="宋体" w:hAnsi="宋体" w:eastAsia="宋体" w:cs="宋体"/>
          <w:color w:val="333333"/>
          <w:sz w:val="24"/>
          <w:szCs w:val="24"/>
          <w:shd w:val="clear" w:color="auto" w:fill="FFFFFF"/>
          <w:lang w:val="en-US" w:eastAsia="zh-CN"/>
        </w:rPr>
        <w:t>0</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微电脑控制，具有器械、敷料、液体等五项固定程序，两项自定义程序，并具有干燥功能。</w:t>
      </w:r>
    </w:p>
    <w:p>
      <w:pPr>
        <w:pStyle w:val="45"/>
        <w:spacing w:line="360" w:lineRule="auto"/>
        <w:ind w:left="-357" w:leftChars="-170" w:firstLine="0" w:firstLineChars="0"/>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设备注水、升温、灭菌、排气、干燥整个流程全自动运行，灭菌完成后声光提醒。</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color w:val="333333"/>
          <w:sz w:val="24"/>
          <w:szCs w:val="24"/>
          <w:shd w:val="clear" w:color="auto" w:fill="FFFFFF"/>
        </w:rPr>
        <w:t>★灭菌腔体温度均匀性</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rPr>
        <w:t>℃，干燥温度范围：50~120℃。</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1</w:t>
      </w:r>
      <w:r>
        <w:rPr>
          <w:rFonts w:hint="eastAsia" w:ascii="宋体" w:hAnsi="宋体" w:eastAsia="宋体"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.★脉动排气技术，确保蒸汽饱和度。</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1</w:t>
      </w:r>
      <w:r>
        <w:rPr>
          <w:rFonts w:hint="eastAsia" w:ascii="宋体" w:hAnsi="宋体" w:eastAsia="宋体"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.★全防护式门罩，铰链、转轴均不外露。</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1</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.★具有快速排气和慢速排气功能，避免灭菌液体溢出。</w:t>
      </w:r>
    </w:p>
    <w:p>
      <w:pPr>
        <w:pStyle w:val="45"/>
        <w:spacing w:line="360" w:lineRule="auto"/>
        <w:ind w:left="-357" w:leftChars="-170" w:firstLine="0"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1</w:t>
      </w:r>
      <w:r>
        <w:rPr>
          <w:rFonts w:hint="eastAsia" w:ascii="宋体" w:hAnsi="宋体" w:eastAsia="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rPr>
        <w:t>.★具有快速维修窗口，电气部分维护无需拆解外罩。</w:t>
      </w:r>
    </w:p>
    <w:p>
      <w:pPr>
        <w:pStyle w:val="45"/>
        <w:pageBreakBefore w:val="0"/>
        <w:widowControl w:val="0"/>
        <w:kinsoku/>
        <w:wordWrap/>
        <w:overflowPunct/>
        <w:topLinePunct w:val="0"/>
        <w:autoSpaceDE/>
        <w:autoSpaceDN/>
        <w:bidi w:val="0"/>
        <w:adjustRightInd/>
        <w:snapToGrid/>
        <w:spacing w:line="400" w:lineRule="exact"/>
        <w:ind w:left="-357" w:leftChars="-170" w:firstLine="0" w:firstLineChars="0"/>
        <w:textAlignment w:val="auto"/>
        <w:rPr>
          <w:rFonts w:hint="eastAsia" w:ascii="宋体" w:hAnsi="宋体" w:eastAsia="宋体" w:cs="宋体"/>
          <w:color w:val="333333"/>
          <w:sz w:val="21"/>
          <w:szCs w:val="21"/>
          <w:shd w:val="clear" w:color="auto" w:fill="FFFFFF"/>
          <w:lang w:val="en-US" w:eastAsia="zh-CN"/>
        </w:rPr>
      </w:pPr>
    </w:p>
    <w:p>
      <w:pPr>
        <w:spacing w:line="360" w:lineRule="auto"/>
        <w:ind w:left="73" w:leftChars="-172" w:hanging="434" w:hangingChars="120"/>
        <w:jc w:val="both"/>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11、</w:t>
      </w:r>
      <w:r>
        <w:rPr>
          <w:rFonts w:hint="eastAsia" w:ascii="宋体" w:hAnsi="宋体" w:eastAsia="宋体" w:cs="宋体"/>
          <w:b/>
          <w:bCs w:val="0"/>
          <w:sz w:val="36"/>
          <w:szCs w:val="36"/>
        </w:rPr>
        <w:t>自动精密蠕动分液仪 技术参数</w:t>
      </w:r>
    </w:p>
    <w:p>
      <w:pPr>
        <w:spacing w:line="360" w:lineRule="auto"/>
        <w:ind w:left="2" w:hanging="2"/>
        <w:jc w:val="left"/>
        <w:rPr>
          <w:rFonts w:hint="eastAsia" w:ascii="宋体" w:hAnsi="宋体"/>
          <w:bCs/>
          <w:sz w:val="24"/>
        </w:rPr>
      </w:pPr>
      <w:r>
        <w:rPr>
          <w:rFonts w:hint="eastAsia" w:ascii="宋体" w:hAnsi="宋体"/>
          <w:bCs/>
          <w:sz w:val="24"/>
        </w:rPr>
        <w:t>用途：</w:t>
      </w:r>
    </w:p>
    <w:p>
      <w:pPr>
        <w:spacing w:line="360" w:lineRule="auto"/>
        <w:ind w:left="2" w:hanging="2"/>
        <w:jc w:val="left"/>
        <w:rPr>
          <w:rFonts w:hint="eastAsia" w:ascii="宋体" w:hAnsi="宋体"/>
          <w:bCs/>
          <w:sz w:val="24"/>
        </w:rPr>
      </w:pPr>
      <w:r>
        <w:rPr>
          <w:rFonts w:hint="eastAsia" w:ascii="宋体" w:hAnsi="宋体"/>
          <w:bCs/>
          <w:sz w:val="24"/>
        </w:rPr>
        <w:t>可作为自动分配仪，稀释仪或普通的蠕动泵使用，也可用作流量计。</w:t>
      </w:r>
    </w:p>
    <w:p>
      <w:pPr>
        <w:spacing w:line="360" w:lineRule="auto"/>
        <w:ind w:left="2" w:hanging="2"/>
        <w:jc w:val="left"/>
        <w:rPr>
          <w:rFonts w:hint="eastAsia" w:ascii="宋体" w:hAnsi="宋体"/>
          <w:bCs/>
          <w:sz w:val="24"/>
        </w:rPr>
      </w:pPr>
      <w:r>
        <w:rPr>
          <w:rFonts w:hint="eastAsia" w:ascii="宋体" w:hAnsi="宋体"/>
          <w:bCs/>
          <w:sz w:val="24"/>
        </w:rPr>
        <w:t>在微生物学领域，常用于制备普通培养基，肉汤培养基，稀释液等。</w:t>
      </w:r>
    </w:p>
    <w:p>
      <w:pPr>
        <w:spacing w:line="360" w:lineRule="auto"/>
        <w:jc w:val="left"/>
        <w:rPr>
          <w:rFonts w:ascii="宋体" w:hAnsi="宋体"/>
          <w:bCs/>
          <w:sz w:val="24"/>
        </w:rPr>
      </w:pPr>
      <w:r>
        <w:rPr>
          <w:rFonts w:hint="eastAsia" w:ascii="宋体" w:hAnsi="宋体"/>
          <w:bCs/>
          <w:sz w:val="24"/>
        </w:rPr>
        <w:t>技术参数：</w:t>
      </w:r>
    </w:p>
    <w:p>
      <w:pPr>
        <w:numPr>
          <w:ilvl w:val="0"/>
          <w:numId w:val="11"/>
        </w:numPr>
        <w:spacing w:line="360" w:lineRule="auto"/>
        <w:rPr>
          <w:rFonts w:hint="eastAsia" w:ascii="宋体" w:hAnsi="宋体"/>
          <w:bCs/>
          <w:sz w:val="24"/>
        </w:rPr>
      </w:pPr>
      <w:r>
        <w:rPr>
          <w:rFonts w:hint="eastAsia" w:ascii="宋体" w:hAnsi="宋体"/>
          <w:bCs/>
          <w:sz w:val="24"/>
        </w:rPr>
        <w:t>手动操作或自动控制模式可选，自动模式只需输入分液瓶数和间隔时间即可；</w:t>
      </w:r>
    </w:p>
    <w:p>
      <w:pPr>
        <w:numPr>
          <w:ilvl w:val="0"/>
          <w:numId w:val="11"/>
        </w:numPr>
        <w:spacing w:line="360" w:lineRule="auto"/>
        <w:rPr>
          <w:rFonts w:hint="eastAsia" w:ascii="宋体" w:hAnsi="宋体"/>
          <w:bCs/>
          <w:sz w:val="24"/>
        </w:rPr>
      </w:pPr>
      <w:r>
        <w:rPr>
          <w:rFonts w:hint="eastAsia" w:ascii="宋体" w:hAnsi="宋体"/>
          <w:bCs/>
          <w:sz w:val="24"/>
        </w:rPr>
        <w:t>★内存中可保存&gt;4</w:t>
      </w:r>
      <w:r>
        <w:rPr>
          <w:rFonts w:ascii="宋体" w:hAnsi="宋体"/>
          <w:bCs/>
          <w:sz w:val="24"/>
        </w:rPr>
        <w:t>0</w:t>
      </w:r>
      <w:r>
        <w:rPr>
          <w:rFonts w:hint="eastAsia" w:ascii="宋体" w:hAnsi="宋体"/>
          <w:bCs/>
          <w:sz w:val="24"/>
        </w:rPr>
        <w:t>个液体分配或稀释的程序，以实现分液方式的快速切换；</w:t>
      </w:r>
    </w:p>
    <w:p>
      <w:pPr>
        <w:numPr>
          <w:ilvl w:val="0"/>
          <w:numId w:val="11"/>
        </w:numPr>
        <w:spacing w:line="360" w:lineRule="auto"/>
        <w:rPr>
          <w:rFonts w:hint="eastAsia" w:ascii="宋体" w:hAnsi="宋体"/>
          <w:bCs/>
          <w:sz w:val="24"/>
        </w:rPr>
      </w:pPr>
      <w:r>
        <w:rPr>
          <w:rFonts w:hint="eastAsia" w:ascii="宋体" w:hAnsi="宋体"/>
          <w:bCs/>
          <w:sz w:val="24"/>
        </w:rPr>
        <w:t>微电脑控制蠕动泵，转速可调，待机状态仍保持培养基的循环（防止琼脂凝固），随时可分装；</w:t>
      </w:r>
    </w:p>
    <w:p>
      <w:pPr>
        <w:numPr>
          <w:ilvl w:val="0"/>
          <w:numId w:val="11"/>
        </w:numPr>
        <w:spacing w:line="360" w:lineRule="auto"/>
        <w:rPr>
          <w:rFonts w:hint="eastAsia" w:ascii="宋体" w:hAnsi="宋体"/>
          <w:bCs/>
          <w:sz w:val="24"/>
        </w:rPr>
      </w:pPr>
      <w:r>
        <w:rPr>
          <w:rFonts w:hint="eastAsia" w:ascii="宋体" w:hAnsi="宋体"/>
          <w:bCs/>
          <w:sz w:val="24"/>
        </w:rPr>
        <w:t>重复性好，防漏设计，仪器精确度高，可保存和查看校准数据；</w:t>
      </w:r>
    </w:p>
    <w:p>
      <w:pPr>
        <w:numPr>
          <w:ilvl w:val="0"/>
          <w:numId w:val="11"/>
        </w:numPr>
        <w:spacing w:line="360" w:lineRule="auto"/>
        <w:rPr>
          <w:rFonts w:hint="eastAsia" w:ascii="宋体" w:hAnsi="宋体"/>
          <w:bCs/>
          <w:sz w:val="24"/>
        </w:rPr>
      </w:pPr>
      <w:r>
        <w:rPr>
          <w:rFonts w:hint="eastAsia" w:ascii="宋体" w:hAnsi="宋体"/>
          <w:bCs/>
          <w:sz w:val="24"/>
        </w:rPr>
        <w:t>可打印分液过程中的所有参数，进行数据的追溯；</w:t>
      </w:r>
      <w:r>
        <w:rPr>
          <w:rFonts w:ascii="宋体" w:hAnsi="宋体"/>
          <w:bCs/>
          <w:sz w:val="24"/>
        </w:rPr>
        <w:t xml:space="preserve">                                            </w:t>
      </w:r>
    </w:p>
    <w:p>
      <w:pPr>
        <w:numPr>
          <w:ilvl w:val="0"/>
          <w:numId w:val="11"/>
        </w:numPr>
        <w:spacing w:line="360" w:lineRule="auto"/>
        <w:rPr>
          <w:rFonts w:ascii="宋体" w:hAnsi="宋体"/>
          <w:bCs/>
          <w:sz w:val="24"/>
        </w:rPr>
      </w:pPr>
      <w:r>
        <w:rPr>
          <w:rFonts w:hint="eastAsia" w:ascii="宋体" w:hAnsi="宋体"/>
          <w:bCs/>
          <w:sz w:val="24"/>
        </w:rPr>
        <w:t>★分液体积:最小</w:t>
      </w:r>
      <w:r>
        <w:rPr>
          <w:rFonts w:hint="eastAsia" w:ascii="宋体" w:hAnsi="宋体"/>
          <w:bCs/>
          <w:sz w:val="24"/>
          <w:lang w:val="en-US" w:eastAsia="zh-CN"/>
        </w:rPr>
        <w:t>2</w:t>
      </w:r>
      <w:r>
        <w:rPr>
          <w:rFonts w:hint="eastAsia" w:ascii="宋体" w:hAnsi="宋体"/>
          <w:bCs/>
          <w:sz w:val="24"/>
        </w:rPr>
        <w:t>mL,最大&gt;</w:t>
      </w:r>
      <w:r>
        <w:rPr>
          <w:rFonts w:hint="eastAsia" w:ascii="宋体" w:hAnsi="宋体"/>
          <w:bCs/>
          <w:sz w:val="24"/>
          <w:lang w:val="en-US" w:eastAsia="zh-CN"/>
        </w:rPr>
        <w:t>19</w:t>
      </w:r>
      <w:r>
        <w:rPr>
          <w:rFonts w:hint="eastAsia" w:ascii="宋体" w:hAnsi="宋体"/>
          <w:bCs/>
          <w:sz w:val="24"/>
        </w:rPr>
        <w:t>L；</w:t>
      </w:r>
    </w:p>
    <w:p>
      <w:pPr>
        <w:numPr>
          <w:ilvl w:val="0"/>
          <w:numId w:val="11"/>
        </w:numPr>
        <w:spacing w:line="360" w:lineRule="auto"/>
        <w:rPr>
          <w:rFonts w:ascii="宋体" w:hAnsi="宋体"/>
          <w:bCs/>
          <w:sz w:val="24"/>
        </w:rPr>
      </w:pPr>
      <w:r>
        <w:rPr>
          <w:rFonts w:hint="eastAsia" w:ascii="宋体" w:hAnsi="宋体"/>
          <w:bCs/>
          <w:sz w:val="24"/>
        </w:rPr>
        <w:t>★分液精度:分装9ml、18ml、90ml和225ml精度偏差1%；分装高达20L大剂量的琼脂、肉汤或稀释剂，精度偏差2%；最大分液速率:&gt;1.5L/min；</w:t>
      </w:r>
    </w:p>
    <w:p>
      <w:pPr>
        <w:numPr>
          <w:ilvl w:val="0"/>
          <w:numId w:val="11"/>
        </w:numPr>
        <w:spacing w:line="360" w:lineRule="auto"/>
        <w:rPr>
          <w:rFonts w:hint="eastAsia" w:ascii="宋体" w:hAnsi="宋体"/>
          <w:bCs/>
          <w:sz w:val="24"/>
        </w:rPr>
      </w:pPr>
      <w:r>
        <w:rPr>
          <w:rFonts w:hint="eastAsia" w:ascii="宋体" w:hAnsi="宋体"/>
          <w:bCs/>
          <w:sz w:val="24"/>
        </w:rPr>
        <w:t>可调节速率，3+1可自由选择最大高达600rpm；</w:t>
      </w:r>
    </w:p>
    <w:p>
      <w:pPr>
        <w:numPr>
          <w:ilvl w:val="0"/>
          <w:numId w:val="11"/>
        </w:numPr>
        <w:spacing w:line="360" w:lineRule="auto"/>
        <w:rPr>
          <w:rFonts w:hint="eastAsia" w:ascii="宋体" w:hAnsi="宋体"/>
          <w:bCs/>
          <w:sz w:val="24"/>
        </w:rPr>
      </w:pPr>
      <w:r>
        <w:rPr>
          <w:rFonts w:hint="eastAsia" w:ascii="宋体" w:hAnsi="宋体"/>
          <w:bCs/>
          <w:sz w:val="24"/>
        </w:rPr>
        <w:t>分装模式：单个-多个-单个；</w:t>
      </w:r>
    </w:p>
    <w:p>
      <w:pPr>
        <w:numPr>
          <w:ilvl w:val="0"/>
          <w:numId w:val="11"/>
        </w:numPr>
        <w:spacing w:line="360" w:lineRule="auto"/>
        <w:rPr>
          <w:rFonts w:hint="eastAsia" w:ascii="宋体" w:hAnsi="宋体"/>
          <w:bCs/>
          <w:sz w:val="24"/>
        </w:rPr>
      </w:pPr>
      <w:r>
        <w:rPr>
          <w:rFonts w:hint="eastAsia" w:ascii="宋体" w:hAnsi="宋体"/>
          <w:bCs/>
          <w:sz w:val="24"/>
        </w:rPr>
        <w:t>胶管管径(mm):1.6 3.2 4.8-6.4;</w:t>
      </w:r>
      <w:r>
        <w:rPr>
          <w:rFonts w:ascii="宋体" w:hAnsi="宋体"/>
          <w:bCs/>
          <w:sz w:val="24"/>
        </w:rPr>
        <w:t xml:space="preserve">  </w:t>
      </w:r>
    </w:p>
    <w:p>
      <w:pPr>
        <w:numPr>
          <w:ilvl w:val="0"/>
          <w:numId w:val="11"/>
        </w:numPr>
        <w:spacing w:line="360" w:lineRule="auto"/>
        <w:rPr>
          <w:rFonts w:hint="eastAsia" w:ascii="宋体" w:hAnsi="宋体"/>
          <w:bCs/>
          <w:sz w:val="24"/>
        </w:rPr>
      </w:pPr>
      <w:r>
        <w:rPr>
          <w:rFonts w:hint="eastAsia" w:ascii="宋体" w:hAnsi="宋体"/>
          <w:bCs/>
          <w:sz w:val="24"/>
        </w:rPr>
        <w:t>操作简单，可在一分钟内快速安全地完成程序的设定；</w:t>
      </w:r>
    </w:p>
    <w:p>
      <w:pPr>
        <w:numPr>
          <w:ilvl w:val="0"/>
          <w:numId w:val="11"/>
        </w:numPr>
        <w:spacing w:line="360" w:lineRule="auto"/>
        <w:rPr>
          <w:rFonts w:hint="eastAsia" w:ascii="宋体" w:hAnsi="宋体"/>
          <w:bCs/>
          <w:sz w:val="24"/>
        </w:rPr>
      </w:pPr>
      <w:r>
        <w:rPr>
          <w:rFonts w:hint="eastAsia" w:ascii="宋体" w:hAnsi="宋体"/>
          <w:bCs/>
          <w:sz w:val="24"/>
        </w:rPr>
        <w:t>★可变色LED灯光显示器的不同状态用以提醒用户；带超大触屏界面，配备脚踏式开关；通讯方式：以太网、USB、WiFi；</w:t>
      </w:r>
    </w:p>
    <w:p>
      <w:pPr>
        <w:numPr>
          <w:ilvl w:val="0"/>
          <w:numId w:val="11"/>
        </w:numPr>
        <w:spacing w:line="360" w:lineRule="auto"/>
        <w:rPr>
          <w:rFonts w:hint="eastAsia" w:ascii="宋体" w:hAnsi="宋体"/>
          <w:bCs/>
          <w:sz w:val="24"/>
        </w:rPr>
      </w:pPr>
      <w:r>
        <w:rPr>
          <w:rFonts w:hint="eastAsia" w:ascii="宋体" w:hAnsi="宋体"/>
          <w:bCs/>
          <w:sz w:val="24"/>
        </w:rPr>
        <w:t>可溯性数据导出：打印机，USB键或FTP服务器；</w:t>
      </w:r>
    </w:p>
    <w:p>
      <w:pPr>
        <w:numPr>
          <w:ilvl w:val="0"/>
          <w:numId w:val="11"/>
        </w:numPr>
        <w:spacing w:line="360" w:lineRule="auto"/>
        <w:rPr>
          <w:rFonts w:hint="eastAsia" w:ascii="宋体" w:hAnsi="宋体"/>
          <w:bCs/>
          <w:sz w:val="24"/>
        </w:rPr>
      </w:pPr>
      <w:r>
        <w:rPr>
          <w:rFonts w:hint="eastAsia" w:ascii="宋体" w:hAnsi="宋体"/>
          <w:bCs/>
          <w:sz w:val="24"/>
        </w:rPr>
        <w:t>数据形式：XML,CSV,JSON;</w:t>
      </w:r>
    </w:p>
    <w:p>
      <w:pPr>
        <w:numPr>
          <w:ilvl w:val="0"/>
          <w:numId w:val="11"/>
        </w:numPr>
        <w:spacing w:line="360" w:lineRule="auto"/>
        <w:rPr>
          <w:rFonts w:hint="eastAsia" w:ascii="宋体" w:hAnsi="宋体"/>
          <w:bCs/>
          <w:sz w:val="24"/>
        </w:rPr>
      </w:pPr>
      <w:r>
        <w:rPr>
          <w:rFonts w:hint="eastAsia" w:ascii="宋体" w:hAnsi="宋体"/>
          <w:bCs/>
          <w:sz w:val="24"/>
        </w:rPr>
        <w:t>程序管理：体积、循环、速率、数量、每个剂量之间的延迟时间；</w:t>
      </w:r>
    </w:p>
    <w:p>
      <w:pPr>
        <w:jc w:val="left"/>
        <w:rPr>
          <w:rFonts w:hint="eastAsia" w:ascii="宋体" w:hAnsi="宋体" w:eastAsia="宋体" w:cs="宋体"/>
          <w:b/>
          <w:bCs w:val="0"/>
          <w:sz w:val="36"/>
          <w:szCs w:val="36"/>
          <w:lang w:val="en-US" w:eastAsia="zh-CN"/>
        </w:rPr>
      </w:pPr>
    </w:p>
    <w:p>
      <w:pPr>
        <w:spacing w:line="360" w:lineRule="auto"/>
        <w:jc w:val="left"/>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12、</w:t>
      </w:r>
      <w:r>
        <w:rPr>
          <w:rFonts w:hint="eastAsia" w:ascii="宋体" w:hAnsi="宋体" w:eastAsia="宋体" w:cs="宋体"/>
          <w:b/>
          <w:bCs w:val="0"/>
          <w:sz w:val="36"/>
          <w:szCs w:val="36"/>
        </w:rPr>
        <w:t>智能型全自动菌落计数仪招标参数</w:t>
      </w:r>
    </w:p>
    <w:p>
      <w:pPr>
        <w:pStyle w:val="45"/>
        <w:numPr>
          <w:ilvl w:val="0"/>
          <w:numId w:val="12"/>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光源</w:t>
      </w:r>
    </w:p>
    <w:p>
      <w:pPr>
        <w:pStyle w:val="45"/>
        <w:numPr>
          <w:ilvl w:val="0"/>
          <w:numId w:val="13"/>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可见光源：上光源和下光源均采用超高亮三色LED混合光源，★上、下光源灯组共含288颗低压进口LED光源芯片，具有高亮度、低能耗、柔光无频闪、稳定低光衰、寿命长久等优点。</w:t>
      </w:r>
    </w:p>
    <w:p>
      <w:pPr>
        <w:pStyle w:val="45"/>
        <w:numPr>
          <w:ilvl w:val="0"/>
          <w:numId w:val="13"/>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★紫外光源：预留3个可安装窄带紫外波长的光源位置。</w:t>
      </w:r>
    </w:p>
    <w:p>
      <w:pPr>
        <w:pStyle w:val="45"/>
        <w:numPr>
          <w:ilvl w:val="0"/>
          <w:numId w:val="13"/>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★数据接口：可防尘独立USB3.0接口。</w:t>
      </w:r>
    </w:p>
    <w:p>
      <w:pPr>
        <w:pStyle w:val="45"/>
        <w:numPr>
          <w:ilvl w:val="0"/>
          <w:numId w:val="12"/>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照明系统</w:t>
      </w:r>
    </w:p>
    <w:p>
      <w:pPr>
        <w:pStyle w:val="45"/>
        <w:numPr>
          <w:ilvl w:val="0"/>
          <w:numId w:val="14"/>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color w:val="auto"/>
          <w:sz w:val="24"/>
          <w:szCs w:val="24"/>
          <w:shd w:val="clear" w:color="auto" w:fill="FFFFFF"/>
        </w:rPr>
        <w:t>★</w:t>
      </w:r>
      <w:r>
        <w:rPr>
          <w:rFonts w:hint="eastAsia" w:ascii="宋体" w:hAnsi="宋体" w:eastAsia="宋体"/>
          <w:bCs/>
          <w:color w:val="auto"/>
          <w:sz w:val="24"/>
          <w:szCs w:val="24"/>
          <w:shd w:val="clear" w:color="auto" w:fill="FFFFFF"/>
        </w:rPr>
        <w:t>全封闭式钢制拍照箱体：内壁涂黑磨砂处理、无反光、亮点、光斑等、密封性好、有效消除其他杂散光源的干扰；</w:t>
      </w:r>
    </w:p>
    <w:p>
      <w:pPr>
        <w:pStyle w:val="45"/>
        <w:numPr>
          <w:ilvl w:val="0"/>
          <w:numId w:val="14"/>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样品拍照托盘：采用高透光、高质量、超白光学玻璃制作而成，最大可支持110mm直径的培养皿；</w:t>
      </w:r>
    </w:p>
    <w:p>
      <w:pPr>
        <w:pStyle w:val="45"/>
        <w:numPr>
          <w:ilvl w:val="0"/>
          <w:numId w:val="14"/>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★拍照箱体门：采用上下提拉式铝合金隔断门，经过专业的密封处理，可完全隔绝光线，同时含有滑动阻尼件，门板可以停留在任意开度；</w:t>
      </w:r>
    </w:p>
    <w:p>
      <w:pPr>
        <w:pStyle w:val="45"/>
        <w:numPr>
          <w:ilvl w:val="0"/>
          <w:numId w:val="14"/>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上光源：由144颗低压进口LED光源芯片组成，光强、色温可调节，控制面板可实现高、低2挡亮度切换。同时上光源含4个独创的遮光叶片，有效增加了光源的遮光角（＞30°），结合涂黑磨砂处理吸光内壁，使全仓光线均匀柔和，无光斑、无阴影、无反光，拍照效果达到最佳效果；</w:t>
      </w:r>
    </w:p>
    <w:p>
      <w:pPr>
        <w:pStyle w:val="45"/>
        <w:numPr>
          <w:ilvl w:val="0"/>
          <w:numId w:val="14"/>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下光源：由144颗低压进口LED光源芯片组成，光强、色温可调节，控制面板可实现高、低2挡亮度切换。下光源采用独特的暗视野悬浮漫反射设计，光线在培养皿背面形成透射照明，当玻璃托盘上没有样本时，图像采集到的是全黑背景，当玻璃托盘上有可透光的培养基样本时，可形成边界分明、清晰可见、色彩尖锐的光感立体菌落；</w:t>
      </w:r>
    </w:p>
    <w:p>
      <w:pPr>
        <w:pStyle w:val="45"/>
        <w:numPr>
          <w:ilvl w:val="0"/>
          <w:numId w:val="14"/>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★控制面板：含7个控制按钮，光强、上光源、下光源、切换、UV-01、UV-02和UV-03。上光源和下光源可单独打开、关闭；也可同时打开、关闭；光强可实现上光源高、低2挡调节，也光强可对下光源高、低2挡调节。</w:t>
      </w:r>
    </w:p>
    <w:p>
      <w:pPr>
        <w:pStyle w:val="45"/>
        <w:numPr>
          <w:ilvl w:val="0"/>
          <w:numId w:val="12"/>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菌落分析软件</w:t>
      </w:r>
    </w:p>
    <w:p>
      <w:pPr>
        <w:pStyle w:val="45"/>
        <w:numPr>
          <w:ilvl w:val="0"/>
          <w:numId w:val="15"/>
        </w:numPr>
        <w:spacing w:line="360" w:lineRule="auto"/>
        <w:ind w:firstLineChars="0"/>
        <w:rPr>
          <w:rFonts w:ascii="宋体" w:hAnsi="宋体" w:eastAsia="宋体"/>
          <w:color w:val="auto"/>
          <w:sz w:val="24"/>
          <w:szCs w:val="24"/>
          <w:shd w:val="clear" w:color="auto" w:fill="FFFFFF"/>
        </w:rPr>
      </w:pPr>
      <w:r>
        <w:rPr>
          <w:rFonts w:hint="eastAsia" w:ascii="宋体" w:hAnsi="宋体" w:eastAsia="宋体"/>
          <w:bCs/>
          <w:color w:val="auto"/>
          <w:sz w:val="24"/>
          <w:szCs w:val="24"/>
          <w:shd w:val="clear" w:color="auto" w:fill="FFFFFF"/>
        </w:rPr>
        <w:t>基本菌落计数功能</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一键智能计数：统计灵敏度数字调节、快速统计、精确统计、单击计数、计数回退；</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区域选择统计：可选择圆形、矩形、多边形、任意圈定区域进行统计；</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★图像显示：含放大，缩小，移动图像，移动图层；</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★全皿菌落统计：可直接显示实测面积、实测菌落总数、平皿内径、按照内径换算菌落数、样本稀释度、按照稀释度换算菌落数共6项信息；</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★菌落形态统计：可显示菌落编号、位置、等效直径、周长4项信息；</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★分类统计：可显示序号、尺寸范围、实测菌落数、按内径换算菌落数4项信息；</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图像处理功能：恢复原图、数据保存；</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仪器设置：普通设置、高级设置、仪器维护、数据查询、生成报告。</w:t>
      </w:r>
    </w:p>
    <w:p>
      <w:pPr>
        <w:pStyle w:val="45"/>
        <w:numPr>
          <w:ilvl w:val="0"/>
          <w:numId w:val="15"/>
        </w:numPr>
        <w:spacing w:line="360" w:lineRule="auto"/>
        <w:ind w:firstLineChars="0"/>
        <w:rPr>
          <w:rFonts w:ascii="宋体" w:hAnsi="宋体" w:eastAsia="宋体"/>
          <w:color w:val="auto"/>
          <w:sz w:val="24"/>
          <w:szCs w:val="24"/>
          <w:shd w:val="clear" w:color="auto" w:fill="FFFFFF"/>
        </w:rPr>
      </w:pPr>
      <w:r>
        <w:rPr>
          <w:rFonts w:hint="eastAsia" w:ascii="宋体" w:hAnsi="宋体" w:eastAsia="宋体"/>
          <w:bCs/>
          <w:color w:val="auto"/>
          <w:sz w:val="24"/>
          <w:szCs w:val="24"/>
          <w:shd w:val="clear" w:color="auto" w:fill="FFFFFF"/>
        </w:rPr>
        <w:t>修正与测量工具</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人工计数修正：添加或删除菌落；</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单击计数：人工点击计数；</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计数回退：进行点击计数回退；</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★参数自动换算：接种体积、接种量、样本稀释度输入，实现自动换算；</w:t>
      </w:r>
    </w:p>
    <w:p>
      <w:pPr>
        <w:pStyle w:val="45"/>
        <w:numPr>
          <w:ilvl w:val="0"/>
          <w:numId w:val="15"/>
        </w:numPr>
        <w:spacing w:line="360" w:lineRule="auto"/>
        <w:ind w:firstLineChars="0"/>
        <w:rPr>
          <w:rFonts w:ascii="宋体" w:hAnsi="宋体" w:eastAsia="宋体"/>
          <w:color w:val="auto"/>
          <w:sz w:val="24"/>
          <w:szCs w:val="24"/>
          <w:shd w:val="clear" w:color="auto" w:fill="FFFFFF"/>
        </w:rPr>
      </w:pPr>
      <w:r>
        <w:rPr>
          <w:rFonts w:hint="eastAsia" w:ascii="宋体" w:hAnsi="宋体" w:eastAsia="宋体"/>
          <w:bCs/>
          <w:color w:val="auto"/>
          <w:sz w:val="24"/>
          <w:szCs w:val="24"/>
          <w:shd w:val="clear" w:color="auto" w:fill="FFFFFF"/>
        </w:rPr>
        <w:t>标定与测量</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仪器标定：人工修正标定</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★普通设置：可选择大菌落、中菌落、小菌落3项，可对ROI值和菌落轮廓分别进行48种基本颜色设置和自定义颜色设置。</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★高级设置：可对最大菌落直径、最小菌落直径、块大小、像素比、大中菌落边界值、小中菌落边界值、样本稀释度、平皿直接进行参数设置。</w:t>
      </w:r>
    </w:p>
    <w:p>
      <w:pPr>
        <w:pStyle w:val="45"/>
        <w:numPr>
          <w:ilvl w:val="0"/>
          <w:numId w:val="15"/>
        </w:numPr>
        <w:spacing w:line="360" w:lineRule="auto"/>
        <w:ind w:firstLineChars="0"/>
        <w:rPr>
          <w:rFonts w:ascii="宋体" w:hAnsi="宋体" w:eastAsia="宋体"/>
          <w:color w:val="auto"/>
          <w:sz w:val="24"/>
          <w:szCs w:val="24"/>
          <w:shd w:val="clear" w:color="auto" w:fill="FFFFFF"/>
        </w:rPr>
      </w:pPr>
      <w:r>
        <w:rPr>
          <w:rFonts w:hint="eastAsia" w:ascii="宋体" w:hAnsi="宋体" w:eastAsia="宋体"/>
          <w:bCs/>
          <w:color w:val="auto"/>
          <w:sz w:val="24"/>
          <w:szCs w:val="24"/>
          <w:shd w:val="clear" w:color="auto" w:fill="FFFFFF"/>
        </w:rPr>
        <w:t>数据库模块</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数据存储、智能查询</w:t>
      </w:r>
    </w:p>
    <w:p>
      <w:pPr>
        <w:pStyle w:val="45"/>
        <w:spacing w:line="360" w:lineRule="auto"/>
        <w:ind w:left="720" w:firstLine="0"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数据导出：统计结果可以选择PDF或EXCEL导出。</w:t>
      </w:r>
    </w:p>
    <w:p>
      <w:pPr>
        <w:pStyle w:val="45"/>
        <w:numPr>
          <w:ilvl w:val="0"/>
          <w:numId w:val="15"/>
        </w:numPr>
        <w:spacing w:line="360" w:lineRule="auto"/>
        <w:ind w:firstLine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报告生成：信息含单位名称、项目名称、检验人、检验时间、方法名称、方法标准号、培养温度、培养时间。分析结果含序号、账号、样本名称、样本编号、接种量、单位、菌落计数、处理时间、原图编码并附有原图片经计数处理后的图像。</w:t>
      </w:r>
    </w:p>
    <w:p>
      <w:pPr>
        <w:pStyle w:val="45"/>
        <w:numPr>
          <w:ilvl w:val="0"/>
          <w:numId w:val="12"/>
        </w:numPr>
        <w:spacing w:line="360" w:lineRule="auto"/>
        <w:ind w:firstLineChars="0"/>
        <w:rPr>
          <w:rFonts w:ascii="宋体" w:hAnsi="宋体" w:eastAsia="宋体"/>
          <w:bCs/>
          <w:color w:val="auto"/>
          <w:sz w:val="24"/>
          <w:szCs w:val="24"/>
          <w:shd w:val="clear" w:color="auto" w:fill="FFFFFF"/>
        </w:rPr>
      </w:pPr>
      <w:r>
        <w:rPr>
          <w:rFonts w:hint="eastAsia" w:ascii="宋体" w:hAnsi="宋体" w:eastAsia="宋体"/>
          <w:bCs/>
          <w:color w:val="auto"/>
          <w:sz w:val="24"/>
          <w:szCs w:val="24"/>
          <w:shd w:val="clear" w:color="auto" w:fill="FFFFFF"/>
        </w:rPr>
        <w:t>配置</w:t>
      </w:r>
    </w:p>
    <w:p>
      <w:pPr>
        <w:pStyle w:val="45"/>
        <w:numPr>
          <w:ilvl w:val="0"/>
          <w:numId w:val="0"/>
        </w:numPr>
        <w:spacing w:line="360" w:lineRule="auto"/>
        <w:rPr>
          <w:rFonts w:ascii="宋体" w:hAnsi="宋体" w:eastAsia="宋体"/>
          <w:color w:val="auto"/>
          <w:sz w:val="24"/>
          <w:szCs w:val="24"/>
          <w:shd w:val="clear" w:color="auto" w:fill="FFFFFF"/>
        </w:rPr>
      </w:pPr>
      <w:r>
        <w:rPr>
          <w:rFonts w:hint="eastAsia" w:ascii="宋体" w:hAnsi="宋体" w:eastAsia="宋体"/>
          <w:bCs/>
          <w:color w:val="auto"/>
          <w:sz w:val="24"/>
          <w:szCs w:val="24"/>
          <w:shd w:val="clear" w:color="auto" w:fill="FFFFFF"/>
          <w:lang w:val="en-US" w:eastAsia="zh-CN"/>
        </w:rPr>
        <w:t>4.1、</w:t>
      </w:r>
      <w:r>
        <w:rPr>
          <w:rFonts w:hint="eastAsia" w:ascii="宋体" w:hAnsi="宋体" w:eastAsia="宋体"/>
          <w:bCs/>
          <w:color w:val="auto"/>
          <w:sz w:val="24"/>
          <w:szCs w:val="24"/>
          <w:shd w:val="clear" w:color="auto" w:fill="FFFFFF"/>
        </w:rPr>
        <w:t>数字成像系统</w:t>
      </w:r>
      <w:r>
        <w:rPr>
          <w:rFonts w:hint="eastAsia" w:ascii="宋体" w:hAnsi="宋体" w:eastAsia="宋体"/>
          <w:bCs/>
          <w:color w:val="auto"/>
          <w:sz w:val="24"/>
          <w:szCs w:val="24"/>
          <w:shd w:val="clear" w:color="auto" w:fill="FFFFFF"/>
          <w:lang w:val="en-US" w:eastAsia="zh-CN"/>
        </w:rPr>
        <w:t>1套</w:t>
      </w:r>
    </w:p>
    <w:p>
      <w:pPr>
        <w:pStyle w:val="45"/>
        <w:numPr>
          <w:ilvl w:val="0"/>
          <w:numId w:val="0"/>
        </w:numPr>
        <w:spacing w:line="360" w:lineRule="auto"/>
        <w:ind w:left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lang w:val="en-US" w:eastAsia="zh-CN"/>
        </w:rPr>
        <w:t>4.2</w:t>
      </w:r>
      <w:r>
        <w:rPr>
          <w:rFonts w:hint="eastAsia" w:ascii="宋体" w:hAnsi="宋体" w:eastAsia="宋体"/>
          <w:color w:val="auto"/>
          <w:sz w:val="24"/>
          <w:szCs w:val="24"/>
          <w:shd w:val="clear" w:color="auto" w:fill="FFFFFF"/>
        </w:rPr>
        <w:t>主机1台：</w:t>
      </w:r>
    </w:p>
    <w:p>
      <w:pPr>
        <w:pStyle w:val="45"/>
        <w:numPr>
          <w:ilvl w:val="0"/>
          <w:numId w:val="0"/>
        </w:numPr>
        <w:spacing w:line="360" w:lineRule="auto"/>
        <w:ind w:left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lang w:val="en-US" w:eastAsia="zh-CN"/>
        </w:rPr>
        <w:t>4.3</w:t>
      </w:r>
      <w:r>
        <w:rPr>
          <w:rFonts w:hint="eastAsia" w:ascii="宋体" w:hAnsi="宋体" w:eastAsia="宋体"/>
          <w:color w:val="auto"/>
          <w:sz w:val="24"/>
          <w:szCs w:val="24"/>
          <w:shd w:val="clear" w:color="auto" w:fill="FFFFFF"/>
        </w:rPr>
        <w:t>液晶品牌电脑1套</w:t>
      </w:r>
    </w:p>
    <w:p>
      <w:pPr>
        <w:pStyle w:val="45"/>
        <w:numPr>
          <w:ilvl w:val="0"/>
          <w:numId w:val="0"/>
        </w:numPr>
        <w:spacing w:line="360" w:lineRule="auto"/>
        <w:ind w:leftChars="0"/>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lang w:val="en-US" w:eastAsia="zh-CN"/>
        </w:rPr>
        <w:t>4.4</w:t>
      </w:r>
      <w:r>
        <w:rPr>
          <w:rFonts w:hint="eastAsia" w:ascii="宋体" w:hAnsi="宋体" w:eastAsia="宋体"/>
          <w:color w:val="auto"/>
          <w:sz w:val="24"/>
          <w:szCs w:val="24"/>
          <w:shd w:val="clear" w:color="auto" w:fill="FFFFFF"/>
        </w:rPr>
        <w:t>加密软件1套；</w:t>
      </w:r>
    </w:p>
    <w:p>
      <w:pPr>
        <w:pStyle w:val="45"/>
        <w:widowControl w:val="0"/>
        <w:numPr>
          <w:ilvl w:val="0"/>
          <w:numId w:val="0"/>
        </w:numPr>
        <w:spacing w:line="360" w:lineRule="auto"/>
        <w:jc w:val="both"/>
        <w:rPr>
          <w:rFonts w:hint="eastAsia" w:ascii="宋体" w:hAnsi="宋体" w:eastAsia="宋体"/>
          <w:color w:val="auto"/>
          <w:sz w:val="21"/>
          <w:szCs w:val="21"/>
          <w:shd w:val="clear" w:color="auto" w:fill="FFFFFF"/>
        </w:rPr>
      </w:pPr>
    </w:p>
    <w:p>
      <w:pPr>
        <w:spacing w:line="360" w:lineRule="auto"/>
        <w:jc w:val="both"/>
        <w:rPr>
          <w:rFonts w:hint="eastAsia"/>
          <w:b/>
        </w:rPr>
      </w:pPr>
      <w:r>
        <w:rPr>
          <w:rFonts w:hint="eastAsia" w:asciiTheme="minorEastAsia" w:hAnsiTheme="minorEastAsia" w:eastAsiaTheme="minorEastAsia" w:cstheme="minorEastAsia"/>
          <w:b/>
          <w:sz w:val="36"/>
          <w:szCs w:val="36"/>
          <w:lang w:val="en-US" w:eastAsia="zh-CN"/>
        </w:rPr>
        <w:t>13、</w:t>
      </w:r>
      <w:r>
        <w:rPr>
          <w:rFonts w:hint="eastAsia" w:asciiTheme="minorEastAsia" w:hAnsiTheme="minorEastAsia" w:eastAsiaTheme="minorEastAsia" w:cstheme="minorEastAsia"/>
          <w:b/>
          <w:sz w:val="36"/>
          <w:szCs w:val="36"/>
        </w:rPr>
        <w:t>万分之一</w:t>
      </w:r>
      <w:r>
        <w:rPr>
          <w:rFonts w:hint="eastAsia" w:asciiTheme="minorEastAsia" w:hAnsiTheme="minorEastAsia" w:eastAsiaTheme="minorEastAsia" w:cstheme="minorEastAsia"/>
          <w:b/>
          <w:sz w:val="36"/>
          <w:szCs w:val="36"/>
          <w:lang w:val="en-US" w:eastAsia="zh-CN"/>
        </w:rPr>
        <w:t>电子</w:t>
      </w:r>
      <w:r>
        <w:rPr>
          <w:rFonts w:hint="eastAsia" w:asciiTheme="minorEastAsia" w:hAnsiTheme="minorEastAsia" w:eastAsiaTheme="minorEastAsia" w:cstheme="minorEastAsia"/>
          <w:b/>
          <w:sz w:val="36"/>
          <w:szCs w:val="36"/>
        </w:rPr>
        <w:t>天平参数</w:t>
      </w:r>
    </w:p>
    <w:p>
      <w:pPr>
        <w:spacing w:line="360" w:lineRule="auto"/>
        <w:jc w:val="left"/>
        <w:rPr>
          <w:rFonts w:hint="eastAsia"/>
          <w:sz w:val="24"/>
          <w:szCs w:val="24"/>
        </w:rPr>
      </w:pPr>
      <w:r>
        <w:rPr>
          <w:rFonts w:hint="eastAsia"/>
        </w:rPr>
        <w:t>1</w:t>
      </w:r>
      <w:r>
        <w:rPr>
          <w:rFonts w:hint="eastAsia"/>
          <w:sz w:val="24"/>
          <w:szCs w:val="24"/>
        </w:rPr>
        <w:t>、技术指标：</w:t>
      </w:r>
    </w:p>
    <w:p>
      <w:pPr>
        <w:numPr>
          <w:ilvl w:val="0"/>
          <w:numId w:val="16"/>
        </w:numPr>
        <w:spacing w:line="360" w:lineRule="auto"/>
        <w:jc w:val="left"/>
        <w:rPr>
          <w:rFonts w:hint="eastAsia"/>
          <w:sz w:val="24"/>
          <w:szCs w:val="24"/>
        </w:rPr>
      </w:pPr>
      <w:r>
        <w:rPr>
          <w:rFonts w:hint="eastAsia"/>
          <w:sz w:val="24"/>
          <w:szCs w:val="24"/>
        </w:rPr>
        <w:t>最大称量值</w:t>
      </w:r>
      <w:r>
        <w:rPr>
          <w:sz w:val="24"/>
          <w:szCs w:val="24"/>
        </w:rPr>
        <w:t>2</w:t>
      </w:r>
      <w:r>
        <w:rPr>
          <w:rFonts w:hint="eastAsia"/>
          <w:sz w:val="24"/>
          <w:szCs w:val="24"/>
        </w:rPr>
        <w:t>20（g）</w:t>
      </w:r>
    </w:p>
    <w:p>
      <w:pPr>
        <w:numPr>
          <w:ilvl w:val="0"/>
          <w:numId w:val="16"/>
        </w:numPr>
        <w:spacing w:line="360" w:lineRule="auto"/>
        <w:jc w:val="left"/>
        <w:rPr>
          <w:rFonts w:hint="eastAsia"/>
          <w:sz w:val="24"/>
          <w:szCs w:val="24"/>
        </w:rPr>
      </w:pPr>
      <w:r>
        <w:rPr>
          <w:rFonts w:hint="eastAsia"/>
          <w:sz w:val="24"/>
          <w:szCs w:val="24"/>
        </w:rPr>
        <w:t>读数精度0.1（mg）</w:t>
      </w:r>
    </w:p>
    <w:p>
      <w:pPr>
        <w:numPr>
          <w:ilvl w:val="0"/>
          <w:numId w:val="16"/>
        </w:numPr>
        <w:spacing w:line="360" w:lineRule="auto"/>
        <w:jc w:val="left"/>
        <w:rPr>
          <w:rFonts w:hint="eastAsia"/>
          <w:sz w:val="24"/>
          <w:szCs w:val="24"/>
        </w:rPr>
      </w:pPr>
      <w:r>
        <w:rPr>
          <w:rFonts w:hint="eastAsia"/>
          <w:sz w:val="24"/>
          <w:szCs w:val="24"/>
        </w:rPr>
        <w:t xml:space="preserve">重复性0.1mg  </w:t>
      </w:r>
    </w:p>
    <w:p>
      <w:pPr>
        <w:numPr>
          <w:ilvl w:val="0"/>
          <w:numId w:val="16"/>
        </w:numPr>
        <w:spacing w:line="360" w:lineRule="auto"/>
        <w:jc w:val="left"/>
        <w:rPr>
          <w:rFonts w:hint="eastAsia"/>
          <w:sz w:val="24"/>
          <w:szCs w:val="24"/>
        </w:rPr>
      </w:pPr>
      <w:r>
        <w:rPr>
          <w:rFonts w:hint="eastAsia"/>
          <w:sz w:val="24"/>
          <w:szCs w:val="24"/>
        </w:rPr>
        <w:t>线性0.2（mg）</w:t>
      </w:r>
    </w:p>
    <w:p>
      <w:pPr>
        <w:numPr>
          <w:ilvl w:val="0"/>
          <w:numId w:val="16"/>
        </w:numPr>
        <w:spacing w:line="360" w:lineRule="auto"/>
        <w:jc w:val="left"/>
        <w:rPr>
          <w:rFonts w:hint="eastAsia"/>
          <w:sz w:val="24"/>
          <w:szCs w:val="24"/>
        </w:rPr>
      </w:pPr>
      <w:r>
        <w:rPr>
          <w:rFonts w:hint="eastAsia"/>
          <w:sz w:val="24"/>
          <w:szCs w:val="24"/>
        </w:rPr>
        <w:t>典型称量时间：2s</w:t>
      </w:r>
    </w:p>
    <w:p>
      <w:pPr>
        <w:numPr>
          <w:ilvl w:val="0"/>
          <w:numId w:val="16"/>
        </w:numPr>
        <w:spacing w:line="360" w:lineRule="auto"/>
        <w:jc w:val="left"/>
        <w:rPr>
          <w:rFonts w:hint="eastAsia"/>
          <w:sz w:val="24"/>
          <w:szCs w:val="24"/>
        </w:rPr>
      </w:pPr>
      <w:r>
        <w:rPr>
          <w:rFonts w:hint="eastAsia"/>
          <w:sz w:val="24"/>
          <w:szCs w:val="24"/>
        </w:rPr>
        <w:t>秤盘尺寸∮90mm</w:t>
      </w:r>
      <w:r>
        <w:rPr>
          <w:rFonts w:hint="eastAsia" w:ascii="宋体" w:hAnsi="宋体"/>
          <w:sz w:val="24"/>
          <w:szCs w:val="24"/>
        </w:rPr>
        <w:t>高防腐蚀性不锈钢材料，秤盘表面光滑便于清洗</w:t>
      </w:r>
    </w:p>
    <w:p>
      <w:pPr>
        <w:numPr>
          <w:ilvl w:val="0"/>
          <w:numId w:val="16"/>
        </w:numPr>
        <w:spacing w:line="360" w:lineRule="auto"/>
        <w:jc w:val="left"/>
        <w:rPr>
          <w:rFonts w:hint="eastAsia"/>
          <w:sz w:val="24"/>
          <w:szCs w:val="24"/>
        </w:rPr>
      </w:pPr>
      <w:r>
        <w:rPr>
          <w:rFonts w:hint="eastAsia"/>
          <w:sz w:val="24"/>
          <w:szCs w:val="24"/>
        </w:rPr>
        <w:t>风罩尺寸：</w:t>
      </w:r>
      <w:r>
        <w:rPr>
          <w:sz w:val="24"/>
          <w:szCs w:val="24"/>
        </w:rPr>
        <w:t>175x200x</w:t>
      </w:r>
      <w:r>
        <w:rPr>
          <w:rFonts w:hint="eastAsia"/>
          <w:sz w:val="24"/>
          <w:szCs w:val="24"/>
        </w:rPr>
        <w:t xml:space="preserve"> 255mm</w:t>
      </w:r>
    </w:p>
    <w:p>
      <w:pPr>
        <w:numPr>
          <w:ilvl w:val="0"/>
          <w:numId w:val="16"/>
        </w:numPr>
        <w:spacing w:line="360" w:lineRule="auto"/>
        <w:jc w:val="left"/>
        <w:rPr>
          <w:rFonts w:hint="eastAsia"/>
          <w:sz w:val="24"/>
          <w:szCs w:val="24"/>
        </w:rPr>
      </w:pPr>
      <w:r>
        <w:rPr>
          <w:rFonts w:ascii="宋体" w:hAnsi="宋体" w:cs="宋体"/>
          <w:kern w:val="0"/>
          <w:sz w:val="24"/>
          <w:szCs w:val="24"/>
        </w:rPr>
        <w:t>灵敏度时间漂移：</w:t>
      </w:r>
      <w:r>
        <w:rPr>
          <w:rFonts w:hint="eastAsia"/>
          <w:sz w:val="24"/>
          <w:szCs w:val="24"/>
        </w:rPr>
        <w:t>（10</w:t>
      </w:r>
      <w:r>
        <w:rPr>
          <w:sz w:val="24"/>
          <w:szCs w:val="24"/>
        </w:rPr>
        <w:t>—</w:t>
      </w:r>
      <w:r>
        <w:rPr>
          <w:rFonts w:hint="eastAsia"/>
          <w:sz w:val="24"/>
          <w:szCs w:val="24"/>
        </w:rPr>
        <w:t>30℃）1.5ppm/℃</w:t>
      </w:r>
    </w:p>
    <w:p>
      <w:pPr>
        <w:numPr>
          <w:ilvl w:val="0"/>
          <w:numId w:val="16"/>
        </w:numPr>
        <w:spacing w:line="360" w:lineRule="auto"/>
        <w:jc w:val="left"/>
        <w:rPr>
          <w:sz w:val="24"/>
          <w:szCs w:val="24"/>
        </w:rPr>
      </w:pPr>
      <w:r>
        <w:rPr>
          <w:rFonts w:hint="eastAsia"/>
          <w:sz w:val="24"/>
          <w:szCs w:val="24"/>
        </w:rPr>
        <w:t>工作温度范围：</w:t>
      </w:r>
      <w:r>
        <w:rPr>
          <w:sz w:val="24"/>
          <w:szCs w:val="24"/>
        </w:rPr>
        <w:t>5-40</w:t>
      </w:r>
      <w:r>
        <w:rPr>
          <w:rFonts w:hint="eastAsia"/>
          <w:sz w:val="24"/>
          <w:szCs w:val="24"/>
        </w:rPr>
        <w:t>℃</w:t>
      </w:r>
    </w:p>
    <w:p>
      <w:pPr>
        <w:numPr>
          <w:ilvl w:val="0"/>
          <w:numId w:val="16"/>
        </w:numPr>
        <w:spacing w:line="360" w:lineRule="auto"/>
        <w:jc w:val="left"/>
        <w:rPr>
          <w:rFonts w:hint="eastAsia"/>
          <w:sz w:val="24"/>
          <w:szCs w:val="24"/>
        </w:rPr>
      </w:pPr>
      <w:r>
        <w:rPr>
          <w:rFonts w:hint="eastAsia"/>
          <w:sz w:val="24"/>
          <w:szCs w:val="24"/>
        </w:rPr>
        <w:t>工作电压</w:t>
      </w:r>
      <w:r>
        <w:rPr>
          <w:sz w:val="24"/>
          <w:szCs w:val="24"/>
        </w:rPr>
        <w:t xml:space="preserve">100~240V AC50~60HZ </w:t>
      </w:r>
      <w:r>
        <w:rPr>
          <w:rFonts w:hint="eastAsia"/>
          <w:sz w:val="24"/>
          <w:szCs w:val="24"/>
        </w:rPr>
        <w:t>±</w:t>
      </w:r>
      <w:r>
        <w:rPr>
          <w:sz w:val="24"/>
          <w:szCs w:val="24"/>
        </w:rPr>
        <w:t>10%</w:t>
      </w:r>
    </w:p>
    <w:p>
      <w:pPr>
        <w:spacing w:line="360" w:lineRule="auto"/>
        <w:jc w:val="left"/>
        <w:rPr>
          <w:rFonts w:ascii="宋体" w:hAnsi="宋体" w:cs="宋体"/>
          <w:kern w:val="0"/>
          <w:sz w:val="24"/>
          <w:szCs w:val="24"/>
        </w:rPr>
      </w:pPr>
      <w:r>
        <w:rPr>
          <w:sz w:val="24"/>
          <w:szCs w:val="24"/>
        </w:rPr>
        <w:t>2</w:t>
      </w:r>
      <w:r>
        <w:rPr>
          <w:rFonts w:hint="eastAsia"/>
          <w:sz w:val="24"/>
          <w:szCs w:val="24"/>
        </w:rPr>
        <w:t>、 仪器特点：</w:t>
      </w:r>
    </w:p>
    <w:p>
      <w:pPr>
        <w:numPr>
          <w:ilvl w:val="0"/>
          <w:numId w:val="17"/>
        </w:numPr>
        <w:spacing w:line="360" w:lineRule="auto"/>
        <w:jc w:val="left"/>
        <w:rPr>
          <w:rFonts w:hint="eastAsia"/>
          <w:sz w:val="24"/>
          <w:szCs w:val="24"/>
        </w:rPr>
      </w:pPr>
      <w:r>
        <w:rPr>
          <w:rFonts w:hint="eastAsia"/>
          <w:sz w:val="24"/>
          <w:szCs w:val="24"/>
        </w:rPr>
        <w:t>全铝合金基座</w:t>
      </w:r>
      <w:r>
        <w:rPr>
          <w:sz w:val="24"/>
          <w:szCs w:val="24"/>
        </w:rPr>
        <w:t xml:space="preserve"> </w:t>
      </w:r>
      <w:r>
        <w:rPr>
          <w:rFonts w:hint="eastAsia"/>
          <w:sz w:val="24"/>
          <w:szCs w:val="24"/>
        </w:rPr>
        <w:t>高强度</w:t>
      </w:r>
      <w:r>
        <w:rPr>
          <w:sz w:val="24"/>
          <w:szCs w:val="24"/>
        </w:rPr>
        <w:t xml:space="preserve"> </w:t>
      </w:r>
      <w:r>
        <w:rPr>
          <w:rFonts w:hint="eastAsia"/>
          <w:sz w:val="24"/>
          <w:szCs w:val="24"/>
        </w:rPr>
        <w:t>抗静电</w:t>
      </w:r>
    </w:p>
    <w:p>
      <w:pPr>
        <w:numPr>
          <w:ilvl w:val="0"/>
          <w:numId w:val="17"/>
        </w:numPr>
        <w:spacing w:line="360" w:lineRule="auto"/>
        <w:jc w:val="left"/>
        <w:rPr>
          <w:sz w:val="24"/>
          <w:szCs w:val="24"/>
        </w:rPr>
      </w:pPr>
      <w:r>
        <w:rPr>
          <w:rFonts w:hint="eastAsia"/>
          <w:sz w:val="24"/>
          <w:szCs w:val="24"/>
        </w:rPr>
        <w:t>标配</w:t>
      </w:r>
      <w:r>
        <w:rPr>
          <w:sz w:val="24"/>
          <w:szCs w:val="24"/>
        </w:rPr>
        <w:t>RS232</w:t>
      </w:r>
      <w:r>
        <w:rPr>
          <w:rFonts w:hint="eastAsia"/>
          <w:sz w:val="24"/>
          <w:szCs w:val="24"/>
        </w:rPr>
        <w:t>串口，内部自动校准功能，具有标准砝码自动侦别系统，</w:t>
      </w:r>
      <w:r>
        <w:rPr>
          <w:sz w:val="24"/>
          <w:szCs w:val="24"/>
        </w:rPr>
        <w:t>VFD</w:t>
      </w:r>
      <w:r>
        <w:rPr>
          <w:rFonts w:hint="eastAsia"/>
          <w:sz w:val="24"/>
          <w:szCs w:val="24"/>
        </w:rPr>
        <w:t>大显示屏幕轻松读取称量结果</w:t>
      </w:r>
      <w:r>
        <w:rPr>
          <w:sz w:val="24"/>
          <w:szCs w:val="24"/>
        </w:rPr>
        <w:t xml:space="preserve"> </w:t>
      </w:r>
    </w:p>
    <w:p>
      <w:pPr>
        <w:numPr>
          <w:ilvl w:val="0"/>
          <w:numId w:val="17"/>
        </w:numPr>
        <w:spacing w:line="360" w:lineRule="auto"/>
        <w:jc w:val="left"/>
        <w:rPr>
          <w:sz w:val="24"/>
          <w:szCs w:val="24"/>
        </w:rPr>
      </w:pPr>
      <w:r>
        <w:rPr>
          <w:rFonts w:hint="eastAsia" w:ascii="宋体" w:hAnsi="宋体" w:cs="宋体"/>
          <w:kern w:val="0"/>
          <w:sz w:val="24"/>
          <w:szCs w:val="24"/>
        </w:rPr>
        <w:t>前置水平指示器，方便观察和调节天平水平。</w:t>
      </w:r>
    </w:p>
    <w:p>
      <w:pPr>
        <w:numPr>
          <w:ilvl w:val="0"/>
          <w:numId w:val="17"/>
        </w:numPr>
        <w:spacing w:line="360" w:lineRule="auto"/>
        <w:jc w:val="left"/>
        <w:rPr>
          <w:sz w:val="24"/>
          <w:szCs w:val="24"/>
        </w:rPr>
      </w:pPr>
      <w:r>
        <w:rPr>
          <w:rFonts w:hint="eastAsia"/>
          <w:sz w:val="24"/>
          <w:szCs w:val="24"/>
        </w:rPr>
        <w:t>隔离式的工作模块，使称重室内的工作气流大大降低，称量数据能更快稳定</w:t>
      </w:r>
    </w:p>
    <w:p>
      <w:pPr>
        <w:numPr>
          <w:ilvl w:val="0"/>
          <w:numId w:val="17"/>
        </w:numPr>
        <w:spacing w:line="360" w:lineRule="auto"/>
        <w:jc w:val="left"/>
        <w:rPr>
          <w:sz w:val="24"/>
          <w:szCs w:val="24"/>
        </w:rPr>
      </w:pPr>
      <w:r>
        <w:rPr>
          <w:rFonts w:hint="eastAsia"/>
          <w:sz w:val="24"/>
          <w:szCs w:val="24"/>
        </w:rPr>
        <w:t>高性能高集成度的电子线路减少了电子零件数量保证稳定和可靠性的前提下使仪器占地更小</w:t>
      </w:r>
    </w:p>
    <w:p>
      <w:pPr>
        <w:numPr>
          <w:ilvl w:val="0"/>
          <w:numId w:val="17"/>
        </w:numPr>
        <w:spacing w:line="360" w:lineRule="auto"/>
        <w:jc w:val="left"/>
        <w:rPr>
          <w:sz w:val="24"/>
          <w:szCs w:val="24"/>
        </w:rPr>
      </w:pPr>
      <w:r>
        <w:rPr>
          <w:sz w:val="24"/>
          <w:szCs w:val="24"/>
        </w:rPr>
        <w:t>*</w:t>
      </w:r>
      <w:r>
        <w:rPr>
          <w:rFonts w:hint="eastAsia"/>
          <w:sz w:val="24"/>
          <w:szCs w:val="24"/>
        </w:rPr>
        <w:t>采用独特电磁力补偿传感器具有耐腐蚀，抗冲击的特点，精确、可靠</w:t>
      </w:r>
    </w:p>
    <w:p>
      <w:pPr>
        <w:numPr>
          <w:ilvl w:val="0"/>
          <w:numId w:val="17"/>
        </w:numPr>
        <w:spacing w:line="360" w:lineRule="auto"/>
        <w:jc w:val="left"/>
        <w:rPr>
          <w:sz w:val="24"/>
          <w:szCs w:val="24"/>
        </w:rPr>
      </w:pPr>
      <w:r>
        <w:rPr>
          <w:sz w:val="24"/>
          <w:szCs w:val="24"/>
        </w:rPr>
        <w:t>* 内部校准系统</w:t>
      </w:r>
      <w:r>
        <w:rPr>
          <w:rFonts w:hint="eastAsia"/>
          <w:sz w:val="24"/>
          <w:szCs w:val="24"/>
        </w:rPr>
        <w:t>，</w:t>
      </w:r>
      <w:r>
        <w:rPr>
          <w:sz w:val="24"/>
          <w:szCs w:val="24"/>
        </w:rPr>
        <w:t>可根据温度</w:t>
      </w:r>
      <w:r>
        <w:rPr>
          <w:rFonts w:hint="eastAsia"/>
          <w:sz w:val="24"/>
          <w:szCs w:val="24"/>
        </w:rPr>
        <w:t>、</w:t>
      </w:r>
      <w:r>
        <w:rPr>
          <w:sz w:val="24"/>
          <w:szCs w:val="24"/>
        </w:rPr>
        <w:t>时间自动校准</w:t>
      </w:r>
      <w:r>
        <w:rPr>
          <w:rFonts w:hint="eastAsia"/>
          <w:sz w:val="24"/>
          <w:szCs w:val="24"/>
        </w:rPr>
        <w:t>，</w:t>
      </w:r>
      <w:r>
        <w:rPr>
          <w:sz w:val="24"/>
          <w:szCs w:val="24"/>
        </w:rPr>
        <w:t>确保天平始终精准</w:t>
      </w:r>
      <w:r>
        <w:rPr>
          <w:rFonts w:hint="eastAsia"/>
          <w:sz w:val="24"/>
          <w:szCs w:val="24"/>
        </w:rPr>
        <w:t>。</w:t>
      </w:r>
    </w:p>
    <w:p>
      <w:pPr>
        <w:numPr>
          <w:ilvl w:val="0"/>
          <w:numId w:val="17"/>
        </w:numPr>
        <w:spacing w:line="360" w:lineRule="auto"/>
        <w:jc w:val="left"/>
        <w:rPr>
          <w:sz w:val="24"/>
          <w:szCs w:val="24"/>
        </w:rPr>
      </w:pPr>
      <w:r>
        <w:rPr>
          <w:rFonts w:hint="eastAsia"/>
          <w:sz w:val="24"/>
          <w:szCs w:val="24"/>
        </w:rPr>
        <w:t>标配齐全的应用程序，下挂称重、百分比称量、动物称重、密度称量、计数、等多种应用程序；</w:t>
      </w:r>
    </w:p>
    <w:p>
      <w:pPr>
        <w:numPr>
          <w:ilvl w:val="0"/>
          <w:numId w:val="17"/>
        </w:numPr>
        <w:spacing w:line="360" w:lineRule="auto"/>
        <w:jc w:val="left"/>
        <w:rPr>
          <w:sz w:val="24"/>
          <w:szCs w:val="24"/>
        </w:rPr>
      </w:pPr>
      <w:r>
        <w:rPr>
          <w:rFonts w:hint="eastAsia"/>
          <w:sz w:val="24"/>
          <w:szCs w:val="24"/>
          <w:shd w:val="clear" w:color="auto" w:fill="FFFFFF"/>
        </w:rPr>
        <w:t>内置实时时钟功能符合</w:t>
      </w:r>
      <w:r>
        <w:rPr>
          <w:sz w:val="24"/>
          <w:szCs w:val="24"/>
          <w:shd w:val="clear" w:color="auto" w:fill="FFFFFF"/>
        </w:rPr>
        <w:t>GMP,GLP</w:t>
      </w:r>
      <w:r>
        <w:rPr>
          <w:rFonts w:hint="eastAsia"/>
          <w:sz w:val="24"/>
          <w:szCs w:val="24"/>
          <w:shd w:val="clear" w:color="auto" w:fill="FFFFFF"/>
        </w:rPr>
        <w:t>要求</w:t>
      </w:r>
    </w:p>
    <w:p>
      <w:pPr>
        <w:numPr>
          <w:ilvl w:val="0"/>
          <w:numId w:val="17"/>
        </w:numPr>
        <w:spacing w:line="360" w:lineRule="auto"/>
        <w:jc w:val="left"/>
        <w:rPr>
          <w:rFonts w:hint="eastAsia" w:ascii="宋体" w:hAnsi="宋体"/>
          <w:bCs/>
          <w:sz w:val="24"/>
          <w:szCs w:val="24"/>
        </w:rPr>
      </w:pPr>
      <w:r>
        <w:rPr>
          <w:rFonts w:hint="eastAsia" w:ascii="宋体" w:hAnsi="宋体"/>
          <w:bCs/>
          <w:sz w:val="24"/>
          <w:szCs w:val="24"/>
        </w:rPr>
        <w:t xml:space="preserve">内建密度直读程序，配合密度配件（选 配）可准确测量密度并自动运算结果； </w:t>
      </w:r>
    </w:p>
    <w:p>
      <w:pPr>
        <w:numPr>
          <w:ilvl w:val="0"/>
          <w:numId w:val="17"/>
        </w:numPr>
        <w:spacing w:line="360" w:lineRule="auto"/>
        <w:jc w:val="left"/>
        <w:rPr>
          <w:rFonts w:hint="eastAsia"/>
          <w:sz w:val="24"/>
          <w:szCs w:val="24"/>
        </w:rPr>
      </w:pPr>
      <w:r>
        <w:rPr>
          <w:rFonts w:hint="eastAsia"/>
          <w:sz w:val="24"/>
          <w:szCs w:val="24"/>
        </w:rPr>
        <w:t>可拆卸无骨架风门，方便操作和清洗。</w:t>
      </w:r>
    </w:p>
    <w:p>
      <w:pPr>
        <w:numPr>
          <w:ilvl w:val="0"/>
          <w:numId w:val="17"/>
        </w:numPr>
        <w:spacing w:line="360" w:lineRule="auto"/>
        <w:jc w:val="left"/>
        <w:rPr>
          <w:rFonts w:hint="eastAsia"/>
          <w:sz w:val="24"/>
          <w:szCs w:val="24"/>
        </w:rPr>
      </w:pPr>
      <w:r>
        <w:rPr>
          <w:sz w:val="24"/>
          <w:szCs w:val="24"/>
        </w:rPr>
        <w:t>*</w:t>
      </w:r>
      <w:r>
        <w:rPr>
          <w:rFonts w:hint="eastAsia"/>
          <w:sz w:val="24"/>
          <w:szCs w:val="24"/>
        </w:rPr>
        <w:t>天平具有自动重复性测试性能，可自动检测及计算天平重复性误差。</w:t>
      </w:r>
    </w:p>
    <w:p>
      <w:pPr>
        <w:numPr>
          <w:ilvl w:val="0"/>
          <w:numId w:val="18"/>
        </w:numPr>
        <w:spacing w:line="360" w:lineRule="auto"/>
        <w:jc w:val="left"/>
        <w:rPr>
          <w:rFonts w:hint="eastAsia"/>
          <w:sz w:val="24"/>
          <w:szCs w:val="24"/>
        </w:rPr>
      </w:pPr>
      <w:r>
        <w:rPr>
          <w:rFonts w:hint="eastAsia"/>
          <w:sz w:val="24"/>
          <w:szCs w:val="24"/>
        </w:rPr>
        <w:t>配置清单：</w:t>
      </w:r>
    </w:p>
    <w:p>
      <w:pPr>
        <w:numPr>
          <w:ilvl w:val="0"/>
          <w:numId w:val="0"/>
        </w:numPr>
        <w:spacing w:line="360" w:lineRule="auto"/>
        <w:jc w:val="left"/>
        <w:rPr>
          <w:rFonts w:hint="default" w:eastAsia="宋体"/>
          <w:sz w:val="24"/>
          <w:szCs w:val="24"/>
          <w:lang w:val="en-US" w:eastAsia="zh-CN"/>
        </w:rPr>
      </w:pPr>
      <w:r>
        <w:rPr>
          <w:rFonts w:hint="eastAsia"/>
          <w:sz w:val="24"/>
          <w:szCs w:val="24"/>
        </w:rPr>
        <w:t>1）主机</w:t>
      </w:r>
      <w:r>
        <w:rPr>
          <w:rFonts w:hint="eastAsia"/>
          <w:sz w:val="24"/>
          <w:szCs w:val="24"/>
          <w:lang w:val="en-US" w:eastAsia="zh-CN"/>
        </w:rPr>
        <w:t>1台</w:t>
      </w:r>
    </w:p>
    <w:p>
      <w:pPr>
        <w:spacing w:line="360" w:lineRule="auto"/>
        <w:jc w:val="left"/>
        <w:rPr>
          <w:rFonts w:hint="default" w:eastAsia="宋体"/>
          <w:sz w:val="24"/>
          <w:szCs w:val="24"/>
          <w:lang w:val="en-US" w:eastAsia="zh-CN"/>
        </w:rPr>
      </w:pPr>
      <w:r>
        <w:rPr>
          <w:rFonts w:hint="eastAsia"/>
          <w:sz w:val="24"/>
          <w:szCs w:val="24"/>
        </w:rPr>
        <w:t>2）防风罩</w:t>
      </w:r>
      <w:r>
        <w:rPr>
          <w:rFonts w:hint="eastAsia"/>
          <w:sz w:val="24"/>
          <w:szCs w:val="24"/>
          <w:lang w:val="en-US" w:eastAsia="zh-CN"/>
        </w:rPr>
        <w:t>1个</w:t>
      </w:r>
    </w:p>
    <w:p>
      <w:pPr>
        <w:spacing w:line="360" w:lineRule="auto"/>
        <w:jc w:val="left"/>
        <w:rPr>
          <w:rFonts w:hint="default" w:eastAsia="宋体"/>
          <w:sz w:val="24"/>
          <w:szCs w:val="24"/>
          <w:lang w:val="en-US" w:eastAsia="zh-CN"/>
        </w:rPr>
      </w:pPr>
      <w:r>
        <w:rPr>
          <w:rFonts w:hint="eastAsia"/>
          <w:sz w:val="24"/>
          <w:szCs w:val="24"/>
        </w:rPr>
        <w:t xml:space="preserve">3）挡风圈  </w:t>
      </w:r>
      <w:r>
        <w:rPr>
          <w:rFonts w:hint="eastAsia"/>
          <w:sz w:val="24"/>
          <w:szCs w:val="24"/>
          <w:lang w:val="en-US" w:eastAsia="zh-CN"/>
        </w:rPr>
        <w:t>1个</w:t>
      </w:r>
    </w:p>
    <w:p>
      <w:pPr>
        <w:spacing w:line="360" w:lineRule="auto"/>
        <w:jc w:val="left"/>
        <w:rPr>
          <w:rFonts w:hint="default" w:eastAsia="宋体"/>
          <w:sz w:val="24"/>
          <w:szCs w:val="24"/>
          <w:lang w:val="en-US" w:eastAsia="zh-CN"/>
        </w:rPr>
      </w:pPr>
      <w:r>
        <w:rPr>
          <w:rFonts w:hint="eastAsia"/>
          <w:sz w:val="24"/>
          <w:szCs w:val="24"/>
        </w:rPr>
        <w:t>4）秤盘</w:t>
      </w:r>
      <w:r>
        <w:rPr>
          <w:rFonts w:hint="eastAsia"/>
          <w:sz w:val="24"/>
          <w:szCs w:val="24"/>
          <w:lang w:val="en-US" w:eastAsia="zh-CN"/>
        </w:rPr>
        <w:t>1个</w:t>
      </w:r>
    </w:p>
    <w:p>
      <w:pPr>
        <w:spacing w:line="360" w:lineRule="auto"/>
        <w:jc w:val="left"/>
        <w:rPr>
          <w:rFonts w:hint="default" w:eastAsia="宋体"/>
          <w:sz w:val="24"/>
          <w:szCs w:val="24"/>
          <w:lang w:val="en-US" w:eastAsia="zh-CN"/>
        </w:rPr>
      </w:pPr>
      <w:r>
        <w:rPr>
          <w:rFonts w:hint="eastAsia"/>
          <w:sz w:val="24"/>
          <w:szCs w:val="24"/>
        </w:rPr>
        <w:t>5）电源适配器</w:t>
      </w:r>
      <w:r>
        <w:rPr>
          <w:rFonts w:hint="eastAsia"/>
          <w:sz w:val="24"/>
          <w:szCs w:val="24"/>
          <w:lang w:val="en-US" w:eastAsia="zh-CN"/>
        </w:rPr>
        <w:t>1个</w:t>
      </w:r>
    </w:p>
    <w:p>
      <w:pPr>
        <w:spacing w:line="360" w:lineRule="auto"/>
        <w:jc w:val="left"/>
        <w:rPr>
          <w:rFonts w:hint="default" w:eastAsia="宋体"/>
          <w:sz w:val="24"/>
          <w:szCs w:val="24"/>
          <w:lang w:val="en-US" w:eastAsia="zh-CN"/>
        </w:rPr>
      </w:pPr>
      <w:r>
        <w:rPr>
          <w:rFonts w:hint="eastAsia"/>
          <w:sz w:val="24"/>
          <w:szCs w:val="24"/>
        </w:rPr>
        <w:t>6) 合格证</w:t>
      </w:r>
      <w:r>
        <w:rPr>
          <w:rFonts w:hint="eastAsia"/>
          <w:sz w:val="24"/>
          <w:szCs w:val="24"/>
          <w:lang w:val="en-US" w:eastAsia="zh-CN"/>
        </w:rPr>
        <w:t>1份</w:t>
      </w:r>
    </w:p>
    <w:p>
      <w:pPr>
        <w:spacing w:line="360" w:lineRule="auto"/>
        <w:jc w:val="left"/>
        <w:rPr>
          <w:rFonts w:hint="eastAsia"/>
        </w:rPr>
      </w:pPr>
      <w:r>
        <w:rPr>
          <w:rFonts w:hint="eastAsia"/>
          <w:sz w:val="24"/>
          <w:szCs w:val="24"/>
        </w:rPr>
        <w:t>7）使用说明书</w:t>
      </w:r>
      <w:r>
        <w:rPr>
          <w:rFonts w:hint="eastAsia"/>
          <w:sz w:val="24"/>
          <w:szCs w:val="24"/>
          <w:lang w:val="en-US" w:eastAsia="zh-CN"/>
        </w:rPr>
        <w:t>1份</w:t>
      </w:r>
    </w:p>
    <w:p>
      <w:pPr>
        <w:jc w:val="left"/>
        <w:rPr>
          <w:rFonts w:hint="eastAsia" w:ascii="宋体" w:hAnsi="宋体" w:eastAsia="宋体" w:cs="宋体"/>
          <w:sz w:val="21"/>
          <w:szCs w:val="21"/>
        </w:rPr>
      </w:pPr>
    </w:p>
    <w:p>
      <w:pPr>
        <w:widowControl/>
        <w:spacing w:line="360" w:lineRule="auto"/>
        <w:jc w:val="left"/>
        <w:rPr>
          <w:rFonts w:hint="eastAsia" w:ascii="宋体" w:hAnsi="宋体" w:eastAsia="宋体" w:cs="宋体"/>
          <w:b/>
          <w:bCs/>
          <w:color w:val="333333"/>
          <w:kern w:val="0"/>
          <w:sz w:val="36"/>
          <w:szCs w:val="36"/>
          <w:shd w:val="clear" w:color="auto" w:fill="FFFFFF"/>
          <w:lang w:val="en-US" w:eastAsia="zh-CN"/>
        </w:rPr>
      </w:pPr>
      <w:r>
        <w:rPr>
          <w:rFonts w:hint="eastAsia" w:ascii="宋体" w:hAnsi="宋体" w:eastAsia="宋体" w:cs="宋体"/>
          <w:b/>
          <w:bCs/>
          <w:color w:val="333333"/>
          <w:kern w:val="0"/>
          <w:sz w:val="36"/>
          <w:szCs w:val="36"/>
          <w:shd w:val="clear" w:color="auto" w:fill="FFFFFF"/>
          <w:lang w:val="en-US" w:eastAsia="zh-CN"/>
        </w:rPr>
        <w:t>14、</w:t>
      </w:r>
      <w:r>
        <w:rPr>
          <w:rFonts w:hint="eastAsia" w:ascii="宋体" w:hAnsi="宋体" w:eastAsia="宋体" w:cs="宋体"/>
          <w:b/>
          <w:bCs/>
          <w:color w:val="333333"/>
          <w:kern w:val="0"/>
          <w:sz w:val="36"/>
          <w:szCs w:val="36"/>
          <w:shd w:val="clear" w:color="auto" w:fill="FFFFFF"/>
        </w:rPr>
        <w:t>电热恒温水浴锅</w:t>
      </w:r>
    </w:p>
    <w:p>
      <w:pPr>
        <w:widowControl/>
        <w:spacing w:line="360" w:lineRule="auto"/>
        <w:jc w:val="left"/>
        <w:rPr>
          <w:rFonts w:hint="eastAsia" w:ascii="新宋体" w:hAnsi="新宋体" w:eastAsia="新宋体" w:cs="新宋体"/>
          <w:sz w:val="24"/>
          <w:szCs w:val="24"/>
        </w:rPr>
      </w:pPr>
      <w:r>
        <w:rPr>
          <w:rFonts w:hint="eastAsia" w:ascii="新宋体" w:hAnsi="新宋体" w:eastAsia="新宋体" w:cs="新宋体"/>
          <w:color w:val="333333"/>
          <w:kern w:val="0"/>
          <w:sz w:val="24"/>
          <w:szCs w:val="24"/>
          <w:shd w:val="clear" w:color="auto" w:fill="FFFFFF"/>
        </w:rPr>
        <w:t>品名：电热恒温水浴锅</w:t>
      </w:r>
      <w:r>
        <w:rPr>
          <w:rFonts w:hint="eastAsia" w:ascii="新宋体" w:hAnsi="新宋体" w:eastAsia="新宋体" w:cs="新宋体"/>
          <w:color w:val="333333"/>
          <w:kern w:val="0"/>
          <w:sz w:val="24"/>
          <w:szCs w:val="24"/>
        </w:rPr>
        <w:br w:type="textWrapping"/>
      </w:r>
      <w:r>
        <w:rPr>
          <w:rStyle w:val="33"/>
          <w:rFonts w:hint="eastAsia" w:ascii="新宋体" w:hAnsi="新宋体" w:eastAsia="新宋体" w:cs="新宋体"/>
          <w:i w:val="0"/>
          <w:caps w:val="0"/>
          <w:color w:val="333333"/>
          <w:spacing w:val="0"/>
          <w:sz w:val="24"/>
          <w:szCs w:val="24"/>
          <w:shd w:val="clear" w:fill="FFFFFF"/>
        </w:rPr>
        <w:t>应用范围:</w:t>
      </w:r>
      <w:r>
        <w:rPr>
          <w:rFonts w:hint="eastAsia" w:ascii="新宋体" w:hAnsi="新宋体" w:eastAsia="新宋体" w:cs="新宋体"/>
          <w:b w:val="0"/>
          <w:i w:val="0"/>
          <w:caps w:val="0"/>
          <w:color w:val="333333"/>
          <w:spacing w:val="0"/>
          <w:sz w:val="24"/>
          <w:szCs w:val="24"/>
          <w:shd w:val="clear" w:fill="FFFFFF"/>
        </w:rPr>
        <w:t>本系列产品可供医疗卫生、医学院校检查化验病理血清和工矿企业，科研单位作精密恒温和辅助加热。</w:t>
      </w:r>
      <w:r>
        <w:rPr>
          <w:rFonts w:hint="eastAsia" w:ascii="新宋体" w:hAnsi="新宋体" w:eastAsia="新宋体" w:cs="新宋体"/>
          <w:b w:val="0"/>
          <w:i w:val="0"/>
          <w:caps w:val="0"/>
          <w:color w:val="333333"/>
          <w:spacing w:val="0"/>
          <w:sz w:val="24"/>
          <w:szCs w:val="24"/>
          <w:shd w:val="clear" w:fill="FFFFFF"/>
        </w:rPr>
        <w:br w:type="textWrapping"/>
      </w:r>
      <w:r>
        <w:rPr>
          <w:rStyle w:val="33"/>
          <w:rFonts w:hint="eastAsia" w:ascii="新宋体" w:hAnsi="新宋体" w:eastAsia="新宋体" w:cs="新宋体"/>
          <w:i w:val="0"/>
          <w:caps w:val="0"/>
          <w:color w:val="333333"/>
          <w:spacing w:val="0"/>
          <w:sz w:val="24"/>
          <w:szCs w:val="24"/>
          <w:shd w:val="clear" w:fill="FFFFFF"/>
        </w:rPr>
        <w:t>技术参数：</w:t>
      </w:r>
      <w:r>
        <w:rPr>
          <w:rStyle w:val="33"/>
          <w:rFonts w:hint="eastAsia" w:ascii="新宋体" w:hAnsi="新宋体" w:eastAsia="新宋体" w:cs="新宋体"/>
          <w:i w:val="0"/>
          <w:caps w:val="0"/>
          <w:color w:val="333333"/>
          <w:spacing w:val="0"/>
          <w:sz w:val="24"/>
          <w:szCs w:val="24"/>
          <w:shd w:val="clear" w:fill="FFFFFF"/>
        </w:rPr>
        <w:br w:type="textWrapping"/>
      </w:r>
      <w:r>
        <w:rPr>
          <w:rFonts w:hint="eastAsia" w:ascii="新宋体" w:hAnsi="新宋体" w:eastAsia="新宋体" w:cs="新宋体"/>
          <w:b w:val="0"/>
          <w:i w:val="0"/>
          <w:caps w:val="0"/>
          <w:color w:val="333333"/>
          <w:spacing w:val="0"/>
          <w:sz w:val="24"/>
          <w:szCs w:val="24"/>
          <w:shd w:val="clear" w:fill="FFFFFF"/>
        </w:rPr>
        <w:t>本系列产品外壳采用优质钢板制成，表面喷塑，内胆采用不锈钢板；</w:t>
      </w:r>
      <w:r>
        <w:rPr>
          <w:rFonts w:hint="eastAsia" w:ascii="新宋体" w:hAnsi="新宋体" w:eastAsia="新宋体" w:cs="新宋体"/>
          <w:b w:val="0"/>
          <w:i w:val="0"/>
          <w:caps w:val="0"/>
          <w:color w:val="333333"/>
          <w:spacing w:val="0"/>
          <w:sz w:val="24"/>
          <w:szCs w:val="24"/>
          <w:shd w:val="clear" w:fill="FFFFFF"/>
        </w:rPr>
        <w:br w:type="textWrapping"/>
      </w:r>
      <w:r>
        <w:rPr>
          <w:rFonts w:hint="eastAsia" w:ascii="新宋体" w:hAnsi="新宋体" w:eastAsia="新宋体" w:cs="新宋体"/>
          <w:b w:val="0"/>
          <w:i w:val="0"/>
          <w:caps w:val="0"/>
          <w:color w:val="333333"/>
          <w:spacing w:val="0"/>
          <w:sz w:val="24"/>
          <w:szCs w:val="24"/>
          <w:shd w:val="clear" w:fill="FFFFFF"/>
        </w:rPr>
        <w:t>温控系统选用高精度传感器和集成元件，电路经过精心设计，使控温精确可靠；</w:t>
      </w:r>
      <w:r>
        <w:rPr>
          <w:rFonts w:hint="eastAsia" w:ascii="新宋体" w:hAnsi="新宋体" w:eastAsia="新宋体" w:cs="新宋体"/>
          <w:b w:val="0"/>
          <w:i w:val="0"/>
          <w:caps w:val="0"/>
          <w:color w:val="333333"/>
          <w:spacing w:val="0"/>
          <w:sz w:val="24"/>
          <w:szCs w:val="24"/>
          <w:shd w:val="clear" w:fill="FFFFFF"/>
        </w:rPr>
        <w:br w:type="textWrapping"/>
      </w:r>
      <w:r>
        <w:rPr>
          <w:rFonts w:hint="eastAsia" w:ascii="新宋体" w:hAnsi="新宋体" w:eastAsia="新宋体" w:cs="新宋体"/>
          <w:b w:val="0"/>
          <w:i w:val="0"/>
          <w:caps w:val="0"/>
          <w:color w:val="333333"/>
          <w:spacing w:val="0"/>
          <w:sz w:val="24"/>
          <w:szCs w:val="24"/>
          <w:shd w:val="clear" w:fill="FFFFFF"/>
        </w:rPr>
        <w:t>具有关键电子元器件诊断功能。</w:t>
      </w:r>
      <w:r>
        <w:rPr>
          <w:rFonts w:hint="eastAsia" w:ascii="新宋体" w:hAnsi="新宋体" w:eastAsia="新宋体" w:cs="新宋体"/>
          <w:b w:val="0"/>
          <w:i w:val="0"/>
          <w:caps w:val="0"/>
          <w:color w:val="333333"/>
          <w:spacing w:val="0"/>
          <w:sz w:val="24"/>
          <w:szCs w:val="24"/>
          <w:shd w:val="clear" w:fill="FFFFFF"/>
        </w:rPr>
        <w:br w:type="textWrapping"/>
      </w:r>
      <w:r>
        <w:rPr>
          <w:rFonts w:hint="eastAsia" w:ascii="新宋体" w:hAnsi="新宋体" w:eastAsia="新宋体" w:cs="新宋体"/>
          <w:b w:val="0"/>
          <w:i w:val="0"/>
          <w:caps w:val="0"/>
          <w:color w:val="333333"/>
          <w:spacing w:val="0"/>
          <w:sz w:val="24"/>
          <w:szCs w:val="24"/>
          <w:shd w:val="clear" w:fill="FFFFFF"/>
        </w:rPr>
        <w:t>规格：双列八孔</w:t>
      </w:r>
      <w:r>
        <w:rPr>
          <w:rFonts w:hint="eastAsia" w:ascii="新宋体" w:hAnsi="新宋体" w:eastAsia="新宋体" w:cs="新宋体"/>
          <w:b w:val="0"/>
          <w:i w:val="0"/>
          <w:caps w:val="0"/>
          <w:color w:val="333333"/>
          <w:spacing w:val="0"/>
          <w:sz w:val="24"/>
          <w:szCs w:val="24"/>
          <w:shd w:val="clear" w:fill="FFFFFF"/>
        </w:rPr>
        <w:br w:type="textWrapping"/>
      </w:r>
      <w:r>
        <w:rPr>
          <w:rFonts w:hint="eastAsia" w:ascii="新宋体" w:hAnsi="新宋体" w:eastAsia="新宋体" w:cs="新宋体"/>
          <w:b w:val="0"/>
          <w:i w:val="0"/>
          <w:caps w:val="0"/>
          <w:color w:val="333333"/>
          <w:spacing w:val="0"/>
          <w:sz w:val="24"/>
          <w:szCs w:val="24"/>
          <w:shd w:val="clear" w:fill="FFFFFF"/>
        </w:rPr>
        <w:t>外形尺寸(mm)：635×320×225</w:t>
      </w:r>
      <w:r>
        <w:rPr>
          <w:rFonts w:hint="eastAsia" w:ascii="新宋体" w:hAnsi="新宋体" w:eastAsia="新宋体" w:cs="新宋体"/>
          <w:b w:val="0"/>
          <w:i w:val="0"/>
          <w:caps w:val="0"/>
          <w:color w:val="333333"/>
          <w:spacing w:val="0"/>
          <w:sz w:val="24"/>
          <w:szCs w:val="24"/>
          <w:shd w:val="clear" w:fill="FFFFFF"/>
        </w:rPr>
        <w:br w:type="textWrapping"/>
      </w:r>
      <w:r>
        <w:rPr>
          <w:rFonts w:hint="eastAsia" w:ascii="新宋体" w:hAnsi="新宋体" w:eastAsia="新宋体" w:cs="新宋体"/>
          <w:b w:val="0"/>
          <w:i w:val="0"/>
          <w:caps w:val="0"/>
          <w:color w:val="333333"/>
          <w:spacing w:val="0"/>
          <w:sz w:val="24"/>
          <w:szCs w:val="24"/>
          <w:shd w:val="clear" w:fill="FFFFFF"/>
        </w:rPr>
        <w:t>操作室尺寸(mm)：600×290×120</w:t>
      </w:r>
      <w:r>
        <w:rPr>
          <w:rFonts w:hint="eastAsia" w:ascii="新宋体" w:hAnsi="新宋体" w:eastAsia="新宋体" w:cs="新宋体"/>
          <w:b w:val="0"/>
          <w:i w:val="0"/>
          <w:caps w:val="0"/>
          <w:color w:val="333333"/>
          <w:spacing w:val="0"/>
          <w:sz w:val="24"/>
          <w:szCs w:val="24"/>
          <w:shd w:val="clear" w:fill="FFFFFF"/>
        </w:rPr>
        <w:br w:type="textWrapping"/>
      </w:r>
      <w:r>
        <w:rPr>
          <w:rFonts w:hint="eastAsia" w:ascii="新宋体" w:hAnsi="新宋体" w:eastAsia="新宋体" w:cs="新宋体"/>
          <w:b w:val="0"/>
          <w:i w:val="0"/>
          <w:caps w:val="0"/>
          <w:color w:val="333333"/>
          <w:spacing w:val="0"/>
          <w:sz w:val="24"/>
          <w:szCs w:val="24"/>
          <w:shd w:val="clear" w:fill="FFFFFF"/>
        </w:rPr>
        <w:t>功率(kW)：1.5</w:t>
      </w:r>
      <w:r>
        <w:rPr>
          <w:rFonts w:hint="eastAsia" w:ascii="新宋体" w:hAnsi="新宋体" w:eastAsia="新宋体" w:cs="新宋体"/>
          <w:b w:val="0"/>
          <w:i w:val="0"/>
          <w:caps w:val="0"/>
          <w:color w:val="333333"/>
          <w:spacing w:val="0"/>
          <w:sz w:val="24"/>
          <w:szCs w:val="24"/>
          <w:shd w:val="clear" w:fill="FFFFFF"/>
        </w:rPr>
        <w:br w:type="textWrapping"/>
      </w:r>
      <w:r>
        <w:rPr>
          <w:rFonts w:hint="eastAsia" w:ascii="新宋体" w:hAnsi="新宋体" w:eastAsia="新宋体" w:cs="新宋体"/>
          <w:b w:val="0"/>
          <w:i w:val="0"/>
          <w:caps w:val="0"/>
          <w:color w:val="333333"/>
          <w:spacing w:val="0"/>
          <w:sz w:val="24"/>
          <w:szCs w:val="24"/>
          <w:shd w:val="clear" w:fill="FFFFFF"/>
        </w:rPr>
        <w:t>温控范围及温度误差：RT+5-100℃  ±1℃</w:t>
      </w:r>
    </w:p>
    <w:p>
      <w:pPr>
        <w:rPr>
          <w:rFonts w:hint="eastAsia" w:ascii="宋体" w:hAnsi="宋体" w:eastAsia="宋体" w:cs="宋体"/>
          <w:b w:val="0"/>
          <w:i w:val="0"/>
          <w:caps w:val="0"/>
          <w:color w:val="333333"/>
          <w:spacing w:val="0"/>
          <w:sz w:val="21"/>
          <w:szCs w:val="21"/>
          <w:shd w:val="clear" w:fill="FFFFFF"/>
        </w:rPr>
      </w:pPr>
    </w:p>
    <w:p>
      <w:pPr>
        <w:spacing w:line="360" w:lineRule="auto"/>
        <w:jc w:val="both"/>
        <w:rPr>
          <w:rFonts w:hint="eastAsia" w:ascii="宋体" w:hAnsi="宋体" w:eastAsia="宋体" w:cs="宋体"/>
          <w:color w:val="auto"/>
          <w:sz w:val="36"/>
          <w:szCs w:val="36"/>
          <w:highlight w:val="none"/>
          <w:lang w:eastAsia="zh-CN"/>
        </w:rPr>
      </w:pPr>
      <w:r>
        <w:rPr>
          <w:rFonts w:hint="eastAsia" w:ascii="宋体" w:hAnsi="宋体" w:eastAsia="宋体" w:cs="宋体"/>
          <w:b/>
          <w:color w:val="auto"/>
          <w:sz w:val="36"/>
          <w:szCs w:val="36"/>
          <w:highlight w:val="none"/>
          <w:lang w:val="en-US" w:eastAsia="zh-CN"/>
        </w:rPr>
        <w:t>15、分散机</w:t>
      </w:r>
    </w:p>
    <w:p>
      <w:pPr>
        <w:spacing w:line="360" w:lineRule="auto"/>
        <w:jc w:val="center"/>
        <w:rPr>
          <w:rFonts w:hint="eastAsia" w:eastAsia="宋体"/>
          <w:color w:val="auto"/>
          <w:sz w:val="28"/>
          <w:szCs w:val="28"/>
          <w:highlight w:val="none"/>
          <w:lang w:eastAsia="zh-CN"/>
        </w:rPr>
      </w:pPr>
      <w:r>
        <w:rPr>
          <w:rFonts w:hint="eastAsia"/>
          <w:b/>
          <w:color w:val="auto"/>
          <w:sz w:val="28"/>
          <w:szCs w:val="28"/>
          <w:highlight w:val="none"/>
          <w:lang w:val="en-US" w:eastAsia="zh-CN"/>
        </w:rPr>
        <w:t>匀浆机</w:t>
      </w:r>
    </w:p>
    <w:p>
      <w:pPr>
        <w:numPr>
          <w:ilvl w:val="0"/>
          <w:numId w:val="19"/>
        </w:numPr>
        <w:spacing w:line="360" w:lineRule="auto"/>
        <w:rPr>
          <w:color w:val="auto"/>
          <w:sz w:val="24"/>
          <w:szCs w:val="24"/>
          <w:highlight w:val="none"/>
        </w:rPr>
      </w:pPr>
      <w:r>
        <w:rPr>
          <w:rFonts w:hint="eastAsia"/>
          <w:color w:val="auto"/>
          <w:sz w:val="24"/>
          <w:szCs w:val="24"/>
          <w:highlight w:val="none"/>
        </w:rPr>
        <w:t>主机参数：</w:t>
      </w:r>
    </w:p>
    <w:p>
      <w:pPr>
        <w:numPr>
          <w:ilvl w:val="0"/>
          <w:numId w:val="20"/>
        </w:numPr>
        <w:spacing w:line="360" w:lineRule="auto"/>
        <w:rPr>
          <w:color w:val="auto"/>
          <w:sz w:val="24"/>
          <w:szCs w:val="24"/>
          <w:highlight w:val="none"/>
        </w:rPr>
      </w:pPr>
      <w:r>
        <w:rPr>
          <w:rFonts w:hint="eastAsia"/>
          <w:color w:val="auto"/>
          <w:sz w:val="24"/>
          <w:szCs w:val="24"/>
          <w:highlight w:val="none"/>
        </w:rPr>
        <w:t>强劲马达，高效运行：马达输入 / 输出功率为 700 / 500 W</w:t>
      </w:r>
    </w:p>
    <w:p>
      <w:pPr>
        <w:numPr>
          <w:ilvl w:val="0"/>
          <w:numId w:val="20"/>
        </w:numPr>
        <w:spacing w:line="360" w:lineRule="auto"/>
        <w:rPr>
          <w:color w:val="auto"/>
          <w:sz w:val="24"/>
          <w:szCs w:val="24"/>
          <w:highlight w:val="none"/>
        </w:rPr>
      </w:pPr>
      <w:r>
        <w:rPr>
          <w:rFonts w:hint="eastAsia"/>
          <w:color w:val="auto"/>
          <w:sz w:val="24"/>
          <w:szCs w:val="24"/>
          <w:highlight w:val="none"/>
        </w:rPr>
        <w:t>宽泛的处理范围：最小处理量（水）1</w:t>
      </w:r>
      <w:r>
        <w:rPr>
          <w:color w:val="auto"/>
          <w:sz w:val="24"/>
          <w:szCs w:val="24"/>
          <w:highlight w:val="none"/>
        </w:rPr>
        <w:t xml:space="preserve"> </w:t>
      </w:r>
      <w:r>
        <w:rPr>
          <w:rFonts w:hint="eastAsia"/>
          <w:color w:val="auto"/>
          <w:sz w:val="24"/>
          <w:szCs w:val="24"/>
          <w:highlight w:val="none"/>
        </w:rPr>
        <w:t>ml，最大处理量（水）2</w:t>
      </w:r>
      <w:r>
        <w:rPr>
          <w:color w:val="auto"/>
          <w:sz w:val="24"/>
          <w:szCs w:val="24"/>
          <w:highlight w:val="none"/>
        </w:rPr>
        <w:t xml:space="preserve"> </w:t>
      </w:r>
      <w:r>
        <w:rPr>
          <w:rFonts w:hint="eastAsia"/>
          <w:color w:val="auto"/>
          <w:sz w:val="24"/>
          <w:szCs w:val="24"/>
          <w:highlight w:val="none"/>
        </w:rPr>
        <w:t>L</w:t>
      </w:r>
    </w:p>
    <w:p>
      <w:pPr>
        <w:numPr>
          <w:ilvl w:val="0"/>
          <w:numId w:val="20"/>
        </w:numPr>
        <w:spacing w:line="360" w:lineRule="auto"/>
        <w:rPr>
          <w:color w:val="auto"/>
          <w:sz w:val="24"/>
          <w:szCs w:val="24"/>
          <w:highlight w:val="none"/>
        </w:rPr>
      </w:pPr>
      <w:r>
        <w:rPr>
          <w:rFonts w:hint="eastAsia"/>
          <w:color w:val="auto"/>
          <w:sz w:val="24"/>
          <w:szCs w:val="24"/>
          <w:highlight w:val="none"/>
        </w:rPr>
        <w:t>最大处理粘度 5000</w:t>
      </w:r>
      <w:r>
        <w:rPr>
          <w:color w:val="auto"/>
          <w:sz w:val="24"/>
          <w:szCs w:val="24"/>
          <w:highlight w:val="none"/>
        </w:rPr>
        <w:t xml:space="preserve"> </w:t>
      </w:r>
      <w:r>
        <w:rPr>
          <w:rFonts w:hint="eastAsia"/>
          <w:color w:val="auto"/>
          <w:sz w:val="24"/>
          <w:szCs w:val="24"/>
          <w:highlight w:val="none"/>
        </w:rPr>
        <w:t>mPa，即使粘度改变时也能保证转速恒定，有效保证操作的可重复性</w:t>
      </w:r>
    </w:p>
    <w:p>
      <w:pPr>
        <w:numPr>
          <w:ilvl w:val="0"/>
          <w:numId w:val="20"/>
        </w:numPr>
        <w:spacing w:line="360" w:lineRule="auto"/>
        <w:rPr>
          <w:color w:val="auto"/>
          <w:sz w:val="24"/>
          <w:szCs w:val="24"/>
          <w:highlight w:val="none"/>
        </w:rPr>
      </w:pPr>
      <w:r>
        <w:rPr>
          <w:rFonts w:hint="eastAsia"/>
          <w:color w:val="auto"/>
          <w:sz w:val="24"/>
          <w:szCs w:val="24"/>
          <w:highlight w:val="none"/>
        </w:rPr>
        <w:t>无极调速</w:t>
      </w:r>
      <w:r>
        <w:rPr>
          <w:color w:val="auto"/>
          <w:sz w:val="24"/>
          <w:szCs w:val="24"/>
          <w:highlight w:val="none"/>
        </w:rPr>
        <w:t>，</w:t>
      </w:r>
      <w:r>
        <w:rPr>
          <w:rFonts w:hint="eastAsia"/>
          <w:color w:val="auto"/>
          <w:sz w:val="24"/>
          <w:szCs w:val="24"/>
          <w:highlight w:val="none"/>
        </w:rPr>
        <w:t>稳定</w:t>
      </w:r>
      <w:r>
        <w:rPr>
          <w:color w:val="auto"/>
          <w:sz w:val="24"/>
          <w:szCs w:val="24"/>
          <w:highlight w:val="none"/>
        </w:rPr>
        <w:t>运行的速度范围为</w:t>
      </w:r>
      <w:r>
        <w:rPr>
          <w:rFonts w:hint="eastAsia"/>
          <w:color w:val="auto"/>
          <w:sz w:val="24"/>
          <w:szCs w:val="24"/>
          <w:highlight w:val="none"/>
        </w:rPr>
        <w:t>3,000 – 25,000 rpm，</w:t>
      </w:r>
      <w:r>
        <w:rPr>
          <w:color w:val="auto"/>
          <w:sz w:val="24"/>
          <w:szCs w:val="24"/>
          <w:highlight w:val="none"/>
        </w:rPr>
        <w:t>且为数字显示，有利于精确记录或重复</w:t>
      </w:r>
    </w:p>
    <w:p>
      <w:pPr>
        <w:numPr>
          <w:ilvl w:val="0"/>
          <w:numId w:val="20"/>
        </w:numPr>
        <w:spacing w:line="360" w:lineRule="auto"/>
        <w:rPr>
          <w:color w:val="auto"/>
          <w:sz w:val="24"/>
          <w:szCs w:val="24"/>
          <w:highlight w:val="none"/>
        </w:rPr>
      </w:pPr>
      <w:r>
        <w:rPr>
          <w:rFonts w:hint="eastAsia"/>
          <w:color w:val="auto"/>
          <w:sz w:val="24"/>
          <w:szCs w:val="24"/>
          <w:highlight w:val="none"/>
        </w:rPr>
        <w:t>高速</w:t>
      </w:r>
      <w:r>
        <w:rPr>
          <w:color w:val="auto"/>
          <w:sz w:val="24"/>
          <w:szCs w:val="24"/>
          <w:highlight w:val="none"/>
        </w:rPr>
        <w:t>运转下的安全性能：</w:t>
      </w:r>
      <w:r>
        <w:rPr>
          <w:rFonts w:hint="eastAsia"/>
          <w:color w:val="auto"/>
          <w:sz w:val="24"/>
          <w:szCs w:val="24"/>
          <w:highlight w:val="none"/>
        </w:rPr>
        <w:t>提供过载</w:t>
      </w:r>
      <w:r>
        <w:rPr>
          <w:color w:val="auto"/>
          <w:sz w:val="24"/>
          <w:szCs w:val="24"/>
          <w:highlight w:val="none"/>
        </w:rPr>
        <w:t>保护</w:t>
      </w:r>
    </w:p>
    <w:p>
      <w:pPr>
        <w:numPr>
          <w:ilvl w:val="0"/>
          <w:numId w:val="20"/>
        </w:numPr>
        <w:spacing w:line="360" w:lineRule="auto"/>
        <w:rPr>
          <w:color w:val="auto"/>
          <w:sz w:val="24"/>
          <w:szCs w:val="24"/>
          <w:highlight w:val="none"/>
        </w:rPr>
      </w:pPr>
      <w:r>
        <w:rPr>
          <w:rFonts w:hint="eastAsia"/>
          <w:color w:val="auto"/>
          <w:sz w:val="24"/>
          <w:szCs w:val="24"/>
          <w:highlight w:val="none"/>
        </w:rPr>
        <w:t>可选配缓流器，用于阻止漩涡的产生，并阻止空气进入介质</w:t>
      </w:r>
    </w:p>
    <w:p>
      <w:pPr>
        <w:numPr>
          <w:ilvl w:val="0"/>
          <w:numId w:val="20"/>
        </w:numPr>
        <w:spacing w:line="360" w:lineRule="auto"/>
        <w:rPr>
          <w:color w:val="auto"/>
          <w:sz w:val="24"/>
          <w:szCs w:val="24"/>
          <w:highlight w:val="none"/>
        </w:rPr>
      </w:pPr>
      <w:r>
        <w:rPr>
          <w:rFonts w:hint="eastAsia"/>
          <w:color w:val="auto"/>
          <w:sz w:val="24"/>
          <w:szCs w:val="24"/>
          <w:highlight w:val="none"/>
        </w:rPr>
        <w:t>可选配分散刀具清洁工具</w:t>
      </w:r>
    </w:p>
    <w:p>
      <w:pPr>
        <w:numPr>
          <w:ilvl w:val="0"/>
          <w:numId w:val="20"/>
        </w:numPr>
        <w:spacing w:line="360" w:lineRule="auto"/>
        <w:rPr>
          <w:color w:val="auto"/>
          <w:sz w:val="24"/>
          <w:szCs w:val="24"/>
          <w:highlight w:val="none"/>
        </w:rPr>
      </w:pPr>
      <w:r>
        <w:rPr>
          <w:rFonts w:hint="eastAsia"/>
          <w:color w:val="auto"/>
          <w:sz w:val="24"/>
          <w:szCs w:val="24"/>
          <w:highlight w:val="none"/>
        </w:rPr>
        <w:t>允许环境温度:5 – 40 ℃，允许相对湿度:80%</w:t>
      </w:r>
    </w:p>
    <w:p>
      <w:pPr>
        <w:numPr>
          <w:ilvl w:val="0"/>
          <w:numId w:val="20"/>
        </w:numPr>
        <w:spacing w:line="360" w:lineRule="auto"/>
        <w:rPr>
          <w:color w:val="auto"/>
          <w:sz w:val="24"/>
          <w:szCs w:val="24"/>
          <w:highlight w:val="none"/>
        </w:rPr>
      </w:pPr>
      <w:r>
        <w:rPr>
          <w:rFonts w:hint="eastAsia"/>
          <w:color w:val="auto"/>
          <w:sz w:val="24"/>
          <w:szCs w:val="24"/>
          <w:highlight w:val="none"/>
        </w:rPr>
        <w:t>质保</w:t>
      </w:r>
      <w:r>
        <w:rPr>
          <w:color w:val="auto"/>
          <w:sz w:val="24"/>
          <w:szCs w:val="24"/>
          <w:highlight w:val="none"/>
        </w:rPr>
        <w:t>：</w:t>
      </w:r>
      <w:r>
        <w:rPr>
          <w:rFonts w:hint="eastAsia"/>
          <w:color w:val="auto"/>
          <w:sz w:val="24"/>
          <w:szCs w:val="24"/>
          <w:highlight w:val="none"/>
        </w:rPr>
        <w:t>2</w:t>
      </w:r>
      <w:r>
        <w:rPr>
          <w:color w:val="auto"/>
          <w:sz w:val="24"/>
          <w:szCs w:val="24"/>
          <w:highlight w:val="none"/>
        </w:rPr>
        <w:t>+1</w:t>
      </w:r>
      <w:r>
        <w:rPr>
          <w:rFonts w:hint="eastAsia"/>
          <w:color w:val="auto"/>
          <w:sz w:val="24"/>
          <w:szCs w:val="24"/>
          <w:highlight w:val="none"/>
        </w:rPr>
        <w:t>年</w:t>
      </w:r>
    </w:p>
    <w:p>
      <w:pPr>
        <w:spacing w:line="360" w:lineRule="auto"/>
        <w:ind w:left="360"/>
        <w:rPr>
          <w:rFonts w:hint="eastAsia"/>
          <w:color w:val="auto"/>
          <w:sz w:val="24"/>
          <w:szCs w:val="24"/>
          <w:highlight w:val="none"/>
        </w:rPr>
      </w:pPr>
    </w:p>
    <w:p>
      <w:pPr>
        <w:numPr>
          <w:ilvl w:val="0"/>
          <w:numId w:val="19"/>
        </w:numPr>
        <w:spacing w:line="360" w:lineRule="auto"/>
        <w:rPr>
          <w:rFonts w:hint="eastAsia"/>
          <w:color w:val="auto"/>
          <w:sz w:val="24"/>
          <w:szCs w:val="24"/>
          <w:highlight w:val="none"/>
        </w:rPr>
      </w:pPr>
      <w:r>
        <w:rPr>
          <w:rFonts w:hint="eastAsia"/>
          <w:color w:val="auto"/>
          <w:sz w:val="24"/>
          <w:szCs w:val="24"/>
          <w:highlight w:val="none"/>
        </w:rPr>
        <w:t>刀具参数：</w:t>
      </w:r>
    </w:p>
    <w:p>
      <w:pPr>
        <w:numPr>
          <w:ilvl w:val="0"/>
          <w:numId w:val="21"/>
        </w:numPr>
        <w:spacing w:line="360" w:lineRule="auto"/>
        <w:rPr>
          <w:color w:val="auto"/>
          <w:sz w:val="24"/>
          <w:szCs w:val="24"/>
          <w:highlight w:val="none"/>
        </w:rPr>
      </w:pPr>
      <w:r>
        <w:rPr>
          <w:rFonts w:hint="eastAsia"/>
          <w:color w:val="auto"/>
          <w:sz w:val="24"/>
          <w:szCs w:val="24"/>
          <w:highlight w:val="none"/>
        </w:rPr>
        <w:t>独特</w:t>
      </w:r>
      <w:r>
        <w:rPr>
          <w:color w:val="auto"/>
          <w:sz w:val="24"/>
          <w:szCs w:val="24"/>
          <w:highlight w:val="none"/>
        </w:rPr>
        <w:t>的锯齿状刀具，提供额外的强劲剪切力，非常适合处理富含纤维的样品</w:t>
      </w:r>
    </w:p>
    <w:p>
      <w:pPr>
        <w:numPr>
          <w:ilvl w:val="0"/>
          <w:numId w:val="21"/>
        </w:numPr>
        <w:spacing w:line="360" w:lineRule="auto"/>
        <w:rPr>
          <w:color w:val="auto"/>
          <w:sz w:val="24"/>
          <w:szCs w:val="24"/>
          <w:highlight w:val="none"/>
        </w:rPr>
      </w:pPr>
      <w:r>
        <w:rPr>
          <w:rFonts w:hint="eastAsia"/>
          <w:color w:val="auto"/>
          <w:sz w:val="24"/>
          <w:szCs w:val="24"/>
          <w:highlight w:val="none"/>
        </w:rPr>
        <w:t>最小</w:t>
      </w:r>
      <w:r>
        <w:rPr>
          <w:color w:val="auto"/>
          <w:sz w:val="24"/>
          <w:szCs w:val="24"/>
          <w:highlight w:val="none"/>
        </w:rPr>
        <w:t>处理量（</w:t>
      </w:r>
      <w:r>
        <w:rPr>
          <w:rFonts w:hint="eastAsia"/>
          <w:color w:val="auto"/>
          <w:sz w:val="24"/>
          <w:szCs w:val="24"/>
          <w:highlight w:val="none"/>
        </w:rPr>
        <w:t>水</w:t>
      </w:r>
      <w:r>
        <w:rPr>
          <w:color w:val="auto"/>
          <w:sz w:val="24"/>
          <w:szCs w:val="24"/>
          <w:highlight w:val="none"/>
        </w:rPr>
        <w:t>）1</w:t>
      </w:r>
      <w:r>
        <w:rPr>
          <w:rFonts w:hint="eastAsia"/>
          <w:color w:val="auto"/>
          <w:sz w:val="24"/>
          <w:szCs w:val="24"/>
          <w:highlight w:val="none"/>
        </w:rPr>
        <w:t xml:space="preserve">0 </w:t>
      </w:r>
      <w:r>
        <w:rPr>
          <w:color w:val="auto"/>
          <w:sz w:val="24"/>
          <w:szCs w:val="24"/>
          <w:highlight w:val="none"/>
        </w:rPr>
        <w:t>ml</w:t>
      </w:r>
      <w:r>
        <w:rPr>
          <w:rFonts w:hint="eastAsia"/>
          <w:color w:val="auto"/>
          <w:sz w:val="24"/>
          <w:szCs w:val="24"/>
          <w:highlight w:val="none"/>
        </w:rPr>
        <w:t>，最大</w:t>
      </w:r>
      <w:r>
        <w:rPr>
          <w:color w:val="auto"/>
          <w:sz w:val="24"/>
          <w:szCs w:val="24"/>
          <w:highlight w:val="none"/>
        </w:rPr>
        <w:t>处理量（</w:t>
      </w:r>
      <w:r>
        <w:rPr>
          <w:rFonts w:hint="eastAsia"/>
          <w:color w:val="auto"/>
          <w:sz w:val="24"/>
          <w:szCs w:val="24"/>
          <w:highlight w:val="none"/>
        </w:rPr>
        <w:t>水</w:t>
      </w:r>
      <w:r>
        <w:rPr>
          <w:color w:val="auto"/>
          <w:sz w:val="24"/>
          <w:szCs w:val="24"/>
          <w:highlight w:val="none"/>
        </w:rPr>
        <w:t>）1.5 L</w:t>
      </w:r>
    </w:p>
    <w:p>
      <w:pPr>
        <w:numPr>
          <w:ilvl w:val="0"/>
          <w:numId w:val="21"/>
        </w:numPr>
        <w:spacing w:line="360" w:lineRule="auto"/>
        <w:rPr>
          <w:color w:val="auto"/>
          <w:sz w:val="24"/>
          <w:szCs w:val="24"/>
          <w:highlight w:val="none"/>
        </w:rPr>
      </w:pPr>
      <w:r>
        <w:rPr>
          <w:rFonts w:hint="eastAsia"/>
          <w:color w:val="auto"/>
          <w:sz w:val="24"/>
          <w:szCs w:val="24"/>
          <w:highlight w:val="none"/>
        </w:rPr>
        <w:t>最大</w:t>
      </w:r>
      <w:r>
        <w:rPr>
          <w:color w:val="auto"/>
          <w:sz w:val="24"/>
          <w:szCs w:val="24"/>
          <w:highlight w:val="none"/>
        </w:rPr>
        <w:t>工作转速</w:t>
      </w:r>
      <w:r>
        <w:rPr>
          <w:rFonts w:hint="eastAsia"/>
          <w:color w:val="auto"/>
          <w:sz w:val="24"/>
          <w:szCs w:val="24"/>
          <w:highlight w:val="none"/>
        </w:rPr>
        <w:t xml:space="preserve"> 25000 </w:t>
      </w:r>
      <w:r>
        <w:rPr>
          <w:color w:val="auto"/>
          <w:sz w:val="24"/>
          <w:szCs w:val="24"/>
          <w:highlight w:val="none"/>
        </w:rPr>
        <w:t>rpm</w:t>
      </w:r>
    </w:p>
    <w:p>
      <w:pPr>
        <w:numPr>
          <w:ilvl w:val="0"/>
          <w:numId w:val="21"/>
        </w:numPr>
        <w:spacing w:line="360" w:lineRule="auto"/>
        <w:rPr>
          <w:color w:val="auto"/>
          <w:sz w:val="24"/>
          <w:szCs w:val="24"/>
          <w:highlight w:val="none"/>
        </w:rPr>
      </w:pPr>
      <w:r>
        <w:rPr>
          <w:rFonts w:hint="eastAsia"/>
          <w:color w:val="auto"/>
          <w:sz w:val="24"/>
          <w:szCs w:val="24"/>
          <w:highlight w:val="none"/>
        </w:rPr>
        <w:t>最大</w:t>
      </w:r>
      <w:r>
        <w:rPr>
          <w:color w:val="auto"/>
          <w:sz w:val="24"/>
          <w:szCs w:val="24"/>
          <w:highlight w:val="none"/>
        </w:rPr>
        <w:t>线速度</w:t>
      </w:r>
      <w:r>
        <w:rPr>
          <w:rFonts w:hint="eastAsia"/>
          <w:color w:val="auto"/>
          <w:sz w:val="24"/>
          <w:szCs w:val="24"/>
          <w:highlight w:val="none"/>
        </w:rPr>
        <w:t xml:space="preserve"> 17.5 </w:t>
      </w:r>
      <w:r>
        <w:rPr>
          <w:color w:val="auto"/>
          <w:sz w:val="24"/>
          <w:szCs w:val="24"/>
          <w:highlight w:val="none"/>
        </w:rPr>
        <w:t>m</w:t>
      </w:r>
      <w:r>
        <w:rPr>
          <w:rFonts w:hint="eastAsia"/>
          <w:color w:val="auto"/>
          <w:sz w:val="24"/>
          <w:szCs w:val="24"/>
          <w:highlight w:val="none"/>
        </w:rPr>
        <w:t>/s</w:t>
      </w:r>
    </w:p>
    <w:p>
      <w:pPr>
        <w:numPr>
          <w:ilvl w:val="0"/>
          <w:numId w:val="21"/>
        </w:numPr>
        <w:spacing w:line="360" w:lineRule="auto"/>
        <w:rPr>
          <w:color w:val="auto"/>
          <w:sz w:val="24"/>
          <w:szCs w:val="24"/>
          <w:highlight w:val="none"/>
        </w:rPr>
      </w:pPr>
      <w:r>
        <w:rPr>
          <w:rFonts w:hint="eastAsia"/>
          <w:color w:val="auto"/>
          <w:sz w:val="24"/>
          <w:szCs w:val="24"/>
          <w:highlight w:val="none"/>
        </w:rPr>
        <w:t>采用极佳</w:t>
      </w:r>
      <w:r>
        <w:rPr>
          <w:color w:val="auto"/>
          <w:sz w:val="24"/>
          <w:szCs w:val="24"/>
          <w:highlight w:val="none"/>
        </w:rPr>
        <w:t>品质材料</w:t>
      </w:r>
      <w:r>
        <w:rPr>
          <w:rFonts w:hint="eastAsia"/>
          <w:color w:val="auto"/>
          <w:sz w:val="24"/>
          <w:szCs w:val="24"/>
          <w:highlight w:val="none"/>
        </w:rPr>
        <w:t>PTFE 和 AISI 316</w:t>
      </w:r>
      <w:r>
        <w:rPr>
          <w:color w:val="auto"/>
          <w:sz w:val="24"/>
          <w:szCs w:val="24"/>
          <w:highlight w:val="none"/>
        </w:rPr>
        <w:t>L</w:t>
      </w:r>
      <w:r>
        <w:rPr>
          <w:rFonts w:hint="eastAsia"/>
          <w:color w:val="auto"/>
          <w:sz w:val="24"/>
          <w:szCs w:val="24"/>
          <w:highlight w:val="none"/>
        </w:rPr>
        <w:t>，</w:t>
      </w:r>
      <w:r>
        <w:rPr>
          <w:color w:val="auto"/>
          <w:sz w:val="24"/>
          <w:szCs w:val="24"/>
          <w:highlight w:val="none"/>
        </w:rPr>
        <w:t>提供优秀的耐腐蚀性能</w:t>
      </w:r>
      <w:r>
        <w:rPr>
          <w:rFonts w:hint="eastAsia"/>
          <w:color w:val="auto"/>
          <w:sz w:val="24"/>
          <w:szCs w:val="24"/>
          <w:highlight w:val="none"/>
        </w:rPr>
        <w:t>和</w:t>
      </w:r>
      <w:r>
        <w:rPr>
          <w:color w:val="auto"/>
          <w:sz w:val="24"/>
          <w:szCs w:val="24"/>
          <w:highlight w:val="none"/>
        </w:rPr>
        <w:t>耐</w:t>
      </w:r>
      <w:r>
        <w:rPr>
          <w:rFonts w:hint="eastAsia"/>
          <w:color w:val="auto"/>
          <w:sz w:val="24"/>
          <w:szCs w:val="24"/>
          <w:highlight w:val="none"/>
        </w:rPr>
        <w:t>磨</w:t>
      </w:r>
      <w:r>
        <w:rPr>
          <w:color w:val="auto"/>
          <w:sz w:val="24"/>
          <w:szCs w:val="24"/>
          <w:highlight w:val="none"/>
        </w:rPr>
        <w:t>性，</w:t>
      </w:r>
      <w:r>
        <w:rPr>
          <w:rFonts w:hint="eastAsia"/>
          <w:color w:val="auto"/>
          <w:sz w:val="24"/>
          <w:szCs w:val="24"/>
          <w:highlight w:val="none"/>
        </w:rPr>
        <w:t>耐受PH</w:t>
      </w:r>
      <w:r>
        <w:rPr>
          <w:color w:val="auto"/>
          <w:sz w:val="24"/>
          <w:szCs w:val="24"/>
          <w:highlight w:val="none"/>
        </w:rPr>
        <w:t xml:space="preserve"> </w:t>
      </w:r>
      <w:r>
        <w:rPr>
          <w:rFonts w:hint="eastAsia"/>
          <w:color w:val="auto"/>
          <w:sz w:val="24"/>
          <w:szCs w:val="24"/>
          <w:highlight w:val="none"/>
        </w:rPr>
        <w:t>2</w:t>
      </w:r>
      <w:r>
        <w:rPr>
          <w:color w:val="auto"/>
          <w:sz w:val="24"/>
          <w:szCs w:val="24"/>
          <w:highlight w:val="none"/>
        </w:rPr>
        <w:t>-13</w:t>
      </w:r>
      <w:r>
        <w:rPr>
          <w:rFonts w:hint="eastAsia"/>
          <w:color w:val="auto"/>
          <w:sz w:val="24"/>
          <w:szCs w:val="24"/>
          <w:highlight w:val="none"/>
        </w:rPr>
        <w:t>以及</w:t>
      </w:r>
      <w:r>
        <w:rPr>
          <w:color w:val="auto"/>
          <w:sz w:val="24"/>
          <w:szCs w:val="24"/>
          <w:highlight w:val="none"/>
        </w:rPr>
        <w:t>有机溶剂</w:t>
      </w:r>
    </w:p>
    <w:p>
      <w:pPr>
        <w:numPr>
          <w:ilvl w:val="0"/>
          <w:numId w:val="21"/>
        </w:numPr>
        <w:spacing w:line="360" w:lineRule="auto"/>
        <w:rPr>
          <w:color w:val="auto"/>
          <w:sz w:val="24"/>
          <w:szCs w:val="24"/>
          <w:highlight w:val="none"/>
        </w:rPr>
      </w:pPr>
      <w:r>
        <w:rPr>
          <w:rFonts w:hint="eastAsia"/>
          <w:color w:val="auto"/>
          <w:sz w:val="24"/>
          <w:szCs w:val="24"/>
          <w:highlight w:val="none"/>
        </w:rPr>
        <w:t>灭菌</w:t>
      </w:r>
      <w:r>
        <w:rPr>
          <w:color w:val="auto"/>
          <w:sz w:val="24"/>
          <w:szCs w:val="24"/>
          <w:highlight w:val="none"/>
        </w:rPr>
        <w:t>方式：任何方式</w:t>
      </w:r>
    </w:p>
    <w:p>
      <w:pPr>
        <w:numPr>
          <w:ilvl w:val="0"/>
          <w:numId w:val="21"/>
        </w:numPr>
        <w:spacing w:line="360" w:lineRule="auto"/>
        <w:rPr>
          <w:rFonts w:hint="eastAsia"/>
          <w:color w:val="auto"/>
          <w:sz w:val="24"/>
          <w:szCs w:val="24"/>
          <w:highlight w:val="none"/>
        </w:rPr>
      </w:pPr>
      <w:r>
        <w:rPr>
          <w:rFonts w:hint="eastAsia"/>
          <w:color w:val="auto"/>
          <w:sz w:val="24"/>
          <w:szCs w:val="24"/>
          <w:highlight w:val="none"/>
        </w:rPr>
        <w:t>工作</w:t>
      </w:r>
      <w:r>
        <w:rPr>
          <w:color w:val="auto"/>
          <w:sz w:val="24"/>
          <w:szCs w:val="24"/>
          <w:highlight w:val="none"/>
        </w:rPr>
        <w:t>温度</w:t>
      </w:r>
      <w:r>
        <w:rPr>
          <w:rFonts w:hint="eastAsia"/>
          <w:color w:val="auto"/>
          <w:sz w:val="24"/>
          <w:szCs w:val="24"/>
          <w:highlight w:val="none"/>
        </w:rPr>
        <w:t>最高</w:t>
      </w:r>
      <w:r>
        <w:rPr>
          <w:color w:val="auto"/>
          <w:sz w:val="24"/>
          <w:szCs w:val="24"/>
          <w:highlight w:val="none"/>
        </w:rPr>
        <w:t>可达</w:t>
      </w:r>
      <w:r>
        <w:rPr>
          <w:rFonts w:hint="eastAsia"/>
          <w:color w:val="auto"/>
          <w:sz w:val="24"/>
          <w:szCs w:val="24"/>
          <w:highlight w:val="none"/>
        </w:rPr>
        <w:t>180℃</w:t>
      </w:r>
    </w:p>
    <w:p>
      <w:pPr>
        <w:numPr>
          <w:ilvl w:val="0"/>
          <w:numId w:val="19"/>
        </w:numPr>
        <w:spacing w:line="360" w:lineRule="auto"/>
        <w:ind w:left="360" w:leftChars="0" w:hanging="360" w:firstLineChars="0"/>
        <w:rPr>
          <w:rFonts w:hint="default"/>
          <w:color w:val="auto"/>
          <w:sz w:val="24"/>
          <w:szCs w:val="24"/>
          <w:highlight w:val="none"/>
          <w:lang w:val="en-US" w:eastAsia="zh-CN"/>
        </w:rPr>
      </w:pPr>
      <w:r>
        <w:rPr>
          <w:rFonts w:hint="eastAsia"/>
          <w:color w:val="auto"/>
          <w:sz w:val="24"/>
          <w:szCs w:val="24"/>
          <w:highlight w:val="none"/>
          <w:lang w:val="en-US" w:eastAsia="zh-CN"/>
        </w:rPr>
        <w:t>配置：</w:t>
      </w:r>
    </w:p>
    <w:p>
      <w:pPr>
        <w:numPr>
          <w:ilvl w:val="0"/>
          <w:numId w:val="0"/>
        </w:numPr>
        <w:spacing w:line="360" w:lineRule="auto"/>
        <w:ind w:leftChars="0"/>
        <w:rPr>
          <w:rFonts w:hint="eastAsia"/>
          <w:lang w:val="en-US" w:eastAsia="zh-CN"/>
        </w:rPr>
      </w:pPr>
      <w:r>
        <w:rPr>
          <w:rFonts w:hint="eastAsia"/>
          <w:color w:val="auto"/>
          <w:sz w:val="24"/>
          <w:szCs w:val="24"/>
          <w:highlight w:val="none"/>
          <w:lang w:val="en-US" w:eastAsia="zh-CN"/>
        </w:rPr>
        <w:t>主机1台、易清洗刀头1个、支架1个、夹头1个、容器固定夹1个</w:t>
      </w:r>
    </w:p>
    <w:p>
      <w:pPr>
        <w:widowControl/>
        <w:jc w:val="both"/>
        <w:rPr>
          <w:rFonts w:hint="default" w:ascii="新宋体" w:hAnsi="新宋体" w:eastAsia="新宋体" w:cs="新宋体"/>
          <w:color w:val="333333"/>
          <w:kern w:val="0"/>
          <w:sz w:val="18"/>
          <w:szCs w:val="18"/>
          <w:shd w:val="clear" w:color="auto" w:fill="FFFFFF"/>
        </w:rPr>
      </w:pPr>
    </w:p>
    <w:p>
      <w:pPr>
        <w:widowControl/>
        <w:numPr>
          <w:ilvl w:val="0"/>
          <w:numId w:val="22"/>
        </w:numPr>
        <w:jc w:val="both"/>
        <w:rPr>
          <w:rFonts w:hint="eastAsia" w:ascii="宋体" w:hAnsi="宋体" w:eastAsia="宋体" w:cs="宋体"/>
          <w:b/>
          <w:bCs/>
          <w:color w:val="333333"/>
          <w:kern w:val="0"/>
          <w:sz w:val="36"/>
          <w:szCs w:val="36"/>
          <w:shd w:val="clear" w:color="auto" w:fill="FFFFFF"/>
        </w:rPr>
      </w:pPr>
      <w:r>
        <w:rPr>
          <w:rFonts w:hint="eastAsia" w:ascii="宋体" w:hAnsi="宋体" w:eastAsia="宋体" w:cs="宋体"/>
          <w:b/>
          <w:bCs/>
          <w:color w:val="333333"/>
          <w:kern w:val="0"/>
          <w:sz w:val="36"/>
          <w:szCs w:val="36"/>
          <w:shd w:val="clear" w:color="auto" w:fill="FFFFFF"/>
        </w:rPr>
        <w:t>立式智能精密摇床</w:t>
      </w:r>
    </w:p>
    <w:p>
      <w:pPr>
        <w:widowControl/>
        <w:spacing w:line="360" w:lineRule="auto"/>
        <w:jc w:val="center"/>
        <w:rPr>
          <w:rFonts w:hint="eastAsia" w:ascii="新宋体" w:hAnsi="新宋体" w:eastAsia="新宋体" w:cs="新宋体"/>
          <w:kern w:val="0"/>
          <w:sz w:val="24"/>
          <w:szCs w:val="24"/>
        </w:rPr>
      </w:pPr>
      <w:r>
        <w:rPr>
          <w:rFonts w:hint="default" w:ascii="新宋体" w:hAnsi="新宋体" w:eastAsia="新宋体" w:cs="新宋体"/>
          <w:color w:val="333333"/>
          <w:kern w:val="0"/>
          <w:sz w:val="24"/>
          <w:szCs w:val="24"/>
          <w:shd w:val="clear" w:color="auto" w:fill="FFFFFF"/>
        </w:rPr>
        <w:t>立式智能精密摇床</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应用范围:广泛应用于对温度、振荡频率有着较高要求的细菌培养、发酵、杂交和生物化学反应以及酶、细胞组织研究等。在医学、生物学、分子学、制药、食品、环保等研究应用领域有着广泛而重要的应用。</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技术参数：</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立式双层结构，占地小、载瓶量大；</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智能化声光报警环境扫描微处理控制器；</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LCD大屏幕背光液晶显示屏显示各设定参数和实测参数；</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运行参数加密锁定，避免人为误操作；</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曲线控制，可编程程序设计，可设置十段；</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定时设定长达1000小时，终点自动停止振荡并声光报警；</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直流无刷电机设计，宽调速、恒力矩、恒转速、无碳刷、免保养，彻底解决低速摇动时转速不稳的问题；</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机芯采用进口轴承，寿命长，噪音低；</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采用可调式新风口，可方便调节新风量；</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超温声光报警功能，电机过热、温度失控、异常超温等仪器自动切断各自供电；</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具有断电恢复功能，在外电源突然失电又重新来电后，设备可自动按原设定程序恢复运行；</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控制加速的线路确保摇床缓缓启动、平稳加速，保证实验样品的安全；</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豪华整机造型，静电喷塑箱体，内胆采用进口不锈钢镜面板，大屏幕钢化玻璃观察窗，工作腔四角圆角设计，便于清洁；</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开关采用凹陷设计，美观，运输途中不易碰坏；</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增加充气口，满足部分用户需加惰性气体的特殊需要；</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配有独立限温开关及门开关，保证安全；</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配有门锁，防止门随意打开，导致实验终止；</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可选用独具创意的摇板设计，更换瓶夹特别方便，大大简化瓶夹更换过程；</w:t>
      </w:r>
      <w:r>
        <w:rPr>
          <w:rFonts w:hint="eastAsia" w:ascii="新宋体" w:hAnsi="新宋体" w:eastAsia="新宋体" w:cs="新宋体"/>
          <w:color w:val="333333"/>
          <w:kern w:val="0"/>
          <w:sz w:val="24"/>
          <w:szCs w:val="24"/>
          <w:shd w:val="clear" w:color="auto" w:fill="FFFFFF"/>
        </w:rPr>
        <w:br w:type="textWrapping"/>
      </w:r>
      <w:r>
        <w:rPr>
          <w:rFonts w:hint="eastAsia" w:ascii="新宋体" w:hAnsi="新宋体" w:eastAsia="新宋体" w:cs="新宋体"/>
          <w:color w:val="333333"/>
          <w:kern w:val="0"/>
          <w:sz w:val="24"/>
          <w:szCs w:val="24"/>
          <w:shd w:val="clear" w:color="auto" w:fill="FFFFFF"/>
        </w:rPr>
        <w:t>按用户需要，可分为常规配置A和高端配置B（可增加USB接口及配套软件，方便查询运行数据，及免拆装摇板）。</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振荡方式</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回旋振荡式</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控制方式</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ab/>
      </w:r>
      <w:r>
        <w:rPr>
          <w:rFonts w:hint="eastAsia" w:ascii="新宋体" w:hAnsi="新宋体" w:eastAsia="新宋体" w:cs="新宋体"/>
          <w:color w:val="333333"/>
          <w:kern w:val="0"/>
          <w:sz w:val="24"/>
          <w:szCs w:val="24"/>
          <w:shd w:val="clear" w:color="auto" w:fill="FFFFFF"/>
        </w:rPr>
        <w:t>PID微电脑</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显示</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ab/>
      </w:r>
      <w:r>
        <w:rPr>
          <w:rFonts w:hint="eastAsia" w:ascii="新宋体" w:hAnsi="新宋体" w:eastAsia="新宋体" w:cs="新宋体"/>
          <w:color w:val="333333"/>
          <w:kern w:val="0"/>
          <w:sz w:val="24"/>
          <w:szCs w:val="24"/>
          <w:shd w:val="clear" w:color="auto" w:fill="FFFFFF"/>
        </w:rPr>
        <w:t>LCD</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对流</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ab/>
      </w:r>
      <w:r>
        <w:rPr>
          <w:rFonts w:hint="eastAsia" w:ascii="新宋体" w:hAnsi="新宋体" w:eastAsia="新宋体" w:cs="新宋体"/>
          <w:color w:val="333333"/>
          <w:kern w:val="0"/>
          <w:sz w:val="24"/>
          <w:szCs w:val="24"/>
          <w:shd w:val="clear" w:color="auto" w:fill="FFFFFF"/>
        </w:rPr>
        <w:t>强制对流</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温控范围（℃）</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RT+8～60</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温控分辨精度（℃）</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ab/>
      </w:r>
      <w:r>
        <w:rPr>
          <w:rFonts w:hint="eastAsia" w:ascii="新宋体" w:hAnsi="新宋体" w:eastAsia="新宋体" w:cs="新宋体"/>
          <w:color w:val="333333"/>
          <w:kern w:val="0"/>
          <w:sz w:val="24"/>
          <w:szCs w:val="24"/>
          <w:shd w:val="clear" w:color="auto" w:fill="FFFFFF"/>
        </w:rPr>
        <w:t>±0.1</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温控波动度（℃</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±0.2（37℃时）</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温控均匀度（℃）</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±1（25℃空载时）</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回旋/往复频率范围（r/min）</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30～300</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回旋/往复频率精度（r/min）</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±1</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振幅（mm）</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Ф35</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定时范围（h）</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0～1000</w:t>
      </w:r>
    </w:p>
    <w:p>
      <w:pPr>
        <w:widowControl/>
        <w:spacing w:line="360" w:lineRule="auto"/>
        <w:jc w:val="left"/>
        <w:rPr>
          <w:rFonts w:hint="eastAsia" w:ascii="新宋体" w:hAnsi="新宋体" w:eastAsia="新宋体" w:cs="新宋体"/>
          <w:color w:val="333333"/>
          <w:kern w:val="0"/>
          <w:sz w:val="24"/>
          <w:szCs w:val="24"/>
          <w:shd w:val="clear" w:color="auto" w:fill="FFFFFF"/>
        </w:rPr>
      </w:pPr>
      <w:r>
        <w:rPr>
          <w:rFonts w:hint="eastAsia" w:ascii="新宋体" w:hAnsi="新宋体" w:eastAsia="新宋体" w:cs="新宋体"/>
          <w:color w:val="333333"/>
          <w:kern w:val="0"/>
          <w:sz w:val="24"/>
          <w:szCs w:val="24"/>
          <w:shd w:val="clear" w:color="auto" w:fill="FFFFFF"/>
        </w:rPr>
        <w:t>摇板数量（块）</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2</w:t>
      </w:r>
    </w:p>
    <w:p>
      <w:pPr>
        <w:widowControl/>
        <w:spacing w:line="360" w:lineRule="auto"/>
        <w:jc w:val="left"/>
        <w:rPr>
          <w:rFonts w:hint="eastAsia"/>
        </w:rPr>
      </w:pPr>
      <w:r>
        <w:rPr>
          <w:rFonts w:hint="eastAsia" w:ascii="新宋体" w:hAnsi="新宋体" w:eastAsia="新宋体" w:cs="新宋体"/>
          <w:color w:val="333333"/>
          <w:kern w:val="0"/>
          <w:sz w:val="24"/>
          <w:szCs w:val="24"/>
          <w:shd w:val="clear" w:color="auto" w:fill="FFFFFF"/>
        </w:rPr>
        <w:t>外形尺寸（mm）</w:t>
      </w:r>
      <w:r>
        <w:rPr>
          <w:rFonts w:hint="eastAsia" w:ascii="新宋体" w:hAnsi="新宋体" w:eastAsia="新宋体" w:cs="新宋体"/>
          <w:color w:val="333333"/>
          <w:kern w:val="0"/>
          <w:sz w:val="24"/>
          <w:szCs w:val="24"/>
          <w:shd w:val="clear" w:color="auto" w:fill="FFFFFF"/>
          <w:lang w:eastAsia="zh-CN"/>
        </w:rPr>
        <w:t>：</w:t>
      </w:r>
      <w:r>
        <w:rPr>
          <w:rFonts w:hint="eastAsia" w:ascii="新宋体" w:hAnsi="新宋体" w:eastAsia="新宋体" w:cs="新宋体"/>
          <w:color w:val="333333"/>
          <w:kern w:val="0"/>
          <w:sz w:val="24"/>
          <w:szCs w:val="24"/>
          <w:shd w:val="clear" w:color="auto" w:fill="FFFFFF"/>
        </w:rPr>
        <w:t>1430×820×1590</w:t>
      </w:r>
    </w:p>
    <w:p>
      <w:pPr>
        <w:spacing w:line="360" w:lineRule="auto"/>
        <w:rPr>
          <w:rFonts w:hint="eastAsia" w:ascii="宋体" w:hAnsi="宋体" w:eastAsia="宋体" w:cs="宋体"/>
          <w:b/>
          <w:bCs/>
          <w:color w:val="auto"/>
          <w:sz w:val="36"/>
          <w:szCs w:val="36"/>
          <w:lang w:val="en-US" w:eastAsia="zh-CN"/>
        </w:rPr>
      </w:pPr>
    </w:p>
    <w:p>
      <w:pPr>
        <w:numPr>
          <w:ilvl w:val="0"/>
          <w:numId w:val="22"/>
        </w:numPr>
        <w:spacing w:line="360" w:lineRule="auto"/>
        <w:ind w:left="0" w:leftChars="0" w:firstLine="0" w:firstLineChars="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纯水超纯水机</w:t>
      </w:r>
    </w:p>
    <w:p>
      <w:pPr>
        <w:spacing w:line="360" w:lineRule="auto"/>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lang w:val="en-US" w:eastAsia="zh-CN"/>
        </w:rPr>
        <w:t>纯水超纯水机</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一、工作环境</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1.进水</w:t>
      </w:r>
      <w:r>
        <w:rPr>
          <w:rFonts w:hint="eastAsia" w:asciiTheme="majorEastAsia" w:hAnsiTheme="majorEastAsia" w:eastAsiaTheme="majorEastAsia" w:cstheme="majorEastAsia"/>
          <w:color w:val="auto"/>
          <w:sz w:val="24"/>
          <w:szCs w:val="24"/>
          <w:lang w:val="en-US" w:eastAsia="zh-CN"/>
        </w:rPr>
        <w:t>要求：城市自来水或地下水（总溶解性固形物TDS＜1000ppm）,水压0.10—0.40MPa，水温5－45℃</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2.电源及功率：AC220V/50Hz，150W</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二、技术参数</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1.制水量: ≥15升/小时（水温20℃时）</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2.出水流量：1.5－2.0升/分钟（水箱储水时）标配15L具有ULUPURE液位传感控制系统的(提供证明材料）压力水箱，防止系统漏水</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3.反渗透模块采用“一种快插式反渗透膜壳”工双膜双泵工艺，更换耗材更快捷，较单极RO纯水系统产水水质更佳，离子、有机物和热源含量更低。电导率:1—5μs/cm 补偿至25℃</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4.UP超纯水水质标准：UP超纯水水质电阻率：18.2MΩ.cm @25℃，标配注塑型超纯化系统，具有“实验室纯水器一体化超纯化柱”和“一种新型超纯水制备关键技术及应用”等相关证明文件确保水质更佳；微颗粒物≥1个/ml，重金属离子≥0.1ppb。</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三、功能特点及设备配置：</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1、具“黑匣子”功能，通过USB下载机内历史数据，为水样的可追溯性提供依据；</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2、仪表状态的智能诊断功能；</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3、一键快速定量取水功能；</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4、专用耗材识别功能；</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5、TOC在线显示；（选配）</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6、用户管理功能（授权用户方可使用设备）。</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7、用户可设定一次性最大限量取水（防止接水容器满水后可能造成溢水破坏损失）；</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8、PLC控制系统，触摸显示屏，人机对话便捷高效；</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9、图文显示系统诊断结果，结合警示音，确保用水更安全；</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10、RO纯水出水流速为2.0升/分钟（水箱龙头出水），UP超纯水出水流速为1.0～1.5升/分钟</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11.具系统自动冲洗功能；开机自检功能；自动保护功能；</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12.一机两用，采用双级反渗透工艺，可制备纯水和超纯水；纯水电导率和超纯水电阻率在线监测功能，较简装型双级RO系统（无中间水箱）产水水质更稳定，RO膜总制水量可提高1倍以上；</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13.触摸式操作面板控制系统；PLC自动控制，LCD液晶中文显示屏；</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14. 具有“实验室纯水器低水压和无水保护信号装置”，有效保护纯水机，延长使用寿命。</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15.配备内置在线实时电阻率/电导率监测仪，并具有“超纯水机水处理监控模块”；；</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16.具有“超纯水机水路控制模块”，超纯水机使用更稳定。</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17.具有“超纯水生产用的预处理检测装置”有效去除水中杂质。</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18.具有“实验室纯水器水质超标排放装置”，保证水质稳定。</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19.具有“实验室纯水器RO膜自动药剂清洗装置”，方便用户自动清洗超纯水器。</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20.具有“实验室纯水器恒压脉冲发生装置”稳定给压，延长耗材使用寿命。</w:t>
      </w:r>
    </w:p>
    <w:p>
      <w:pPr>
        <w:pStyle w:val="5"/>
        <w:rPr>
          <w:rFonts w:hint="eastAsia"/>
          <w:lang w:val="en-US" w:eastAsia="zh-CN"/>
        </w:rPr>
      </w:pPr>
    </w:p>
    <w:p>
      <w:pPr>
        <w:pStyle w:val="37"/>
        <w:rPr>
          <w:rFonts w:hint="eastAsia" w:ascii="宋体" w:hAnsi="宋体" w:eastAsia="宋体" w:cs="宋体"/>
          <w:b/>
          <w:bCs/>
          <w:sz w:val="24"/>
          <w:szCs w:val="24"/>
          <w:lang w:val="en-US" w:eastAsia="zh-CN"/>
        </w:rPr>
      </w:pPr>
    </w:p>
    <w:p>
      <w:pPr>
        <w:pStyle w:val="37"/>
        <w:rPr>
          <w:rFonts w:hint="eastAsia" w:ascii="宋体" w:hAnsi="宋体" w:eastAsia="宋体" w:cs="宋体"/>
          <w:b/>
          <w:bCs/>
          <w:sz w:val="24"/>
          <w:szCs w:val="24"/>
          <w:lang w:val="en-US" w:eastAsia="zh-CN"/>
        </w:rPr>
      </w:pPr>
    </w:p>
    <w:p>
      <w:pPr>
        <w:numPr>
          <w:ilvl w:val="0"/>
          <w:numId w:val="0"/>
        </w:numPr>
        <w:spacing w:afterLines="50" w:line="400" w:lineRule="exact"/>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第四章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 xml:space="preserve"> </w:t>
      </w:r>
      <w:bookmarkStart w:id="151" w:name="_Toc29057"/>
      <w:r>
        <w:rPr>
          <w:rFonts w:hint="eastAsia" w:ascii="宋体" w:hAnsi="宋体" w:eastAsia="宋体" w:cs="宋体"/>
          <w:b/>
          <w:bCs/>
          <w:sz w:val="36"/>
          <w:szCs w:val="36"/>
        </w:rPr>
        <w:t>评标办法</w:t>
      </w:r>
      <w:bookmarkEnd w:id="151"/>
    </w:p>
    <w:p>
      <w:pPr>
        <w:spacing w:afterLines="50" w:line="360" w:lineRule="auto"/>
        <w:ind w:firstLine="480" w:firstLineChars="200"/>
        <w:outlineLvl w:val="2"/>
        <w:rPr>
          <w:rFonts w:hint="eastAsia" w:ascii="宋体" w:hAnsi="宋体" w:eastAsia="宋体" w:cs="宋体"/>
          <w:sz w:val="24"/>
          <w:szCs w:val="24"/>
          <w:highlight w:val="none"/>
        </w:rPr>
      </w:pPr>
      <w:bookmarkStart w:id="152" w:name="_Toc15783"/>
      <w:bookmarkStart w:id="153" w:name="_Toc24667"/>
      <w:bookmarkStart w:id="154" w:name="_Toc494455917"/>
      <w:bookmarkStart w:id="155" w:name="_Toc31066"/>
      <w:bookmarkStart w:id="156" w:name="_Toc10813"/>
      <w:bookmarkStart w:id="157" w:name="_Toc22811"/>
      <w:r>
        <w:rPr>
          <w:rFonts w:hint="eastAsia" w:ascii="宋体" w:hAnsi="宋体" w:eastAsia="宋体" w:cs="宋体"/>
          <w:sz w:val="24"/>
          <w:szCs w:val="24"/>
          <w:highlight w:val="none"/>
        </w:rPr>
        <w:t>1.相关要求</w:t>
      </w:r>
      <w:bookmarkEnd w:id="152"/>
      <w:bookmarkEnd w:id="153"/>
      <w:bookmarkEnd w:id="154"/>
      <w:bookmarkEnd w:id="155"/>
      <w:bookmarkEnd w:id="156"/>
      <w:bookmarkEnd w:id="157"/>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1.1当投标人未提供符合招标文件规定的技术支持资料时，其技术部分得0分。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1.2技术汇总得分的计算方法：评标委员会成员技术评分的算术平均值。</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1.3当投标人所投设备功能与招标文件要求相同，但其表述不同时不扣分。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1.4“同类项目”是指投标人已经完成的与本次采购要求相同或者类同的货物，并且签订合同一方必须是投标人，以相同或者类同部分的合同金额为准。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1.5执行国家统一定价标准和采用固定价格采购的项目，其价格不列为评审因素。</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1.6中型、小型、微型企业应当同时符合以下条件：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1.6.1依据《关于印发&lt;统计上大中小微型企业划分办法(2017)&gt;的通知》规定，中型、小型和微型企业投标的须提供《中小企业声明函》原件并对声明函的真实性负责；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按照《关于印发&lt;统计上大中小微型企业划分办法(2017)&gt;的通知》规定，投标人应符合中小企业划分标准；所称中小企业划分标准，是指国务院有关部门根据企业从业人员、营业收入、资产总额等指标制定的中小企业划型标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1.6.3提供本企业制造的货物、承担的工程或者服务，或者提供其他中小企业制造的货物。本项所称货物不包括使用大型企业注册商标的货物。</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1.7小型、微型企业提供中型企业制造的货物的，视同为中型企业。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1.8小型和微型企业提供的货物中含有中型及以上企业的产品或者大中型企业提供货物中含有小型、微型企业产品的，均不给予价格扣除。</w:t>
      </w:r>
    </w:p>
    <w:p>
      <w:pPr>
        <w:spacing w:line="360" w:lineRule="auto"/>
        <w:ind w:firstLine="480" w:firstLineChars="200"/>
        <w:rPr>
          <w:rFonts w:hint="eastAsia" w:ascii="宋体" w:hAnsi="宋体" w:eastAsia="宋体" w:cs="宋体"/>
          <w:szCs w:val="21"/>
          <w:highlight w:val="yellow"/>
        </w:rPr>
      </w:pPr>
      <w:bookmarkStart w:id="158" w:name="_Toc494455918"/>
      <w:bookmarkStart w:id="159" w:name="_Toc7269"/>
      <w:bookmarkStart w:id="160" w:name="_Toc9251"/>
      <w:bookmarkStart w:id="161" w:name="_Toc29326"/>
      <w:bookmarkStart w:id="162" w:name="_Toc3947"/>
      <w:bookmarkStart w:id="163" w:name="_Toc16161"/>
      <w:r>
        <w:rPr>
          <w:rFonts w:hint="eastAsia"/>
          <w:sz w:val="24"/>
          <w:lang w:val="en-US" w:eastAsia="zh-CN"/>
        </w:rPr>
        <w:t>1.9</w:t>
      </w:r>
      <w:r>
        <w:rPr>
          <w:sz w:val="24"/>
        </w:rPr>
        <w:t>评分得分非整数的保留小数点后两位（小数点后第三位数四舍五入）</w:t>
      </w:r>
    </w:p>
    <w:p>
      <w:pPr>
        <w:spacing w:before="312" w:beforeLines="100" w:after="156" w:afterLines="50" w:line="400" w:lineRule="exact"/>
        <w:ind w:firstLine="420" w:firstLineChars="200"/>
        <w:outlineLvl w:val="2"/>
        <w:rPr>
          <w:rFonts w:hint="eastAsia" w:ascii="宋体" w:hAnsi="宋体" w:eastAsia="宋体" w:cs="宋体"/>
          <w:szCs w:val="21"/>
          <w:highlight w:val="none"/>
        </w:rPr>
      </w:pPr>
      <w:r>
        <w:rPr>
          <w:rFonts w:hint="eastAsia" w:ascii="宋体" w:hAnsi="宋体" w:eastAsia="宋体" w:cs="宋体"/>
          <w:szCs w:val="21"/>
          <w:highlight w:val="none"/>
        </w:rPr>
        <w:t>2.评</w:t>
      </w:r>
      <w:bookmarkEnd w:id="158"/>
      <w:r>
        <w:rPr>
          <w:rFonts w:hint="eastAsia" w:ascii="宋体" w:hAnsi="宋体" w:eastAsia="宋体" w:cs="宋体"/>
          <w:szCs w:val="21"/>
          <w:highlight w:val="none"/>
        </w:rPr>
        <w:t>标附表</w:t>
      </w:r>
      <w:bookmarkEnd w:id="159"/>
      <w:bookmarkEnd w:id="160"/>
      <w:bookmarkEnd w:id="161"/>
      <w:bookmarkEnd w:id="162"/>
      <w:bookmarkEnd w:id="163"/>
    </w:p>
    <w:p>
      <w:pPr>
        <w:spacing w:after="156" w:afterLines="5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2.1评分因素以及分值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508"/>
        <w:gridCol w:w="2484"/>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8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2508"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商务部分</w:t>
            </w:r>
          </w:p>
        </w:tc>
        <w:tc>
          <w:tcPr>
            <w:tcW w:w="248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技术部分</w:t>
            </w:r>
          </w:p>
        </w:tc>
        <w:tc>
          <w:tcPr>
            <w:tcW w:w="230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8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分值比重</w:t>
            </w:r>
          </w:p>
        </w:tc>
        <w:tc>
          <w:tcPr>
            <w:tcW w:w="2508"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w:t>
            </w:r>
          </w:p>
        </w:tc>
        <w:tc>
          <w:tcPr>
            <w:tcW w:w="248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70</w:t>
            </w:r>
            <w:r>
              <w:rPr>
                <w:rFonts w:hint="eastAsia" w:ascii="宋体" w:hAnsi="宋体" w:eastAsia="宋体" w:cs="宋体"/>
                <w:szCs w:val="21"/>
                <w:highlight w:val="none"/>
              </w:rPr>
              <w:t>分</w:t>
            </w:r>
          </w:p>
        </w:tc>
        <w:tc>
          <w:tcPr>
            <w:tcW w:w="230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100分</w:t>
            </w:r>
          </w:p>
        </w:tc>
      </w:tr>
    </w:tbl>
    <w:p>
      <w:pPr>
        <w:spacing w:after="156" w:afterLines="50" w:line="400" w:lineRule="exact"/>
        <w:ind w:firstLine="420" w:firstLineChars="200"/>
        <w:rPr>
          <w:rFonts w:hint="eastAsia" w:ascii="宋体" w:hAnsi="宋体" w:eastAsia="宋体" w:cs="宋体"/>
          <w:szCs w:val="21"/>
          <w:highlight w:val="none"/>
        </w:rPr>
      </w:pPr>
      <w:bookmarkStart w:id="164" w:name="_Toc381951225"/>
      <w:bookmarkStart w:id="165" w:name="_Toc391306856"/>
      <w:r>
        <w:rPr>
          <w:rFonts w:hint="eastAsia" w:ascii="宋体" w:hAnsi="宋体" w:eastAsia="宋体" w:cs="宋体"/>
          <w:szCs w:val="21"/>
          <w:highlight w:val="none"/>
        </w:rPr>
        <w:t>2.2初步评审表</w:t>
      </w:r>
      <w:bookmarkEnd w:id="164"/>
      <w:bookmarkEnd w:id="165"/>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725"/>
        <w:gridCol w:w="61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111" w:type="dxa"/>
            <w:gridSpan w:val="2"/>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条款号</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93" w:beforeLines="30"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2.2.1</w:t>
            </w:r>
          </w:p>
        </w:tc>
        <w:tc>
          <w:tcPr>
            <w:tcW w:w="1725" w:type="dxa"/>
            <w:vMerge w:val="restart"/>
            <w:tcBorders>
              <w:top w:val="single" w:color="auto" w:sz="4" w:space="0"/>
              <w:left w:val="nil"/>
              <w:right w:val="single" w:color="auto" w:sz="4" w:space="0"/>
            </w:tcBorders>
            <w:vAlign w:val="center"/>
          </w:tcPr>
          <w:p>
            <w:pPr>
              <w:spacing w:before="93" w:beforeLines="30"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资格性审查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具备有效的经年检的三证合一的营业执照</w:t>
            </w:r>
            <w:r>
              <w:rPr>
                <w:rFonts w:hint="eastAsia" w:ascii="宋体" w:hAnsi="宋体" w:eastAsia="宋体" w:cs="宋体"/>
                <w:szCs w:val="21"/>
                <w:highlight w:val="none"/>
                <w:lang w:eastAsia="zh-CN"/>
              </w:rPr>
              <w:t>、</w:t>
            </w:r>
            <w:r>
              <w:rPr>
                <w:rFonts w:hint="eastAsia" w:ascii="Times New Roman" w:hAnsi="Times New Roman" w:eastAsia="宋体" w:cs="Times New Roman"/>
                <w:color w:val="auto"/>
                <w:kern w:val="0"/>
                <w:sz w:val="24"/>
                <w:szCs w:val="24"/>
                <w:highlight w:val="none"/>
              </w:rPr>
              <w:t>《医疗器械经营许可证》或《医疗器械生产许可证》原件；且具有第二类医疗器械备案凭证</w:t>
            </w:r>
            <w:r>
              <w:rPr>
                <w:rFonts w:hint="eastAsia" w:ascii="Times New Roman" w:hAnsi="Times New Roman" w:eastAsia="宋体" w:cs="Times New Roman"/>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yellow"/>
                <w:lang w:val="en-US" w:eastAsia="zh-CN"/>
              </w:rPr>
            </w:pPr>
            <w:r>
              <w:rPr>
                <w:sz w:val="24"/>
              </w:rPr>
              <w:t>提供近社保缴纳凭证及完税证明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yellow"/>
              </w:rPr>
            </w:pPr>
            <w:r>
              <w:rPr>
                <w:rFonts w:hint="eastAsia" w:ascii="宋体" w:hAnsi="宋体" w:eastAsia="宋体" w:cs="宋体"/>
                <w:szCs w:val="21"/>
                <w:highlight w:val="none"/>
              </w:rPr>
              <w:t>提供2019-2021年度任一年财务审计报告（企业成立不足一年的，提供企业成立以来的财务报表）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未被“信用中国”（</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"http://www.creditchina.gov.cn/" \h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www.creditchina.gov.cn</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）、中国政府采购网（</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"http://www.ccgp.gov.cn/" \h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www.ccgp.gov.cn</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93" w:beforeLines="30"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2.2.2</w:t>
            </w:r>
          </w:p>
        </w:tc>
        <w:tc>
          <w:tcPr>
            <w:tcW w:w="1725" w:type="dxa"/>
            <w:vMerge w:val="restart"/>
            <w:tcBorders>
              <w:top w:val="single" w:color="auto" w:sz="4" w:space="0"/>
              <w:left w:val="nil"/>
              <w:right w:val="single" w:color="auto" w:sz="4" w:space="0"/>
            </w:tcBorders>
            <w:vAlign w:val="center"/>
          </w:tcPr>
          <w:p>
            <w:pPr>
              <w:spacing w:before="93" w:beforeLines="30"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符合性审查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投标文件格式符合招标文件要求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投标文件的签名盖章符合招标文件要求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交货期符合招标文件要求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货物质量符合招标文件要求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货物质量保证期符合招标文件要求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按照招标文件规定报价只有一个有效报价且没有漏项及超过采购预算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按招标文件要求编制了目录及页码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其他不符合招标文件的实质性要求</w:t>
            </w:r>
          </w:p>
        </w:tc>
      </w:tr>
    </w:tbl>
    <w:p>
      <w:pPr>
        <w:spacing w:before="312" w:beforeLines="100" w:after="156" w:afterLines="50" w:line="400" w:lineRule="exact"/>
        <w:ind w:firstLine="420" w:firstLineChars="200"/>
        <w:rPr>
          <w:rFonts w:hint="eastAsia" w:ascii="宋体" w:hAnsi="宋体" w:eastAsia="宋体" w:cs="宋体"/>
          <w:szCs w:val="21"/>
          <w:highlight w:val="none"/>
        </w:rPr>
      </w:pPr>
      <w:bookmarkStart w:id="166" w:name="_Toc494455919"/>
      <w:bookmarkStart w:id="167" w:name="_Toc17295"/>
    </w:p>
    <w:p>
      <w:pPr>
        <w:spacing w:before="312" w:beforeLines="100" w:after="156" w:afterLines="5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2.3商务部分</w:t>
      </w:r>
    </w:p>
    <w:tbl>
      <w:tblPr>
        <w:tblStyle w:val="30"/>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条款号</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报价得分（3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5948"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bl>
    <w:p>
      <w:pPr>
        <w:spacing w:before="156" w:beforeLines="50" w:after="156" w:afterLines="50" w:line="400" w:lineRule="exact"/>
        <w:rPr>
          <w:rFonts w:hint="eastAsia" w:ascii="宋体" w:hAnsi="宋体" w:eastAsia="宋体" w:cs="宋体"/>
          <w:szCs w:val="21"/>
          <w:highlight w:val="none"/>
        </w:rPr>
      </w:pPr>
    </w:p>
    <w:p>
      <w:pPr>
        <w:spacing w:before="156" w:beforeLines="50" w:after="156" w:afterLines="5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2.4技术部分</w:t>
      </w:r>
    </w:p>
    <w:tbl>
      <w:tblPr>
        <w:tblStyle w:val="30"/>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2.4.1</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售后服务保障</w:t>
            </w:r>
            <w:r>
              <w:rPr>
                <w:rFonts w:hint="eastAsia" w:ascii="宋体" w:hAnsi="宋体" w:eastAsia="宋体" w:cs="宋体"/>
                <w:color w:val="auto"/>
                <w:szCs w:val="21"/>
                <w:highlight w:val="none"/>
                <w:lang w:eastAsia="zh-Hans"/>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en-US" w:eastAsia="zh-Hans"/>
              </w:rPr>
              <w:t>分</w:t>
            </w:r>
            <w:r>
              <w:rPr>
                <w:rFonts w:hint="eastAsia" w:ascii="宋体" w:hAnsi="宋体" w:eastAsia="宋体" w:cs="宋体"/>
                <w:color w:val="auto"/>
                <w:szCs w:val="21"/>
                <w:highlight w:val="none"/>
                <w:lang w:eastAsia="zh-Hans"/>
              </w:rPr>
              <w:t>）</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提供可行的售后服务方案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技术服务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售后服务的协调性、及时性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售后服务内容、</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服务响应方式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响应时间</w:t>
            </w:r>
            <w:r>
              <w:rPr>
                <w:rFonts w:hint="eastAsia" w:ascii="宋体" w:hAnsi="宋体" w:eastAsia="宋体" w:cs="宋体"/>
                <w:color w:val="auto"/>
                <w:highlight w:val="none"/>
                <w:lang w:val="en-US" w:eastAsia="zh-CN"/>
              </w:rPr>
              <w:t>，围绕以上五项</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售后服务方案。售后服务方案满足以上五项并条理清晰、切实可行、针对性强满足项目需求的得15分。每缺一项扣3分；五项中任意一项条理不清晰、可行性差的扣1.5分，扣完为止。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2.4.2</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0000FF"/>
                <w:szCs w:val="21"/>
                <w:highlight w:val="none"/>
                <w:lang w:val="en-US" w:eastAsia="zh-CN"/>
              </w:rPr>
            </w:pPr>
            <w:r>
              <w:rPr>
                <w:sz w:val="24"/>
                <w:highlight w:val="none"/>
              </w:rPr>
              <w:t>质量管理与保证措施（10 分）</w:t>
            </w:r>
          </w:p>
        </w:tc>
        <w:tc>
          <w:tcPr>
            <w:tcW w:w="5948" w:type="dxa"/>
            <w:tcBorders>
              <w:top w:val="single" w:color="auto" w:sz="4" w:space="0"/>
              <w:left w:val="single" w:color="auto" w:sz="4" w:space="0"/>
              <w:bottom w:val="single" w:color="auto" w:sz="4" w:space="0"/>
              <w:right w:val="single" w:color="auto" w:sz="4" w:space="0"/>
            </w:tcBorders>
            <w:vAlign w:val="center"/>
          </w:tcPr>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有完善的质量保证体系的得 3 分。</w:t>
            </w:r>
          </w:p>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有合理的质量管理实施方案的得 3 分。</w:t>
            </w:r>
          </w:p>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提供本项目具体有效的质量保证措施者得 2 分。</w:t>
            </w:r>
          </w:p>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sz w:val="24"/>
                <w:highlight w:val="none"/>
                <w:lang w:val="en-US"/>
              </w:rPr>
            </w:pPr>
            <w:r>
              <w:rPr>
                <w:rFonts w:hint="eastAsia" w:ascii="宋体" w:hAnsi="宋体" w:eastAsia="宋体" w:cs="宋体"/>
                <w:b w:val="0"/>
                <w:bCs w:val="0"/>
                <w:color w:val="auto"/>
                <w:kern w:val="0"/>
                <w:sz w:val="21"/>
                <w:szCs w:val="21"/>
                <w:highlight w:val="none"/>
                <w:lang w:val="en-US" w:eastAsia="zh-CN" w:bidi="ar-SA"/>
              </w:rPr>
              <w:t>有完备的质量保证风险预估的得 2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2.4.3</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培训计划（10分</w:t>
            </w:r>
            <w:r>
              <w:rPr>
                <w:rFonts w:hint="eastAsia" w:ascii="宋体" w:hAnsi="宋体" w:eastAsia="宋体" w:cs="宋体"/>
                <w:color w:val="auto"/>
                <w:szCs w:val="21"/>
                <w:highlight w:val="none"/>
                <w:lang w:val="en-US" w:eastAsia="zh-CN"/>
              </w:rPr>
              <w:t>）</w:t>
            </w:r>
          </w:p>
        </w:tc>
        <w:tc>
          <w:tcPr>
            <w:tcW w:w="5948" w:type="dxa"/>
            <w:tcBorders>
              <w:top w:val="single" w:color="auto" w:sz="4" w:space="0"/>
              <w:left w:val="single" w:color="auto" w:sz="4" w:space="0"/>
              <w:bottom w:val="single" w:color="auto" w:sz="4" w:space="0"/>
              <w:right w:val="single" w:color="auto" w:sz="4" w:space="0"/>
            </w:tcBorders>
            <w:vAlign w:val="center"/>
          </w:tcPr>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培训计划：1.条理清晰、2.切实可行、3.培训计划安排、4.培训人员信息（身份信息、相关培训案例）等；</w:t>
            </w:r>
          </w:p>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培训计划满足以上四项并条理清晰、切实可行、针对性强得10分，每缺一项扣2.5分；四项中任意一项条理不清晰的扣1分，扣完为止。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2.4.4</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技术支持及服务方案（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分）</w:t>
            </w:r>
          </w:p>
        </w:tc>
        <w:tc>
          <w:tcPr>
            <w:tcW w:w="5948" w:type="dxa"/>
            <w:tcBorders>
              <w:top w:val="single" w:color="auto" w:sz="4" w:space="0"/>
              <w:left w:val="single" w:color="auto" w:sz="4" w:space="0"/>
              <w:bottom w:val="single" w:color="auto" w:sz="4" w:space="0"/>
              <w:right w:val="single" w:color="auto" w:sz="4" w:space="0"/>
            </w:tcBorders>
            <w:vAlign w:val="center"/>
          </w:tcPr>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货物参数（20 分）投标文件对招标文件要求的货物技术规格参数与要求完全响应无负偏离的得 20 分。有一项*号参数负偏离扣 2 分，有一项普通参数负偏离扣 1 分，扣完为止。</w:t>
            </w:r>
          </w:p>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提供较好的货物安装、调试、运行服务方案的得 2 分</w:t>
            </w:r>
          </w:p>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投标货物的技术水平先进性、可靠性很好的得 1 分</w:t>
            </w:r>
          </w:p>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技术服务方案切实可行，具有完善的配送流程和配套的服务设施、系统等，方案可以很好满足采购单位需求的， 得 2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.5</w:t>
            </w:r>
          </w:p>
        </w:tc>
        <w:tc>
          <w:tcPr>
            <w:tcW w:w="1900" w:type="dxa"/>
            <w:tcBorders>
              <w:top w:val="single" w:color="auto" w:sz="4" w:space="0"/>
              <w:left w:val="nil"/>
              <w:bottom w:val="single" w:color="auto" w:sz="4" w:space="0"/>
              <w:right w:val="single" w:color="auto" w:sz="4" w:space="0"/>
            </w:tcBorders>
            <w:vAlign w:val="top"/>
          </w:tcPr>
          <w:p>
            <w:pPr>
              <w:spacing w:before="93" w:beforeLines="30" w:line="312"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对招标文件的响应程度（3分）</w:t>
            </w:r>
          </w:p>
        </w:tc>
        <w:tc>
          <w:tcPr>
            <w:tcW w:w="5948" w:type="dxa"/>
            <w:tcBorders>
              <w:top w:val="single" w:color="auto" w:sz="4" w:space="0"/>
              <w:left w:val="single" w:color="auto" w:sz="4" w:space="0"/>
              <w:bottom w:val="single" w:color="auto" w:sz="4" w:space="0"/>
              <w:right w:val="single" w:color="auto" w:sz="4" w:space="0"/>
            </w:tcBorders>
            <w:vAlign w:val="top"/>
          </w:tcPr>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根据该项目招标文件对比所有投标人，优于招标文件要求的得3分,满足招标文件要求的得2分,部分响应招标文件要求的得1-0分。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pStyle w:val="14"/>
              <w:pageBreakBefore w:val="0"/>
              <w:tabs>
                <w:tab w:val="left" w:pos="600"/>
              </w:tabs>
              <w:kinsoku/>
              <w:wordWrap/>
              <w:overflowPunct/>
              <w:topLinePunct w:val="0"/>
              <w:bidi w:val="0"/>
              <w:spacing w:line="360" w:lineRule="auto"/>
              <w:ind w:left="0" w:leftChars="0" w:firstLine="0" w:firstLineChars="0"/>
              <w:jc w:val="center"/>
              <w:rPr>
                <w:rFonts w:hint="default" w:ascii="宋体" w:hAnsi="宋体" w:eastAsia="宋体" w:cs="宋体"/>
                <w:b w:val="0"/>
                <w:bCs w:val="0"/>
                <w:color w:val="auto"/>
                <w:kern w:val="0"/>
                <w:sz w:val="21"/>
                <w:szCs w:val="21"/>
                <w:highlight w:val="none"/>
                <w:lang w:val="en-US" w:eastAsia="zh-CN" w:bidi="ar-SA"/>
              </w:rPr>
            </w:pPr>
            <w:bookmarkStart w:id="168" w:name="_Toc15307"/>
            <w:bookmarkStart w:id="169" w:name="_Toc23460"/>
            <w:bookmarkStart w:id="170" w:name="_Toc20468"/>
            <w:bookmarkStart w:id="171" w:name="_Toc16306"/>
            <w:bookmarkStart w:id="172" w:name="_Toc9162"/>
            <w:bookmarkStart w:id="173" w:name="_Toc32220"/>
            <w:bookmarkStart w:id="174" w:name="_Toc30543"/>
            <w:bookmarkStart w:id="175" w:name="_Toc19385"/>
            <w:bookmarkStart w:id="176" w:name="_Toc11811"/>
            <w:bookmarkStart w:id="177" w:name="_Toc12697"/>
            <w:r>
              <w:rPr>
                <w:rFonts w:hint="eastAsia" w:ascii="宋体" w:hAnsi="宋体" w:eastAsia="宋体" w:cs="宋体"/>
                <w:b w:val="0"/>
                <w:bCs w:val="0"/>
                <w:color w:val="auto"/>
                <w:kern w:val="0"/>
                <w:sz w:val="21"/>
                <w:szCs w:val="21"/>
                <w:highlight w:val="none"/>
                <w:lang w:val="en-US" w:eastAsia="zh-CN" w:bidi="ar-SA"/>
              </w:rPr>
              <w:t>2.4</w:t>
            </w:r>
            <w:r>
              <w:rPr>
                <w:rFonts w:hint="eastAsia" w:ascii="宋体" w:hAnsi="宋体" w:cs="宋体"/>
                <w:b w:val="0"/>
                <w:bCs w:val="0"/>
                <w:color w:val="auto"/>
                <w:kern w:val="0"/>
                <w:sz w:val="21"/>
                <w:szCs w:val="21"/>
                <w:highlight w:val="none"/>
                <w:lang w:val="en-US" w:eastAsia="zh-CN" w:bidi="ar-SA"/>
              </w:rPr>
              <w:t>.6</w:t>
            </w:r>
          </w:p>
        </w:tc>
        <w:tc>
          <w:tcPr>
            <w:tcW w:w="1900" w:type="dxa"/>
            <w:tcBorders>
              <w:top w:val="single" w:color="auto" w:sz="4" w:space="0"/>
              <w:left w:val="nil"/>
              <w:bottom w:val="single" w:color="auto" w:sz="4" w:space="0"/>
              <w:right w:val="single" w:color="auto" w:sz="4" w:space="0"/>
            </w:tcBorders>
            <w:vAlign w:val="center"/>
          </w:tcPr>
          <w:p>
            <w:pPr>
              <w:pStyle w:val="83"/>
              <w:pageBreakBefore w:val="0"/>
              <w:kinsoku/>
              <w:wordWrap/>
              <w:overflowPunct/>
              <w:topLinePunct w:val="0"/>
              <w:bidi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优惠条件（2分）</w:t>
            </w:r>
          </w:p>
        </w:tc>
        <w:tc>
          <w:tcPr>
            <w:tcW w:w="594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投标人承诺给予采购人的优惠条件优厚程度打分，优2分，一般1分，没有不得分。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pStyle w:val="14"/>
              <w:pageBreakBefore w:val="0"/>
              <w:tabs>
                <w:tab w:val="left" w:pos="600"/>
              </w:tabs>
              <w:kinsoku/>
              <w:wordWrap/>
              <w:overflowPunct/>
              <w:topLinePunct w:val="0"/>
              <w:bidi w:val="0"/>
              <w:spacing w:line="360" w:lineRule="auto"/>
              <w:ind w:left="0" w:leftChars="0" w:firstLine="0" w:firstLineChars="0"/>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2.4.7</w:t>
            </w:r>
          </w:p>
        </w:tc>
        <w:tc>
          <w:tcPr>
            <w:tcW w:w="1900" w:type="dxa"/>
            <w:tcBorders>
              <w:top w:val="single" w:color="auto" w:sz="4" w:space="0"/>
              <w:left w:val="nil"/>
              <w:bottom w:val="single" w:color="auto" w:sz="4" w:space="0"/>
              <w:right w:val="single" w:color="auto" w:sz="4" w:space="0"/>
            </w:tcBorders>
            <w:vAlign w:val="center"/>
          </w:tcPr>
          <w:p>
            <w:pPr>
              <w:pStyle w:val="83"/>
              <w:pageBreakBefore w:val="0"/>
              <w:kinsoku/>
              <w:wordWrap/>
              <w:overflowPunct/>
              <w:topLinePunct w:val="0"/>
              <w:bidi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投标文件编制质量</w:t>
            </w:r>
            <w:r>
              <w:rPr>
                <w:rFonts w:hint="eastAsia" w:ascii="宋体" w:hAnsi="宋体" w:cs="宋体"/>
                <w:b w:val="0"/>
                <w:bCs w:val="0"/>
                <w:color w:val="auto"/>
                <w:kern w:val="0"/>
                <w:sz w:val="21"/>
                <w:szCs w:val="21"/>
                <w:highlight w:val="none"/>
                <w:lang w:val="en-US" w:eastAsia="zh-CN" w:bidi="ar-SA"/>
              </w:rPr>
              <w:t>（1分）</w:t>
            </w:r>
          </w:p>
        </w:tc>
        <w:tc>
          <w:tcPr>
            <w:tcW w:w="594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投标文件编制内容完整、工整，目录清晰，投标文件编制中有个别漏项，不完整的予以扣分。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pStyle w:val="14"/>
              <w:pageBreakBefore w:val="0"/>
              <w:tabs>
                <w:tab w:val="left" w:pos="600"/>
              </w:tabs>
              <w:kinsoku/>
              <w:wordWrap/>
              <w:overflowPunct/>
              <w:topLinePunct w:val="0"/>
              <w:bidi w:val="0"/>
              <w:spacing w:line="360" w:lineRule="auto"/>
              <w:ind w:left="0" w:leftChars="0" w:firstLine="0" w:firstLineChars="0"/>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2.4.8</w:t>
            </w:r>
          </w:p>
        </w:tc>
        <w:tc>
          <w:tcPr>
            <w:tcW w:w="1900" w:type="dxa"/>
            <w:tcBorders>
              <w:top w:val="single" w:color="auto" w:sz="4" w:space="0"/>
              <w:left w:val="nil"/>
              <w:bottom w:val="single" w:color="auto" w:sz="4" w:space="0"/>
              <w:right w:val="single" w:color="auto" w:sz="4" w:space="0"/>
            </w:tcBorders>
            <w:vAlign w:val="center"/>
          </w:tcPr>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投标产品的可靠性、稳定性及技术实力（2分）</w:t>
            </w:r>
          </w:p>
        </w:tc>
        <w:tc>
          <w:tcPr>
            <w:tcW w:w="5948" w:type="dxa"/>
            <w:tcBorders>
              <w:top w:val="single" w:color="auto" w:sz="4" w:space="0"/>
              <w:left w:val="single" w:color="auto" w:sz="4" w:space="0"/>
              <w:bottom w:val="single" w:color="auto" w:sz="4" w:space="0"/>
              <w:right w:val="single" w:color="auto" w:sz="4" w:space="0"/>
            </w:tcBorders>
            <w:vAlign w:val="center"/>
          </w:tcPr>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产品整体配套性、可靠性、稳定性是否最佳化。由评委进行综合评比打分，优2分，一般1分，没有不得分。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pStyle w:val="14"/>
              <w:pageBreakBefore w:val="0"/>
              <w:tabs>
                <w:tab w:val="left" w:pos="600"/>
              </w:tabs>
              <w:kinsoku/>
              <w:wordWrap/>
              <w:overflowPunct/>
              <w:topLinePunct w:val="0"/>
              <w:bidi w:val="0"/>
              <w:spacing w:line="360" w:lineRule="auto"/>
              <w:ind w:left="0" w:leftChars="0" w:firstLine="0" w:firstLineChars="0"/>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2.4.9</w:t>
            </w:r>
          </w:p>
        </w:tc>
        <w:tc>
          <w:tcPr>
            <w:tcW w:w="1900" w:type="dxa"/>
            <w:tcBorders>
              <w:top w:val="single" w:color="auto" w:sz="4" w:space="0"/>
              <w:left w:val="nil"/>
              <w:bottom w:val="single" w:color="auto" w:sz="4" w:space="0"/>
              <w:right w:val="single" w:color="auto" w:sz="4" w:space="0"/>
            </w:tcBorders>
            <w:vAlign w:val="center"/>
          </w:tcPr>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投标产品的可操作、可维护性（2分）</w:t>
            </w:r>
          </w:p>
        </w:tc>
        <w:tc>
          <w:tcPr>
            <w:tcW w:w="5948" w:type="dxa"/>
            <w:tcBorders>
              <w:top w:val="single" w:color="auto" w:sz="4" w:space="0"/>
              <w:left w:val="single" w:color="auto" w:sz="4" w:space="0"/>
              <w:bottom w:val="single" w:color="auto" w:sz="4" w:space="0"/>
              <w:right w:val="single" w:color="auto" w:sz="4" w:space="0"/>
            </w:tcBorders>
            <w:vAlign w:val="center"/>
          </w:tcPr>
          <w:p>
            <w:pPr>
              <w:pStyle w:val="8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产品可操作性、升级维护方案是否满足用户需求。由评委进行综合评比打分，优2分，一般1分，没有不得分。</w:t>
            </w:r>
          </w:p>
        </w:tc>
      </w:tr>
      <w:bookmarkEnd w:id="166"/>
      <w:bookmarkEnd w:id="167"/>
    </w:tbl>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政策加分以及计算方法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6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pPr>
              <w:spacing w:beforeLines="100" w:afterLines="50" w:line="400" w:lineRule="exact"/>
              <w:jc w:val="center"/>
              <w:outlineLvl w:val="2"/>
              <w:rPr>
                <w:rFonts w:hint="eastAsia" w:ascii="宋体" w:hAnsi="宋体" w:eastAsia="宋体" w:cs="宋体"/>
                <w:b w:val="0"/>
                <w:bCs w:val="0"/>
                <w:color w:val="auto"/>
                <w:sz w:val="24"/>
                <w:szCs w:val="24"/>
                <w:highlight w:val="none"/>
                <w:vertAlign w:val="baseline"/>
              </w:rPr>
            </w:pPr>
            <w:r>
              <w:rPr>
                <w:rFonts w:hint="eastAsia"/>
                <w:b/>
                <w:sz w:val="24"/>
                <w:highlight w:val="none"/>
                <w:lang w:eastAsia="zh-CN"/>
              </w:rPr>
              <w:t>中</w:t>
            </w:r>
            <w:r>
              <w:rPr>
                <w:b/>
                <w:sz w:val="24"/>
                <w:highlight w:val="none"/>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spacing w:beforeLines="100" w:afterLines="50" w:line="400" w:lineRule="exact"/>
              <w:jc w:val="center"/>
              <w:outlineLvl w:val="2"/>
              <w:rPr>
                <w:rFonts w:hint="eastAsia" w:ascii="宋体" w:hAnsi="宋体" w:eastAsia="宋体" w:cs="宋体"/>
                <w:b w:val="0"/>
                <w:bCs w:val="0"/>
                <w:color w:val="auto"/>
                <w:sz w:val="24"/>
                <w:szCs w:val="24"/>
                <w:highlight w:val="yellow"/>
                <w:vertAlign w:val="baseline"/>
              </w:rPr>
            </w:pPr>
            <w:r>
              <w:rPr>
                <w:sz w:val="24"/>
              </w:rPr>
              <w:t>评审内容</w:t>
            </w:r>
          </w:p>
        </w:tc>
        <w:tc>
          <w:tcPr>
            <w:tcW w:w="6162" w:type="dxa"/>
          </w:tcPr>
          <w:p>
            <w:pPr>
              <w:spacing w:beforeLines="100" w:afterLines="50" w:line="400" w:lineRule="exact"/>
              <w:jc w:val="center"/>
              <w:outlineLvl w:val="2"/>
              <w:rPr>
                <w:rFonts w:hint="eastAsia" w:ascii="宋体" w:hAnsi="宋体" w:eastAsia="宋体" w:cs="宋体"/>
                <w:b w:val="0"/>
                <w:bCs w:val="0"/>
                <w:color w:val="auto"/>
                <w:sz w:val="24"/>
                <w:szCs w:val="24"/>
                <w:highlight w:val="yellow"/>
                <w:vertAlign w:val="baseline"/>
              </w:rPr>
            </w:pPr>
            <w:r>
              <w:rPr>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spacing w:beforeLines="100" w:afterLines="50" w:line="400" w:lineRule="exact"/>
              <w:outlineLvl w:val="2"/>
              <w:rPr>
                <w:rFonts w:hint="eastAsia" w:ascii="宋体" w:hAnsi="宋体" w:eastAsia="宋体" w:cs="宋体"/>
                <w:b w:val="0"/>
                <w:bCs w:val="0"/>
                <w:color w:val="auto"/>
                <w:sz w:val="24"/>
                <w:szCs w:val="24"/>
                <w:highlight w:val="yellow"/>
                <w:vertAlign w:val="baseline"/>
              </w:rPr>
            </w:pPr>
            <w:r>
              <w:rPr>
                <w:sz w:val="24"/>
              </w:rPr>
              <w:t>中小微型企业有关政策</w:t>
            </w:r>
          </w:p>
        </w:tc>
        <w:tc>
          <w:tcPr>
            <w:tcW w:w="6162" w:type="dxa"/>
          </w:tcPr>
          <w:p>
            <w:pPr>
              <w:pStyle w:val="78"/>
              <w:spacing w:before="53"/>
              <w:ind w:left="106"/>
              <w:rPr>
                <w:sz w:val="24"/>
              </w:rPr>
            </w:pPr>
            <w:r>
              <w:rPr>
                <w:sz w:val="24"/>
              </w:rPr>
              <w:t>(1)国家统计局关于印发《统计上大中小微型企业划分办法（2017）》的通知执行；</w:t>
            </w:r>
          </w:p>
          <w:p>
            <w:pPr>
              <w:pStyle w:val="78"/>
              <w:spacing w:before="199"/>
              <w:ind w:left="106" w:right="-29"/>
              <w:rPr>
                <w:sz w:val="24"/>
              </w:rPr>
            </w:pPr>
            <w:r>
              <w:rPr>
                <w:sz w:val="24"/>
              </w:rPr>
              <w:t>(2)</w:t>
            </w:r>
            <w:r>
              <w:rPr>
                <w:spacing w:val="-4"/>
                <w:sz w:val="24"/>
              </w:rPr>
              <w:t>按照《财政部司法部关于政府采购支持监狱企业发展有关问题的通知》</w:t>
            </w:r>
            <w:r>
              <w:rPr>
                <w:sz w:val="24"/>
              </w:rPr>
              <w:t>（</w:t>
            </w:r>
            <w:r>
              <w:rPr>
                <w:spacing w:val="-5"/>
                <w:sz w:val="24"/>
              </w:rPr>
              <w:t>财库【</w:t>
            </w:r>
            <w:r>
              <w:rPr>
                <w:sz w:val="24"/>
              </w:rPr>
              <w:t>2020</w:t>
            </w:r>
            <w:r>
              <w:rPr>
                <w:spacing w:val="-15"/>
                <w:sz w:val="24"/>
              </w:rPr>
              <w:t>】</w:t>
            </w:r>
            <w:r>
              <w:rPr>
                <w:sz w:val="24"/>
              </w:rPr>
              <w:t>46</w:t>
            </w:r>
            <w:r>
              <w:rPr>
                <w:spacing w:val="-30"/>
                <w:sz w:val="24"/>
              </w:rPr>
              <w:t xml:space="preserve"> 号</w:t>
            </w:r>
            <w:r>
              <w:rPr>
                <w:spacing w:val="-15"/>
                <w:sz w:val="24"/>
              </w:rPr>
              <w:t>）</w:t>
            </w:r>
            <w:r>
              <w:rPr>
                <w:spacing w:val="-5"/>
                <w:sz w:val="24"/>
              </w:rPr>
              <w:t>文件规定，在政府采购活动中，对小型和微型企业</w:t>
            </w:r>
            <w:r>
              <w:rPr>
                <w:sz w:val="24"/>
              </w:rPr>
              <w:t>产品的价格给予扣除，用扣除后的价格参与评审。</w:t>
            </w:r>
          </w:p>
          <w:p>
            <w:pPr>
              <w:pStyle w:val="78"/>
              <w:spacing w:before="199"/>
              <w:ind w:left="106" w:right="-29"/>
              <w:rPr>
                <w:rFonts w:hint="eastAsia"/>
                <w:sz w:val="24"/>
              </w:rPr>
            </w:pPr>
            <w:r>
              <w:rPr>
                <w:sz w:val="24"/>
              </w:rPr>
              <w:t>(3)价格扣除幅度：6%</w:t>
            </w:r>
          </w:p>
        </w:tc>
      </w:tr>
    </w:tbl>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以上评标标准中要求投标人提交相关证明材料原件（或复印件）的，未装订在投标文件中的不得分。</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投标单位以联合体的身份参与政府采购项目的，以商务部分加分最多的一家投标单位的加分为商务部分的加分。</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资产负债率=年末负债合计÷年末资产总计。</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给予小型和微型企业价格扣除</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给予小型和微型企业（包括相互之间组成的联合体）产品的价格 6%的扣除； 计算方法是：</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最终价格＝投标报价×94%，按照最终价格计算其价格分得分。</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开标时，投标人须提供《中小企业声明函》原件并对声明函的真实性负责，否则不给予价格扣除。</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大中型企业和其他自然人、法人或者其他组织与小型、微型企业组成联合体投标，联合协议中约定，小型、微型企业的协议合同金额占到联合体协议合同金额 30% 以上的，可给予联合体 3%的价格扣除。计算方法是：</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最终价格＝投标报价×97%，按照最终价格计算其价格分得分。</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开标时，投标人须提供《中小企业声明函》原件并对声明函的真实性负责和联合体协议原件，否则不给予价格扣除。</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在政府采购活动中，供应商提供的货物、工程 或者服务符合下列情形的，享受本办法规定的中小企业扶持 政策：</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（一）在货物采购项目中，货物由中小企业制造，即货 物由中小企业生产且使用该中小企业商号或者注册商标；</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（二）在工程采购项目中，工程由中小企业承建，即工 程施工单位为中小企业；</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（三）在服务采购项目中，服务由中小企业承接，即提供服务的人员为中小企业依照《中华人民共和国劳动合同法》 订立劳动合同的从业人员。</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在货物采购项目中，供应商提供的货物既有中小企业制 造货物，也有大型企业制</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造货物的，不享受本办法规定的中 小企业扶持政策。</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以联合体形式参加政府采购活动，联合体各方均为中小 企业的，联合体视同中小企业。其中，联合体各方均为小微 企业的，联合体视同小微企业。</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4.评标方法</w:t>
      </w:r>
      <w:bookmarkEnd w:id="168"/>
      <w:bookmarkEnd w:id="169"/>
      <w:bookmarkEnd w:id="170"/>
      <w:bookmarkEnd w:id="171"/>
      <w:bookmarkEnd w:id="172"/>
    </w:p>
    <w:p>
      <w:pPr>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bookmarkStart w:id="178" w:name="_Toc7399"/>
      <w:bookmarkStart w:id="179" w:name="_Toc4664"/>
      <w:bookmarkStart w:id="180" w:name="_Toc16439"/>
      <w:bookmarkStart w:id="181" w:name="_Toc22832"/>
      <w:r>
        <w:rPr>
          <w:rFonts w:hint="eastAsia" w:ascii="宋体" w:hAnsi="宋体" w:eastAsia="宋体" w:cs="宋体"/>
          <w:b w:val="0"/>
          <w:bCs w:val="0"/>
          <w:color w:val="auto"/>
          <w:sz w:val="24"/>
          <w:szCs w:val="24"/>
          <w:highlight w:val="none"/>
        </w:rPr>
        <w:t>5.评审标准</w:t>
      </w:r>
      <w:bookmarkEnd w:id="178"/>
      <w:bookmarkEnd w:id="179"/>
      <w:bookmarkEnd w:id="180"/>
      <w:bookmarkEnd w:id="181"/>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5.1初步评审标准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5.1.1资格性审查：详见评标办法前附表；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5.1.2符合性审查：详见评标办法前附表。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5.2分值构成与评分标准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5.2.1分值构成：详见评标办法前附表。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5.2.2评标基准价的确定：满足招标要求且投标价格最低的投标报价为评标基准价。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有效报价：未超过最高限价的所以投标报价均为有效报价。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5.2.3投标报价的得分计算</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投标商务得分：投标报价得分=(评标基准价／投标报价)×价格权值×100</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5.2.4发包人有权接受或拒绝投标人在投标文件中提出偏离、保留。发包人不接受投标人在开标后提出的优惠条件。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5.2.5评分标准：详见评标附表。</w:t>
      </w:r>
    </w:p>
    <w:p>
      <w:pPr>
        <w:spacing w:beforeLines="100" w:afterLines="50"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6.评标程序</w:t>
      </w:r>
      <w:bookmarkEnd w:id="173"/>
      <w:bookmarkEnd w:id="174"/>
      <w:bookmarkEnd w:id="175"/>
      <w:bookmarkEnd w:id="176"/>
      <w:bookmarkEnd w:id="177"/>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6.1初步评审</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委员会可以要求投标人提交第二章“投标人须知”第30.1项规定的有关证明和证件的原件，以便核验。评标委员会依据本章第2.1款规定的标准对投标文件进行初步评审。有一项不符合评审标准的，作废标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6.1.2投标人有以下情形之一的，其投标作废标处理：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（2）不按评标委员会要求澄清、说明或补正的。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（3）投标函中投标报价与采购清单汇总价不一致时投标文件作废标处理。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（4）提供虚假资料的其投标文件作废标处理。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（5）投标人在开标时资格审查时递交的法人授权委托书公证件原件，其内容应与资格预审、投标文件的内容一致，其中委托代理人均为同一人，不一致作废标处理。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（6）评标委员会认定投标人以低于成本报价竞标的。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（7）投标人附有招标人不能接受的条件。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（8）投标文件偏离招标文件实质性要求和条件的。</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（9）一个投标人递交两份或多分内容不同的投标文件，或在</w:t>
      </w:r>
      <w:r>
        <w:rPr>
          <w:rFonts w:hint="eastAsia" w:ascii="宋体" w:hAnsi="宋体" w:eastAsia="宋体" w:cs="宋体"/>
          <w:sz w:val="24"/>
          <w:szCs w:val="24"/>
          <w:highlight w:val="none"/>
        </w:rPr>
        <w:t>一份投标文件中对同一招标项目有两个或多个报价，且未声明哪一个报价有效的。</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6.1.3投标报价有算术错误的，评标委员会按以下原则对投标报价进行修正，修正的价格经投标人书面确认后具有约束力。投标人不接受修正价格的，其投标作废标处理。</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（1）投标文件中的大写金额与小写金额不一致的，以大写金额为准；</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6.2详细评审</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评标委员会分别进行技术评审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商务评审，在技术组评委技术评分表提交后，在进行商务评分汇总。</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6.2.1评标委员会按照本章第2</w:t>
      </w:r>
      <w:r>
        <w:rPr>
          <w:rFonts w:hint="eastAsia" w:ascii="宋体" w:hAnsi="宋体" w:eastAsia="宋体" w:cs="宋体"/>
          <w:sz w:val="24"/>
          <w:szCs w:val="24"/>
          <w:highlight w:val="none"/>
          <w:lang w:val="en-US" w:eastAsia="zh-CN"/>
        </w:rPr>
        <w:t>.3及2.4</w:t>
      </w:r>
      <w:r>
        <w:rPr>
          <w:rFonts w:hint="eastAsia" w:ascii="宋体" w:hAnsi="宋体" w:eastAsia="宋体" w:cs="宋体"/>
          <w:sz w:val="24"/>
          <w:szCs w:val="24"/>
          <w:highlight w:val="none"/>
        </w:rPr>
        <w:t>款规定的量化因素和分值进行打分,计算出综合评分得分,投标人的总得分等于评委评分的算术和的平均值。</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（1）按本章规定的评审项目及内容对技术因素部分计算出得分∑1；</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（2）按本章规定的评审项目及内容对</w:t>
      </w:r>
      <w:r>
        <w:rPr>
          <w:rFonts w:hint="eastAsia" w:ascii="宋体" w:hAnsi="宋体" w:eastAsia="宋体" w:cs="宋体"/>
          <w:sz w:val="24"/>
          <w:szCs w:val="24"/>
          <w:highlight w:val="none"/>
          <w:lang w:val="en-US" w:eastAsia="zh-CN"/>
        </w:rPr>
        <w:t>商务因素</w:t>
      </w:r>
      <w:r>
        <w:rPr>
          <w:rFonts w:hint="eastAsia" w:ascii="宋体" w:hAnsi="宋体" w:eastAsia="宋体" w:cs="宋体"/>
          <w:sz w:val="24"/>
          <w:szCs w:val="24"/>
          <w:highlight w:val="none"/>
        </w:rPr>
        <w:t>部分计算出∑2；</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6.2.2评分分值计算保留小数点后两位，小数点后第三位按“四舍五入”;</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6.2.3投标人得分：∑1+∑2</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6.3投标文件的澄清和补正</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6.3.2澄清、说明和补正不得改变投标文件的实质性内容（算术性错误修正的除外）。投标人的书面澄清、说明和补正属于投标文件的组成部分。</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3.3.3评标委员会对投标人提交的澄清、说明或补正有疑问的，可以要求投标人进一步澄清、说明或补正，直至满足评标委员会的要求。</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6.4评标结果</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6.4.1评标委员会依据本章第评分标准进行评分，按评标办法前附表的约定计算投标人最终得分，根据得分由高到低的顺序推荐3名中标候选人，并标明推荐顺序。</w:t>
      </w:r>
    </w:p>
    <w:p>
      <w:pPr>
        <w:spacing w:line="400" w:lineRule="exact"/>
        <w:ind w:firstLine="480" w:firstLineChars="200"/>
        <w:rPr>
          <w:rFonts w:hint="eastAsia" w:ascii="宋体" w:hAnsi="宋体" w:eastAsia="宋体" w:cs="宋体"/>
          <w:sz w:val="32"/>
          <w:szCs w:val="32"/>
        </w:rPr>
      </w:pPr>
      <w:r>
        <w:rPr>
          <w:rFonts w:hint="eastAsia" w:ascii="宋体" w:hAnsi="宋体" w:eastAsia="宋体" w:cs="宋体"/>
          <w:sz w:val="24"/>
          <w:szCs w:val="24"/>
          <w:highlight w:val="none"/>
        </w:rPr>
        <w:t>6.4.2评标委员会完成评标后，应当向招标人提交书面评标报告。</w:t>
      </w:r>
      <w:bookmarkStart w:id="182" w:name="_Toc15961"/>
    </w:p>
    <w:p>
      <w:pPr>
        <w:spacing w:afterLines="50" w:line="440" w:lineRule="exact"/>
        <w:jc w:val="center"/>
        <w:outlineLvl w:val="1"/>
        <w:rPr>
          <w:rFonts w:hint="eastAsia" w:ascii="宋体" w:hAnsi="宋体" w:eastAsia="宋体" w:cs="宋体"/>
          <w:b/>
          <w:bCs/>
          <w:sz w:val="28"/>
          <w:szCs w:val="28"/>
        </w:rPr>
      </w:pPr>
      <w:r>
        <w:rPr>
          <w:rFonts w:hint="eastAsia" w:ascii="宋体" w:hAnsi="宋体" w:eastAsia="宋体" w:cs="宋体"/>
          <w:b/>
          <w:bCs/>
          <w:sz w:val="32"/>
          <w:szCs w:val="32"/>
        </w:rPr>
        <w:t>第五章  签订合同、合同主要条款</w:t>
      </w:r>
      <w:bookmarkEnd w:id="135"/>
      <w:bookmarkEnd w:id="182"/>
    </w:p>
    <w:p>
      <w:pPr>
        <w:spacing w:line="440" w:lineRule="exact"/>
        <w:ind w:firstLine="560" w:firstLineChars="200"/>
        <w:outlineLvl w:val="2"/>
        <w:rPr>
          <w:rFonts w:hint="eastAsia" w:ascii="宋体" w:hAnsi="宋体" w:eastAsia="宋体" w:cs="宋体"/>
          <w:sz w:val="28"/>
          <w:szCs w:val="28"/>
        </w:rPr>
      </w:pPr>
      <w:bookmarkStart w:id="183" w:name="_Toc23348"/>
      <w:bookmarkStart w:id="184" w:name="_Toc494455691"/>
      <w:bookmarkStart w:id="185" w:name="_Toc31442"/>
      <w:r>
        <w:rPr>
          <w:rFonts w:hint="eastAsia" w:ascii="宋体" w:hAnsi="宋体" w:eastAsia="宋体" w:cs="宋体"/>
          <w:sz w:val="28"/>
          <w:szCs w:val="28"/>
        </w:rPr>
        <w:t>1.签订合同</w:t>
      </w:r>
      <w:bookmarkEnd w:id="183"/>
      <w:bookmarkEnd w:id="184"/>
      <w:bookmarkEnd w:id="18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1.1采购人应当自中标通知书发出之日起三十日内，按照招标文件和中标人投标文件的约定，与中标人签订书面合同。所签订合同不得对招标文件和中标人投标文件作实质性修改。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1.3招标文件、投标文件、书面承诺和中标通知书均作为经济合同的一部分，且具有法律效力。中标人应严格履行经济合同所规定的各项义务和责任，否则将依法处理。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1.4有关法规或者招标文件明确不允许分包方式履行合同的，中标人不得分包履行合同，否则将依法承担法律责任。招标文件明确允许分包方式履行合同的，按照招标文件相关规定执行。</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当中标人放弃中标结果或者因被质疑、投诉，经查属实或者因不可抗力而不能履行合同的，采购人可从推荐中标候选人名单中按顺序重新确定中标人，但应符合相关规定；否则采购人应重新组织招标。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1.5采购人应当自采购合同签订之日起7个工作日内，将采购合同副本报同级财政部门和有关部门备案。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1.6法律、行政法规规定应当办理批准、登记等手续后生效的合同，依照其规定。</w:t>
      </w:r>
    </w:p>
    <w:p>
      <w:pPr>
        <w:spacing w:line="440" w:lineRule="exact"/>
        <w:ind w:firstLine="560" w:firstLineChars="200"/>
        <w:outlineLvl w:val="2"/>
        <w:rPr>
          <w:rFonts w:hint="eastAsia" w:ascii="宋体" w:hAnsi="宋体" w:eastAsia="宋体" w:cs="宋体"/>
          <w:sz w:val="28"/>
          <w:szCs w:val="28"/>
        </w:rPr>
      </w:pPr>
      <w:bookmarkStart w:id="186" w:name="_Toc19018"/>
      <w:bookmarkStart w:id="187" w:name="_Toc494455692"/>
      <w:bookmarkStart w:id="188" w:name="_Toc6368"/>
      <w:r>
        <w:rPr>
          <w:rFonts w:hint="eastAsia" w:ascii="宋体" w:hAnsi="宋体" w:eastAsia="宋体" w:cs="宋体"/>
          <w:sz w:val="28"/>
          <w:szCs w:val="28"/>
        </w:rPr>
        <w:t>2.追加合同金额</w:t>
      </w:r>
      <w:bookmarkEnd w:id="186"/>
      <w:bookmarkEnd w:id="187"/>
      <w:bookmarkEnd w:id="188"/>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政府采购合同履行中，采购人需要追加与合同标的相同的货物的，在不改变合同其他条款的前提下并且在签订合同后1年内，经采购人报同级财政部门批准后，可以与中标人协商签订补充合同，但所有补充合同的采购金额不得超过原合同采购金额的10%，否则采购人应重新组织招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pPr>
        <w:spacing w:line="440" w:lineRule="exact"/>
        <w:ind w:firstLine="560" w:firstLineChars="200"/>
        <w:outlineLvl w:val="2"/>
        <w:rPr>
          <w:rFonts w:hint="eastAsia" w:ascii="宋体" w:hAnsi="宋体" w:eastAsia="宋体" w:cs="宋体"/>
          <w:sz w:val="28"/>
          <w:szCs w:val="28"/>
        </w:rPr>
      </w:pPr>
      <w:bookmarkStart w:id="189" w:name="_Toc27523"/>
      <w:bookmarkStart w:id="190" w:name="_Toc494455693"/>
      <w:bookmarkStart w:id="191" w:name="_Toc6083"/>
      <w:r>
        <w:rPr>
          <w:rFonts w:hint="eastAsia" w:ascii="宋体" w:hAnsi="宋体" w:eastAsia="宋体" w:cs="宋体"/>
          <w:sz w:val="28"/>
          <w:szCs w:val="28"/>
        </w:rPr>
        <w:t>3.货物质量与验收</w:t>
      </w:r>
      <w:bookmarkEnd w:id="189"/>
      <w:bookmarkEnd w:id="190"/>
      <w:bookmarkEnd w:id="191"/>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3.2货物制造完毕经出厂检验合格后方能发货，并提供货物合格证书。</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3.3货物的表面涂漆颜色：由采购人和中标人商定。</w:t>
      </w:r>
    </w:p>
    <w:p>
      <w:pPr>
        <w:spacing w:line="440" w:lineRule="exact"/>
        <w:ind w:firstLine="480" w:firstLineChars="200"/>
        <w:rPr>
          <w:rFonts w:hint="eastAsia" w:ascii="宋体" w:hAnsi="宋体" w:eastAsia="宋体" w:cs="宋体"/>
          <w:kern w:val="1"/>
          <w:sz w:val="24"/>
          <w:szCs w:val="24"/>
        </w:rPr>
      </w:pPr>
      <w:r>
        <w:rPr>
          <w:rFonts w:hint="eastAsia" w:ascii="宋体" w:hAnsi="宋体" w:eastAsia="宋体" w:cs="宋体"/>
          <w:kern w:val="1"/>
          <w:sz w:val="24"/>
          <w:szCs w:val="24"/>
        </w:rPr>
        <w:t>3.4货物包装按照国标、部标以及有关标准执行。</w:t>
      </w:r>
    </w:p>
    <w:p>
      <w:pPr>
        <w:spacing w:line="440" w:lineRule="exact"/>
        <w:ind w:firstLine="560" w:firstLineChars="200"/>
        <w:outlineLvl w:val="2"/>
        <w:rPr>
          <w:rFonts w:hint="eastAsia" w:ascii="宋体" w:hAnsi="宋体" w:eastAsia="宋体" w:cs="宋体"/>
          <w:sz w:val="28"/>
          <w:szCs w:val="28"/>
        </w:rPr>
      </w:pPr>
      <w:bookmarkStart w:id="192" w:name="_Toc23578"/>
      <w:bookmarkStart w:id="193" w:name="_Toc2791"/>
      <w:bookmarkStart w:id="194" w:name="_Toc494455695"/>
      <w:bookmarkStart w:id="195" w:name="_Toc494455694"/>
      <w:r>
        <w:rPr>
          <w:rFonts w:hint="eastAsia" w:ascii="宋体" w:hAnsi="宋体" w:eastAsia="宋体" w:cs="宋体"/>
          <w:sz w:val="28"/>
          <w:szCs w:val="28"/>
        </w:rPr>
        <w:t>4.合同主要条款</w:t>
      </w:r>
      <w:bookmarkEnd w:id="192"/>
      <w:bookmarkEnd w:id="193"/>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合同编号：</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签 订 地： </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甲方（采购人）：</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住所地：</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乙方（中标人）：</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住 所 地：</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日参加了</w:t>
      </w:r>
      <w:r>
        <w:rPr>
          <w:rFonts w:hint="eastAsia" w:ascii="宋体" w:hAnsi="宋体" w:eastAsia="宋体" w:cs="宋体"/>
          <w:sz w:val="24"/>
          <w:szCs w:val="24"/>
          <w:u w:val="single"/>
          <w:lang w:val="zh-CN"/>
        </w:rPr>
        <w:t xml:space="preserve"> （采购人）</w:t>
      </w:r>
      <w:r>
        <w:rPr>
          <w:rFonts w:hint="eastAsia" w:ascii="宋体" w:hAnsi="宋体" w:eastAsia="宋体" w:cs="宋体"/>
          <w:sz w:val="24"/>
          <w:szCs w:val="24"/>
          <w:lang w:val="zh-CN"/>
        </w:rPr>
        <w:t xml:space="preserve"> 组织的“</w:t>
      </w:r>
      <w:r>
        <w:rPr>
          <w:rFonts w:hint="eastAsia" w:ascii="宋体" w:hAnsi="宋体" w:eastAsia="宋体" w:cs="宋体"/>
          <w:sz w:val="24"/>
          <w:szCs w:val="24"/>
          <w:u w:val="single"/>
          <w:lang w:val="zh-CN"/>
        </w:rPr>
        <w:t xml:space="preserve"> （项目名称及项目编号） </w:t>
      </w:r>
      <w:r>
        <w:rPr>
          <w:rFonts w:hint="eastAsia" w:ascii="宋体" w:hAnsi="宋体" w:eastAsia="宋体" w:cs="宋体"/>
          <w:sz w:val="24"/>
          <w:szCs w:val="24"/>
          <w:lang w:val="zh-CN"/>
        </w:rPr>
        <w:t>”政府采购活动，经评标委员会评审确定乙方为</w:t>
      </w:r>
      <w:r>
        <w:rPr>
          <w:rFonts w:hint="eastAsia" w:ascii="宋体" w:hAnsi="宋体" w:eastAsia="宋体" w:cs="宋体"/>
          <w:sz w:val="24"/>
          <w:szCs w:val="24"/>
          <w:u w:val="single"/>
          <w:lang w:val="zh-CN"/>
        </w:rPr>
        <w:t xml:space="preserve"> （包及包名称） </w:t>
      </w:r>
      <w:r>
        <w:rPr>
          <w:rFonts w:hint="eastAsia" w:ascii="宋体" w:hAnsi="宋体" w:eastAsia="宋体" w:cs="宋体"/>
          <w:sz w:val="24"/>
          <w:szCs w:val="24"/>
          <w:lang w:val="zh-CN"/>
        </w:rPr>
        <w:t>中标人，按照《中华人民共和国合同法》、《中华人民共和国政府采购法》和相关的法律法规规定，以及招标文件规定，经甲乙双方协商一致，签订本政府采购合同。</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第一条  货物条款</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乙方向甲方提供以下货物</w:t>
      </w:r>
    </w:p>
    <w:tbl>
      <w:tblPr>
        <w:tblStyle w:val="3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货物名称</w:t>
            </w:r>
          </w:p>
        </w:tc>
        <w:tc>
          <w:tcPr>
            <w:tcW w:w="5013" w:type="dxa"/>
            <w:vAlign w:val="center"/>
          </w:tcPr>
          <w:p>
            <w:pPr>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品牌、规格型号（技术参数）</w:t>
            </w:r>
          </w:p>
        </w:tc>
        <w:tc>
          <w:tcPr>
            <w:tcW w:w="884" w:type="dxa"/>
            <w:vAlign w:val="center"/>
          </w:tcPr>
          <w:p>
            <w:pPr>
              <w:spacing w:line="440" w:lineRule="exact"/>
              <w:ind w:firstLine="105"/>
              <w:rPr>
                <w:rFonts w:hint="eastAsia" w:ascii="宋体" w:hAnsi="宋体" w:eastAsia="宋体" w:cs="宋体"/>
                <w:sz w:val="24"/>
                <w:szCs w:val="24"/>
                <w:lang w:val="zh-CN"/>
              </w:rPr>
            </w:pPr>
            <w:r>
              <w:rPr>
                <w:rFonts w:hint="eastAsia" w:ascii="宋体" w:hAnsi="宋体" w:eastAsia="宋体" w:cs="宋体"/>
                <w:sz w:val="24"/>
                <w:szCs w:val="24"/>
                <w:lang w:val="zh-CN"/>
              </w:rPr>
              <w:t>单价</w:t>
            </w:r>
          </w:p>
        </w:tc>
        <w:tc>
          <w:tcPr>
            <w:tcW w:w="884" w:type="dxa"/>
            <w:vAlign w:val="center"/>
          </w:tcPr>
          <w:p>
            <w:pPr>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数量</w:t>
            </w:r>
          </w:p>
        </w:tc>
        <w:tc>
          <w:tcPr>
            <w:tcW w:w="1179" w:type="dxa"/>
            <w:vAlign w:val="center"/>
          </w:tcPr>
          <w:p>
            <w:pPr>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szCs w:val="24"/>
                <w:lang w:val="zh-CN"/>
              </w:rPr>
            </w:pPr>
          </w:p>
        </w:tc>
        <w:tc>
          <w:tcPr>
            <w:tcW w:w="5013"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1179" w:type="dxa"/>
            <w:vAlign w:val="center"/>
          </w:tcPr>
          <w:p>
            <w:pPr>
              <w:spacing w:line="440" w:lineRule="exact"/>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szCs w:val="24"/>
                <w:lang w:val="zh-CN"/>
              </w:rPr>
            </w:pPr>
          </w:p>
        </w:tc>
        <w:tc>
          <w:tcPr>
            <w:tcW w:w="5013"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1179" w:type="dxa"/>
            <w:vAlign w:val="center"/>
          </w:tcPr>
          <w:p>
            <w:pPr>
              <w:spacing w:line="440" w:lineRule="exact"/>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szCs w:val="24"/>
                <w:lang w:val="zh-CN"/>
              </w:rPr>
            </w:pPr>
          </w:p>
        </w:tc>
        <w:tc>
          <w:tcPr>
            <w:tcW w:w="5013"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1179" w:type="dxa"/>
            <w:vAlign w:val="center"/>
          </w:tcPr>
          <w:p>
            <w:pPr>
              <w:spacing w:line="440" w:lineRule="exact"/>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vAlign w:val="center"/>
          </w:tcPr>
          <w:p>
            <w:pPr>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合     计</w:t>
            </w:r>
          </w:p>
        </w:tc>
        <w:tc>
          <w:tcPr>
            <w:tcW w:w="2947" w:type="dxa"/>
            <w:gridSpan w:val="3"/>
            <w:vAlign w:val="center"/>
          </w:tcPr>
          <w:p>
            <w:pPr>
              <w:spacing w:line="440" w:lineRule="exact"/>
              <w:jc w:val="center"/>
              <w:rPr>
                <w:rFonts w:hint="eastAsia" w:ascii="宋体" w:hAnsi="宋体" w:eastAsia="宋体" w:cs="宋体"/>
                <w:sz w:val="24"/>
                <w:szCs w:val="24"/>
                <w:lang w:val="zh-CN"/>
              </w:rPr>
            </w:pPr>
          </w:p>
        </w:tc>
      </w:tr>
    </w:tbl>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注：如上述表格不适用相关货物的，具体品牌、数量、规格型号（技术参数）及质保期等可用附件形式列明，作为本合同组成部分。</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第二条  合同总金额</w:t>
      </w:r>
    </w:p>
    <w:p>
      <w:pPr>
        <w:spacing w:line="440" w:lineRule="exact"/>
        <w:ind w:firstLine="480" w:firstLineChars="200"/>
        <w:rPr>
          <w:rFonts w:hint="eastAsia" w:ascii="宋体" w:hAnsi="宋体" w:eastAsia="宋体" w:cs="宋体"/>
          <w:sz w:val="24"/>
          <w:szCs w:val="24"/>
          <w:u w:val="single"/>
          <w:lang w:val="zh-CN"/>
        </w:rPr>
      </w:pPr>
      <w:r>
        <w:rPr>
          <w:rFonts w:hint="eastAsia" w:ascii="宋体" w:hAnsi="宋体" w:eastAsia="宋体" w:cs="宋体"/>
          <w:sz w:val="24"/>
          <w:szCs w:val="24"/>
          <w:lang w:val="zh-CN"/>
        </w:rPr>
        <w:t>合同总金额为人民币（大写）：</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第三条   质量要求及技术标准</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1.货物原产地：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2.货物的质量要求：</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3.货物的技术标准：</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第四条  交货</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1.交货日期：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2.交货地点：</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第五条  包装、装运及运输</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1.乙方负责包装、装运和运输，由于不适当的包装、装运和运输造成货物有任何损坏均由乙方负责。</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2.包装费、运费及相关费用已包含在合同总金额内。</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第六条  货款支付</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1.货物运到交货地点，经甲乙双方共同验收合格后由甲方负责办理货款支付手续。</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2.属国库集中支付资金，甲方应按照双方约定的付款期限，及时向同级财政部门报送资金支付申请，同级财政部门对支付申请审核无误后，将货款直接支付至乙方账户。</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3.付款方式 </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可采用一次性付款方式，也可以采用分期付款方式，具体由甲乙双方协商约定。采用一次性付款方式的，应约定支付的时间；采用分期付款方式的，应约定首付、分期支付的时间、条件及支付资金的比例；甲方根据采购货物的具体情况确定是否预留质保金。</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第七条  履约保证金</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1.乙方须向甲方交纳人民币(大写)</w:t>
      </w:r>
      <w:r>
        <w:rPr>
          <w:rFonts w:hint="eastAsia" w:ascii="宋体" w:hAnsi="宋体" w:eastAsia="宋体" w:cs="宋体"/>
          <w:sz w:val="24"/>
          <w:szCs w:val="24"/>
          <w:u w:val="single"/>
          <w:lang w:val="zh-CN"/>
        </w:rPr>
        <w:t xml:space="preserve">          （￥        </w:t>
      </w:r>
      <w:r>
        <w:rPr>
          <w:rFonts w:hint="eastAsia" w:ascii="宋体" w:hAnsi="宋体" w:eastAsia="宋体" w:cs="宋体"/>
          <w:sz w:val="24"/>
          <w:szCs w:val="24"/>
          <w:lang w:val="zh-CN"/>
        </w:rPr>
        <w:t xml:space="preserve">） 作为本合同的履约保证金。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2.履约保证金用于补偿甲方因乙方不能履行或不能完全履行合同义务而蒙受的损失。</w:t>
      </w:r>
    </w:p>
    <w:p>
      <w:pPr>
        <w:spacing w:line="440" w:lineRule="exact"/>
        <w:ind w:firstLine="480" w:firstLineChars="200"/>
        <w:rPr>
          <w:rFonts w:hint="eastAsia" w:ascii="宋体" w:hAnsi="宋体" w:eastAsia="宋体" w:cs="宋体"/>
          <w:kern w:val="1"/>
          <w:sz w:val="24"/>
          <w:szCs w:val="24"/>
        </w:rPr>
      </w:pPr>
      <w:r>
        <w:rPr>
          <w:rFonts w:hint="eastAsia" w:ascii="宋体" w:hAnsi="宋体" w:eastAsia="宋体" w:cs="宋体"/>
          <w:sz w:val="24"/>
          <w:szCs w:val="24"/>
          <w:lang w:val="zh-CN"/>
        </w:rPr>
        <w:t>3.</w:t>
      </w:r>
      <w:r>
        <w:rPr>
          <w:rFonts w:hint="eastAsia" w:ascii="宋体" w:hAnsi="宋体" w:eastAsia="宋体" w:cs="宋体"/>
          <w:kern w:val="1"/>
          <w:sz w:val="24"/>
          <w:szCs w:val="24"/>
        </w:rPr>
        <w:t>履约保证金在货物交付验收合格</w:t>
      </w:r>
      <w:r>
        <w:rPr>
          <w:rFonts w:hint="eastAsia" w:ascii="宋体" w:hAnsi="宋体" w:eastAsia="宋体" w:cs="宋体"/>
          <w:kern w:val="1"/>
          <w:sz w:val="24"/>
          <w:szCs w:val="24"/>
          <w:u w:val="single"/>
        </w:rPr>
        <w:t xml:space="preserve">    </w:t>
      </w:r>
      <w:r>
        <w:rPr>
          <w:rFonts w:hint="eastAsia" w:ascii="宋体" w:hAnsi="宋体" w:eastAsia="宋体" w:cs="宋体"/>
          <w:kern w:val="1"/>
          <w:sz w:val="24"/>
          <w:szCs w:val="24"/>
        </w:rPr>
        <w:t>月无质量问题后，填写《阿克苏市政府采购项目履约保证金退付表》、《阿克苏市政府采购项目验收单》和资金往来收款收据交监督部门审核后20个工作日内退还。</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第八条  售后服务及承诺</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1.乙方有完善的服务体系，有能力提供持续的、本地化售后服务。</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2.乙方负责系统安装和调试以及操作人员培训，并制定详细的培训计划，使操作人员能独立进行管理、操作、维护和故障处理等工作，做好相关记录及技术文档收集整理，待验收合格后移交给甲方。</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3.供货及服务范围：乙方负责货物的供应、运输、安装调试、免费培训、售后服务。</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第九条  </w:t>
      </w:r>
      <w:r>
        <w:rPr>
          <w:rStyle w:val="38"/>
          <w:rFonts w:hint="eastAsia" w:ascii="宋体" w:hAnsi="宋体" w:eastAsia="宋体" w:cs="宋体"/>
          <w:sz w:val="24"/>
          <w:szCs w:val="24"/>
        </w:rPr>
        <w:t>验收</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1.货物运抵现场后，采购人将对货物数量、质量、规格等进行检验。如发现货物和规格或者两者都与合同不符，采购人有权限根据检验结果要求中标人立即更换或者提出索赔要求。</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2.开箱检查设备外观，如有损伤或质量缺陷，乙方应及时更换。</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3.依据合同设备清单，对设备品牌、规格型号（技术参数）、数量、质保书等必备附件进行检查。</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4.货物由中标人进行安装，完毕后，采购人应对货物的数量、质量、规格、性能等进行详细而全面的检验。安装调试完毕</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日内，证明货物以及安装质量无任何问题，甲乙双方共同确认设备正常运行后，由采购人组成的验收小组签署验收报告，作为付款凭据之一。</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第十条  知识产权</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2.乙方为执行本合同而提供的技术资料或者其他相关资料、软件等由甲方永久免费使用。</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第十一条  甲方责任</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1.及时办理付款手续。</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2.负责提供工作场地，协助乙方办理有关事宜。</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3.对合同条款及所知悉的乙方商业秘密负有保密义务。</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第十二条  乙方责任</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1.保证所供货物均为投标文件承诺的货物，符合相关质量检测标准，具有该产品的出厂标准或国家鉴定证书,保证其全部部件为全新的未使用的且符合相关质量要求。</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2.保证货物的售后服务，严格依据投标文件及相关承诺，对货物及系统进行保修、维护等服务。</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3.保证其所供货物不存在侵犯第三方知识产权的行为，否则由此产生的损失由乙方承担。</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第十三条  违约责任</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1.甲乙双方任意一方无故终止合同的，违约方应当按照合同总金额的20%向守约方支付违约金。</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2.乙方逾期交付货物时，每逾1日乙方向甲方支付合同总金额0.5‰的滞纳金。逾期交货超过30日的，甲方有权决定是否继续履行合同，如甲方决定终止履行合同的，乙方应按照第1款的规定赔偿甲方违约金。</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乙方所供货物品牌、规格型号、质量等不符合合同约定标准，甲方有权拒收，以及甲方收货后，发现产品出现质量问题不能使用的，甲方有权终止合同，同时，乙方向甲方支付合同总金额20%的违约金，如果违约金不足以支付甲方所受损失的，甲方有权要求其赔偿。</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4.在质保期内产品出现质量问题，乙方必须在接到甲方通知后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小时内到达现场解决，否则甲方有权另请单位解决，由此产生的费用由乙方承担，甲方有权从质保金中扣除相关费用，产生的损失由乙方赔偿。</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5.甲乙双方违背其他合同条款，违约方赔偿对方损失。</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第十四条  不可抗力</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第十五条  保密</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乙方违反本合同所规定的保密义务，应按照本合同总金额的10%支付违约金。</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第十六条  争议解决</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甲乙双方在合同履行中发生争议，应通过协商解决。如协商不成，可以向合同签订地法院提起诉讼。</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第十七条  合同生效及其它</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1.除招标文件规定且甲方事先书面同意外，乙方不得部分或者全部转让、分包履行其应履行的合同项下的义务。</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2.合同由甲、乙双方法定代表人（或者被授权代表）签字并加盖单位公章，以最后一方签字日期为合同生效日期。</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3.本合同一式六份，甲方一份，乙方一份，采购代理机构二份，市财政局一份，市公共资源交易管理办公室一份。</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第十八条  本合同附件</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1.中标通知书；</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2.政府采购招标文件（含招标文件的澄清、修改等）；</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3.乙方投标文件；</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4.中标人在评标过程中做出的有关澄清、说明、承诺或者补正文件（材料）；</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甲    方：             </w:t>
      </w:r>
      <w:r>
        <w:rPr>
          <w:rFonts w:hint="eastAsia" w:ascii="宋体" w:hAnsi="宋体" w:eastAsia="宋体" w:cs="宋体"/>
          <w:sz w:val="24"/>
          <w:szCs w:val="24"/>
        </w:rPr>
        <w:t xml:space="preserve">                   </w:t>
      </w:r>
      <w:r>
        <w:rPr>
          <w:rFonts w:hint="eastAsia" w:ascii="宋体" w:hAnsi="宋体" w:eastAsia="宋体" w:cs="宋体"/>
          <w:sz w:val="24"/>
          <w:szCs w:val="24"/>
          <w:lang w:val="zh-CN"/>
        </w:rPr>
        <w:t>乙    方：</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单位名称(公章)：            </w:t>
      </w:r>
      <w:r>
        <w:rPr>
          <w:rFonts w:hint="eastAsia" w:ascii="宋体" w:hAnsi="宋体" w:eastAsia="宋体" w:cs="宋体"/>
          <w:sz w:val="24"/>
          <w:szCs w:val="24"/>
        </w:rPr>
        <w:t xml:space="preserve">              </w:t>
      </w:r>
      <w:r>
        <w:rPr>
          <w:rFonts w:hint="eastAsia" w:ascii="宋体" w:hAnsi="宋体" w:eastAsia="宋体" w:cs="宋体"/>
          <w:sz w:val="24"/>
          <w:szCs w:val="24"/>
          <w:lang w:val="zh-CN"/>
        </w:rPr>
        <w:t>单位名称(公章)：</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法定代表人（授权代表）签字：       </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法定代表人（授权代表）签字：</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电   话：       </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电    话：</w:t>
      </w:r>
    </w:p>
    <w:p>
      <w:pPr>
        <w:spacing w:line="440" w:lineRule="exact"/>
        <w:ind w:firstLine="480" w:firstLineChars="200"/>
        <w:rPr>
          <w:rFonts w:hint="eastAsia" w:ascii="宋体" w:hAnsi="宋体" w:eastAsia="宋体" w:cs="宋体"/>
          <w:szCs w:val="21"/>
          <w:lang w:val="zh-CN"/>
        </w:rPr>
        <w:sectPr>
          <w:footerReference r:id="rId5" w:type="default"/>
          <w:pgSz w:w="11906" w:h="16838"/>
          <w:pgMar w:top="1440" w:right="1440" w:bottom="1327" w:left="1440" w:header="851" w:footer="992" w:gutter="0"/>
          <w:pgNumType w:fmt="decimal" w:start="1"/>
          <w:cols w:space="0" w:num="1"/>
          <w:docGrid w:type="lines" w:linePitch="317" w:charSpace="0"/>
        </w:sectPr>
      </w:pPr>
      <w:r>
        <w:rPr>
          <w:rFonts w:hint="eastAsia" w:ascii="宋体" w:hAnsi="宋体" w:eastAsia="宋体" w:cs="宋体"/>
          <w:sz w:val="24"/>
          <w:szCs w:val="24"/>
          <w:lang w:val="zh-CN"/>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            年  月  日</w:t>
      </w:r>
    </w:p>
    <w:p>
      <w:pPr>
        <w:widowControl/>
        <w:autoSpaceDE w:val="0"/>
        <w:autoSpaceDN w:val="0"/>
        <w:adjustRightInd w:val="0"/>
        <w:spacing w:line="440" w:lineRule="exact"/>
        <w:rPr>
          <w:rStyle w:val="38"/>
          <w:rFonts w:hint="eastAsia" w:ascii="宋体" w:hAnsi="宋体" w:eastAsia="宋体" w:cs="宋体"/>
          <w:sz w:val="28"/>
          <w:szCs w:val="28"/>
          <w:lang w:val="en-GB"/>
        </w:rPr>
      </w:pPr>
    </w:p>
    <w:p>
      <w:pPr>
        <w:spacing w:afterLines="50" w:line="440" w:lineRule="exact"/>
        <w:jc w:val="center"/>
        <w:outlineLvl w:val="1"/>
        <w:rPr>
          <w:rFonts w:hint="eastAsia" w:ascii="宋体" w:hAnsi="宋体" w:eastAsia="宋体" w:cs="宋体"/>
          <w:b/>
          <w:bCs/>
          <w:sz w:val="32"/>
          <w:szCs w:val="32"/>
        </w:rPr>
      </w:pPr>
      <w:bookmarkStart w:id="196" w:name="_Toc20993"/>
      <w:r>
        <w:rPr>
          <w:rFonts w:hint="eastAsia" w:ascii="宋体" w:hAnsi="宋体" w:eastAsia="宋体" w:cs="宋体"/>
          <w:b/>
          <w:bCs/>
          <w:sz w:val="32"/>
          <w:szCs w:val="32"/>
        </w:rPr>
        <w:t>第六章  投标文件</w:t>
      </w:r>
      <w:bookmarkEnd w:id="194"/>
      <w:r>
        <w:rPr>
          <w:rFonts w:hint="eastAsia" w:ascii="宋体" w:hAnsi="宋体" w:eastAsia="宋体" w:cs="宋体"/>
          <w:b/>
          <w:bCs/>
          <w:sz w:val="32"/>
          <w:szCs w:val="32"/>
        </w:rPr>
        <w:t>格式</w:t>
      </w:r>
      <w:bookmarkEnd w:id="196"/>
    </w:p>
    <w:p>
      <w:pPr>
        <w:spacing w:line="360" w:lineRule="auto"/>
        <w:jc w:val="both"/>
        <w:rPr>
          <w:rFonts w:hint="eastAsia" w:ascii="宋体" w:hAnsi="宋体" w:eastAsia="宋体" w:cs="宋体"/>
        </w:rPr>
      </w:pPr>
      <w:r>
        <w:rPr>
          <w:rFonts w:hint="eastAsia" w:ascii="宋体" w:hAnsi="宋体" w:eastAsia="宋体" w:cs="宋体"/>
        </w:rPr>
        <w:br w:type="page"/>
      </w:r>
      <w:r>
        <w:rPr>
          <w:rFonts w:hint="eastAsia" w:ascii="宋体" w:hAnsi="宋体" w:eastAsia="宋体" w:cs="宋体"/>
          <w:b/>
          <w:bCs/>
          <w:sz w:val="32"/>
          <w:szCs w:val="32"/>
        </w:rPr>
        <w:t>（投标文件标书封皮）</w:t>
      </w:r>
    </w:p>
    <w:p>
      <w:pPr>
        <w:spacing w:line="360" w:lineRule="auto"/>
        <w:jc w:val="right"/>
        <w:rPr>
          <w:rFonts w:hint="eastAsia" w:ascii="宋体" w:hAnsi="宋体" w:eastAsia="宋体" w:cs="宋体"/>
        </w:rPr>
      </w:pPr>
      <w:r>
        <w:rPr>
          <w:rFonts w:hint="eastAsia" w:ascii="宋体" w:hAnsi="宋体" w:eastAsia="宋体" w:cs="宋体"/>
          <w:b/>
          <w:bCs/>
          <w:kern w:val="1"/>
          <w:sz w:val="36"/>
          <w:szCs w:val="36"/>
        </w:rPr>
        <w:t>正（副）本</w:t>
      </w:r>
    </w:p>
    <w:p>
      <w:pPr>
        <w:spacing w:line="360" w:lineRule="auto"/>
        <w:rPr>
          <w:rFonts w:hint="eastAsia" w:ascii="宋体" w:hAnsi="宋体" w:eastAsia="宋体" w:cs="宋体"/>
        </w:rPr>
      </w:pPr>
    </w:p>
    <w:p>
      <w:pPr>
        <w:spacing w:line="360" w:lineRule="auto"/>
        <w:jc w:val="center"/>
        <w:rPr>
          <w:rFonts w:hint="eastAsia" w:ascii="宋体" w:hAnsi="宋体" w:eastAsia="宋体" w:cs="宋体"/>
        </w:rPr>
      </w:pPr>
      <w:r>
        <w:rPr>
          <w:rFonts w:hint="eastAsia" w:ascii="宋体" w:hAnsi="宋体" w:eastAsia="宋体" w:cs="宋体"/>
          <w:b/>
          <w:bCs/>
          <w:sz w:val="52"/>
          <w:szCs w:val="52"/>
          <w:u w:val="single"/>
        </w:rPr>
        <w:t xml:space="preserve">****          </w:t>
      </w:r>
      <w:r>
        <w:rPr>
          <w:rFonts w:hint="eastAsia" w:ascii="宋体" w:hAnsi="宋体" w:eastAsia="宋体" w:cs="宋体"/>
          <w:b/>
          <w:bCs/>
          <w:sz w:val="52"/>
          <w:szCs w:val="52"/>
        </w:rPr>
        <w:t>项目</w:t>
      </w:r>
    </w:p>
    <w:p>
      <w:pPr>
        <w:spacing w:line="360" w:lineRule="auto"/>
        <w:jc w:val="center"/>
        <w:rPr>
          <w:rFonts w:hint="eastAsia" w:ascii="宋体" w:hAnsi="宋体" w:eastAsia="宋体" w:cs="宋体"/>
          <w:sz w:val="24"/>
          <w:szCs w:val="28"/>
        </w:rPr>
      </w:pPr>
      <w:r>
        <w:rPr>
          <w:rFonts w:hint="eastAsia" w:ascii="宋体" w:hAnsi="宋体" w:eastAsia="宋体" w:cs="宋体"/>
          <w:sz w:val="24"/>
          <w:szCs w:val="28"/>
        </w:rPr>
        <w:t>项目编号：</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jc w:val="center"/>
        <w:rPr>
          <w:rFonts w:hint="eastAsia" w:ascii="宋体" w:hAnsi="宋体" w:eastAsia="宋体" w:cs="宋体"/>
          <w:sz w:val="28"/>
          <w:szCs w:val="28"/>
        </w:rPr>
      </w:pPr>
      <w:r>
        <w:rPr>
          <w:rFonts w:hint="eastAsia" w:ascii="宋体" w:hAnsi="宋体" w:eastAsia="宋体" w:cs="宋体"/>
          <w:b/>
          <w:bCs/>
          <w:sz w:val="72"/>
          <w:szCs w:val="144"/>
        </w:rPr>
        <w:t>商 务 文 件</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bookmarkStart w:id="197" w:name="_Toc17052"/>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bookmarkEnd w:id="197"/>
    </w:p>
    <w:p>
      <w:pPr>
        <w:spacing w:line="360" w:lineRule="auto"/>
        <w:rPr>
          <w:rFonts w:hint="eastAsia" w:ascii="宋体" w:hAnsi="宋体" w:eastAsia="宋体" w:cs="宋体"/>
          <w:sz w:val="28"/>
          <w:szCs w:val="28"/>
        </w:rPr>
      </w:pPr>
      <w:bookmarkStart w:id="198" w:name="_Toc21270"/>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r>
        <w:rPr>
          <w:rFonts w:hint="eastAsia" w:ascii="宋体" w:hAnsi="宋体" w:eastAsia="宋体" w:cs="宋体"/>
          <w:sz w:val="28"/>
          <w:szCs w:val="28"/>
          <w:lang w:eastAsia="zh-CN"/>
        </w:rPr>
        <w:t>并</w:t>
      </w:r>
      <w:r>
        <w:rPr>
          <w:rFonts w:hint="eastAsia" w:ascii="宋体" w:hAnsi="宋体" w:eastAsia="宋体" w:cs="宋体"/>
          <w:sz w:val="28"/>
          <w:szCs w:val="28"/>
        </w:rPr>
        <w:t>盖章）</w:t>
      </w:r>
      <w:bookmarkEnd w:id="198"/>
    </w:p>
    <w:p>
      <w:pPr>
        <w:widowControl/>
        <w:autoSpaceDE w:val="0"/>
        <w:autoSpaceDN w:val="0"/>
        <w:adjustRightInd w:val="0"/>
        <w:spacing w:line="360" w:lineRule="auto"/>
        <w:ind w:firstLine="1120" w:firstLineChars="400"/>
        <w:jc w:val="center"/>
        <w:rPr>
          <w:rFonts w:hint="eastAsia" w:ascii="宋体" w:hAnsi="宋体" w:eastAsia="宋体" w:cs="宋体"/>
          <w:kern w:val="1"/>
          <w:sz w:val="32"/>
          <w:szCs w:val="32"/>
        </w:rPr>
      </w:pPr>
      <w:bookmarkStart w:id="199" w:name="_Toc26551"/>
      <w:r>
        <w:rPr>
          <w:rFonts w:hint="eastAsia" w:ascii="宋体" w:hAnsi="宋体" w:eastAsia="宋体" w:cs="宋体"/>
          <w:sz w:val="28"/>
          <w:szCs w:val="28"/>
        </w:rPr>
        <w:t>年     月     日</w:t>
      </w:r>
      <w:bookmarkEnd w:id="199"/>
    </w:p>
    <w:p>
      <w:pPr>
        <w:widowControl/>
        <w:autoSpaceDE w:val="0"/>
        <w:autoSpaceDN w:val="0"/>
        <w:adjustRightInd w:val="0"/>
        <w:spacing w:before="260" w:after="260"/>
        <w:ind w:right="-482"/>
        <w:jc w:val="center"/>
        <w:rPr>
          <w:rFonts w:hint="eastAsia" w:ascii="宋体" w:hAnsi="宋体" w:eastAsia="宋体" w:cs="宋体"/>
          <w:kern w:val="1"/>
          <w:sz w:val="30"/>
          <w:szCs w:val="30"/>
        </w:rPr>
      </w:pPr>
      <w:r>
        <w:rPr>
          <w:rFonts w:hint="eastAsia" w:ascii="宋体" w:hAnsi="宋体" w:eastAsia="宋体" w:cs="宋体"/>
          <w:kern w:val="1"/>
          <w:sz w:val="30"/>
          <w:szCs w:val="30"/>
        </w:rPr>
        <w:br w:type="page"/>
      </w:r>
      <w:r>
        <w:rPr>
          <w:rFonts w:hint="eastAsia" w:ascii="宋体" w:hAnsi="宋体" w:eastAsia="宋体" w:cs="宋体"/>
          <w:kern w:val="1"/>
          <w:sz w:val="30"/>
          <w:szCs w:val="30"/>
        </w:rPr>
        <w:t>目 录</w:t>
      </w:r>
    </w:p>
    <w:p>
      <w:pPr>
        <w:widowControl/>
        <w:autoSpaceDE w:val="0"/>
        <w:autoSpaceDN w:val="0"/>
        <w:adjustRightInd w:val="0"/>
        <w:spacing w:line="440" w:lineRule="exact"/>
        <w:ind w:right="-481"/>
        <w:rPr>
          <w:rFonts w:hint="eastAsia" w:ascii="宋体" w:hAnsi="宋体" w:eastAsia="宋体" w:cs="宋体"/>
          <w:kern w:val="1"/>
          <w:sz w:val="24"/>
          <w:szCs w:val="24"/>
        </w:rPr>
      </w:pPr>
    </w:p>
    <w:p>
      <w:pPr>
        <w:widowControl/>
        <w:autoSpaceDE w:val="0"/>
        <w:autoSpaceDN w:val="0"/>
        <w:adjustRightInd w:val="0"/>
        <w:spacing w:line="440" w:lineRule="exact"/>
        <w:ind w:right="-482" w:firstLine="480"/>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一、投标函；</w:t>
      </w:r>
    </w:p>
    <w:p>
      <w:pPr>
        <w:widowControl/>
        <w:autoSpaceDE w:val="0"/>
        <w:autoSpaceDN w:val="0"/>
        <w:adjustRightInd w:val="0"/>
        <w:spacing w:line="440" w:lineRule="exact"/>
        <w:ind w:right="-482" w:firstLine="480"/>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二、报价一览表；</w:t>
      </w:r>
    </w:p>
    <w:p>
      <w:pPr>
        <w:widowControl/>
        <w:autoSpaceDE w:val="0"/>
        <w:autoSpaceDN w:val="0"/>
        <w:adjustRightInd w:val="0"/>
        <w:spacing w:line="440" w:lineRule="exact"/>
        <w:ind w:right="-482" w:firstLine="480"/>
        <w:rPr>
          <w:rStyle w:val="38"/>
          <w:rFonts w:hint="eastAsia" w:ascii="宋体" w:hAnsi="宋体" w:eastAsia="宋体" w:cs="宋体"/>
          <w:sz w:val="24"/>
          <w:szCs w:val="24"/>
          <w:highlight w:val="none"/>
        </w:rPr>
      </w:pPr>
      <w:r>
        <w:rPr>
          <w:rFonts w:hint="eastAsia" w:ascii="宋体" w:hAnsi="宋体" w:eastAsia="宋体" w:cs="宋体"/>
          <w:kern w:val="1"/>
          <w:sz w:val="24"/>
          <w:szCs w:val="24"/>
          <w:highlight w:val="none"/>
        </w:rPr>
        <w:t>三、</w:t>
      </w:r>
      <w:r>
        <w:rPr>
          <w:rStyle w:val="38"/>
          <w:rFonts w:hint="eastAsia" w:ascii="宋体" w:hAnsi="宋体" w:eastAsia="宋体" w:cs="宋体"/>
          <w:sz w:val="24"/>
          <w:szCs w:val="24"/>
          <w:highlight w:val="none"/>
        </w:rPr>
        <w:t>分项报价明细表</w:t>
      </w:r>
      <w:r>
        <w:rPr>
          <w:rFonts w:hint="eastAsia" w:ascii="宋体" w:hAnsi="宋体" w:eastAsia="宋体" w:cs="宋体"/>
          <w:kern w:val="1"/>
          <w:sz w:val="24"/>
          <w:szCs w:val="24"/>
          <w:highlight w:val="none"/>
        </w:rPr>
        <w:t>；</w:t>
      </w:r>
    </w:p>
    <w:p>
      <w:pPr>
        <w:widowControl/>
        <w:autoSpaceDE w:val="0"/>
        <w:autoSpaceDN w:val="0"/>
        <w:adjustRightInd w:val="0"/>
        <w:spacing w:line="440" w:lineRule="exact"/>
        <w:ind w:right="-482" w:firstLine="480"/>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四、联合投标协议书；</w:t>
      </w:r>
    </w:p>
    <w:p>
      <w:pPr>
        <w:widowControl/>
        <w:autoSpaceDE w:val="0"/>
        <w:autoSpaceDN w:val="0"/>
        <w:adjustRightInd w:val="0"/>
        <w:spacing w:line="440" w:lineRule="exact"/>
        <w:ind w:right="-482" w:firstLine="480"/>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五、</w:t>
      </w:r>
      <w:r>
        <w:rPr>
          <w:rFonts w:hint="eastAsia" w:ascii="宋体" w:hAnsi="宋体" w:eastAsia="宋体" w:cs="宋体"/>
          <w:kern w:val="1"/>
          <w:sz w:val="24"/>
          <w:szCs w:val="24"/>
          <w:highlight w:val="none"/>
        </w:rPr>
        <w:t>法定代表人身份证明或</w:t>
      </w:r>
      <w:r>
        <w:rPr>
          <w:rStyle w:val="38"/>
          <w:rFonts w:hint="eastAsia" w:ascii="宋体" w:hAnsi="宋体" w:eastAsia="宋体" w:cs="宋体"/>
          <w:sz w:val="24"/>
          <w:szCs w:val="24"/>
          <w:highlight w:val="none"/>
        </w:rPr>
        <w:t>法定代表人授权委托书；</w:t>
      </w:r>
    </w:p>
    <w:p>
      <w:pPr>
        <w:pStyle w:val="39"/>
        <w:spacing w:line="440" w:lineRule="exact"/>
        <w:ind w:firstLine="480" w:firstLineChars="200"/>
        <w:jc w:val="both"/>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六、投标保证金；</w:t>
      </w:r>
    </w:p>
    <w:p>
      <w:pPr>
        <w:widowControl/>
        <w:autoSpaceDE w:val="0"/>
        <w:autoSpaceDN w:val="0"/>
        <w:adjustRightInd w:val="0"/>
        <w:spacing w:line="440" w:lineRule="exact"/>
        <w:ind w:right="-482" w:firstLine="480"/>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七、商务偏离表；</w:t>
      </w:r>
    </w:p>
    <w:p>
      <w:pPr>
        <w:widowControl/>
        <w:autoSpaceDE w:val="0"/>
        <w:autoSpaceDN w:val="0"/>
        <w:adjustRightInd w:val="0"/>
        <w:spacing w:line="440" w:lineRule="exact"/>
        <w:ind w:right="-482" w:firstLine="480"/>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八、投标人情况介绍（主要产品、技术力量、生产规模、经营业绩等）；</w:t>
      </w:r>
    </w:p>
    <w:p>
      <w:pPr>
        <w:widowControl/>
        <w:autoSpaceDE w:val="0"/>
        <w:autoSpaceDN w:val="0"/>
        <w:adjustRightInd w:val="0"/>
        <w:spacing w:line="440" w:lineRule="exact"/>
        <w:ind w:right="-482" w:firstLine="480" w:firstLineChars="200"/>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九、财务状况</w:t>
      </w:r>
    </w:p>
    <w:p>
      <w:pPr>
        <w:widowControl/>
        <w:autoSpaceDE w:val="0"/>
        <w:autoSpaceDN w:val="0"/>
        <w:adjustRightInd w:val="0"/>
        <w:spacing w:line="440" w:lineRule="exact"/>
        <w:ind w:right="-482" w:firstLine="480" w:firstLineChars="200"/>
        <w:rPr>
          <w:rStyle w:val="38"/>
          <w:rFonts w:hint="eastAsia" w:ascii="宋体" w:hAnsi="宋体" w:eastAsia="宋体" w:cs="宋体"/>
          <w:sz w:val="24"/>
          <w:szCs w:val="24"/>
          <w:highlight w:val="none"/>
          <w:lang w:eastAsia="zh-CN"/>
        </w:rPr>
      </w:pPr>
      <w:r>
        <w:rPr>
          <w:rStyle w:val="38"/>
          <w:rFonts w:hint="eastAsia" w:ascii="宋体" w:hAnsi="宋体" w:eastAsia="宋体" w:cs="宋体"/>
          <w:sz w:val="24"/>
          <w:szCs w:val="24"/>
          <w:highlight w:val="none"/>
        </w:rPr>
        <w:t>十、类似业绩一览表；</w:t>
      </w:r>
    </w:p>
    <w:p>
      <w:pPr>
        <w:widowControl/>
        <w:autoSpaceDE w:val="0"/>
        <w:autoSpaceDN w:val="0"/>
        <w:adjustRightInd w:val="0"/>
        <w:spacing w:line="440" w:lineRule="exact"/>
        <w:ind w:right="-482" w:firstLine="480"/>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十</w:t>
      </w:r>
      <w:r>
        <w:rPr>
          <w:rStyle w:val="38"/>
          <w:rFonts w:hint="eastAsia" w:ascii="宋体" w:hAnsi="宋体" w:eastAsia="宋体" w:cs="宋体"/>
          <w:sz w:val="24"/>
          <w:szCs w:val="24"/>
          <w:highlight w:val="none"/>
          <w:lang w:val="en-US" w:eastAsia="zh-CN"/>
        </w:rPr>
        <w:t>一</w:t>
      </w:r>
      <w:r>
        <w:rPr>
          <w:rStyle w:val="38"/>
          <w:rFonts w:hint="eastAsia" w:ascii="宋体" w:hAnsi="宋体" w:eastAsia="宋体" w:cs="宋体"/>
          <w:sz w:val="24"/>
          <w:szCs w:val="24"/>
          <w:highlight w:val="none"/>
        </w:rPr>
        <w:t>、在经营活动中没有重大违法记录的书面声明；</w:t>
      </w:r>
    </w:p>
    <w:p>
      <w:pPr>
        <w:widowControl/>
        <w:autoSpaceDE w:val="0"/>
        <w:autoSpaceDN w:val="0"/>
        <w:adjustRightInd w:val="0"/>
        <w:spacing w:line="440" w:lineRule="exact"/>
        <w:ind w:right="-482" w:firstLine="480"/>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十</w:t>
      </w:r>
      <w:r>
        <w:rPr>
          <w:rStyle w:val="38"/>
          <w:rFonts w:hint="eastAsia" w:ascii="宋体" w:hAnsi="宋体" w:eastAsia="宋体" w:cs="宋体"/>
          <w:sz w:val="24"/>
          <w:szCs w:val="24"/>
          <w:highlight w:val="none"/>
          <w:lang w:val="en-US" w:eastAsia="zh-CN"/>
        </w:rPr>
        <w:t>二</w:t>
      </w:r>
      <w:r>
        <w:rPr>
          <w:rStyle w:val="38"/>
          <w:rFonts w:hint="eastAsia" w:ascii="宋体" w:hAnsi="宋体" w:eastAsia="宋体" w:cs="宋体"/>
          <w:sz w:val="24"/>
          <w:szCs w:val="24"/>
          <w:highlight w:val="none"/>
        </w:rPr>
        <w:t>、政府采购诚信承诺书；</w:t>
      </w:r>
    </w:p>
    <w:p>
      <w:pPr>
        <w:widowControl/>
        <w:autoSpaceDE w:val="0"/>
        <w:autoSpaceDN w:val="0"/>
        <w:adjustRightInd w:val="0"/>
        <w:spacing w:line="440" w:lineRule="exact"/>
        <w:ind w:right="-482" w:firstLine="480" w:firstLineChars="200"/>
        <w:rPr>
          <w:rStyle w:val="38"/>
          <w:rFonts w:hint="eastAsia" w:ascii="宋体" w:hAnsi="宋体" w:eastAsia="宋体" w:cs="宋体"/>
          <w:sz w:val="24"/>
          <w:szCs w:val="24"/>
          <w:highlight w:val="none"/>
          <w:lang w:eastAsia="zh-CN"/>
        </w:rPr>
      </w:pPr>
      <w:r>
        <w:rPr>
          <w:rStyle w:val="38"/>
          <w:rFonts w:hint="eastAsia" w:ascii="宋体" w:hAnsi="宋体" w:eastAsia="宋体" w:cs="宋体"/>
          <w:sz w:val="24"/>
          <w:szCs w:val="24"/>
          <w:highlight w:val="none"/>
        </w:rPr>
        <w:t>十</w:t>
      </w:r>
      <w:r>
        <w:rPr>
          <w:rStyle w:val="38"/>
          <w:rFonts w:hint="eastAsia" w:ascii="宋体" w:hAnsi="宋体" w:eastAsia="宋体" w:cs="宋体"/>
          <w:sz w:val="24"/>
          <w:szCs w:val="24"/>
          <w:highlight w:val="none"/>
          <w:lang w:val="en-US" w:eastAsia="zh-CN"/>
        </w:rPr>
        <w:t>三</w:t>
      </w:r>
      <w:r>
        <w:rPr>
          <w:rStyle w:val="38"/>
          <w:rFonts w:hint="eastAsia" w:ascii="宋体" w:hAnsi="宋体" w:eastAsia="宋体" w:cs="宋体"/>
          <w:sz w:val="24"/>
          <w:szCs w:val="24"/>
          <w:highlight w:val="none"/>
        </w:rPr>
        <w:t>、其他资料（中小微企业、节能、环保等其他资料）</w:t>
      </w:r>
      <w:r>
        <w:rPr>
          <w:rStyle w:val="38"/>
          <w:rFonts w:hint="eastAsia" w:ascii="宋体" w:hAnsi="宋体" w:eastAsia="宋体" w:cs="宋体"/>
          <w:sz w:val="24"/>
          <w:szCs w:val="24"/>
          <w:highlight w:val="none"/>
          <w:lang w:eastAsia="zh-CN"/>
        </w:rPr>
        <w:t>。</w:t>
      </w:r>
    </w:p>
    <w:p>
      <w:pPr>
        <w:widowControl/>
        <w:autoSpaceDE w:val="0"/>
        <w:autoSpaceDN w:val="0"/>
        <w:adjustRightInd w:val="0"/>
        <w:spacing w:line="440" w:lineRule="exact"/>
        <w:ind w:right="-482" w:firstLine="470"/>
        <w:jc w:val="left"/>
        <w:rPr>
          <w:rFonts w:hint="eastAsia" w:ascii="宋体" w:hAnsi="宋体" w:eastAsia="宋体" w:cs="宋体"/>
          <w:kern w:val="1"/>
          <w:sz w:val="24"/>
          <w:szCs w:val="24"/>
          <w:highlight w:val="yellow"/>
        </w:rPr>
      </w:pPr>
    </w:p>
    <w:p>
      <w:pPr>
        <w:widowControl/>
        <w:autoSpaceDE w:val="0"/>
        <w:autoSpaceDN w:val="0"/>
        <w:adjustRightInd w:val="0"/>
        <w:spacing w:line="440" w:lineRule="exact"/>
        <w:ind w:right="-481"/>
        <w:jc w:val="left"/>
        <w:rPr>
          <w:rFonts w:hint="eastAsia" w:ascii="宋体" w:hAnsi="宋体" w:eastAsia="宋体" w:cs="宋体"/>
          <w:kern w:val="1"/>
          <w:sz w:val="24"/>
          <w:szCs w:val="24"/>
        </w:rPr>
      </w:pPr>
    </w:p>
    <w:p>
      <w:pPr>
        <w:widowControl/>
        <w:autoSpaceDE w:val="0"/>
        <w:autoSpaceDN w:val="0"/>
        <w:adjustRightInd w:val="0"/>
        <w:spacing w:line="440" w:lineRule="exact"/>
        <w:ind w:right="-481"/>
        <w:jc w:val="center"/>
        <w:rPr>
          <w:rFonts w:hint="eastAsia" w:ascii="宋体" w:hAnsi="宋体" w:eastAsia="宋体" w:cs="宋体"/>
          <w:kern w:val="1"/>
          <w:sz w:val="32"/>
          <w:szCs w:val="32"/>
        </w:rPr>
      </w:pPr>
    </w:p>
    <w:p>
      <w:pPr>
        <w:widowControl/>
        <w:autoSpaceDE w:val="0"/>
        <w:autoSpaceDN w:val="0"/>
        <w:adjustRightInd w:val="0"/>
        <w:spacing w:line="440" w:lineRule="exact"/>
        <w:ind w:right="-481"/>
        <w:jc w:val="left"/>
        <w:rPr>
          <w:rStyle w:val="38"/>
          <w:rFonts w:hint="eastAsia" w:ascii="宋体" w:hAnsi="宋体" w:eastAsia="宋体" w:cs="宋体"/>
          <w:sz w:val="24"/>
          <w:szCs w:val="24"/>
        </w:rPr>
      </w:pPr>
      <w:r>
        <w:rPr>
          <w:rFonts w:hint="eastAsia" w:ascii="宋体" w:hAnsi="宋体" w:eastAsia="宋体" w:cs="宋体"/>
          <w:kern w:val="1"/>
        </w:rPr>
        <w:br w:type="page"/>
      </w: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t>一、投标函</w:t>
      </w:r>
    </w:p>
    <w:p>
      <w:pPr>
        <w:widowControl/>
        <w:autoSpaceDE w:val="0"/>
        <w:autoSpaceDN w:val="0"/>
        <w:adjustRightInd w:val="0"/>
        <w:spacing w:line="440" w:lineRule="exact"/>
        <w:ind w:right="-481"/>
        <w:rPr>
          <w:rFonts w:hint="eastAsia" w:ascii="宋体" w:hAnsi="宋体" w:eastAsia="宋体" w:cs="宋体"/>
          <w:kern w:val="1"/>
          <w:sz w:val="24"/>
          <w:szCs w:val="24"/>
          <w:u w:val="single"/>
        </w:rPr>
      </w:pPr>
    </w:p>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kern w:val="1"/>
          <w:sz w:val="24"/>
          <w:szCs w:val="24"/>
          <w:u w:val="single"/>
        </w:rPr>
        <w:t>（采购人）</w:t>
      </w:r>
      <w:r>
        <w:rPr>
          <w:rStyle w:val="38"/>
          <w:rFonts w:hint="eastAsia" w:ascii="宋体" w:hAnsi="宋体" w:eastAsia="宋体" w:cs="宋体"/>
          <w:sz w:val="24"/>
          <w:szCs w:val="24"/>
        </w:rPr>
        <w:t>：</w:t>
      </w:r>
    </w:p>
    <w:p>
      <w:pPr>
        <w:widowControl/>
        <w:autoSpaceDE w:val="0"/>
        <w:autoSpaceDN w:val="0"/>
        <w:adjustRightInd w:val="0"/>
        <w:spacing w:line="440" w:lineRule="exact"/>
        <w:rPr>
          <w:rFonts w:hint="eastAsia" w:ascii="宋体" w:hAnsi="宋体" w:eastAsia="宋体" w:cs="宋体"/>
          <w:kern w:val="1"/>
          <w:sz w:val="24"/>
          <w:szCs w:val="24"/>
        </w:rPr>
      </w:pPr>
    </w:p>
    <w:p>
      <w:pPr>
        <w:widowControl/>
        <w:autoSpaceDE w:val="0"/>
        <w:autoSpaceDN w:val="0"/>
        <w:adjustRightInd w:val="0"/>
        <w:spacing w:line="440" w:lineRule="exact"/>
        <w:ind w:firstLine="480"/>
        <w:rPr>
          <w:rFonts w:hint="eastAsia" w:ascii="宋体" w:hAnsi="宋体" w:eastAsia="宋体" w:cs="宋体"/>
          <w:kern w:val="1"/>
          <w:sz w:val="24"/>
          <w:szCs w:val="24"/>
        </w:rPr>
      </w:pPr>
      <w:r>
        <w:rPr>
          <w:rFonts w:hint="eastAsia" w:ascii="宋体" w:hAnsi="宋体" w:eastAsia="宋体" w:cs="宋体"/>
          <w:kern w:val="1"/>
          <w:sz w:val="24"/>
          <w:szCs w:val="24"/>
          <w:u w:val="single"/>
        </w:rPr>
        <w:t>（投标人名称）</w:t>
      </w:r>
      <w:r>
        <w:rPr>
          <w:rStyle w:val="38"/>
          <w:rFonts w:hint="eastAsia" w:ascii="宋体" w:hAnsi="宋体" w:eastAsia="宋体" w:cs="宋体"/>
          <w:sz w:val="24"/>
          <w:szCs w:val="24"/>
        </w:rPr>
        <w:t>系中华人民共和国合法企业，经营地址</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38"/>
          <w:rFonts w:hint="eastAsia" w:ascii="宋体" w:hAnsi="宋体" w:eastAsia="宋体" w:cs="宋体"/>
          <w:sz w:val="24"/>
          <w:szCs w:val="24"/>
        </w:rPr>
        <w:t>我</w:t>
      </w:r>
      <w:r>
        <w:rPr>
          <w:rFonts w:hint="eastAsia" w:ascii="宋体" w:hAnsi="宋体" w:eastAsia="宋体" w:cs="宋体"/>
          <w:kern w:val="1"/>
          <w:sz w:val="24"/>
          <w:szCs w:val="24"/>
          <w:u w:val="single"/>
        </w:rPr>
        <w:t>（姓名）</w:t>
      </w:r>
      <w:r>
        <w:rPr>
          <w:rStyle w:val="38"/>
          <w:rFonts w:hint="eastAsia" w:ascii="宋体" w:hAnsi="宋体" w:eastAsia="宋体" w:cs="宋体"/>
          <w:sz w:val="24"/>
          <w:szCs w:val="24"/>
        </w:rPr>
        <w:t>系</w:t>
      </w:r>
      <w:r>
        <w:rPr>
          <w:rFonts w:hint="eastAsia" w:ascii="宋体" w:hAnsi="宋体" w:eastAsia="宋体" w:cs="宋体"/>
          <w:kern w:val="1"/>
          <w:sz w:val="24"/>
          <w:szCs w:val="24"/>
          <w:u w:val="single"/>
        </w:rPr>
        <w:t>（投标人名称）</w:t>
      </w:r>
      <w:r>
        <w:rPr>
          <w:rStyle w:val="38"/>
          <w:rFonts w:hint="eastAsia" w:ascii="宋体" w:hAnsi="宋体" w:eastAsia="宋体" w:cs="宋体"/>
          <w:sz w:val="24"/>
          <w:szCs w:val="24"/>
        </w:rPr>
        <w:t>的法定代表人，我方愿意参加贵方组织的</w:t>
      </w:r>
      <w:r>
        <w:rPr>
          <w:rFonts w:hint="eastAsia" w:ascii="宋体" w:hAnsi="宋体" w:eastAsia="宋体" w:cs="宋体"/>
          <w:kern w:val="1"/>
          <w:sz w:val="24"/>
          <w:szCs w:val="24"/>
          <w:u w:val="single"/>
        </w:rPr>
        <w:t>（招标项目名称）（编号为              ）</w:t>
      </w:r>
      <w:r>
        <w:rPr>
          <w:rStyle w:val="38"/>
          <w:rFonts w:hint="eastAsia" w:ascii="宋体" w:hAnsi="宋体" w:eastAsia="宋体" w:cs="宋体"/>
          <w:sz w:val="24"/>
          <w:szCs w:val="24"/>
        </w:rPr>
        <w:t>的投标，为此，我方就本次投标有关事项郑重声明如下：</w:t>
      </w:r>
    </w:p>
    <w:p>
      <w:pPr>
        <w:widowControl/>
        <w:autoSpaceDE w:val="0"/>
        <w:autoSpaceDN w:val="0"/>
        <w:adjustRightInd w:val="0"/>
        <w:spacing w:line="440" w:lineRule="exact"/>
        <w:ind w:firstLine="480"/>
        <w:rPr>
          <w:rStyle w:val="38"/>
          <w:rFonts w:hint="eastAsia" w:ascii="宋体" w:hAnsi="宋体" w:eastAsia="宋体" w:cs="宋体"/>
          <w:sz w:val="24"/>
          <w:szCs w:val="24"/>
        </w:rPr>
      </w:pPr>
      <w:r>
        <w:rPr>
          <w:rStyle w:val="38"/>
          <w:rFonts w:hint="eastAsia" w:ascii="宋体" w:hAnsi="宋体" w:eastAsia="宋体" w:cs="宋体"/>
          <w:sz w:val="24"/>
          <w:szCs w:val="24"/>
        </w:rPr>
        <w:t>1、我方已详细审查全部招标文件，同意招标文件的各项要求。</w:t>
      </w:r>
    </w:p>
    <w:p>
      <w:pPr>
        <w:widowControl/>
        <w:autoSpaceDE w:val="0"/>
        <w:autoSpaceDN w:val="0"/>
        <w:adjustRightInd w:val="0"/>
        <w:spacing w:line="440" w:lineRule="exact"/>
        <w:ind w:firstLine="480"/>
        <w:rPr>
          <w:rStyle w:val="38"/>
          <w:rFonts w:hint="eastAsia" w:ascii="宋体" w:hAnsi="宋体" w:eastAsia="宋体" w:cs="宋体"/>
          <w:sz w:val="24"/>
          <w:szCs w:val="24"/>
        </w:rPr>
      </w:pPr>
      <w:r>
        <w:rPr>
          <w:rStyle w:val="38"/>
          <w:rFonts w:hint="eastAsia" w:ascii="宋体" w:hAnsi="宋体" w:eastAsia="宋体" w:cs="宋体"/>
          <w:sz w:val="24"/>
          <w:szCs w:val="24"/>
        </w:rPr>
        <w:t>2、我方向贵方提交的所有投标文件、资料都是准确的和真实的。</w:t>
      </w:r>
    </w:p>
    <w:p>
      <w:pPr>
        <w:widowControl/>
        <w:autoSpaceDE w:val="0"/>
        <w:autoSpaceDN w:val="0"/>
        <w:adjustRightInd w:val="0"/>
        <w:spacing w:line="440" w:lineRule="exact"/>
        <w:ind w:firstLine="480"/>
        <w:rPr>
          <w:rStyle w:val="38"/>
          <w:rFonts w:hint="eastAsia" w:ascii="宋体" w:hAnsi="宋体" w:eastAsia="宋体" w:cs="宋体"/>
          <w:sz w:val="24"/>
          <w:szCs w:val="24"/>
        </w:rPr>
      </w:pPr>
      <w:r>
        <w:rPr>
          <w:rStyle w:val="38"/>
          <w:rFonts w:hint="eastAsia" w:ascii="宋体" w:hAnsi="宋体" w:eastAsia="宋体" w:cs="宋体"/>
          <w:sz w:val="24"/>
          <w:szCs w:val="24"/>
        </w:rPr>
        <w:t>3、若中标，我方将按照招标文件规定履行合同责任和义务。</w:t>
      </w:r>
    </w:p>
    <w:p>
      <w:pPr>
        <w:widowControl/>
        <w:autoSpaceDE w:val="0"/>
        <w:autoSpaceDN w:val="0"/>
        <w:adjustRightInd w:val="0"/>
        <w:spacing w:line="440" w:lineRule="exact"/>
        <w:ind w:firstLine="480"/>
        <w:rPr>
          <w:rStyle w:val="38"/>
          <w:rFonts w:hint="eastAsia" w:ascii="宋体" w:hAnsi="宋体" w:eastAsia="宋体" w:cs="宋体"/>
          <w:sz w:val="24"/>
          <w:szCs w:val="24"/>
        </w:rPr>
      </w:pPr>
      <w:r>
        <w:rPr>
          <w:rStyle w:val="38"/>
          <w:rFonts w:hint="eastAsia" w:ascii="宋体" w:hAnsi="宋体" w:eastAsia="宋体" w:cs="宋体"/>
          <w:sz w:val="24"/>
          <w:szCs w:val="24"/>
        </w:rPr>
        <w:t>4、我方不是采购人的附属机构；在获知本项目采购信息后，与采购人聘请的为此项目提供咨询服务的公司以及其附属机构没有任何联系。</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38"/>
          <w:rFonts w:hint="eastAsia" w:ascii="宋体" w:hAnsi="宋体" w:eastAsia="宋体" w:cs="宋体"/>
          <w:sz w:val="24"/>
          <w:szCs w:val="24"/>
        </w:rPr>
        <w:t>5、投标文件自开标日起有效期为</w:t>
      </w:r>
      <w:r>
        <w:rPr>
          <w:rFonts w:hint="eastAsia" w:ascii="宋体" w:hAnsi="宋体" w:eastAsia="宋体" w:cs="宋体"/>
          <w:kern w:val="1"/>
          <w:sz w:val="24"/>
          <w:szCs w:val="24"/>
          <w:u w:val="single"/>
        </w:rPr>
        <w:t>30</w:t>
      </w:r>
      <w:r>
        <w:rPr>
          <w:rStyle w:val="38"/>
          <w:rFonts w:hint="eastAsia" w:ascii="宋体" w:hAnsi="宋体" w:eastAsia="宋体" w:cs="宋体"/>
          <w:sz w:val="24"/>
          <w:szCs w:val="24"/>
        </w:rPr>
        <w:t>日历日。</w:t>
      </w:r>
    </w:p>
    <w:p>
      <w:pPr>
        <w:widowControl/>
        <w:autoSpaceDE w:val="0"/>
        <w:autoSpaceDN w:val="0"/>
        <w:adjustRightInd w:val="0"/>
        <w:spacing w:line="440" w:lineRule="exact"/>
        <w:ind w:firstLine="480"/>
        <w:rPr>
          <w:rStyle w:val="38"/>
          <w:rFonts w:hint="eastAsia" w:ascii="宋体" w:hAnsi="宋体" w:eastAsia="宋体" w:cs="宋体"/>
          <w:sz w:val="24"/>
          <w:szCs w:val="24"/>
        </w:rPr>
      </w:pPr>
      <w:r>
        <w:rPr>
          <w:rStyle w:val="38"/>
          <w:rFonts w:hint="eastAsia" w:ascii="宋体" w:hAnsi="宋体" w:eastAsia="宋体" w:cs="宋体"/>
          <w:sz w:val="24"/>
          <w:szCs w:val="24"/>
        </w:rPr>
        <w:t>6.以上事项如有虚假或者隐瞒，我方愿意承担一切后果。</w:t>
      </w:r>
    </w:p>
    <w:p>
      <w:pPr>
        <w:widowControl/>
        <w:tabs>
          <w:tab w:val="left" w:pos="939"/>
        </w:tabs>
        <w:autoSpaceDE w:val="0"/>
        <w:autoSpaceDN w:val="0"/>
        <w:adjustRightInd w:val="0"/>
        <w:spacing w:line="440" w:lineRule="exact"/>
        <w:ind w:left="773" w:right="-481" w:hanging="458"/>
        <w:rPr>
          <w:rFonts w:hint="eastAsia" w:ascii="宋体" w:hAnsi="宋体" w:eastAsia="宋体" w:cs="宋体"/>
          <w:kern w:val="1"/>
          <w:sz w:val="24"/>
          <w:szCs w:val="24"/>
        </w:rPr>
      </w:pPr>
    </w:p>
    <w:p>
      <w:pPr>
        <w:widowControl/>
        <w:tabs>
          <w:tab w:val="left" w:pos="939"/>
        </w:tabs>
        <w:autoSpaceDE w:val="0"/>
        <w:autoSpaceDN w:val="0"/>
        <w:adjustRightInd w:val="0"/>
        <w:spacing w:line="440" w:lineRule="exact"/>
        <w:ind w:left="773" w:right="-481" w:hanging="458"/>
        <w:rPr>
          <w:rFonts w:hint="eastAsia" w:ascii="宋体" w:hAnsi="宋体" w:eastAsia="宋体" w:cs="宋体"/>
          <w:kern w:val="1"/>
          <w:sz w:val="24"/>
          <w:szCs w:val="24"/>
        </w:rPr>
      </w:pPr>
    </w:p>
    <w:p>
      <w:pPr>
        <w:widowControl/>
        <w:tabs>
          <w:tab w:val="left" w:pos="939"/>
        </w:tabs>
        <w:autoSpaceDE w:val="0"/>
        <w:autoSpaceDN w:val="0"/>
        <w:adjustRightInd w:val="0"/>
        <w:spacing w:line="440" w:lineRule="exact"/>
        <w:ind w:left="773" w:right="-481" w:hanging="458"/>
        <w:rPr>
          <w:rFonts w:hint="eastAsia" w:ascii="宋体" w:hAnsi="宋体" w:eastAsia="宋体" w:cs="宋体"/>
          <w:kern w:val="1"/>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szCs w:val="24"/>
          <w:lang w:eastAsia="zh-CN"/>
        </w:rPr>
        <w:t>或</w:t>
      </w:r>
      <w:r>
        <w:rPr>
          <w:rFonts w:hint="eastAsia" w:ascii="宋体" w:hAnsi="宋体" w:eastAsia="宋体" w:cs="宋体"/>
          <w:sz w:val="24"/>
          <w:szCs w:val="24"/>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before="100" w:beforeAutospacing="1" w:after="100" w:afterAutospacing="1" w:line="440" w:lineRule="exact"/>
        <w:jc w:val="left"/>
        <w:rPr>
          <w:rFonts w:hint="eastAsia" w:ascii="宋体" w:hAnsi="宋体" w:eastAsia="宋体" w:cs="宋体"/>
          <w:kern w:val="1"/>
          <w:sz w:val="24"/>
          <w:szCs w:val="24"/>
          <w:u w:val="single"/>
        </w:rPr>
      </w:pPr>
      <w:r>
        <w:rPr>
          <w:rFonts w:hint="eastAsia" w:ascii="宋体" w:hAnsi="宋体" w:eastAsia="宋体" w:cs="宋体"/>
          <w:kern w:val="1"/>
          <w:sz w:val="24"/>
          <w:szCs w:val="24"/>
          <w:u w:val="single"/>
        </w:rPr>
        <w:br w:type="page"/>
      </w:r>
    </w:p>
    <w:p>
      <w:pPr>
        <w:spacing w:before="100" w:beforeAutospacing="1" w:after="100" w:afterAutospacing="1" w:line="440" w:lineRule="exact"/>
        <w:jc w:val="center"/>
        <w:rPr>
          <w:rFonts w:hint="eastAsia" w:ascii="宋体" w:hAnsi="宋体" w:eastAsia="宋体" w:cs="宋体"/>
          <w:kern w:val="1"/>
          <w:sz w:val="24"/>
          <w:szCs w:val="24"/>
          <w:u w:val="single"/>
        </w:rPr>
      </w:pPr>
      <w:r>
        <w:rPr>
          <w:rFonts w:hint="eastAsia" w:ascii="宋体" w:hAnsi="宋体" w:eastAsia="宋体" w:cs="宋体"/>
          <w:kern w:val="1"/>
          <w:sz w:val="28"/>
          <w:szCs w:val="28"/>
        </w:rPr>
        <w:t>二、投标报价一览表</w:t>
      </w:r>
    </w:p>
    <w:tbl>
      <w:tblPr>
        <w:tblStyle w:val="30"/>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600" w:type="dxa"/>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600" w:type="dxa"/>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7600" w:type="dxa"/>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7600" w:type="dxa"/>
            <w:vAlign w:val="center"/>
          </w:tcPr>
          <w:p>
            <w:pPr>
              <w:spacing w:line="440" w:lineRule="exact"/>
              <w:rPr>
                <w:rFonts w:hint="eastAsia" w:ascii="宋体" w:hAnsi="宋体" w:eastAsia="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900" w:type="dxa"/>
            <w:vAlign w:val="center"/>
          </w:tcPr>
          <w:p>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交货地点</w:t>
            </w:r>
          </w:p>
        </w:tc>
        <w:tc>
          <w:tcPr>
            <w:tcW w:w="7600" w:type="dxa"/>
            <w:vAlign w:val="center"/>
          </w:tcPr>
          <w:p>
            <w:pPr>
              <w:spacing w:line="440" w:lineRule="exact"/>
              <w:rPr>
                <w:rFonts w:hint="eastAsia" w:ascii="宋体" w:hAnsi="宋体" w:eastAsia="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质量目标</w:t>
            </w:r>
          </w:p>
        </w:tc>
        <w:tc>
          <w:tcPr>
            <w:tcW w:w="7600" w:type="dxa"/>
            <w:vAlign w:val="center"/>
          </w:tcPr>
          <w:p>
            <w:pPr>
              <w:spacing w:line="44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7600" w:type="dxa"/>
            <w:vAlign w:val="center"/>
          </w:tcPr>
          <w:p>
            <w:pPr>
              <w:spacing w:line="440" w:lineRule="exact"/>
              <w:rPr>
                <w:rFonts w:hint="eastAsia" w:ascii="宋体" w:hAnsi="宋体" w:eastAsia="宋体" w:cs="宋体"/>
                <w:b/>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600" w:type="dxa"/>
            <w:vAlign w:val="center"/>
          </w:tcPr>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（注：该报价含货物采购、运输、调试及税费）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7600" w:type="dxa"/>
          </w:tcPr>
          <w:p>
            <w:pPr>
              <w:spacing w:line="440" w:lineRule="exact"/>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highlight w:val="none"/>
        </w:rPr>
      </w:pPr>
    </w:p>
    <w:p>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numPr>
          <w:ilvl w:val="0"/>
          <w:numId w:val="23"/>
        </w:numPr>
        <w:spacing w:before="100" w:beforeAutospacing="1" w:after="100" w:afterAutospacing="1" w:line="440" w:lineRule="exact"/>
        <w:jc w:val="center"/>
        <w:rPr>
          <w:rFonts w:hint="eastAsia" w:ascii="宋体" w:hAnsi="宋体" w:eastAsia="宋体" w:cs="宋体"/>
          <w:kern w:val="1"/>
          <w:sz w:val="24"/>
          <w:szCs w:val="24"/>
          <w:u w:val="single"/>
        </w:rPr>
      </w:pPr>
      <w:r>
        <w:rPr>
          <w:rFonts w:hint="eastAsia" w:ascii="宋体" w:hAnsi="宋体" w:eastAsia="宋体" w:cs="宋体"/>
          <w:kern w:val="1"/>
          <w:sz w:val="24"/>
          <w:szCs w:val="24"/>
          <w:u w:val="single"/>
        </w:rPr>
        <w:br w:type="page"/>
      </w:r>
    </w:p>
    <w:p>
      <w:pPr>
        <w:pStyle w:val="39"/>
        <w:numPr>
          <w:ilvl w:val="0"/>
          <w:numId w:val="24"/>
        </w:numPr>
        <w:spacing w:afterLines="100" w:line="440" w:lineRule="exact"/>
        <w:rPr>
          <w:rFonts w:hint="eastAsia" w:ascii="宋体" w:hAnsi="宋体" w:eastAsia="宋体" w:cs="宋体"/>
          <w:lang w:val="zh-CN"/>
        </w:rPr>
      </w:pPr>
      <w:r>
        <w:rPr>
          <w:rFonts w:hint="eastAsia" w:ascii="宋体" w:hAnsi="宋体" w:eastAsia="宋体" w:cs="宋体"/>
          <w:lang w:val="zh-CN"/>
        </w:rPr>
        <w:t>分项报价明细表</w:t>
      </w:r>
    </w:p>
    <w:p>
      <w:pPr>
        <w:pStyle w:val="39"/>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lang w:val="zh-CN"/>
        </w:rPr>
      </w:pPr>
    </w:p>
    <w:p>
      <w:pPr>
        <w:widowControl/>
        <w:autoSpaceDE w:val="0"/>
        <w:autoSpaceDN w:val="0"/>
        <w:adjustRightInd w:val="0"/>
        <w:spacing w:before="120" w:after="120" w:line="440" w:lineRule="exact"/>
        <w:ind w:right="-481"/>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投标人</w:t>
      </w:r>
      <w:r>
        <w:rPr>
          <w:rFonts w:hint="eastAsia" w:ascii="宋体" w:hAnsi="宋体" w:eastAsia="宋体" w:cs="宋体"/>
          <w:kern w:val="1"/>
          <w:sz w:val="24"/>
          <w:szCs w:val="24"/>
          <w:lang w:val="en-US" w:eastAsia="zh-CN"/>
        </w:rPr>
        <w:t>按照采购需求表</w:t>
      </w:r>
      <w:r>
        <w:rPr>
          <w:rFonts w:hint="eastAsia" w:ascii="宋体" w:hAnsi="宋体" w:eastAsia="宋体" w:cs="宋体"/>
          <w:kern w:val="1"/>
          <w:sz w:val="24"/>
          <w:szCs w:val="24"/>
        </w:rPr>
        <w:t>填</w:t>
      </w:r>
      <w:r>
        <w:rPr>
          <w:rFonts w:hint="eastAsia" w:ascii="宋体" w:hAnsi="宋体" w:eastAsia="宋体" w:cs="宋体"/>
          <w:kern w:val="1"/>
          <w:sz w:val="24"/>
          <w:szCs w:val="24"/>
          <w:lang w:val="en-US" w:eastAsia="zh-CN"/>
        </w:rPr>
        <w:t>报相应单价、合价</w:t>
      </w:r>
      <w:r>
        <w:rPr>
          <w:rFonts w:hint="eastAsia" w:ascii="宋体" w:hAnsi="宋体" w:eastAsia="宋体" w:cs="宋体"/>
          <w:sz w:val="24"/>
          <w:szCs w:val="24"/>
        </w:rPr>
        <w:t>）</w:t>
      </w:r>
    </w:p>
    <w:p>
      <w:pPr>
        <w:pStyle w:val="2"/>
        <w:ind w:left="0"/>
        <w:rPr>
          <w:sz w:val="20"/>
        </w:rPr>
      </w:pPr>
    </w:p>
    <w:p>
      <w:pPr>
        <w:pStyle w:val="2"/>
        <w:spacing w:before="1"/>
        <w:ind w:left="0"/>
        <w:rPr>
          <w:sz w:val="14"/>
        </w:rPr>
      </w:pPr>
    </w:p>
    <w:tbl>
      <w:tblPr>
        <w:tblStyle w:val="30"/>
        <w:tblpPr w:leftFromText="180" w:rightFromText="180" w:vertAnchor="text" w:horzAnchor="page" w:tblpX="1452" w:tblpY="36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
        <w:gridCol w:w="1875"/>
        <w:gridCol w:w="785"/>
        <w:gridCol w:w="738"/>
        <w:gridCol w:w="727"/>
        <w:gridCol w:w="970"/>
        <w:gridCol w:w="1338"/>
        <w:gridCol w:w="1299"/>
        <w:gridCol w:w="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462" w:type="dxa"/>
          </w:tcPr>
          <w:p>
            <w:pPr>
              <w:pStyle w:val="78"/>
              <w:spacing w:before="7"/>
              <w:rPr>
                <w:sz w:val="25"/>
              </w:rPr>
            </w:pPr>
          </w:p>
          <w:p>
            <w:pPr>
              <w:pStyle w:val="78"/>
              <w:spacing w:before="1"/>
              <w:ind w:left="6"/>
              <w:jc w:val="center"/>
              <w:rPr>
                <w:sz w:val="21"/>
              </w:rPr>
            </w:pPr>
            <w:r>
              <w:rPr>
                <w:sz w:val="21"/>
              </w:rPr>
              <w:t>序号</w:t>
            </w:r>
          </w:p>
        </w:tc>
        <w:tc>
          <w:tcPr>
            <w:tcW w:w="1875" w:type="dxa"/>
          </w:tcPr>
          <w:p>
            <w:pPr>
              <w:pStyle w:val="78"/>
              <w:spacing w:before="7"/>
              <w:rPr>
                <w:sz w:val="25"/>
              </w:rPr>
            </w:pPr>
          </w:p>
          <w:p>
            <w:pPr>
              <w:pStyle w:val="78"/>
              <w:spacing w:before="1"/>
              <w:ind w:left="515"/>
              <w:rPr>
                <w:sz w:val="21"/>
              </w:rPr>
            </w:pPr>
            <w:r>
              <w:rPr>
                <w:sz w:val="21"/>
              </w:rPr>
              <w:t>货物名称</w:t>
            </w:r>
          </w:p>
        </w:tc>
        <w:tc>
          <w:tcPr>
            <w:tcW w:w="785" w:type="dxa"/>
          </w:tcPr>
          <w:p>
            <w:pPr>
              <w:pStyle w:val="78"/>
              <w:spacing w:before="7"/>
              <w:rPr>
                <w:sz w:val="25"/>
              </w:rPr>
            </w:pPr>
          </w:p>
          <w:p>
            <w:pPr>
              <w:pStyle w:val="78"/>
              <w:spacing w:before="1"/>
              <w:ind w:left="181"/>
              <w:rPr>
                <w:sz w:val="21"/>
              </w:rPr>
            </w:pPr>
            <w:r>
              <w:rPr>
                <w:sz w:val="21"/>
              </w:rPr>
              <w:t>数量</w:t>
            </w:r>
          </w:p>
        </w:tc>
        <w:tc>
          <w:tcPr>
            <w:tcW w:w="738" w:type="dxa"/>
          </w:tcPr>
          <w:p>
            <w:pPr>
              <w:pStyle w:val="78"/>
              <w:spacing w:before="7"/>
              <w:rPr>
                <w:sz w:val="25"/>
              </w:rPr>
            </w:pPr>
          </w:p>
          <w:p>
            <w:pPr>
              <w:pStyle w:val="78"/>
              <w:spacing w:before="1"/>
              <w:ind w:left="157"/>
              <w:rPr>
                <w:sz w:val="21"/>
              </w:rPr>
            </w:pPr>
            <w:r>
              <w:rPr>
                <w:sz w:val="21"/>
              </w:rPr>
              <w:t>单位</w:t>
            </w:r>
          </w:p>
        </w:tc>
        <w:tc>
          <w:tcPr>
            <w:tcW w:w="727" w:type="dxa"/>
          </w:tcPr>
          <w:p>
            <w:pPr>
              <w:pStyle w:val="78"/>
              <w:spacing w:before="7"/>
              <w:rPr>
                <w:sz w:val="25"/>
              </w:rPr>
            </w:pPr>
          </w:p>
          <w:p>
            <w:pPr>
              <w:pStyle w:val="78"/>
              <w:spacing w:before="1"/>
              <w:ind w:left="151"/>
              <w:rPr>
                <w:sz w:val="21"/>
              </w:rPr>
            </w:pPr>
            <w:r>
              <w:rPr>
                <w:sz w:val="21"/>
              </w:rPr>
              <w:t>品牌</w:t>
            </w:r>
          </w:p>
        </w:tc>
        <w:tc>
          <w:tcPr>
            <w:tcW w:w="970" w:type="dxa"/>
          </w:tcPr>
          <w:p>
            <w:pPr>
              <w:pStyle w:val="78"/>
              <w:spacing w:before="7"/>
              <w:rPr>
                <w:sz w:val="25"/>
              </w:rPr>
            </w:pPr>
          </w:p>
          <w:p>
            <w:pPr>
              <w:pStyle w:val="78"/>
              <w:spacing w:before="1"/>
              <w:ind w:left="274"/>
              <w:rPr>
                <w:sz w:val="21"/>
              </w:rPr>
            </w:pPr>
            <w:r>
              <w:rPr>
                <w:sz w:val="21"/>
              </w:rPr>
              <w:t>型号</w:t>
            </w:r>
          </w:p>
        </w:tc>
        <w:tc>
          <w:tcPr>
            <w:tcW w:w="1338" w:type="dxa"/>
          </w:tcPr>
          <w:p>
            <w:pPr>
              <w:pStyle w:val="78"/>
              <w:spacing w:before="7"/>
              <w:rPr>
                <w:sz w:val="25"/>
              </w:rPr>
            </w:pPr>
          </w:p>
          <w:p>
            <w:pPr>
              <w:pStyle w:val="78"/>
              <w:spacing w:before="1"/>
              <w:ind w:left="144"/>
              <w:rPr>
                <w:sz w:val="21"/>
              </w:rPr>
            </w:pPr>
            <w:r>
              <w:rPr>
                <w:sz w:val="21"/>
              </w:rPr>
              <w:t>单价（元）</w:t>
            </w:r>
          </w:p>
        </w:tc>
        <w:tc>
          <w:tcPr>
            <w:tcW w:w="1299" w:type="dxa"/>
          </w:tcPr>
          <w:p>
            <w:pPr>
              <w:pStyle w:val="78"/>
              <w:spacing w:before="7"/>
              <w:rPr>
                <w:sz w:val="25"/>
              </w:rPr>
            </w:pPr>
          </w:p>
          <w:p>
            <w:pPr>
              <w:pStyle w:val="78"/>
              <w:spacing w:before="1"/>
              <w:ind w:left="123"/>
              <w:rPr>
                <w:sz w:val="21"/>
              </w:rPr>
            </w:pPr>
            <w:r>
              <w:rPr>
                <w:sz w:val="21"/>
              </w:rPr>
              <w:t>小计（元）</w:t>
            </w:r>
          </w:p>
        </w:tc>
        <w:tc>
          <w:tcPr>
            <w:tcW w:w="614" w:type="dxa"/>
          </w:tcPr>
          <w:p>
            <w:pPr>
              <w:pStyle w:val="78"/>
              <w:spacing w:before="7"/>
              <w:rPr>
                <w:sz w:val="25"/>
              </w:rPr>
            </w:pPr>
          </w:p>
          <w:p>
            <w:pPr>
              <w:pStyle w:val="78"/>
              <w:spacing w:before="1"/>
              <w:ind w:left="9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462" w:type="dxa"/>
          </w:tcPr>
          <w:p>
            <w:pPr>
              <w:pStyle w:val="78"/>
              <w:rPr>
                <w:sz w:val="20"/>
              </w:rPr>
            </w:pPr>
          </w:p>
          <w:p>
            <w:pPr>
              <w:pStyle w:val="78"/>
              <w:rPr>
                <w:sz w:val="20"/>
              </w:rPr>
            </w:pPr>
          </w:p>
          <w:p>
            <w:pPr>
              <w:pStyle w:val="78"/>
              <w:rPr>
                <w:sz w:val="20"/>
              </w:rPr>
            </w:pPr>
          </w:p>
          <w:p>
            <w:pPr>
              <w:pStyle w:val="78"/>
              <w:spacing w:before="4"/>
              <w:rPr>
                <w:sz w:val="15"/>
              </w:rPr>
            </w:pPr>
          </w:p>
          <w:p>
            <w:pPr>
              <w:pStyle w:val="78"/>
              <w:ind w:left="10"/>
              <w:jc w:val="center"/>
              <w:rPr>
                <w:rFonts w:ascii="宋体"/>
                <w:sz w:val="21"/>
              </w:rPr>
            </w:pPr>
            <w:r>
              <w:rPr>
                <w:rFonts w:ascii="宋体"/>
                <w:w w:val="99"/>
                <w:sz w:val="21"/>
              </w:rPr>
              <w:t>1</w:t>
            </w:r>
          </w:p>
        </w:tc>
        <w:tc>
          <w:tcPr>
            <w:tcW w:w="1875" w:type="dxa"/>
          </w:tcPr>
          <w:p>
            <w:pPr>
              <w:pStyle w:val="78"/>
              <w:rPr>
                <w:rFonts w:ascii="Times New Roman"/>
                <w:sz w:val="22"/>
              </w:rPr>
            </w:pPr>
          </w:p>
        </w:tc>
        <w:tc>
          <w:tcPr>
            <w:tcW w:w="785" w:type="dxa"/>
          </w:tcPr>
          <w:p>
            <w:pPr>
              <w:pStyle w:val="78"/>
              <w:rPr>
                <w:rFonts w:ascii="Times New Roman"/>
                <w:sz w:val="22"/>
              </w:rPr>
            </w:pPr>
          </w:p>
        </w:tc>
        <w:tc>
          <w:tcPr>
            <w:tcW w:w="738" w:type="dxa"/>
          </w:tcPr>
          <w:p>
            <w:pPr>
              <w:pStyle w:val="78"/>
              <w:rPr>
                <w:rFonts w:ascii="Times New Roman"/>
                <w:sz w:val="22"/>
              </w:rPr>
            </w:pPr>
          </w:p>
        </w:tc>
        <w:tc>
          <w:tcPr>
            <w:tcW w:w="727" w:type="dxa"/>
          </w:tcPr>
          <w:p>
            <w:pPr>
              <w:pStyle w:val="78"/>
              <w:rPr>
                <w:rFonts w:ascii="Times New Roman"/>
                <w:sz w:val="22"/>
              </w:rPr>
            </w:pPr>
          </w:p>
        </w:tc>
        <w:tc>
          <w:tcPr>
            <w:tcW w:w="970" w:type="dxa"/>
          </w:tcPr>
          <w:p>
            <w:pPr>
              <w:pStyle w:val="78"/>
              <w:rPr>
                <w:rFonts w:ascii="Times New Roman"/>
                <w:sz w:val="22"/>
              </w:rPr>
            </w:pPr>
          </w:p>
        </w:tc>
        <w:tc>
          <w:tcPr>
            <w:tcW w:w="1338" w:type="dxa"/>
          </w:tcPr>
          <w:p>
            <w:pPr>
              <w:pStyle w:val="78"/>
              <w:rPr>
                <w:rFonts w:ascii="Times New Roman"/>
                <w:sz w:val="22"/>
              </w:rPr>
            </w:pPr>
          </w:p>
        </w:tc>
        <w:tc>
          <w:tcPr>
            <w:tcW w:w="1299" w:type="dxa"/>
          </w:tcPr>
          <w:p>
            <w:pPr>
              <w:pStyle w:val="78"/>
              <w:rPr>
                <w:rFonts w:ascii="Times New Roman"/>
                <w:sz w:val="22"/>
              </w:rPr>
            </w:pPr>
          </w:p>
        </w:tc>
        <w:tc>
          <w:tcPr>
            <w:tcW w:w="614" w:type="dxa"/>
          </w:tcPr>
          <w:p>
            <w:pPr>
              <w:pStyle w:val="7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2" w:hRule="atLeast"/>
        </w:trPr>
        <w:tc>
          <w:tcPr>
            <w:tcW w:w="462" w:type="dxa"/>
          </w:tcPr>
          <w:p>
            <w:pPr>
              <w:pStyle w:val="78"/>
              <w:rPr>
                <w:sz w:val="20"/>
              </w:rPr>
            </w:pPr>
          </w:p>
          <w:p>
            <w:pPr>
              <w:pStyle w:val="78"/>
              <w:rPr>
                <w:sz w:val="20"/>
              </w:rPr>
            </w:pPr>
          </w:p>
          <w:p>
            <w:pPr>
              <w:pStyle w:val="78"/>
              <w:rPr>
                <w:sz w:val="20"/>
              </w:rPr>
            </w:pPr>
          </w:p>
          <w:p>
            <w:pPr>
              <w:pStyle w:val="78"/>
              <w:rPr>
                <w:sz w:val="20"/>
              </w:rPr>
            </w:pPr>
          </w:p>
          <w:p>
            <w:pPr>
              <w:pStyle w:val="78"/>
              <w:spacing w:before="6"/>
              <w:rPr>
                <w:sz w:val="16"/>
              </w:rPr>
            </w:pPr>
          </w:p>
          <w:p>
            <w:pPr>
              <w:pStyle w:val="78"/>
              <w:ind w:left="10"/>
              <w:jc w:val="center"/>
              <w:rPr>
                <w:rFonts w:ascii="宋体"/>
                <w:sz w:val="21"/>
              </w:rPr>
            </w:pPr>
            <w:r>
              <w:rPr>
                <w:rFonts w:ascii="宋体"/>
                <w:sz w:val="21"/>
              </w:rPr>
              <w:t>...</w:t>
            </w:r>
          </w:p>
        </w:tc>
        <w:tc>
          <w:tcPr>
            <w:tcW w:w="1875" w:type="dxa"/>
          </w:tcPr>
          <w:p>
            <w:pPr>
              <w:pStyle w:val="78"/>
              <w:rPr>
                <w:rFonts w:ascii="Times New Roman"/>
                <w:sz w:val="22"/>
              </w:rPr>
            </w:pPr>
          </w:p>
        </w:tc>
        <w:tc>
          <w:tcPr>
            <w:tcW w:w="785" w:type="dxa"/>
          </w:tcPr>
          <w:p>
            <w:pPr>
              <w:pStyle w:val="78"/>
              <w:rPr>
                <w:rFonts w:ascii="Times New Roman"/>
                <w:sz w:val="22"/>
              </w:rPr>
            </w:pPr>
          </w:p>
        </w:tc>
        <w:tc>
          <w:tcPr>
            <w:tcW w:w="738" w:type="dxa"/>
          </w:tcPr>
          <w:p>
            <w:pPr>
              <w:pStyle w:val="78"/>
              <w:rPr>
                <w:rFonts w:ascii="Times New Roman"/>
                <w:sz w:val="22"/>
              </w:rPr>
            </w:pPr>
          </w:p>
        </w:tc>
        <w:tc>
          <w:tcPr>
            <w:tcW w:w="727" w:type="dxa"/>
          </w:tcPr>
          <w:p>
            <w:pPr>
              <w:pStyle w:val="78"/>
              <w:rPr>
                <w:rFonts w:ascii="Times New Roman"/>
                <w:sz w:val="22"/>
              </w:rPr>
            </w:pPr>
          </w:p>
        </w:tc>
        <w:tc>
          <w:tcPr>
            <w:tcW w:w="970" w:type="dxa"/>
          </w:tcPr>
          <w:p>
            <w:pPr>
              <w:pStyle w:val="78"/>
              <w:rPr>
                <w:rFonts w:ascii="Times New Roman"/>
                <w:sz w:val="22"/>
              </w:rPr>
            </w:pPr>
          </w:p>
        </w:tc>
        <w:tc>
          <w:tcPr>
            <w:tcW w:w="1338" w:type="dxa"/>
          </w:tcPr>
          <w:p>
            <w:pPr>
              <w:pStyle w:val="78"/>
              <w:rPr>
                <w:rFonts w:ascii="Times New Roman"/>
                <w:sz w:val="22"/>
              </w:rPr>
            </w:pPr>
          </w:p>
        </w:tc>
        <w:tc>
          <w:tcPr>
            <w:tcW w:w="1299" w:type="dxa"/>
          </w:tcPr>
          <w:p>
            <w:pPr>
              <w:pStyle w:val="78"/>
              <w:rPr>
                <w:rFonts w:ascii="Times New Roman"/>
                <w:sz w:val="22"/>
              </w:rPr>
            </w:pPr>
          </w:p>
        </w:tc>
        <w:tc>
          <w:tcPr>
            <w:tcW w:w="614" w:type="dxa"/>
          </w:tcPr>
          <w:p>
            <w:pPr>
              <w:pStyle w:val="7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3122" w:type="dxa"/>
            <w:gridSpan w:val="3"/>
          </w:tcPr>
          <w:p>
            <w:pPr>
              <w:pStyle w:val="78"/>
              <w:spacing w:before="4"/>
              <w:rPr>
                <w:sz w:val="21"/>
              </w:rPr>
            </w:pPr>
          </w:p>
          <w:p>
            <w:pPr>
              <w:pStyle w:val="78"/>
              <w:ind w:left="1226" w:right="1216"/>
              <w:jc w:val="center"/>
              <w:rPr>
                <w:sz w:val="21"/>
              </w:rPr>
            </w:pPr>
            <w:r>
              <w:rPr>
                <w:sz w:val="21"/>
              </w:rPr>
              <w:t>总报价</w:t>
            </w:r>
          </w:p>
        </w:tc>
        <w:tc>
          <w:tcPr>
            <w:tcW w:w="5686" w:type="dxa"/>
            <w:gridSpan w:val="6"/>
          </w:tcPr>
          <w:p>
            <w:pPr>
              <w:pStyle w:val="78"/>
              <w:spacing w:before="115" w:line="283" w:lineRule="auto"/>
              <w:ind w:left="13" w:right="5031"/>
              <w:rPr>
                <w:sz w:val="21"/>
              </w:rPr>
            </w:pPr>
            <w:r>
              <w:rPr>
                <w:sz w:val="21"/>
              </w:rPr>
              <w:t>大写： 小写：</w:t>
            </w:r>
          </w:p>
        </w:tc>
      </w:tr>
    </w:tbl>
    <w:p>
      <w:pPr>
        <w:spacing w:line="440" w:lineRule="exact"/>
        <w:rPr>
          <w:rFonts w:hint="eastAsia" w:ascii="宋体" w:hAnsi="宋体" w:eastAsia="宋体" w:cs="宋体"/>
          <w:sz w:val="24"/>
          <w:szCs w:val="24"/>
        </w:rPr>
      </w:pPr>
      <w:r>
        <w:rPr>
          <w:rFonts w:hint="eastAsia" w:ascii="宋体" w:hAnsi="宋体" w:eastAsia="宋体" w:cs="宋体"/>
          <w:sz w:val="24"/>
          <w:szCs w:val="24"/>
        </w:rPr>
        <w:t>注：上述报价含货物、运输、调试、培训、税费等一切费用。</w:t>
      </w:r>
    </w:p>
    <w:p>
      <w:pPr>
        <w:pStyle w:val="39"/>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lang w:val="zh-CN"/>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lang w:val="zh-CN"/>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cs="宋体"/>
          <w:sz w:val="24"/>
          <w:szCs w:val="24"/>
          <w:lang w:eastAsia="zh-CN"/>
        </w:rPr>
        <w:t>或</w:t>
      </w:r>
      <w:r>
        <w:rPr>
          <w:rFonts w:hint="eastAsia" w:ascii="宋体" w:hAnsi="宋体" w:eastAsia="宋体" w:cs="宋体"/>
          <w:sz w:val="24"/>
          <w:szCs w:val="24"/>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numPr>
          <w:ilvl w:val="0"/>
          <w:numId w:val="23"/>
        </w:numPr>
        <w:spacing w:before="100" w:beforeAutospacing="1" w:after="100" w:afterAutospacing="1" w:line="440" w:lineRule="exact"/>
        <w:jc w:val="center"/>
        <w:rPr>
          <w:rFonts w:hint="eastAsia" w:ascii="宋体" w:hAnsi="宋体" w:eastAsia="宋体" w:cs="宋体"/>
          <w:kern w:val="1"/>
          <w:sz w:val="24"/>
          <w:szCs w:val="24"/>
          <w:u w:val="single"/>
        </w:rPr>
      </w:pPr>
      <w:r>
        <w:rPr>
          <w:rFonts w:hint="eastAsia" w:ascii="宋体" w:hAnsi="宋体" w:eastAsia="宋体" w:cs="宋体"/>
          <w:kern w:val="1"/>
          <w:sz w:val="24"/>
          <w:szCs w:val="24"/>
          <w:u w:val="single"/>
        </w:rPr>
        <w:br w:type="page"/>
      </w:r>
    </w:p>
    <w:p>
      <w:pPr>
        <w:widowControl/>
        <w:autoSpaceDE w:val="0"/>
        <w:autoSpaceDN w:val="0"/>
        <w:adjustRightInd w:val="0"/>
        <w:spacing w:line="440" w:lineRule="exact"/>
        <w:ind w:firstLine="630"/>
        <w:jc w:val="center"/>
        <w:rPr>
          <w:rFonts w:hint="eastAsia" w:ascii="宋体" w:hAnsi="宋体" w:eastAsia="宋体" w:cs="宋体"/>
          <w:kern w:val="1"/>
          <w:sz w:val="28"/>
          <w:szCs w:val="28"/>
        </w:rPr>
      </w:pPr>
      <w:r>
        <w:rPr>
          <w:rFonts w:hint="eastAsia" w:ascii="宋体" w:hAnsi="宋体" w:eastAsia="宋体" w:cs="宋体"/>
          <w:kern w:val="1"/>
          <w:sz w:val="28"/>
          <w:szCs w:val="28"/>
        </w:rPr>
        <w:t>四、联合投标协议书（本次不接受联合体投标）</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38"/>
          <w:rFonts w:hint="eastAsia" w:ascii="宋体" w:hAnsi="宋体" w:eastAsia="宋体" w:cs="宋体"/>
          <w:sz w:val="24"/>
          <w:szCs w:val="24"/>
        </w:rPr>
        <w:t>甲方：</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38"/>
          <w:rFonts w:hint="eastAsia" w:ascii="宋体" w:hAnsi="宋体" w:eastAsia="宋体" w:cs="宋体"/>
          <w:sz w:val="24"/>
          <w:szCs w:val="24"/>
        </w:rPr>
        <w:t>乙方：</w:t>
      </w:r>
    </w:p>
    <w:p>
      <w:pPr>
        <w:widowControl/>
        <w:autoSpaceDE w:val="0"/>
        <w:autoSpaceDN w:val="0"/>
        <w:adjustRightInd w:val="0"/>
        <w:spacing w:line="440" w:lineRule="exact"/>
        <w:ind w:firstLine="514"/>
        <w:rPr>
          <w:rStyle w:val="38"/>
          <w:rFonts w:hint="eastAsia" w:ascii="宋体" w:hAnsi="宋体" w:eastAsia="宋体" w:cs="宋体"/>
          <w:sz w:val="24"/>
          <w:szCs w:val="24"/>
        </w:rPr>
      </w:pPr>
      <w:r>
        <w:rPr>
          <w:rStyle w:val="38"/>
          <w:rFonts w:hint="eastAsia" w:ascii="宋体" w:hAnsi="宋体" w:eastAsia="宋体" w:cs="宋体"/>
          <w:sz w:val="24"/>
          <w:szCs w:val="24"/>
        </w:rPr>
        <w:t>（如果有的话，可按照甲、乙、丙、丁…序列增加）</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38"/>
          <w:rFonts w:hint="eastAsia" w:ascii="宋体" w:hAnsi="宋体" w:eastAsia="宋体" w:cs="宋体"/>
          <w:sz w:val="24"/>
          <w:szCs w:val="24"/>
        </w:rPr>
        <w:t xml:space="preserve">联合体各方经协商，就响应 </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组织实施的编号为</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号的招标活动联合进行投标之事宜，达成如下协议：</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38"/>
          <w:rFonts w:hint="eastAsia" w:ascii="宋体" w:hAnsi="宋体" w:eastAsia="宋体" w:cs="宋体"/>
          <w:sz w:val="24"/>
          <w:szCs w:val="24"/>
        </w:rPr>
        <w:t xml:space="preserve">一、联合体各方一致决定，以 </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 xml:space="preserve"> 为主办人进行投标，并按照招标文件的规定分别提交资格文件。</w:t>
      </w:r>
    </w:p>
    <w:p>
      <w:pPr>
        <w:widowControl/>
        <w:autoSpaceDE w:val="0"/>
        <w:autoSpaceDN w:val="0"/>
        <w:adjustRightInd w:val="0"/>
        <w:spacing w:line="440" w:lineRule="exact"/>
        <w:ind w:firstLine="514"/>
        <w:rPr>
          <w:rStyle w:val="38"/>
          <w:rFonts w:hint="eastAsia" w:ascii="宋体" w:hAnsi="宋体" w:eastAsia="宋体" w:cs="宋体"/>
          <w:sz w:val="24"/>
          <w:szCs w:val="24"/>
        </w:rPr>
      </w:pPr>
      <w:r>
        <w:rPr>
          <w:rStyle w:val="38"/>
          <w:rFonts w:hint="eastAsia" w:ascii="宋体" w:hAnsi="宋体" w:eastAsia="宋体" w:cs="宋体"/>
          <w:sz w:val="24"/>
          <w:szCs w:val="24"/>
        </w:rPr>
        <w:t>二、在本次投标过程中，主办人的法定代表人或者授权代理人根据招标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widowControl/>
        <w:autoSpaceDE w:val="0"/>
        <w:autoSpaceDN w:val="0"/>
        <w:adjustRightInd w:val="0"/>
        <w:spacing w:line="440" w:lineRule="exact"/>
        <w:ind w:firstLine="514"/>
        <w:rPr>
          <w:rStyle w:val="38"/>
          <w:rFonts w:hint="eastAsia" w:ascii="宋体" w:hAnsi="宋体" w:eastAsia="宋体" w:cs="宋体"/>
          <w:sz w:val="24"/>
          <w:szCs w:val="24"/>
        </w:rPr>
      </w:pPr>
      <w:r>
        <w:rPr>
          <w:rStyle w:val="38"/>
          <w:rFonts w:hint="eastAsia" w:ascii="宋体" w:hAnsi="宋体" w:eastAsia="宋体" w:cs="宋体"/>
          <w:sz w:val="24"/>
          <w:szCs w:val="24"/>
        </w:rPr>
        <w:t>三、联合体各方保证对主办人为响应本次招标而提供的产品和服务提供全部质量保证以及售后服务支持。</w:t>
      </w:r>
    </w:p>
    <w:p>
      <w:pPr>
        <w:widowControl/>
        <w:autoSpaceDE w:val="0"/>
        <w:autoSpaceDN w:val="0"/>
        <w:adjustRightInd w:val="0"/>
        <w:spacing w:line="440" w:lineRule="exact"/>
        <w:ind w:firstLine="514"/>
        <w:rPr>
          <w:rStyle w:val="38"/>
          <w:rFonts w:hint="eastAsia" w:ascii="宋体" w:hAnsi="宋体" w:eastAsia="宋体" w:cs="宋体"/>
          <w:sz w:val="24"/>
          <w:szCs w:val="24"/>
        </w:rPr>
      </w:pPr>
      <w:r>
        <w:rPr>
          <w:rStyle w:val="38"/>
          <w:rFonts w:hint="eastAsia" w:ascii="宋体" w:hAnsi="宋体" w:eastAsia="宋体" w:cs="宋体"/>
          <w:sz w:val="24"/>
          <w:szCs w:val="24"/>
        </w:rPr>
        <w:t>四、本次联合投标中，联合体各方承担的工作和义务：</w:t>
      </w:r>
    </w:p>
    <w:p>
      <w:pPr>
        <w:widowControl/>
        <w:autoSpaceDE w:val="0"/>
        <w:autoSpaceDN w:val="0"/>
        <w:adjustRightInd w:val="0"/>
        <w:spacing w:line="440" w:lineRule="exact"/>
        <w:ind w:firstLine="514"/>
        <w:rPr>
          <w:rFonts w:hint="eastAsia" w:ascii="宋体" w:hAnsi="宋体" w:eastAsia="宋体" w:cs="宋体"/>
          <w:kern w:val="1"/>
          <w:sz w:val="24"/>
          <w:szCs w:val="24"/>
          <w:u w:val="single"/>
        </w:rPr>
      </w:pPr>
      <w:r>
        <w:rPr>
          <w:rFonts w:hint="eastAsia" w:ascii="宋体" w:hAnsi="宋体" w:eastAsia="宋体" w:cs="宋体"/>
          <w:kern w:val="1"/>
          <w:sz w:val="24"/>
          <w:szCs w:val="24"/>
        </w:rPr>
        <w:t>甲方承担的工作和义务为：</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38"/>
          <w:rFonts w:hint="eastAsia" w:ascii="宋体" w:hAnsi="宋体" w:eastAsia="宋体" w:cs="宋体"/>
          <w:sz w:val="24"/>
          <w:szCs w:val="24"/>
        </w:rPr>
        <w:t>乙方承担的工作和义务为：</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38"/>
          <w:rFonts w:hint="eastAsia" w:ascii="宋体" w:hAnsi="宋体" w:eastAsia="宋体" w:cs="宋体"/>
          <w:sz w:val="24"/>
          <w:szCs w:val="24"/>
        </w:rPr>
        <w:t>五、有关本次联合投标的其他事宜：</w:t>
      </w:r>
    </w:p>
    <w:p>
      <w:pPr>
        <w:widowControl/>
        <w:autoSpaceDE w:val="0"/>
        <w:autoSpaceDN w:val="0"/>
        <w:adjustRightInd w:val="0"/>
        <w:spacing w:line="440" w:lineRule="exact"/>
        <w:ind w:firstLine="514"/>
        <w:rPr>
          <w:rStyle w:val="38"/>
          <w:rFonts w:hint="eastAsia" w:ascii="宋体" w:hAnsi="宋体" w:eastAsia="宋体" w:cs="宋体"/>
          <w:sz w:val="24"/>
          <w:szCs w:val="24"/>
        </w:rPr>
      </w:pPr>
      <w:r>
        <w:rPr>
          <w:rStyle w:val="38"/>
          <w:rFonts w:hint="eastAsia" w:ascii="宋体" w:hAnsi="宋体" w:eastAsia="宋体" w:cs="宋体"/>
          <w:sz w:val="24"/>
          <w:szCs w:val="24"/>
        </w:rPr>
        <w:t>六、本协议提交采购人或者采购代理机构后，联合体各方不得以任何形式对上述实质内容进行修改或者撤销。</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38"/>
          <w:rFonts w:hint="eastAsia" w:ascii="宋体" w:hAnsi="宋体" w:eastAsia="宋体" w:cs="宋体"/>
          <w:sz w:val="24"/>
          <w:szCs w:val="24"/>
        </w:rPr>
        <w:t>七、本协议共</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份，联合体各方各持一份，并作为投标文件的一部分。</w:t>
      </w:r>
    </w:p>
    <w:p>
      <w:pPr>
        <w:widowControl/>
        <w:autoSpaceDE w:val="0"/>
        <w:autoSpaceDN w:val="0"/>
        <w:adjustRightInd w:val="0"/>
        <w:spacing w:line="440" w:lineRule="exact"/>
        <w:ind w:firstLine="514"/>
        <w:rPr>
          <w:rFonts w:hint="eastAsia" w:ascii="宋体" w:hAnsi="宋体" w:eastAsia="宋体" w:cs="宋体"/>
          <w:kern w:val="1"/>
          <w:sz w:val="24"/>
          <w:szCs w:val="24"/>
        </w:rPr>
      </w:pPr>
    </w:p>
    <w:p>
      <w:pPr>
        <w:widowControl/>
        <w:autoSpaceDE w:val="0"/>
        <w:autoSpaceDN w:val="0"/>
        <w:adjustRightInd w:val="0"/>
        <w:spacing w:line="440" w:lineRule="exact"/>
        <w:rPr>
          <w:rStyle w:val="38"/>
          <w:rFonts w:hint="eastAsia" w:ascii="宋体" w:hAnsi="宋体" w:eastAsia="宋体" w:cs="宋体"/>
          <w:sz w:val="24"/>
          <w:szCs w:val="24"/>
        </w:rPr>
      </w:pPr>
      <w:r>
        <w:rPr>
          <w:rStyle w:val="38"/>
          <w:rFonts w:hint="eastAsia" w:ascii="宋体" w:hAnsi="宋体" w:eastAsia="宋体" w:cs="宋体"/>
          <w:sz w:val="24"/>
          <w:szCs w:val="24"/>
        </w:rPr>
        <w:t>甲方单位：       （公章）                    乙方单位：       （公章）</w:t>
      </w:r>
    </w:p>
    <w:p>
      <w:pPr>
        <w:widowControl/>
        <w:autoSpaceDE w:val="0"/>
        <w:autoSpaceDN w:val="0"/>
        <w:adjustRightInd w:val="0"/>
        <w:spacing w:line="440" w:lineRule="exact"/>
        <w:rPr>
          <w:rStyle w:val="38"/>
          <w:rFonts w:hint="eastAsia" w:ascii="宋体" w:hAnsi="宋体" w:eastAsia="宋体" w:cs="宋体"/>
          <w:sz w:val="24"/>
          <w:szCs w:val="24"/>
        </w:rPr>
      </w:pPr>
      <w:r>
        <w:rPr>
          <w:rStyle w:val="38"/>
          <w:rFonts w:hint="eastAsia" w:ascii="宋体" w:hAnsi="宋体" w:eastAsia="宋体" w:cs="宋体"/>
          <w:sz w:val="24"/>
          <w:szCs w:val="24"/>
        </w:rPr>
        <w:t>法定代表人：     （签章）                    法定代表人：     （签章）</w:t>
      </w:r>
    </w:p>
    <w:p>
      <w:pPr>
        <w:widowControl/>
        <w:autoSpaceDE w:val="0"/>
        <w:autoSpaceDN w:val="0"/>
        <w:adjustRightInd w:val="0"/>
        <w:spacing w:line="440" w:lineRule="exact"/>
        <w:ind w:firstLine="480"/>
        <w:rPr>
          <w:rFonts w:hint="eastAsia" w:ascii="宋体" w:hAnsi="宋体" w:eastAsia="宋体" w:cs="宋体"/>
          <w:kern w:val="1"/>
          <w:sz w:val="24"/>
          <w:szCs w:val="24"/>
        </w:rPr>
      </w:pP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38"/>
          <w:rFonts w:hint="eastAsia" w:ascii="宋体" w:hAnsi="宋体" w:eastAsia="宋体" w:cs="宋体"/>
          <w:sz w:val="24"/>
          <w:szCs w:val="24"/>
        </w:rPr>
        <w:t>日期：  年  月   日                          日期：  年  月   日</w:t>
      </w:r>
    </w:p>
    <w:p>
      <w:pPr>
        <w:spacing w:line="440" w:lineRule="exact"/>
        <w:rPr>
          <w:rFonts w:hint="eastAsia" w:ascii="宋体" w:hAnsi="宋体" w:eastAsia="宋体" w:cs="宋体"/>
          <w:sz w:val="24"/>
          <w:szCs w:val="24"/>
        </w:rPr>
      </w:pPr>
    </w:p>
    <w:p>
      <w:pPr>
        <w:spacing w:before="100" w:beforeAutospacing="1" w:after="100" w:afterAutospacing="1" w:line="440" w:lineRule="exact"/>
        <w:jc w:val="left"/>
        <w:rPr>
          <w:rFonts w:hint="eastAsia" w:ascii="宋体" w:hAnsi="宋体" w:eastAsia="宋体" w:cs="宋体"/>
          <w:kern w:val="1"/>
          <w:sz w:val="24"/>
          <w:szCs w:val="24"/>
          <w:u w:val="single"/>
        </w:rPr>
      </w:pPr>
      <w:r>
        <w:rPr>
          <w:rFonts w:hint="eastAsia" w:ascii="宋体" w:hAnsi="宋体" w:eastAsia="宋体" w:cs="宋体"/>
          <w:kern w:val="1"/>
          <w:sz w:val="24"/>
          <w:szCs w:val="24"/>
          <w:u w:val="single"/>
        </w:rPr>
        <w:br w:type="page"/>
      </w:r>
    </w:p>
    <w:p>
      <w:pPr>
        <w:spacing w:before="100" w:beforeAutospacing="1" w:after="100" w:afterAutospacing="1" w:line="440" w:lineRule="exact"/>
        <w:jc w:val="center"/>
        <w:rPr>
          <w:rFonts w:hint="eastAsia" w:ascii="宋体" w:hAnsi="宋体" w:eastAsia="宋体" w:cs="宋体"/>
          <w:sz w:val="28"/>
          <w:szCs w:val="20"/>
          <w:lang w:val="zh-CN"/>
        </w:rPr>
      </w:pPr>
      <w:r>
        <w:rPr>
          <w:rFonts w:hint="eastAsia" w:ascii="宋体" w:hAnsi="宋体" w:eastAsia="宋体" w:cs="宋体"/>
          <w:sz w:val="28"/>
          <w:szCs w:val="20"/>
          <w:lang w:val="zh-CN"/>
        </w:rPr>
        <w:t>五、法定代表人身份证明</w:t>
      </w:r>
    </w:p>
    <w:p>
      <w:pPr>
        <w:spacing w:line="440" w:lineRule="exac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40" w:lineRule="exac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40" w:lineRule="exac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（投标人名称）的法定代表人。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附：法定代表人身份证复印件。</w:t>
      </w:r>
    </w:p>
    <w:p>
      <w:pPr>
        <w:pStyle w:val="2"/>
        <w:spacing w:before="7"/>
        <w:ind w:left="0"/>
        <w:rPr>
          <w:sz w:val="35"/>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pPr>
        <w:spacing w:before="0" w:line="424" w:lineRule="auto"/>
        <w:ind w:left="920" w:right="2505" w:hanging="420"/>
        <w:jc w:val="left"/>
        <w:rPr>
          <w:rFonts w:hint="eastAsia" w:ascii="宋体" w:eastAsia="宋体"/>
          <w:b/>
          <w:sz w:val="21"/>
        </w:rPr>
      </w:pPr>
    </w:p>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pPr>
        <w:spacing w:before="0" w:line="424" w:lineRule="auto"/>
        <w:ind w:left="920" w:right="2505" w:hanging="420"/>
        <w:jc w:val="left"/>
        <w:rPr>
          <w:rFonts w:hint="eastAsia" w:ascii="宋体" w:eastAsia="宋体"/>
          <w:b/>
          <w:sz w:val="21"/>
        </w:rPr>
      </w:pPr>
    </w:p>
    <w:p>
      <w:pPr>
        <w:spacing w:before="0" w:line="424" w:lineRule="auto"/>
        <w:ind w:left="920" w:right="2505" w:hanging="420"/>
        <w:jc w:val="left"/>
        <w:rPr>
          <w:rFonts w:hint="eastAsia" w:ascii="宋体" w:eastAsia="宋体"/>
          <w:b/>
          <w:sz w:val="21"/>
        </w:rPr>
      </w:pPr>
    </w:p>
    <w:p>
      <w:pPr>
        <w:spacing w:before="0" w:line="424" w:lineRule="auto"/>
        <w:ind w:left="920" w:right="2505" w:hanging="420"/>
        <w:jc w:val="left"/>
        <w:rPr>
          <w:rFonts w:hint="eastAsia" w:ascii="宋体" w:eastAsia="宋体"/>
          <w:b/>
          <w:sz w:val="21"/>
        </w:rPr>
      </w:pPr>
      <w:r>
        <w:rPr>
          <w:rFonts w:hint="eastAsia" w:ascii="宋体" w:eastAsia="宋体"/>
          <w:b/>
          <w:sz w:val="21"/>
        </w:rPr>
        <w:t>注：1、法定代表人参加本次投标的应签署本文件并附本人身份证复印件；</w:t>
      </w:r>
    </w:p>
    <w:p>
      <w:pPr>
        <w:spacing w:before="0" w:line="424" w:lineRule="auto"/>
        <w:ind w:left="920" w:right="2505" w:hanging="420"/>
        <w:jc w:val="left"/>
        <w:rPr>
          <w:rFonts w:hint="eastAsia" w:ascii="宋体" w:eastAsia="宋体"/>
          <w:b/>
          <w:sz w:val="21"/>
        </w:rPr>
      </w:pPr>
      <w:r>
        <w:rPr>
          <w:rFonts w:hint="eastAsia" w:ascii="宋体" w:eastAsia="宋体"/>
          <w:b/>
          <w:sz w:val="21"/>
        </w:rPr>
        <w:t xml:space="preserve">  </w:t>
      </w:r>
      <w:r>
        <w:rPr>
          <w:rFonts w:hint="eastAsia" w:ascii="宋体" w:eastAsia="宋体"/>
          <w:b/>
          <w:w w:val="95"/>
          <w:sz w:val="21"/>
        </w:rPr>
        <w:t>2、如法定代表人不参加本次投标，应签署《法定代表人授权委托书》。</w:t>
      </w:r>
    </w:p>
    <w:p>
      <w:pPr>
        <w:pStyle w:val="5"/>
        <w:rPr>
          <w:rFonts w:hint="eastAsia"/>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widowControl/>
        <w:autoSpaceDE w:val="0"/>
        <w:autoSpaceDN w:val="0"/>
        <w:adjustRightInd w:val="0"/>
        <w:spacing w:line="440" w:lineRule="exact"/>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line="440" w:lineRule="exact"/>
        <w:jc w:val="center"/>
        <w:rPr>
          <w:rFonts w:hint="eastAsia" w:ascii="宋体" w:hAnsi="宋体" w:eastAsia="宋体" w:cs="宋体"/>
          <w:kern w:val="1"/>
          <w:sz w:val="28"/>
          <w:szCs w:val="28"/>
        </w:rPr>
      </w:pPr>
      <w:r>
        <w:rPr>
          <w:rFonts w:hint="eastAsia" w:ascii="宋体" w:hAnsi="宋体" w:eastAsia="宋体" w:cs="宋体"/>
          <w:kern w:val="1"/>
          <w:sz w:val="28"/>
          <w:szCs w:val="28"/>
        </w:rPr>
        <w:t>五</w:t>
      </w:r>
      <w:r>
        <w:rPr>
          <w:rFonts w:hint="eastAsia" w:ascii="宋体" w:hAnsi="宋体" w:eastAsia="宋体" w:cs="宋体"/>
          <w:kern w:val="1"/>
          <w:sz w:val="24"/>
          <w:szCs w:val="24"/>
        </w:rPr>
        <w:t>、</w:t>
      </w:r>
      <w:r>
        <w:rPr>
          <w:rFonts w:hint="eastAsia" w:ascii="宋体" w:hAnsi="宋体" w:eastAsia="宋体" w:cs="宋体"/>
          <w:kern w:val="1"/>
          <w:sz w:val="28"/>
          <w:szCs w:val="28"/>
        </w:rPr>
        <w:t>法定代表人授权委托书</w:t>
      </w:r>
    </w:p>
    <w:p>
      <w:pPr>
        <w:widowControl/>
        <w:autoSpaceDE w:val="0"/>
        <w:autoSpaceDN w:val="0"/>
        <w:adjustRightInd w:val="0"/>
        <w:spacing w:line="440" w:lineRule="exact"/>
        <w:rPr>
          <w:rFonts w:hint="eastAsia" w:ascii="宋体" w:hAnsi="宋体" w:eastAsia="宋体" w:cs="宋体"/>
          <w:kern w:val="1"/>
          <w:sz w:val="24"/>
          <w:szCs w:val="24"/>
        </w:rPr>
      </w:pPr>
    </w:p>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kern w:val="1"/>
          <w:sz w:val="24"/>
          <w:szCs w:val="24"/>
          <w:u w:val="single"/>
        </w:rPr>
        <w:t xml:space="preserve">   （采购人）  </w:t>
      </w:r>
      <w:r>
        <w:rPr>
          <w:rStyle w:val="38"/>
          <w:rFonts w:hint="eastAsia" w:ascii="宋体" w:hAnsi="宋体" w:eastAsia="宋体" w:cs="宋体"/>
          <w:sz w:val="24"/>
          <w:szCs w:val="24"/>
        </w:rPr>
        <w:t>：</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38"/>
          <w:rFonts w:hint="eastAsia" w:ascii="宋体" w:hAnsi="宋体" w:eastAsia="宋体" w:cs="宋体"/>
          <w:sz w:val="24"/>
          <w:szCs w:val="24"/>
        </w:rPr>
        <w:t>我</w:t>
      </w:r>
      <w:r>
        <w:rPr>
          <w:rFonts w:hint="eastAsia" w:ascii="宋体" w:hAnsi="宋体" w:eastAsia="宋体" w:cs="宋体"/>
          <w:kern w:val="1"/>
          <w:sz w:val="24"/>
          <w:szCs w:val="24"/>
          <w:u w:val="single"/>
        </w:rPr>
        <w:t xml:space="preserve">   （姓名） </w:t>
      </w:r>
      <w:r>
        <w:rPr>
          <w:rStyle w:val="38"/>
          <w:rFonts w:hint="eastAsia" w:ascii="宋体" w:hAnsi="宋体" w:eastAsia="宋体" w:cs="宋体"/>
          <w:sz w:val="24"/>
          <w:szCs w:val="24"/>
        </w:rPr>
        <w:t>系</w:t>
      </w:r>
      <w:r>
        <w:rPr>
          <w:rFonts w:hint="eastAsia" w:ascii="宋体" w:hAnsi="宋体" w:eastAsia="宋体" w:cs="宋体"/>
          <w:kern w:val="1"/>
          <w:sz w:val="24"/>
          <w:szCs w:val="24"/>
          <w:u w:val="single"/>
        </w:rPr>
        <w:t xml:space="preserve">    （投标人名称）</w:t>
      </w:r>
      <w:r>
        <w:rPr>
          <w:rStyle w:val="38"/>
          <w:rFonts w:hint="eastAsia" w:ascii="宋体" w:hAnsi="宋体" w:eastAsia="宋体" w:cs="宋体"/>
          <w:sz w:val="24"/>
          <w:szCs w:val="24"/>
        </w:rPr>
        <w:t>法定代表人，现授权委托我公司的</w:t>
      </w:r>
      <w:r>
        <w:rPr>
          <w:rFonts w:hint="eastAsia" w:ascii="宋体" w:hAnsi="宋体" w:eastAsia="宋体" w:cs="宋体"/>
          <w:kern w:val="1"/>
          <w:sz w:val="24"/>
          <w:szCs w:val="24"/>
          <w:u w:val="single"/>
        </w:rPr>
        <w:t xml:space="preserve">  （姓名、职务或者职称）</w:t>
      </w:r>
      <w:r>
        <w:rPr>
          <w:rStyle w:val="38"/>
          <w:rFonts w:hint="eastAsia" w:ascii="宋体" w:hAnsi="宋体" w:eastAsia="宋体" w:cs="宋体"/>
          <w:sz w:val="24"/>
          <w:szCs w:val="24"/>
        </w:rPr>
        <w:t>为我公司本次</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项目的授权代表，代表我方办理本次投标、签约等相关事宜，签署全部有关的文件、协议、合同并具有法律效力。</w:t>
      </w:r>
    </w:p>
    <w:p>
      <w:pPr>
        <w:widowControl/>
        <w:autoSpaceDE w:val="0"/>
        <w:autoSpaceDN w:val="0"/>
        <w:adjustRightInd w:val="0"/>
        <w:spacing w:line="440" w:lineRule="exact"/>
        <w:ind w:firstLine="480"/>
        <w:rPr>
          <w:rStyle w:val="38"/>
          <w:rFonts w:hint="eastAsia" w:ascii="宋体" w:hAnsi="宋体" w:eastAsia="宋体" w:cs="宋体"/>
          <w:sz w:val="24"/>
          <w:szCs w:val="24"/>
        </w:rPr>
      </w:pPr>
      <w:r>
        <w:rPr>
          <w:rStyle w:val="38"/>
          <w:rFonts w:hint="eastAsia" w:ascii="宋体" w:hAnsi="宋体" w:eastAsia="宋体" w:cs="宋体"/>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40" w:lineRule="exact"/>
        <w:ind w:firstLine="480"/>
        <w:rPr>
          <w:rStyle w:val="38"/>
          <w:rFonts w:hint="eastAsia" w:ascii="宋体" w:hAnsi="宋体" w:eastAsia="宋体" w:cs="宋体"/>
          <w:sz w:val="24"/>
          <w:szCs w:val="24"/>
        </w:rPr>
      </w:pPr>
      <w:r>
        <w:rPr>
          <w:rStyle w:val="38"/>
          <w:rFonts w:hint="eastAsia" w:ascii="宋体" w:hAnsi="宋体" w:eastAsia="宋体" w:cs="宋体"/>
          <w:sz w:val="24"/>
          <w:szCs w:val="24"/>
        </w:rPr>
        <w:t>被授权代表无权转让委托权。特此授权。</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38"/>
          <w:rFonts w:hint="eastAsia" w:ascii="宋体" w:hAnsi="宋体" w:eastAsia="宋体" w:cs="宋体"/>
          <w:sz w:val="24"/>
          <w:szCs w:val="24"/>
        </w:rPr>
        <w:t>本授权委托书于</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年</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月</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日签字生效,特此声明。</w:t>
      </w:r>
    </w:p>
    <w:p>
      <w:pPr>
        <w:widowControl/>
        <w:autoSpaceDE w:val="0"/>
        <w:autoSpaceDN w:val="0"/>
        <w:adjustRightInd w:val="0"/>
        <w:spacing w:line="440" w:lineRule="exact"/>
        <w:rPr>
          <w:rFonts w:hint="eastAsia" w:ascii="宋体" w:hAnsi="宋体" w:eastAsia="宋体" w:cs="宋体"/>
          <w:kern w:val="1"/>
          <w:sz w:val="24"/>
          <w:szCs w:val="24"/>
        </w:rPr>
      </w:pPr>
    </w:p>
    <w:p>
      <w:pPr>
        <w:widowControl/>
        <w:autoSpaceDE w:val="0"/>
        <w:autoSpaceDN w:val="0"/>
        <w:adjustRightInd w:val="0"/>
        <w:spacing w:line="440" w:lineRule="exact"/>
        <w:ind w:right="-481"/>
        <w:jc w:val="center"/>
        <w:rPr>
          <w:rFonts w:hint="eastAsia" w:ascii="宋体" w:hAnsi="宋体" w:eastAsia="宋体" w:cs="宋体"/>
          <w:kern w:val="1"/>
          <w:sz w:val="24"/>
          <w:szCs w:val="24"/>
        </w:rPr>
      </w:pPr>
      <w:r>
        <w:rPr>
          <w:rFonts w:hint="eastAsia" w:ascii="宋体" w:hAnsi="宋体" w:eastAsia="宋体" w:cs="宋体"/>
          <w:kern w:val="1"/>
          <w:sz w:val="24"/>
          <w:szCs w:val="24"/>
        </w:rPr>
        <w:t>(附法人代表身份证以及被授权代表身份证复印件)</w:t>
      </w:r>
    </w:p>
    <w:p>
      <w:pPr>
        <w:widowControl/>
        <w:autoSpaceDE w:val="0"/>
        <w:autoSpaceDN w:val="0"/>
        <w:adjustRightInd w:val="0"/>
        <w:spacing w:line="440" w:lineRule="exact"/>
        <w:ind w:right="-481"/>
        <w:jc w:val="center"/>
        <w:rPr>
          <w:rFonts w:hint="eastAsia" w:ascii="宋体" w:hAnsi="宋体" w:eastAsia="宋体" w:cs="宋体"/>
          <w:kern w:val="1"/>
          <w:sz w:val="24"/>
          <w:szCs w:val="24"/>
        </w:rPr>
      </w:pPr>
    </w:p>
    <w:p>
      <w:pPr>
        <w:widowControl/>
        <w:autoSpaceDE w:val="0"/>
        <w:autoSpaceDN w:val="0"/>
        <w:adjustRightInd w:val="0"/>
        <w:spacing w:line="440" w:lineRule="exact"/>
        <w:ind w:right="-481"/>
        <w:jc w:val="center"/>
        <w:rPr>
          <w:rFonts w:hint="eastAsia" w:ascii="宋体" w:hAnsi="宋体" w:eastAsia="宋体" w:cs="宋体"/>
          <w:kern w:val="1"/>
          <w:sz w:val="24"/>
          <w:szCs w:val="24"/>
        </w:rPr>
      </w:pPr>
    </w:p>
    <w:p>
      <w:pPr>
        <w:widowControl/>
        <w:autoSpaceDE w:val="0"/>
        <w:autoSpaceDN w:val="0"/>
        <w:adjustRightInd w:val="0"/>
        <w:spacing w:line="440" w:lineRule="exact"/>
        <w:ind w:right="-481"/>
        <w:rPr>
          <w:rStyle w:val="38"/>
          <w:rFonts w:hint="eastAsia" w:ascii="宋体" w:hAnsi="宋体" w:eastAsia="宋体" w:cs="宋体"/>
          <w:sz w:val="24"/>
          <w:szCs w:val="24"/>
        </w:rPr>
      </w:pPr>
      <w:r>
        <w:rPr>
          <w:rStyle w:val="38"/>
          <w:rFonts w:hint="eastAsia" w:ascii="宋体" w:hAnsi="宋体" w:eastAsia="宋体" w:cs="宋体"/>
          <w:sz w:val="24"/>
          <w:szCs w:val="24"/>
        </w:rPr>
        <w:t>被授权代表姓名：             性 别：              年 龄：</w:t>
      </w:r>
    </w:p>
    <w:p>
      <w:pPr>
        <w:widowControl/>
        <w:autoSpaceDE w:val="0"/>
        <w:autoSpaceDN w:val="0"/>
        <w:adjustRightInd w:val="0"/>
        <w:spacing w:line="440" w:lineRule="exact"/>
        <w:ind w:right="-481"/>
        <w:rPr>
          <w:rStyle w:val="38"/>
          <w:rFonts w:hint="eastAsia" w:ascii="宋体" w:hAnsi="宋体" w:eastAsia="宋体" w:cs="宋体"/>
          <w:sz w:val="24"/>
          <w:szCs w:val="24"/>
        </w:rPr>
      </w:pPr>
      <w:r>
        <w:rPr>
          <w:rStyle w:val="38"/>
          <w:rFonts w:hint="eastAsia" w:ascii="宋体" w:hAnsi="宋体" w:eastAsia="宋体" w:cs="宋体"/>
          <w:sz w:val="24"/>
          <w:szCs w:val="24"/>
        </w:rPr>
        <w:t>单  位：                     部 门：              职 务：</w:t>
      </w:r>
    </w:p>
    <w:p>
      <w:pPr>
        <w:widowControl/>
        <w:autoSpaceDE w:val="0"/>
        <w:autoSpaceDN w:val="0"/>
        <w:adjustRightInd w:val="0"/>
        <w:spacing w:line="440" w:lineRule="exact"/>
        <w:ind w:right="-481"/>
        <w:rPr>
          <w:rFonts w:hint="eastAsia" w:ascii="宋体" w:hAnsi="宋体" w:eastAsia="宋体" w:cs="宋体"/>
          <w:kern w:val="1"/>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盖章）</w:t>
      </w:r>
    </w:p>
    <w:p>
      <w:pPr>
        <w:spacing w:before="100" w:beforeAutospacing="1" w:after="100" w:afterAutospacing="1" w:line="440" w:lineRule="exact"/>
        <w:ind w:firstLine="4080" w:firstLineChars="1700"/>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before="100" w:beforeAutospacing="1" w:after="100" w:afterAutospacing="1" w:line="440" w:lineRule="exact"/>
        <w:ind w:firstLine="4080" w:firstLineChars="1700"/>
        <w:jc w:val="left"/>
        <w:rPr>
          <w:rFonts w:hint="eastAsia" w:ascii="宋体" w:hAnsi="宋体" w:eastAsia="宋体" w:cs="宋体"/>
          <w:kern w:val="1"/>
          <w:sz w:val="24"/>
          <w:szCs w:val="24"/>
        </w:rPr>
      </w:pPr>
      <w:r>
        <w:rPr>
          <w:rFonts w:hint="eastAsia" w:ascii="宋体" w:hAnsi="宋体" w:eastAsia="宋体" w:cs="宋体"/>
          <w:kern w:val="1"/>
          <w:sz w:val="24"/>
          <w:szCs w:val="24"/>
        </w:rPr>
        <w:br w:type="page"/>
      </w:r>
    </w:p>
    <w:p>
      <w:pPr>
        <w:spacing w:before="100" w:beforeAutospacing="1" w:after="100" w:afterAutospacing="1" w:line="440" w:lineRule="exact"/>
        <w:jc w:val="center"/>
        <w:rPr>
          <w:rFonts w:hint="eastAsia" w:ascii="宋体" w:hAnsi="宋体" w:eastAsia="宋体" w:cs="宋体"/>
          <w:kern w:val="1"/>
          <w:sz w:val="24"/>
          <w:szCs w:val="24"/>
          <w:lang w:eastAsia="zh-CN"/>
        </w:rPr>
      </w:pPr>
      <w:r>
        <w:rPr>
          <w:rFonts w:hint="eastAsia" w:ascii="宋体" w:hAnsi="宋体" w:eastAsia="宋体" w:cs="宋体"/>
          <w:kern w:val="1"/>
          <w:sz w:val="28"/>
          <w:szCs w:val="28"/>
        </w:rPr>
        <w:t>六、投标保证金</w:t>
      </w:r>
      <w:r>
        <w:rPr>
          <w:rFonts w:hint="eastAsia" w:ascii="宋体" w:hAnsi="宋体" w:eastAsia="宋体" w:cs="宋体"/>
          <w:b/>
          <w:bCs/>
          <w:kern w:val="1"/>
          <w:sz w:val="28"/>
          <w:szCs w:val="28"/>
          <w:lang w:eastAsia="zh-CN"/>
        </w:rPr>
        <w:t>（本项目不做要求）</w:t>
      </w:r>
    </w:p>
    <w:p>
      <w:pPr>
        <w:spacing w:before="100" w:beforeAutospacing="1" w:after="100" w:afterAutospacing="1" w:line="440" w:lineRule="exact"/>
        <w:jc w:val="left"/>
        <w:rPr>
          <w:rFonts w:hint="eastAsia" w:ascii="宋体" w:hAnsi="宋体" w:eastAsia="宋体" w:cs="宋体"/>
          <w:kern w:val="1"/>
          <w:sz w:val="24"/>
          <w:szCs w:val="24"/>
        </w:rPr>
      </w:pPr>
    </w:p>
    <w:p>
      <w:pPr>
        <w:spacing w:before="100" w:beforeAutospacing="1" w:after="100" w:afterAutospacing="1"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（附</w:t>
      </w:r>
      <w:r>
        <w:rPr>
          <w:rFonts w:hint="eastAsia" w:ascii="宋体" w:hAnsi="宋体" w:eastAsia="宋体" w:cs="宋体"/>
          <w:sz w:val="24"/>
        </w:rPr>
        <w:t>投标保证金</w:t>
      </w:r>
      <w:r>
        <w:rPr>
          <w:rFonts w:hint="eastAsia" w:ascii="宋体" w:hAnsi="宋体" w:eastAsia="宋体" w:cs="宋体"/>
          <w:sz w:val="24"/>
          <w:lang w:val="en-US" w:eastAsia="zh-CN"/>
        </w:rPr>
        <w:t>缴存凭证</w:t>
      </w:r>
      <w:r>
        <w:rPr>
          <w:rFonts w:hint="eastAsia" w:ascii="宋体" w:hAnsi="宋体" w:eastAsia="宋体" w:cs="宋体"/>
          <w:kern w:val="1"/>
          <w:sz w:val="24"/>
          <w:szCs w:val="24"/>
        </w:rPr>
        <w:t>）</w:t>
      </w:r>
    </w:p>
    <w:p>
      <w:pPr>
        <w:spacing w:before="100" w:beforeAutospacing="1" w:after="100" w:afterAutospacing="1"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br w:type="page"/>
      </w:r>
    </w:p>
    <w:p>
      <w:pPr>
        <w:spacing w:afterLines="100" w:line="360" w:lineRule="auto"/>
        <w:jc w:val="center"/>
        <w:rPr>
          <w:rFonts w:hint="eastAsia" w:ascii="宋体" w:hAnsi="宋体" w:eastAsia="宋体" w:cs="宋体"/>
          <w:b/>
          <w:bCs/>
          <w:sz w:val="24"/>
          <w:szCs w:val="24"/>
        </w:rPr>
      </w:pPr>
      <w:r>
        <w:rPr>
          <w:rFonts w:hint="eastAsia" w:ascii="宋体" w:hAnsi="宋体" w:eastAsia="宋体" w:cs="宋体"/>
          <w:sz w:val="28"/>
          <w:szCs w:val="28"/>
        </w:rPr>
        <w:t>七、商务偏离表</w:t>
      </w:r>
    </w:p>
    <w:tbl>
      <w:tblPr>
        <w:tblStyle w:val="30"/>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24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招标文件章节及条款号</w:t>
            </w:r>
          </w:p>
        </w:tc>
        <w:tc>
          <w:tcPr>
            <w:tcW w:w="308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投标文件章节及条款号</w:t>
            </w:r>
          </w:p>
        </w:tc>
        <w:tc>
          <w:tcPr>
            <w:tcW w:w="201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2</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lang w:eastAsia="zh-CN"/>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bl>
    <w:p>
      <w:pPr>
        <w:spacing w:before="100" w:beforeAutospacing="1" w:after="100" w:afterAutospacing="1" w:line="440" w:lineRule="exact"/>
        <w:rPr>
          <w:rFonts w:hint="eastAsia" w:ascii="宋体" w:hAnsi="宋体" w:eastAsia="宋体" w:cs="宋体"/>
          <w:kern w:val="1"/>
          <w:sz w:val="24"/>
          <w:szCs w:val="24"/>
        </w:rPr>
      </w:pPr>
      <w:r>
        <w:rPr>
          <w:rFonts w:hint="eastAsia" w:ascii="宋体" w:hAnsi="宋体" w:eastAsia="宋体" w:cs="宋体"/>
          <w:sz w:val="24"/>
          <w:szCs w:val="24"/>
        </w:rPr>
        <w:t>注：偏离情况填写为正偏离、负偏离、无偏离。</w:t>
      </w:r>
    </w:p>
    <w:p>
      <w:pPr>
        <w:widowControl/>
        <w:autoSpaceDE w:val="0"/>
        <w:autoSpaceDN w:val="0"/>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1、投标人应根据</w:t>
      </w:r>
      <w:r>
        <w:rPr>
          <w:rFonts w:hint="eastAsia" w:ascii="宋体" w:hAnsi="宋体" w:eastAsia="宋体" w:cs="宋体"/>
          <w:sz w:val="24"/>
          <w:szCs w:val="24"/>
        </w:rPr>
        <w:t>自身的商务指标</w:t>
      </w:r>
      <w:r>
        <w:rPr>
          <w:rFonts w:hint="eastAsia" w:ascii="宋体" w:hAnsi="宋体" w:eastAsia="宋体" w:cs="宋体"/>
          <w:sz w:val="24"/>
          <w:szCs w:val="24"/>
          <w:lang w:val="zh-CN"/>
        </w:rPr>
        <w:t>，对照</w:t>
      </w:r>
      <w:r>
        <w:rPr>
          <w:rFonts w:hint="eastAsia" w:ascii="宋体" w:hAnsi="宋体" w:eastAsia="宋体" w:cs="宋体"/>
          <w:sz w:val="24"/>
          <w:szCs w:val="24"/>
          <w:lang w:val="en-US" w:eastAsia="zh-CN"/>
        </w:rPr>
        <w:t>招标文件</w:t>
      </w:r>
      <w:r>
        <w:rPr>
          <w:rFonts w:hint="eastAsia" w:ascii="宋体" w:hAnsi="宋体" w:eastAsia="宋体" w:cs="宋体"/>
          <w:sz w:val="24"/>
          <w:szCs w:val="24"/>
          <w:lang w:val="zh-CN"/>
        </w:rPr>
        <w:t>中“第三章</w:t>
      </w:r>
      <w:r>
        <w:rPr>
          <w:rFonts w:hint="eastAsia" w:ascii="宋体" w:hAnsi="宋体" w:eastAsia="宋体" w:cs="宋体"/>
          <w:sz w:val="24"/>
          <w:szCs w:val="24"/>
        </w:rPr>
        <w:t xml:space="preserve"> </w:t>
      </w:r>
      <w:r>
        <w:rPr>
          <w:rFonts w:hint="eastAsia" w:ascii="宋体" w:hAnsi="宋体" w:eastAsia="宋体" w:cs="宋体"/>
          <w:sz w:val="24"/>
          <w:szCs w:val="24"/>
          <w:lang w:val="zh-CN"/>
        </w:rPr>
        <w:t>采购需求</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.商务要求</w:t>
      </w:r>
      <w:r>
        <w:rPr>
          <w:rFonts w:hint="eastAsia" w:ascii="宋体" w:hAnsi="宋体" w:eastAsia="宋体" w:cs="宋体"/>
          <w:sz w:val="24"/>
          <w:szCs w:val="24"/>
          <w:lang w:val="zh-CN"/>
        </w:rPr>
        <w:t>”中的各项</w:t>
      </w:r>
      <w:r>
        <w:rPr>
          <w:rFonts w:hint="eastAsia" w:ascii="宋体" w:hAnsi="宋体" w:eastAsia="宋体" w:cs="宋体"/>
          <w:sz w:val="24"/>
          <w:szCs w:val="24"/>
        </w:rPr>
        <w:t>商务</w:t>
      </w:r>
      <w:r>
        <w:rPr>
          <w:rFonts w:hint="eastAsia" w:ascii="宋体" w:hAnsi="宋体" w:eastAsia="宋体" w:cs="宋体"/>
          <w:sz w:val="24"/>
          <w:szCs w:val="24"/>
          <w:lang w:val="zh-CN"/>
        </w:rPr>
        <w:t>要求，如实逐条一一对应填写响应情况，如有未响应</w:t>
      </w:r>
      <w:r>
        <w:rPr>
          <w:rFonts w:hint="eastAsia" w:ascii="宋体" w:hAnsi="宋体" w:eastAsia="宋体" w:cs="宋体"/>
          <w:sz w:val="24"/>
          <w:szCs w:val="24"/>
        </w:rPr>
        <w:t>商务要求</w:t>
      </w:r>
      <w:r>
        <w:rPr>
          <w:rFonts w:hint="eastAsia" w:ascii="宋体" w:hAnsi="宋体" w:eastAsia="宋体" w:cs="宋体"/>
          <w:sz w:val="24"/>
          <w:szCs w:val="24"/>
          <w:lang w:val="zh-CN"/>
        </w:rPr>
        <w:t>，评标委员会有权视其为负偏离；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2、请投标人在“偏离情况”一栏详细描述存在正偏离或负偏离商务指标，并标明偏离情况；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招标文件</w:t>
      </w:r>
      <w:r>
        <w:rPr>
          <w:rFonts w:hint="eastAsia" w:ascii="宋体" w:hAnsi="宋体" w:eastAsia="宋体" w:cs="宋体"/>
          <w:sz w:val="24"/>
          <w:szCs w:val="24"/>
        </w:rPr>
        <w:t>商务指标未做要求的，不视为正偏离。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4、商务指标不允许负偏离，负偏离视为不响应</w:t>
      </w:r>
      <w:r>
        <w:rPr>
          <w:rFonts w:hint="eastAsia" w:ascii="宋体" w:hAnsi="宋体" w:eastAsia="宋体" w:cs="宋体"/>
          <w:sz w:val="24"/>
          <w:szCs w:val="24"/>
          <w:lang w:val="en-US" w:eastAsia="zh-CN"/>
        </w:rPr>
        <w:t>招标文件</w:t>
      </w:r>
      <w:r>
        <w:rPr>
          <w:rFonts w:hint="eastAsia" w:ascii="宋体" w:hAnsi="宋体" w:eastAsia="宋体" w:cs="宋体"/>
          <w:sz w:val="24"/>
          <w:szCs w:val="24"/>
        </w:rPr>
        <w:t>。</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cs="宋体"/>
          <w:sz w:val="24"/>
          <w:szCs w:val="24"/>
          <w:lang w:eastAsia="zh-CN"/>
        </w:rPr>
        <w:t>或</w:t>
      </w:r>
      <w:r>
        <w:rPr>
          <w:rFonts w:hint="eastAsia" w:ascii="宋体" w:hAnsi="宋体" w:eastAsia="宋体" w:cs="宋体"/>
          <w:sz w:val="24"/>
          <w:szCs w:val="24"/>
        </w:rPr>
        <w:t>盖章）</w:t>
      </w:r>
    </w:p>
    <w:p>
      <w:pPr>
        <w:spacing w:line="440" w:lineRule="exact"/>
        <w:ind w:firstLine="4560" w:firstLineChars="19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afterLines="100" w:line="360" w:lineRule="auto"/>
        <w:jc w:val="both"/>
        <w:rPr>
          <w:rFonts w:hint="eastAsia" w:ascii="宋体" w:hAnsi="宋体" w:eastAsia="宋体" w:cs="宋体"/>
          <w:kern w:val="1"/>
          <w:sz w:val="28"/>
          <w:szCs w:val="28"/>
        </w:rPr>
      </w:pPr>
      <w:r>
        <w:rPr>
          <w:rFonts w:hint="eastAsia" w:ascii="宋体" w:hAnsi="宋体" w:eastAsia="宋体" w:cs="宋体"/>
          <w:kern w:val="1"/>
          <w:sz w:val="28"/>
          <w:szCs w:val="28"/>
        </w:rPr>
        <w:br w:type="page"/>
      </w:r>
    </w:p>
    <w:p>
      <w:pPr>
        <w:spacing w:afterLines="100" w:line="360" w:lineRule="auto"/>
        <w:jc w:val="center"/>
        <w:rPr>
          <w:rFonts w:hint="eastAsia" w:ascii="宋体" w:hAnsi="宋体" w:eastAsia="宋体" w:cs="宋体"/>
          <w:sz w:val="24"/>
          <w:szCs w:val="24"/>
        </w:rPr>
      </w:pPr>
      <w:r>
        <w:rPr>
          <w:rFonts w:hint="eastAsia" w:ascii="宋体" w:hAnsi="宋体" w:eastAsia="宋体" w:cs="宋体"/>
          <w:kern w:val="1"/>
          <w:sz w:val="28"/>
          <w:szCs w:val="28"/>
        </w:rPr>
        <w:t xml:space="preserve"> 八、</w:t>
      </w:r>
      <w:r>
        <w:rPr>
          <w:rFonts w:hint="eastAsia" w:ascii="宋体" w:hAnsi="宋体" w:eastAsia="宋体" w:cs="宋体"/>
          <w:sz w:val="28"/>
          <w:szCs w:val="28"/>
        </w:rPr>
        <w:t>投标人基本情况表（附营业执照等）</w:t>
      </w:r>
    </w:p>
    <w:tbl>
      <w:tblPr>
        <w:tblStyle w:val="30"/>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7947" w:type="dxa"/>
            <w:gridSpan w:val="6"/>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894" w:type="dxa"/>
            <w:gridSpan w:val="3"/>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544" w:type="dxa"/>
            <w:gridSpan w:val="2"/>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电  话</w:t>
            </w: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pPr>
              <w:jc w:val="center"/>
              <w:rPr>
                <w:rFonts w:hint="eastAsia" w:ascii="宋体" w:hAnsi="宋体" w:eastAsia="宋体" w:cs="宋体"/>
                <w:sz w:val="24"/>
                <w:szCs w:val="24"/>
              </w:rPr>
            </w:pPr>
          </w:p>
        </w:tc>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传  真</w:t>
            </w:r>
          </w:p>
        </w:tc>
        <w:tc>
          <w:tcPr>
            <w:tcW w:w="2544" w:type="dxa"/>
            <w:gridSpan w:val="2"/>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网  址</w:t>
            </w: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138" w:type="dxa"/>
            <w:vAlign w:val="center"/>
          </w:tcPr>
          <w:p>
            <w:pPr>
              <w:jc w:val="center"/>
              <w:rPr>
                <w:rFonts w:hint="eastAsia" w:ascii="宋体" w:hAnsi="宋体" w:eastAsia="宋体" w:cs="宋体"/>
                <w:sz w:val="24"/>
                <w:szCs w:val="24"/>
              </w:rPr>
            </w:pPr>
          </w:p>
        </w:tc>
        <w:tc>
          <w:tcPr>
            <w:tcW w:w="140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426" w:type="dxa"/>
            <w:vAlign w:val="center"/>
          </w:tcPr>
          <w:p>
            <w:pPr>
              <w:jc w:val="center"/>
              <w:rPr>
                <w:rFonts w:hint="eastAsia" w:ascii="宋体" w:hAnsi="宋体" w:eastAsia="宋体" w:cs="宋体"/>
                <w:sz w:val="24"/>
                <w:szCs w:val="24"/>
              </w:rPr>
            </w:pPr>
          </w:p>
        </w:tc>
        <w:tc>
          <w:tcPr>
            <w:tcW w:w="10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568"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7947" w:type="dxa"/>
            <w:gridSpan w:val="6"/>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2488" w:type="dxa"/>
            <w:gridSpan w:val="2"/>
            <w:vAlign w:val="center"/>
          </w:tcPr>
          <w:p>
            <w:pPr>
              <w:jc w:val="center"/>
              <w:rPr>
                <w:rFonts w:hint="eastAsia" w:ascii="宋体" w:hAnsi="宋体" w:eastAsia="宋体" w:cs="宋体"/>
                <w:sz w:val="24"/>
                <w:szCs w:val="24"/>
              </w:rPr>
            </w:pPr>
          </w:p>
        </w:tc>
        <w:tc>
          <w:tcPr>
            <w:tcW w:w="1406"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企业人员</w:t>
            </w:r>
          </w:p>
        </w:tc>
        <w:tc>
          <w:tcPr>
            <w:tcW w:w="1426" w:type="dxa"/>
            <w:vAlign w:val="center"/>
          </w:tcPr>
          <w:p>
            <w:pPr>
              <w:jc w:val="center"/>
              <w:rPr>
                <w:rFonts w:hint="eastAsia" w:ascii="宋体" w:hAnsi="宋体" w:eastAsia="宋体" w:cs="宋体"/>
                <w:sz w:val="24"/>
                <w:szCs w:val="24"/>
              </w:rPr>
            </w:pP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488" w:type="dxa"/>
            <w:gridSpan w:val="2"/>
            <w:vAlign w:val="center"/>
          </w:tcPr>
          <w:p>
            <w:pPr>
              <w:jc w:val="center"/>
              <w:rPr>
                <w:rFonts w:hint="eastAsia" w:ascii="宋体" w:hAnsi="宋体" w:eastAsia="宋体" w:cs="宋体"/>
                <w:sz w:val="24"/>
                <w:szCs w:val="24"/>
              </w:rPr>
            </w:pPr>
          </w:p>
        </w:tc>
        <w:tc>
          <w:tcPr>
            <w:tcW w:w="1406" w:type="dxa"/>
            <w:vMerge w:val="continue"/>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488" w:type="dxa"/>
            <w:gridSpan w:val="2"/>
            <w:vAlign w:val="center"/>
          </w:tcPr>
          <w:p>
            <w:pPr>
              <w:jc w:val="center"/>
              <w:rPr>
                <w:rFonts w:hint="eastAsia" w:ascii="宋体" w:hAnsi="宋体" w:eastAsia="宋体" w:cs="宋体"/>
                <w:sz w:val="24"/>
                <w:szCs w:val="24"/>
              </w:rPr>
            </w:pPr>
          </w:p>
        </w:tc>
        <w:tc>
          <w:tcPr>
            <w:tcW w:w="1406" w:type="dxa"/>
            <w:vMerge w:val="continue"/>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账   号</w:t>
            </w:r>
          </w:p>
        </w:tc>
        <w:tc>
          <w:tcPr>
            <w:tcW w:w="2488" w:type="dxa"/>
            <w:gridSpan w:val="2"/>
            <w:vAlign w:val="center"/>
          </w:tcPr>
          <w:p>
            <w:pPr>
              <w:jc w:val="center"/>
              <w:rPr>
                <w:rFonts w:hint="eastAsia" w:ascii="宋体" w:hAnsi="宋体" w:eastAsia="宋体" w:cs="宋体"/>
                <w:sz w:val="24"/>
                <w:szCs w:val="24"/>
              </w:rPr>
            </w:pPr>
          </w:p>
        </w:tc>
        <w:tc>
          <w:tcPr>
            <w:tcW w:w="1406" w:type="dxa"/>
            <w:vMerge w:val="continue"/>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947" w:type="dxa"/>
            <w:gridSpan w:val="6"/>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   注</w:t>
            </w:r>
          </w:p>
        </w:tc>
        <w:tc>
          <w:tcPr>
            <w:tcW w:w="7947" w:type="dxa"/>
            <w:gridSpan w:val="6"/>
            <w:vAlign w:val="center"/>
          </w:tcPr>
          <w:p>
            <w:pPr>
              <w:rPr>
                <w:rFonts w:hint="eastAsia" w:ascii="宋体" w:hAnsi="宋体" w:eastAsia="宋体" w:cs="宋体"/>
                <w:sz w:val="24"/>
                <w:szCs w:val="24"/>
              </w:rPr>
            </w:pPr>
          </w:p>
        </w:tc>
      </w:tr>
    </w:tbl>
    <w:p>
      <w:pPr>
        <w:spacing w:beforeLines="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注：本表后应附企业法人营业执照副本</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开户许可证</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sz w:val="24"/>
          <w:szCs w:val="24"/>
          <w:highlight w:val="none"/>
          <w:lang w:eastAsia="zh-CN"/>
        </w:rPr>
        <w:t>提供2019-2021年度任一年财务审计报告（企业成立不足一年的，提供企业成立以来的财务报表）</w:t>
      </w:r>
      <w:r>
        <w:rPr>
          <w:rFonts w:hint="eastAsia" w:ascii="宋体" w:hAnsi="宋体" w:eastAsia="宋体" w:cs="宋体"/>
          <w:b/>
          <w:bCs/>
          <w:sz w:val="24"/>
          <w:szCs w:val="24"/>
          <w:highlight w:val="none"/>
          <w:lang w:val="en-US" w:eastAsia="zh-CN"/>
        </w:rPr>
        <w:t>、完税证明、信用中国、政府采购、</w:t>
      </w:r>
      <w:r>
        <w:rPr>
          <w:rFonts w:hint="eastAsia" w:ascii="宋体" w:hAnsi="宋体" w:eastAsia="宋体" w:cs="宋体"/>
          <w:b/>
          <w:bCs/>
          <w:color w:val="auto"/>
          <w:sz w:val="24"/>
          <w:szCs w:val="24"/>
          <w:highlight w:val="none"/>
          <w:lang w:val="en-US" w:eastAsia="zh-CN"/>
        </w:rPr>
        <w:t>企业信用信息公示报告查询截图</w:t>
      </w:r>
      <w:r>
        <w:rPr>
          <w:rFonts w:hint="eastAsia" w:ascii="宋体" w:hAnsi="宋体" w:eastAsia="宋体" w:cs="宋体"/>
          <w:b/>
          <w:bCs/>
          <w:sz w:val="24"/>
          <w:szCs w:val="24"/>
          <w:highlight w:val="none"/>
        </w:rPr>
        <w:t>等相关材料的复印件</w:t>
      </w:r>
      <w:r>
        <w:rPr>
          <w:rFonts w:hint="eastAsia" w:ascii="宋体" w:hAnsi="宋体" w:eastAsia="宋体" w:cs="宋体"/>
          <w:b/>
          <w:bCs/>
          <w:sz w:val="24"/>
          <w:szCs w:val="24"/>
          <w:highlight w:val="none"/>
          <w:lang w:eastAsia="zh-CN"/>
        </w:rPr>
        <w:t>（须清晰可辩）</w:t>
      </w:r>
      <w:r>
        <w:rPr>
          <w:rFonts w:hint="eastAsia" w:ascii="宋体" w:hAnsi="宋体" w:eastAsia="宋体" w:cs="宋体"/>
          <w:b/>
          <w:bCs/>
          <w:sz w:val="24"/>
          <w:szCs w:val="24"/>
          <w:highlight w:val="none"/>
        </w:rPr>
        <w:t>。（投标人可根据本表自行编制）</w:t>
      </w:r>
    </w:p>
    <w:p>
      <w:pPr>
        <w:spacing w:before="100" w:beforeAutospacing="1" w:after="100" w:afterAutospacing="1" w:line="440" w:lineRule="exact"/>
        <w:jc w:val="both"/>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br w:type="page"/>
      </w:r>
    </w:p>
    <w:p>
      <w:pPr>
        <w:spacing w:before="100" w:beforeAutospacing="1" w:after="100" w:afterAutospacing="1" w:line="440" w:lineRule="exact"/>
        <w:jc w:val="center"/>
        <w:rPr>
          <w:rFonts w:hint="eastAsia" w:ascii="宋体" w:hAnsi="宋体" w:eastAsia="宋体" w:cs="宋体"/>
          <w:kern w:val="1"/>
          <w:sz w:val="24"/>
          <w:szCs w:val="24"/>
        </w:rPr>
      </w:pPr>
      <w:r>
        <w:rPr>
          <w:rFonts w:hint="eastAsia" w:ascii="宋体" w:hAnsi="宋体" w:eastAsia="宋体" w:cs="宋体"/>
          <w:kern w:val="1"/>
          <w:sz w:val="28"/>
          <w:szCs w:val="28"/>
          <w:lang w:val="en-US" w:eastAsia="zh-CN"/>
        </w:rPr>
        <w:t>九</w:t>
      </w:r>
      <w:r>
        <w:rPr>
          <w:rFonts w:hint="eastAsia" w:ascii="宋体" w:hAnsi="宋体" w:eastAsia="宋体" w:cs="宋体"/>
          <w:kern w:val="1"/>
          <w:sz w:val="28"/>
          <w:szCs w:val="28"/>
        </w:rPr>
        <w:t>、企业财务状况</w:t>
      </w:r>
    </w:p>
    <w:p>
      <w:pPr>
        <w:spacing w:before="100" w:beforeAutospacing="1" w:after="100" w:afterAutospacing="1" w:line="440" w:lineRule="exact"/>
        <w:jc w:val="cente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rPr>
      </w:pPr>
    </w:p>
    <w:p>
      <w:pPr>
        <w:spacing w:before="100" w:beforeAutospacing="1" w:after="100" w:afterAutospacing="1" w:line="440" w:lineRule="exact"/>
        <w:jc w:val="center"/>
        <w:rPr>
          <w:rFonts w:hint="eastAsia" w:ascii="宋体" w:hAnsi="宋体" w:eastAsia="宋体" w:cs="宋体"/>
          <w:kern w:val="1"/>
          <w:sz w:val="24"/>
          <w:szCs w:val="24"/>
          <w:highlight w:val="none"/>
          <w:lang w:eastAsia="zh-CN"/>
        </w:rPr>
      </w:pPr>
      <w:r>
        <w:rPr>
          <w:rFonts w:hint="eastAsia" w:ascii="宋体" w:hAnsi="宋体" w:eastAsia="宋体" w:cs="宋体"/>
          <w:kern w:val="1"/>
          <w:sz w:val="28"/>
          <w:szCs w:val="28"/>
          <w:highlight w:val="none"/>
        </w:rPr>
        <w:t>十、近年业绩</w:t>
      </w:r>
    </w:p>
    <w:tbl>
      <w:tblPr>
        <w:tblStyle w:val="30"/>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41"/>
        <w:gridCol w:w="1536"/>
        <w:gridCol w:w="914"/>
        <w:gridCol w:w="1240"/>
        <w:gridCol w:w="1119"/>
        <w:gridCol w:w="10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序号</w:t>
            </w:r>
          </w:p>
        </w:tc>
        <w:tc>
          <w:tcPr>
            <w:tcW w:w="1641" w:type="dxa"/>
            <w:tcMar>
              <w:top w:w="100" w:type="dxa"/>
              <w:right w:w="100" w:type="dxa"/>
            </w:tcMar>
            <w:vAlign w:val="center"/>
          </w:tcPr>
          <w:p>
            <w:pPr>
              <w:widowControl/>
              <w:autoSpaceDE w:val="0"/>
              <w:autoSpaceDN w:val="0"/>
              <w:adjustRightInd w:val="0"/>
              <w:spacing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采购单位名称</w:t>
            </w:r>
          </w:p>
        </w:tc>
        <w:tc>
          <w:tcPr>
            <w:tcW w:w="1536" w:type="dxa"/>
            <w:tcMar>
              <w:top w:w="100" w:type="dxa"/>
              <w:right w:w="100" w:type="dxa"/>
            </w:tcMar>
            <w:vAlign w:val="center"/>
          </w:tcPr>
          <w:p>
            <w:pPr>
              <w:widowControl/>
              <w:autoSpaceDE w:val="0"/>
              <w:autoSpaceDN w:val="0"/>
              <w:adjustRightInd w:val="0"/>
              <w:spacing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设备或项目名称</w:t>
            </w:r>
          </w:p>
        </w:tc>
        <w:tc>
          <w:tcPr>
            <w:tcW w:w="914" w:type="dxa"/>
            <w:tcMar>
              <w:top w:w="100" w:type="dxa"/>
              <w:right w:w="100" w:type="dxa"/>
            </w:tcMar>
            <w:vAlign w:val="center"/>
          </w:tcPr>
          <w:p>
            <w:pPr>
              <w:widowControl/>
              <w:autoSpaceDE w:val="0"/>
              <w:autoSpaceDN w:val="0"/>
              <w:adjustRightInd w:val="0"/>
              <w:spacing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采购数量</w:t>
            </w:r>
          </w:p>
        </w:tc>
        <w:tc>
          <w:tcPr>
            <w:tcW w:w="1240" w:type="dxa"/>
            <w:tcMar>
              <w:top w:w="100" w:type="dxa"/>
              <w:right w:w="100" w:type="dxa"/>
            </w:tcMar>
            <w:vAlign w:val="center"/>
          </w:tcPr>
          <w:p>
            <w:pPr>
              <w:widowControl/>
              <w:autoSpaceDE w:val="0"/>
              <w:autoSpaceDN w:val="0"/>
              <w:adjustRightInd w:val="0"/>
              <w:spacing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单价（元）</w:t>
            </w:r>
          </w:p>
        </w:tc>
        <w:tc>
          <w:tcPr>
            <w:tcW w:w="1119" w:type="dxa"/>
            <w:tcMar>
              <w:top w:w="100" w:type="dxa"/>
              <w:right w:w="100" w:type="dxa"/>
            </w:tcMar>
            <w:vAlign w:val="center"/>
          </w:tcPr>
          <w:p>
            <w:pPr>
              <w:widowControl/>
              <w:autoSpaceDE w:val="0"/>
              <w:autoSpaceDN w:val="0"/>
              <w:adjustRightInd w:val="0"/>
              <w:spacing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合同</w:t>
            </w:r>
          </w:p>
          <w:p>
            <w:pPr>
              <w:widowControl/>
              <w:autoSpaceDE w:val="0"/>
              <w:autoSpaceDN w:val="0"/>
              <w:adjustRightInd w:val="0"/>
              <w:spacing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金额</w:t>
            </w:r>
          </w:p>
          <w:p>
            <w:pPr>
              <w:widowControl/>
              <w:autoSpaceDE w:val="0"/>
              <w:autoSpaceDN w:val="0"/>
              <w:adjustRightInd w:val="0"/>
              <w:spacing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（万元）</w:t>
            </w:r>
          </w:p>
        </w:tc>
        <w:tc>
          <w:tcPr>
            <w:tcW w:w="1020" w:type="dxa"/>
            <w:tcMar>
              <w:top w:w="100" w:type="dxa"/>
              <w:right w:w="100" w:type="dxa"/>
            </w:tcMar>
            <w:vAlign w:val="center"/>
          </w:tcPr>
          <w:p>
            <w:pPr>
              <w:widowControl/>
              <w:autoSpaceDE w:val="0"/>
              <w:autoSpaceDN w:val="0"/>
              <w:adjustRightInd w:val="0"/>
              <w:spacing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证明材料页码</w:t>
            </w:r>
          </w:p>
        </w:tc>
        <w:tc>
          <w:tcPr>
            <w:tcW w:w="1292" w:type="dxa"/>
            <w:tcMar>
              <w:top w:w="100" w:type="dxa"/>
              <w:right w:w="100" w:type="dxa"/>
            </w:tcMar>
            <w:vAlign w:val="center"/>
          </w:tcPr>
          <w:p>
            <w:pPr>
              <w:widowControl/>
              <w:autoSpaceDE w:val="0"/>
              <w:autoSpaceDN w:val="0"/>
              <w:adjustRightInd w:val="0"/>
              <w:spacing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1</w:t>
            </w: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2</w:t>
            </w: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3</w:t>
            </w: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w:t>
            </w: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bl>
    <w:p>
      <w:pPr>
        <w:spacing w:line="44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eastAsia="宋体" w:cs="宋体"/>
          <w:b/>
          <w:bCs/>
          <w:sz w:val="24"/>
          <w:szCs w:val="24"/>
        </w:rPr>
        <w:t>附中标通知书或合同协议书、</w:t>
      </w:r>
      <w:r>
        <w:rPr>
          <w:rFonts w:hint="eastAsia" w:ascii="宋体" w:hAnsi="宋体" w:eastAsia="宋体" w:cs="宋体"/>
          <w:b/>
          <w:bCs/>
          <w:sz w:val="24"/>
          <w:szCs w:val="24"/>
          <w:lang w:val="en-US" w:eastAsia="zh-CN"/>
        </w:rPr>
        <w:t>货物</w:t>
      </w:r>
      <w:r>
        <w:rPr>
          <w:rFonts w:hint="eastAsia" w:ascii="宋体" w:hAnsi="宋体" w:eastAsia="宋体" w:cs="宋体"/>
          <w:b/>
          <w:bCs/>
          <w:sz w:val="24"/>
          <w:szCs w:val="24"/>
        </w:rPr>
        <w:t>验收单的复印件，否则视为无效；</w:t>
      </w:r>
    </w:p>
    <w:p>
      <w:pPr>
        <w:spacing w:line="440" w:lineRule="exact"/>
        <w:ind w:firstLine="4108" w:firstLineChars="1712"/>
        <w:rPr>
          <w:rFonts w:hint="eastAsia" w:ascii="宋体" w:hAnsi="宋体" w:eastAsia="宋体" w:cs="宋体"/>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cs="宋体"/>
          <w:sz w:val="24"/>
          <w:szCs w:val="24"/>
          <w:lang w:eastAsia="zh-CN"/>
        </w:rPr>
        <w:t>或</w:t>
      </w:r>
      <w:r>
        <w:rPr>
          <w:rFonts w:hint="eastAsia" w:ascii="宋体" w:hAnsi="宋体" w:eastAsia="宋体" w:cs="宋体"/>
          <w:sz w:val="24"/>
          <w:szCs w:val="24"/>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before="100" w:beforeAutospacing="1" w:after="100" w:afterAutospacing="1" w:line="440" w:lineRule="exact"/>
        <w:rPr>
          <w:rFonts w:hint="eastAsia" w:ascii="宋体" w:hAnsi="宋体" w:eastAsia="宋体" w:cs="宋体"/>
          <w:kern w:val="1"/>
          <w:sz w:val="24"/>
          <w:szCs w:val="24"/>
        </w:rPr>
      </w:pPr>
    </w:p>
    <w:p>
      <w:pPr>
        <w:spacing w:before="100" w:beforeAutospacing="1" w:after="100" w:afterAutospacing="1" w:line="440" w:lineRule="exact"/>
        <w:jc w:val="center"/>
        <w:rPr>
          <w:rFonts w:hint="eastAsia" w:ascii="宋体" w:hAnsi="宋体" w:eastAsia="宋体" w:cs="宋体"/>
          <w:sz w:val="28"/>
          <w:szCs w:val="28"/>
        </w:rPr>
      </w:pPr>
      <w:r>
        <w:rPr>
          <w:rFonts w:hint="eastAsia" w:ascii="宋体" w:hAnsi="宋体" w:eastAsia="宋体" w:cs="宋体"/>
          <w:sz w:val="28"/>
          <w:szCs w:val="28"/>
        </w:rPr>
        <w:br w:type="page"/>
      </w:r>
    </w:p>
    <w:p>
      <w:pPr>
        <w:spacing w:before="100" w:beforeAutospacing="1" w:after="100" w:afterAutospacing="1" w:line="440" w:lineRule="exact"/>
        <w:jc w:val="center"/>
        <w:rPr>
          <w:rFonts w:hint="eastAsia" w:ascii="宋体" w:hAnsi="宋体" w:eastAsia="宋体" w:cs="宋体"/>
          <w:sz w:val="28"/>
          <w:szCs w:val="28"/>
        </w:rPr>
      </w:pPr>
      <w:r>
        <w:rPr>
          <w:rFonts w:hint="eastAsia" w:ascii="宋体" w:hAnsi="宋体" w:eastAsia="宋体" w:cs="宋体"/>
          <w:sz w:val="28"/>
          <w:szCs w:val="28"/>
        </w:rPr>
        <w:t>十</w:t>
      </w:r>
      <w:r>
        <w:rPr>
          <w:rFonts w:hint="eastAsia" w:ascii="宋体" w:hAnsi="宋体" w:eastAsia="宋体" w:cs="宋体"/>
          <w:sz w:val="28"/>
          <w:szCs w:val="28"/>
          <w:lang w:val="en-US" w:eastAsia="zh-CN"/>
        </w:rPr>
        <w:t>一</w:t>
      </w:r>
      <w:r>
        <w:rPr>
          <w:rFonts w:hint="eastAsia" w:ascii="宋体" w:hAnsi="宋体" w:eastAsia="宋体" w:cs="宋体"/>
          <w:sz w:val="28"/>
          <w:szCs w:val="28"/>
        </w:rPr>
        <w:t>、在经营活动中没有重大违法记录的书面声明</w:t>
      </w:r>
    </w:p>
    <w:p>
      <w:pPr>
        <w:spacing w:line="440" w:lineRule="exact"/>
        <w:jc w:val="center"/>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我方在参加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（项目名称）政府采购活动前3年内，我方被公开披露或查处的违法违规行为有：</w:t>
      </w:r>
      <w:r>
        <w:rPr>
          <w:rFonts w:hint="eastAsia" w:ascii="宋体" w:hAnsi="宋体" w:eastAsia="宋体" w:cs="宋体"/>
          <w:sz w:val="24"/>
          <w:szCs w:val="24"/>
          <w:u w:val="single"/>
        </w:rPr>
        <w:t xml:space="preserve">                          </w:t>
      </w:r>
      <w:r>
        <w:rPr>
          <w:rFonts w:hint="eastAsia" w:ascii="宋体" w:hAnsi="宋体" w:eastAsia="宋体" w:cs="宋体"/>
          <w:sz w:val="24"/>
          <w:szCs w:val="24"/>
        </w:rPr>
        <w:t>，但在经营活动中没有重大违法记录（重大违法记录指</w:t>
      </w:r>
      <w:r>
        <w:rPr>
          <w:rFonts w:hint="eastAsia" w:ascii="宋体" w:hAnsi="宋体" w:eastAsia="宋体" w:cs="宋体"/>
          <w:kern w:val="0"/>
          <w:sz w:val="24"/>
          <w:szCs w:val="24"/>
        </w:rPr>
        <w:t>投标人因违法经营受到刑事处罚或者责令停产停业、吊销许可证或者执照、较大数额罚款等行政处罚）</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szCs w:val="24"/>
          <w:lang w:eastAsia="zh-CN"/>
        </w:rPr>
        <w:t>并</w:t>
      </w:r>
      <w:r>
        <w:rPr>
          <w:rFonts w:hint="eastAsia" w:ascii="宋体" w:hAnsi="宋体" w:eastAsia="宋体" w:cs="宋体"/>
          <w:sz w:val="24"/>
          <w:szCs w:val="24"/>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备注：投标人没有被公开披露或查处违法违规行为的，注明“无”即可。</w:t>
      </w:r>
    </w:p>
    <w:p>
      <w:pPr>
        <w:widowControl/>
        <w:autoSpaceDE w:val="0"/>
        <w:autoSpaceDN w:val="0"/>
        <w:adjustRightInd w:val="0"/>
        <w:spacing w:line="440" w:lineRule="exact"/>
        <w:ind w:right="-481"/>
        <w:jc w:val="left"/>
        <w:rPr>
          <w:rStyle w:val="38"/>
          <w:rFonts w:hint="eastAsia" w:ascii="宋体" w:hAnsi="宋体" w:eastAsia="宋体" w:cs="宋体"/>
          <w:sz w:val="24"/>
          <w:szCs w:val="24"/>
        </w:rPr>
      </w:pPr>
    </w:p>
    <w:p>
      <w:pPr>
        <w:widowControl/>
        <w:autoSpaceDE w:val="0"/>
        <w:autoSpaceDN w:val="0"/>
        <w:adjustRightInd w:val="0"/>
        <w:spacing w:line="440" w:lineRule="exact"/>
        <w:rPr>
          <w:rStyle w:val="38"/>
          <w:rFonts w:hint="eastAsia" w:ascii="宋体" w:hAnsi="宋体" w:eastAsia="宋体" w:cs="宋体"/>
          <w:sz w:val="24"/>
          <w:szCs w:val="24"/>
        </w:rPr>
      </w:pPr>
      <w:r>
        <w:rPr>
          <w:rFonts w:hint="eastAsia" w:ascii="宋体" w:hAnsi="宋体" w:eastAsia="宋体" w:cs="宋体"/>
          <w:kern w:val="1"/>
          <w:sz w:val="24"/>
          <w:szCs w:val="24"/>
        </w:rPr>
        <w:br w:type="page"/>
      </w:r>
    </w:p>
    <w:p>
      <w:pPr>
        <w:widowControl/>
        <w:autoSpaceDE w:val="0"/>
        <w:autoSpaceDN w:val="0"/>
        <w:adjustRightInd w:val="0"/>
        <w:spacing w:line="440" w:lineRule="exact"/>
        <w:jc w:val="center"/>
        <w:rPr>
          <w:rFonts w:hint="eastAsia" w:ascii="宋体" w:hAnsi="宋体" w:eastAsia="宋体" w:cs="宋体"/>
          <w:kern w:val="1"/>
          <w:sz w:val="28"/>
          <w:szCs w:val="28"/>
        </w:rPr>
      </w:pPr>
      <w:r>
        <w:rPr>
          <w:rFonts w:hint="eastAsia" w:ascii="宋体" w:hAnsi="宋体" w:eastAsia="宋体" w:cs="宋体"/>
          <w:kern w:val="1"/>
          <w:sz w:val="28"/>
          <w:szCs w:val="28"/>
        </w:rPr>
        <w:t>十</w:t>
      </w:r>
      <w:r>
        <w:rPr>
          <w:rFonts w:hint="eastAsia" w:ascii="宋体" w:hAnsi="宋体" w:eastAsia="宋体" w:cs="宋体"/>
          <w:kern w:val="1"/>
          <w:sz w:val="28"/>
          <w:szCs w:val="28"/>
          <w:lang w:val="en-US" w:eastAsia="zh-CN"/>
        </w:rPr>
        <w:t>二</w:t>
      </w:r>
      <w:r>
        <w:rPr>
          <w:rFonts w:hint="eastAsia" w:ascii="宋体" w:hAnsi="宋体" w:eastAsia="宋体" w:cs="宋体"/>
          <w:kern w:val="1"/>
          <w:sz w:val="28"/>
          <w:szCs w:val="28"/>
        </w:rPr>
        <w:t>、政府采购诚信承诺书</w:t>
      </w:r>
    </w:p>
    <w:p>
      <w:pPr>
        <w:widowControl/>
        <w:autoSpaceDE w:val="0"/>
        <w:autoSpaceDN w:val="0"/>
        <w:adjustRightInd w:val="0"/>
        <w:spacing w:line="440" w:lineRule="exact"/>
        <w:rPr>
          <w:rFonts w:hint="eastAsia" w:ascii="宋体" w:hAnsi="宋体" w:eastAsia="宋体" w:cs="宋体"/>
          <w:b/>
          <w:bCs/>
          <w:kern w:val="1"/>
          <w:sz w:val="24"/>
          <w:szCs w:val="24"/>
        </w:rPr>
      </w:pPr>
    </w:p>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kern w:val="1"/>
          <w:sz w:val="24"/>
          <w:szCs w:val="24"/>
          <w:u w:val="single"/>
        </w:rPr>
        <w:t xml:space="preserve"> （采购人） </w:t>
      </w:r>
      <w:r>
        <w:rPr>
          <w:rFonts w:hint="eastAsia" w:ascii="宋体" w:hAnsi="宋体" w:eastAsia="宋体" w:cs="宋体"/>
          <w:kern w:val="1"/>
          <w:sz w:val="24"/>
          <w:szCs w:val="24"/>
        </w:rPr>
        <w:t>：</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38"/>
          <w:rFonts w:hint="eastAsia" w:ascii="宋体" w:hAnsi="宋体" w:eastAsia="宋体" w:cs="宋体"/>
          <w:sz w:val="24"/>
          <w:szCs w:val="24"/>
        </w:rPr>
        <w:t>我公司</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（投标人名称）已详细阅读了</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项目（项目编号：</w:t>
      </w:r>
      <w:r>
        <w:rPr>
          <w:rFonts w:hint="eastAsia" w:ascii="宋体" w:hAnsi="宋体" w:eastAsia="宋体" w:cs="宋体"/>
          <w:kern w:val="1"/>
          <w:sz w:val="24"/>
          <w:szCs w:val="24"/>
          <w:u w:val="single"/>
        </w:rPr>
        <w:t xml:space="preserve">          </w:t>
      </w:r>
      <w:r>
        <w:rPr>
          <w:rStyle w:val="38"/>
          <w:rFonts w:hint="eastAsia" w:ascii="宋体" w:hAnsi="宋体" w:eastAsia="宋体" w:cs="宋体"/>
          <w:sz w:val="24"/>
          <w:szCs w:val="24"/>
        </w:rPr>
        <w:t>）招标文件，自愿参加本次投标，现就有关事项做出郑重承诺如下：</w:t>
      </w:r>
    </w:p>
    <w:p>
      <w:pPr>
        <w:widowControl/>
        <w:autoSpaceDE w:val="0"/>
        <w:autoSpaceDN w:val="0"/>
        <w:adjustRightInd w:val="0"/>
        <w:spacing w:line="440" w:lineRule="exact"/>
        <w:ind w:firstLine="480"/>
        <w:rPr>
          <w:rStyle w:val="38"/>
          <w:rFonts w:hint="eastAsia" w:ascii="宋体" w:hAnsi="宋体" w:eastAsia="宋体" w:cs="宋体"/>
          <w:sz w:val="24"/>
          <w:szCs w:val="24"/>
        </w:rPr>
      </w:pPr>
      <w:r>
        <w:rPr>
          <w:rStyle w:val="38"/>
          <w:rFonts w:hint="eastAsia" w:ascii="宋体" w:hAnsi="宋体" w:eastAsia="宋体" w:cs="宋体"/>
          <w:sz w:val="24"/>
          <w:szCs w:val="24"/>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38"/>
          <w:rFonts w:hint="eastAsia" w:ascii="宋体" w:hAnsi="宋体" w:eastAsia="宋体" w:cs="宋体"/>
          <w:sz w:val="24"/>
          <w:szCs w:val="24"/>
        </w:rPr>
        <w:t>二、遵纪守法，公平竞争。不与其他投标人相互串通、</w:t>
      </w:r>
      <w:r>
        <w:rPr>
          <w:rFonts w:hint="eastAsia" w:ascii="宋体" w:hAnsi="宋体" w:eastAsia="宋体" w:cs="宋体"/>
          <w:kern w:val="0"/>
          <w:sz w:val="24"/>
          <w:szCs w:val="24"/>
        </w:rPr>
        <w:t>哄抬价格，</w:t>
      </w:r>
      <w:r>
        <w:rPr>
          <w:rStyle w:val="38"/>
          <w:rFonts w:hint="eastAsia" w:ascii="宋体" w:hAnsi="宋体" w:eastAsia="宋体" w:cs="宋体"/>
          <w:sz w:val="24"/>
          <w:szCs w:val="24"/>
        </w:rPr>
        <w:t>不排挤其他投标人，不损害采购人的合法权益；不向评标委员会、采购人提供利益以牟取中标。</w:t>
      </w:r>
    </w:p>
    <w:p>
      <w:pPr>
        <w:widowControl/>
        <w:autoSpaceDE w:val="0"/>
        <w:autoSpaceDN w:val="0"/>
        <w:adjustRightInd w:val="0"/>
        <w:spacing w:line="440" w:lineRule="exact"/>
        <w:ind w:firstLine="480"/>
        <w:rPr>
          <w:rFonts w:hint="eastAsia" w:ascii="宋体" w:hAnsi="宋体" w:eastAsia="宋体" w:cs="宋体"/>
          <w:kern w:val="1"/>
          <w:sz w:val="24"/>
          <w:szCs w:val="24"/>
        </w:rPr>
      </w:pPr>
      <w:r>
        <w:rPr>
          <w:rFonts w:hint="eastAsia" w:ascii="宋体" w:hAnsi="宋体" w:eastAsia="宋体" w:cs="宋体"/>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38"/>
          <w:rFonts w:hint="eastAsia" w:ascii="宋体" w:hAnsi="宋体" w:eastAsia="宋体" w:cs="宋体"/>
          <w:sz w:val="24"/>
          <w:szCs w:val="24"/>
        </w:rPr>
      </w:pPr>
      <w:r>
        <w:rPr>
          <w:rStyle w:val="38"/>
          <w:rFonts w:hint="eastAsia" w:ascii="宋体" w:hAnsi="宋体" w:eastAsia="宋体" w:cs="宋体"/>
          <w:sz w:val="24"/>
          <w:szCs w:val="24"/>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hint="eastAsia" w:ascii="宋体" w:hAnsi="宋体" w:eastAsia="宋体" w:cs="宋体"/>
          <w:kern w:val="1"/>
          <w:sz w:val="24"/>
          <w:szCs w:val="24"/>
        </w:rPr>
      </w:pPr>
    </w:p>
    <w:p>
      <w:pPr>
        <w:widowControl/>
        <w:autoSpaceDE w:val="0"/>
        <w:autoSpaceDN w:val="0"/>
        <w:adjustRightInd w:val="0"/>
        <w:spacing w:line="440" w:lineRule="exact"/>
        <w:ind w:right="-481"/>
        <w:rPr>
          <w:rFonts w:hint="eastAsia" w:ascii="宋体" w:hAnsi="宋体" w:eastAsia="宋体" w:cs="宋体"/>
          <w:kern w:val="1"/>
          <w:sz w:val="24"/>
          <w:szCs w:val="24"/>
        </w:rPr>
      </w:pPr>
    </w:p>
    <w:p>
      <w:pPr>
        <w:widowControl/>
        <w:autoSpaceDE w:val="0"/>
        <w:autoSpaceDN w:val="0"/>
        <w:adjustRightInd w:val="0"/>
        <w:spacing w:line="440" w:lineRule="exact"/>
        <w:ind w:right="-481"/>
        <w:rPr>
          <w:rFonts w:hint="eastAsia" w:ascii="宋体" w:hAnsi="宋体" w:eastAsia="宋体" w:cs="宋体"/>
          <w:kern w:val="1"/>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cs="宋体"/>
          <w:sz w:val="24"/>
          <w:szCs w:val="24"/>
          <w:lang w:eastAsia="zh-CN"/>
        </w:rPr>
        <w:t>或</w:t>
      </w:r>
      <w:r>
        <w:rPr>
          <w:rFonts w:hint="eastAsia" w:ascii="宋体" w:hAnsi="宋体" w:eastAsia="宋体" w:cs="宋体"/>
          <w:sz w:val="24"/>
          <w:szCs w:val="24"/>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autoSpaceDE w:val="0"/>
        <w:autoSpaceDN w:val="0"/>
        <w:adjustRightInd w:val="0"/>
        <w:spacing w:line="440" w:lineRule="exact"/>
        <w:rPr>
          <w:rStyle w:val="38"/>
          <w:rFonts w:hint="eastAsia" w:ascii="宋体" w:hAnsi="宋体" w:eastAsia="宋体" w:cs="宋体"/>
          <w:sz w:val="24"/>
          <w:szCs w:val="24"/>
        </w:rPr>
      </w:pPr>
    </w:p>
    <w:p>
      <w:pPr>
        <w:widowControl/>
        <w:autoSpaceDE w:val="0"/>
        <w:autoSpaceDN w:val="0"/>
        <w:adjustRightInd w:val="0"/>
        <w:spacing w:line="360" w:lineRule="auto"/>
        <w:jc w:val="center"/>
        <w:rPr>
          <w:rStyle w:val="38"/>
          <w:rFonts w:hint="eastAsia" w:ascii="宋体" w:hAnsi="宋体" w:eastAsia="宋体" w:cs="宋体"/>
          <w:sz w:val="24"/>
          <w:szCs w:val="24"/>
        </w:rPr>
      </w:pPr>
      <w:r>
        <w:rPr>
          <w:rFonts w:hint="eastAsia" w:ascii="宋体" w:hAnsi="宋体" w:eastAsia="宋体" w:cs="宋体"/>
          <w:kern w:val="1"/>
          <w:sz w:val="28"/>
          <w:szCs w:val="28"/>
        </w:rPr>
        <w:br w:type="page"/>
      </w:r>
      <w:r>
        <w:rPr>
          <w:rFonts w:hint="eastAsia" w:ascii="宋体" w:hAnsi="宋体" w:eastAsia="宋体" w:cs="宋体"/>
          <w:kern w:val="1"/>
          <w:sz w:val="28"/>
          <w:szCs w:val="28"/>
          <w:lang w:val="en-US" w:eastAsia="zh-CN"/>
        </w:rPr>
        <w:t>十三、</w:t>
      </w:r>
      <w:r>
        <w:rPr>
          <w:rFonts w:hint="eastAsia" w:ascii="宋体" w:hAnsi="宋体" w:eastAsia="宋体" w:cs="宋体"/>
          <w:kern w:val="1"/>
          <w:sz w:val="28"/>
          <w:szCs w:val="28"/>
        </w:rPr>
        <w:t>其他资料</w:t>
      </w:r>
    </w:p>
    <w:p>
      <w:pPr>
        <w:widowControl/>
        <w:autoSpaceDE w:val="0"/>
        <w:autoSpaceDN w:val="0"/>
        <w:adjustRightInd w:val="0"/>
        <w:spacing w:line="360" w:lineRule="auto"/>
        <w:ind w:firstLine="504"/>
        <w:rPr>
          <w:rStyle w:val="38"/>
          <w:rFonts w:hint="eastAsia" w:ascii="宋体" w:hAnsi="宋体" w:eastAsia="宋体" w:cs="宋体"/>
          <w:sz w:val="24"/>
          <w:szCs w:val="24"/>
        </w:rPr>
      </w:pPr>
      <w:r>
        <w:rPr>
          <w:rStyle w:val="38"/>
          <w:rFonts w:hint="eastAsia" w:ascii="宋体" w:hAnsi="宋体" w:eastAsia="宋体" w:cs="宋体"/>
          <w:sz w:val="24"/>
          <w:szCs w:val="24"/>
        </w:rPr>
        <w:t>（中小微企业、节能、环保等其他资料，投标单位可自拟）</w:t>
      </w:r>
    </w:p>
    <w:p>
      <w:pPr>
        <w:pStyle w:val="5"/>
        <w:rPr>
          <w:rFonts w:hint="eastAsia"/>
        </w:rPr>
      </w:pPr>
    </w:p>
    <w:p>
      <w:pPr>
        <w:pStyle w:val="84"/>
        <w:outlineLvl w:val="2"/>
        <w:rPr>
          <w:rFonts w:hint="eastAsia" w:ascii="宋体" w:hAnsi="宋体" w:eastAsia="宋体" w:cs="宋体"/>
          <w:b w:val="0"/>
          <w:bCs/>
          <w:highlight w:val="none"/>
          <w:lang w:val="en-US" w:eastAsia="zh-CN"/>
        </w:rPr>
      </w:pPr>
      <w:bookmarkStart w:id="200" w:name="_Toc18115"/>
      <w:r>
        <w:rPr>
          <w:rFonts w:hint="eastAsia" w:ascii="宋体" w:hAnsi="宋体" w:eastAsia="宋体" w:cs="宋体"/>
          <w:b w:val="0"/>
          <w:bCs/>
          <w:lang w:val="en-US" w:eastAsia="zh-CN"/>
        </w:rPr>
        <w:t>附件一、</w:t>
      </w:r>
      <w:r>
        <w:rPr>
          <w:rFonts w:hint="eastAsia" w:ascii="宋体" w:hAnsi="宋体" w:eastAsia="宋体" w:cs="宋体"/>
          <w:b w:val="0"/>
          <w:bCs/>
          <w:highlight w:val="none"/>
          <w:lang w:val="en-US" w:eastAsia="zh-CN"/>
        </w:rPr>
        <w:t>：中小企业声明函</w:t>
      </w:r>
      <w:bookmarkEnd w:id="200"/>
      <w:r>
        <w:rPr>
          <w:rFonts w:hint="eastAsia" w:ascii="宋体" w:hAnsi="宋体" w:eastAsia="宋体" w:cs="宋体"/>
          <w:b w:val="0"/>
          <w:bCs/>
          <w:highlight w:val="none"/>
          <w:lang w:val="en-US" w:eastAsia="zh-CN"/>
        </w:rPr>
        <w:t>（货物）</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600" w:firstLineChars="250"/>
        <w:textAlignment w:val="auto"/>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lang w:eastAsia="zh-CN"/>
        </w:rPr>
        <w:t>（联合体）</w:t>
      </w:r>
      <w:r>
        <w:rPr>
          <w:rFonts w:hint="eastAsia" w:ascii="宋体" w:hAnsi="宋体" w:eastAsia="宋体" w:cs="宋体"/>
          <w:sz w:val="24"/>
        </w:rPr>
        <w:t>郑重声明，根据《政府采购促进中小企业发展</w:t>
      </w:r>
      <w:r>
        <w:rPr>
          <w:rFonts w:hint="eastAsia" w:ascii="宋体" w:hAnsi="宋体" w:eastAsia="宋体" w:cs="宋体"/>
          <w:sz w:val="24"/>
          <w:lang w:eastAsia="zh-CN"/>
        </w:rPr>
        <w:t>管理</w:t>
      </w:r>
      <w:r>
        <w:rPr>
          <w:rFonts w:hint="eastAsia" w:ascii="宋体" w:hAnsi="宋体" w:eastAsia="宋体" w:cs="宋体"/>
          <w:sz w:val="24"/>
        </w:rPr>
        <w:t>办法》(财库[20</w:t>
      </w:r>
      <w:r>
        <w:rPr>
          <w:rFonts w:hint="eastAsia" w:ascii="宋体" w:hAnsi="宋体" w:eastAsia="宋体" w:cs="宋体"/>
          <w:sz w:val="24"/>
          <w:lang w:val="en-US" w:eastAsia="zh-CN"/>
        </w:rPr>
        <w:t>20</w:t>
      </w:r>
      <w:r>
        <w:rPr>
          <w:rFonts w:hint="eastAsia" w:ascii="宋体" w:hAnsi="宋体" w:eastAsia="宋体" w:cs="宋体"/>
          <w:sz w:val="24"/>
        </w:rPr>
        <w:t>]</w:t>
      </w:r>
      <w:r>
        <w:rPr>
          <w:rFonts w:hint="eastAsia" w:ascii="宋体" w:hAnsi="宋体" w:eastAsia="宋体" w:cs="宋体"/>
          <w:sz w:val="24"/>
          <w:lang w:val="en-US" w:eastAsia="zh-CN"/>
        </w:rPr>
        <w:t>46</w:t>
      </w:r>
      <w:r>
        <w:rPr>
          <w:rFonts w:hint="eastAsia" w:ascii="宋体" w:hAnsi="宋体" w:eastAsia="宋体" w:cs="宋体"/>
          <w:sz w:val="24"/>
        </w:rPr>
        <w:t>号)的规定，本公司</w:t>
      </w:r>
      <w:r>
        <w:rPr>
          <w:rFonts w:hint="eastAsia" w:ascii="宋体" w:hAnsi="宋体" w:eastAsia="宋体" w:cs="宋体"/>
          <w:sz w:val="24"/>
          <w:lang w:eastAsia="zh-CN"/>
        </w:rPr>
        <w:t>（联合体）参加</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u w:val="single"/>
          <w:lang w:eastAsia="zh-CN"/>
        </w:rPr>
        <w:t>（单位名称）</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eastAsia="zh-CN"/>
        </w:rPr>
        <w:t>的</w:t>
      </w:r>
      <w:r>
        <w:rPr>
          <w:rFonts w:hint="eastAsia" w:ascii="宋体" w:hAnsi="宋体" w:eastAsia="宋体" w:cs="宋体"/>
          <w:sz w:val="24"/>
          <w:lang w:val="en-US" w:eastAsia="zh-CN"/>
        </w:rPr>
        <w:t xml:space="preserve"> </w:t>
      </w:r>
      <w:r>
        <w:rPr>
          <w:rFonts w:hint="eastAsia" w:ascii="宋体" w:hAnsi="宋体" w:eastAsia="宋体" w:cs="宋体"/>
          <w:sz w:val="24"/>
          <w:u w:val="single"/>
          <w:lang w:eastAsia="zh-CN"/>
        </w:rPr>
        <w:t>（项目名称）</w:t>
      </w:r>
      <w:r>
        <w:rPr>
          <w:rFonts w:hint="eastAsia" w:ascii="宋体" w:hAnsi="宋体" w:eastAsia="宋体" w:cs="宋体"/>
          <w:sz w:val="24"/>
          <w:u w:val="none"/>
          <w:lang w:val="en-US" w:eastAsia="zh-CN"/>
        </w:rPr>
        <w:t xml:space="preserve"> 采购活动，</w:t>
      </w:r>
      <w:r>
        <w:rPr>
          <w:rFonts w:hint="eastAsia" w:ascii="宋体" w:hAnsi="宋体" w:cs="宋体"/>
          <w:sz w:val="24"/>
          <w:u w:val="none"/>
          <w:lang w:val="en-US" w:eastAsia="zh-CN"/>
        </w:rPr>
        <w:t>服务全部由符合政策要求的中小企业承接</w:t>
      </w:r>
      <w:r>
        <w:rPr>
          <w:rFonts w:hint="eastAsia" w:ascii="宋体" w:hAnsi="宋体" w:eastAsia="宋体" w:cs="宋体"/>
          <w:sz w:val="24"/>
          <w:u w:val="none"/>
          <w:lang w:val="en-US" w:eastAsia="zh-CN"/>
        </w:rPr>
        <w:t>。相关企业（含联合体中的中小企业、签订分包意向协议的中小企业）</w:t>
      </w:r>
      <w:r>
        <w:rPr>
          <w:rFonts w:hint="eastAsia" w:ascii="宋体" w:hAnsi="宋体" w:eastAsia="宋体" w:cs="宋体"/>
          <w:sz w:val="24"/>
          <w:lang w:eastAsia="zh-CN"/>
        </w:rPr>
        <w:t>具体情况如下</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u w:val="none"/>
          <w:lang w:val="en-US" w:eastAsia="zh-CN"/>
        </w:rPr>
        <w:t>1.</w:t>
      </w:r>
      <w:r>
        <w:rPr>
          <w:rFonts w:hint="eastAsia" w:ascii="宋体" w:hAnsi="宋体" w:eastAsia="宋体" w:cs="宋体"/>
          <w:sz w:val="24"/>
          <w:u w:val="single"/>
          <w:lang w:val="en-US" w:eastAsia="zh-CN"/>
        </w:rPr>
        <w:t xml:space="preserve">  （标的名称）  </w:t>
      </w:r>
      <w:r>
        <w:rPr>
          <w:rFonts w:hint="eastAsia" w:ascii="宋体" w:hAnsi="宋体" w:eastAsia="宋体" w:cs="宋体"/>
          <w:sz w:val="24"/>
          <w:u w:val="none"/>
          <w:lang w:val="en-US" w:eastAsia="zh-CN"/>
        </w:rPr>
        <w:t xml:space="preserve">，属于 </w:t>
      </w:r>
      <w:r>
        <w:rPr>
          <w:rFonts w:hint="eastAsia" w:ascii="宋体" w:hAnsi="宋体" w:cs="宋体"/>
          <w:sz w:val="24"/>
          <w:u w:val="single"/>
          <w:lang w:val="en-US" w:eastAsia="zh-CN"/>
        </w:rPr>
        <w:t>其他</w:t>
      </w:r>
      <w:r>
        <w:rPr>
          <w:rFonts w:hint="eastAsia" w:ascii="宋体" w:hAnsi="宋体" w:eastAsia="宋体" w:cs="宋体"/>
          <w:sz w:val="24"/>
          <w:u w:val="single"/>
          <w:lang w:val="en-US" w:eastAsia="zh-CN"/>
        </w:rPr>
        <w:t>行业</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承接企业</w:t>
      </w:r>
      <w:r>
        <w:rPr>
          <w:rFonts w:hint="eastAsia" w:ascii="宋体" w:hAnsi="宋体" w:eastAsia="宋体" w:cs="宋体"/>
          <w:sz w:val="24"/>
          <w:u w:val="none"/>
          <w:lang w:val="en-US" w:eastAsia="zh-CN"/>
        </w:rPr>
        <w:t>为</w:t>
      </w:r>
      <w:r>
        <w:rPr>
          <w:rFonts w:hint="eastAsia" w:ascii="宋体" w:hAnsi="宋体" w:eastAsia="宋体" w:cs="宋体"/>
          <w:sz w:val="24"/>
          <w:u w:val="single"/>
          <w:lang w:val="en-US" w:eastAsia="zh-CN"/>
        </w:rPr>
        <w:t>（企业名称）</w:t>
      </w:r>
      <w:r>
        <w:rPr>
          <w:rFonts w:hint="eastAsia" w:ascii="宋体" w:hAnsi="宋体" w:eastAsia="宋体" w:cs="宋体"/>
          <w:sz w:val="24"/>
          <w:u w:val="none"/>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w:t>
      </w:r>
      <w:r>
        <w:rPr>
          <w:rFonts w:hint="eastAsia" w:ascii="宋体" w:hAnsi="宋体" w:eastAsia="宋体" w:cs="宋体"/>
          <w:sz w:val="24"/>
          <w:u w:val="none"/>
          <w:vertAlign w:val="superscript"/>
          <w:lang w:val="en-US" w:eastAsia="zh-CN"/>
        </w:rPr>
        <w:t>1</w:t>
      </w:r>
      <w:r>
        <w:rPr>
          <w:rFonts w:hint="eastAsia" w:ascii="宋体" w:hAnsi="宋体" w:eastAsia="宋体" w:cs="宋体"/>
          <w:sz w:val="24"/>
          <w:u w:val="none"/>
          <w:lang w:val="en-US" w:eastAsia="zh-CN"/>
        </w:rPr>
        <w:t>，属于</w:t>
      </w:r>
      <w:r>
        <w:rPr>
          <w:rFonts w:hint="eastAsia" w:ascii="宋体" w:hAnsi="宋体" w:eastAsia="宋体" w:cs="宋体"/>
          <w:sz w:val="24"/>
          <w:u w:val="single"/>
          <w:lang w:val="en-US" w:eastAsia="zh-CN"/>
        </w:rPr>
        <w:t xml:space="preserve">   （中型企业、小型企业、微型企业）；</w:t>
      </w:r>
    </w:p>
    <w:p>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u w:val="none"/>
          <w:lang w:val="en-US" w:eastAsia="zh-CN"/>
        </w:rPr>
        <w:t>2.</w:t>
      </w:r>
      <w:r>
        <w:rPr>
          <w:rFonts w:hint="eastAsia" w:ascii="宋体" w:hAnsi="宋体" w:eastAsia="宋体" w:cs="宋体"/>
          <w:sz w:val="24"/>
          <w:u w:val="single"/>
          <w:lang w:val="en-US" w:eastAsia="zh-CN"/>
        </w:rPr>
        <w:t xml:space="preserve">  （标的名称）  </w:t>
      </w:r>
      <w:r>
        <w:rPr>
          <w:rFonts w:hint="eastAsia" w:ascii="宋体" w:hAnsi="宋体" w:eastAsia="宋体" w:cs="宋体"/>
          <w:sz w:val="24"/>
          <w:u w:val="none"/>
          <w:lang w:val="en-US" w:eastAsia="zh-CN"/>
        </w:rPr>
        <w:t xml:space="preserve">，属于 </w:t>
      </w:r>
      <w:r>
        <w:rPr>
          <w:rFonts w:hint="eastAsia" w:ascii="宋体" w:hAnsi="宋体" w:eastAsia="宋体" w:cs="宋体"/>
          <w:sz w:val="24"/>
          <w:u w:val="single"/>
          <w:lang w:val="en-US" w:eastAsia="zh-CN"/>
        </w:rPr>
        <w:t>（采购文件中明确的所属行业）</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承接企业</w:t>
      </w:r>
      <w:r>
        <w:rPr>
          <w:rFonts w:hint="eastAsia" w:ascii="宋体" w:hAnsi="宋体" w:eastAsia="宋体" w:cs="宋体"/>
          <w:sz w:val="24"/>
          <w:u w:val="none"/>
          <w:lang w:val="en-US" w:eastAsia="zh-CN"/>
        </w:rPr>
        <w:t>为</w:t>
      </w:r>
      <w:r>
        <w:rPr>
          <w:rFonts w:hint="eastAsia" w:ascii="宋体" w:hAnsi="宋体" w:eastAsia="宋体" w:cs="宋体"/>
          <w:sz w:val="24"/>
          <w:u w:val="single"/>
          <w:lang w:val="en-US" w:eastAsia="zh-CN"/>
        </w:rPr>
        <w:t>（企业名称）</w:t>
      </w:r>
      <w:r>
        <w:rPr>
          <w:rFonts w:hint="eastAsia" w:ascii="宋体" w:hAnsi="宋体" w:eastAsia="宋体" w:cs="宋体"/>
          <w:sz w:val="24"/>
          <w:u w:val="none"/>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w:t>
      </w:r>
      <w:r>
        <w:rPr>
          <w:rFonts w:hint="eastAsia" w:ascii="宋体" w:hAnsi="宋体" w:eastAsia="宋体" w:cs="宋体"/>
          <w:sz w:val="24"/>
          <w:u w:val="none"/>
          <w:vertAlign w:val="superscript"/>
          <w:lang w:val="en-US" w:eastAsia="zh-CN"/>
        </w:rPr>
        <w:t>1</w:t>
      </w:r>
      <w:r>
        <w:rPr>
          <w:rFonts w:hint="eastAsia" w:ascii="宋体" w:hAnsi="宋体" w:eastAsia="宋体" w:cs="宋体"/>
          <w:sz w:val="24"/>
          <w:u w:val="none"/>
          <w:lang w:val="en-US" w:eastAsia="zh-CN"/>
        </w:rPr>
        <w:t>，属于</w:t>
      </w:r>
      <w:r>
        <w:rPr>
          <w:rFonts w:hint="eastAsia" w:ascii="宋体" w:hAnsi="宋体" w:eastAsia="宋体" w:cs="宋体"/>
          <w:sz w:val="24"/>
          <w:u w:val="single"/>
          <w:lang w:val="en-US" w:eastAsia="zh-CN"/>
        </w:rPr>
        <w:t xml:space="preserve">   （中型企业、小型企业、微型企业）；</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u w:val="none"/>
          <w:lang w:val="en-US"/>
        </w:rPr>
      </w:pPr>
      <w:r>
        <w:rPr>
          <w:rFonts w:hint="eastAsia" w:ascii="宋体" w:hAnsi="宋体" w:eastAsia="宋体" w:cs="宋体"/>
          <w:sz w:val="24"/>
          <w:u w:val="none"/>
          <w:lang w:val="en-US" w:eastAsia="zh-CN"/>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以上企业，不属于大企业的分支机构，不存在控股股东为大型企业的情形，也不存在与大企业的负责人为同一人的情形。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本企业对上述声明内容的真实性负责</w:t>
      </w:r>
      <w:r>
        <w:rPr>
          <w:rFonts w:hint="eastAsia" w:ascii="宋体" w:hAnsi="宋体" w:eastAsia="宋体" w:cs="宋体"/>
          <w:sz w:val="24"/>
        </w:rPr>
        <w:t>。</w:t>
      </w:r>
      <w:r>
        <w:rPr>
          <w:rFonts w:hint="eastAsia" w:ascii="宋体" w:hAnsi="宋体" w:eastAsia="宋体" w:cs="宋体"/>
          <w:sz w:val="24"/>
          <w:lang w:eastAsia="zh-CN"/>
        </w:rPr>
        <w:t>如有虚假，将依法承担相应责任。</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企业名称（</w:t>
      </w:r>
      <w:r>
        <w:rPr>
          <w:rFonts w:hint="eastAsia" w:ascii="宋体" w:hAnsi="宋体" w:eastAsia="宋体" w:cs="宋体"/>
          <w:sz w:val="24"/>
          <w:lang w:eastAsia="zh-CN"/>
        </w:rPr>
        <w:t>盖章</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日期：</w:t>
      </w:r>
    </w:p>
    <w:p>
      <w:pPr>
        <w:spacing w:before="145" w:beforeLines="50" w:after="145" w:afterLines="50" w:line="300" w:lineRule="auto"/>
        <w:ind w:firstLine="240" w:firstLineChars="100"/>
        <w:rPr>
          <w:rFonts w:hint="eastAsia" w:ascii="宋体" w:hAnsi="宋体" w:eastAsia="宋体" w:cs="宋体"/>
          <w:sz w:val="24"/>
        </w:rPr>
      </w:pPr>
    </w:p>
    <w:p>
      <w:pPr>
        <w:pStyle w:val="27"/>
        <w:ind w:left="0" w:leftChars="0" w:firstLine="0" w:firstLineChars="0"/>
        <w:rPr>
          <w:rFonts w:hint="eastAsia" w:ascii="宋体" w:hAnsi="宋体" w:eastAsia="宋体" w:cs="宋体"/>
          <w:sz w:val="20"/>
          <w:szCs w:val="18"/>
          <w:lang w:eastAsia="zh-CN"/>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pStyle w:val="27"/>
        <w:ind w:left="0" w:leftChars="0" w:firstLine="0" w:firstLineChars="0"/>
        <w:rPr>
          <w:rFonts w:hint="eastAsia" w:ascii="宋体" w:hAnsi="宋体" w:eastAsia="宋体" w:cs="宋体"/>
          <w:sz w:val="20"/>
          <w:szCs w:val="18"/>
          <w:lang w:eastAsia="zh-CN"/>
        </w:rPr>
      </w:pPr>
    </w:p>
    <w:p>
      <w:pPr>
        <w:pStyle w:val="27"/>
        <w:ind w:left="0" w:leftChars="0" w:firstLine="0" w:firstLineChars="0"/>
        <w:rPr>
          <w:rFonts w:hint="eastAsia" w:ascii="宋体" w:hAnsi="宋体" w:eastAsia="宋体" w:cs="宋体"/>
          <w:sz w:val="20"/>
          <w:szCs w:val="18"/>
          <w:lang w:eastAsia="zh-CN"/>
        </w:rPr>
      </w:pPr>
    </w:p>
    <w:p>
      <w:pPr>
        <w:pStyle w:val="27"/>
        <w:ind w:left="0" w:leftChars="0" w:firstLine="0" w:firstLineChars="0"/>
        <w:rPr>
          <w:rFonts w:hint="eastAsia" w:ascii="宋体" w:hAnsi="宋体" w:eastAsia="宋体" w:cs="宋体"/>
          <w:sz w:val="20"/>
          <w:szCs w:val="18"/>
          <w:lang w:eastAsia="zh-CN"/>
        </w:rPr>
      </w:pPr>
    </w:p>
    <w:p>
      <w:pPr>
        <w:pStyle w:val="27"/>
        <w:ind w:left="0" w:leftChars="0" w:firstLine="0" w:firstLineChars="0"/>
        <w:rPr>
          <w:rFonts w:hint="eastAsia" w:ascii="宋体" w:hAnsi="宋体" w:eastAsia="宋体" w:cs="宋体"/>
          <w:sz w:val="20"/>
          <w:szCs w:val="18"/>
          <w:lang w:eastAsia="zh-CN"/>
        </w:rPr>
      </w:pPr>
    </w:p>
    <w:p>
      <w:pPr>
        <w:pStyle w:val="27"/>
        <w:ind w:left="0" w:leftChars="0" w:firstLine="0" w:firstLineChars="0"/>
        <w:rPr>
          <w:rFonts w:hint="eastAsia" w:ascii="宋体" w:hAnsi="宋体" w:eastAsia="宋体" w:cs="宋体"/>
          <w:sz w:val="20"/>
          <w:szCs w:val="18"/>
          <w:lang w:eastAsia="zh-CN"/>
        </w:rPr>
      </w:pPr>
    </w:p>
    <w:p>
      <w:pPr>
        <w:pageBreakBefore w:val="0"/>
        <w:kinsoku/>
        <w:wordWrap/>
        <w:overflowPunct/>
        <w:topLinePunct w:val="0"/>
        <w:bidi w:val="0"/>
        <w:spacing w:line="360" w:lineRule="auto"/>
        <w:jc w:val="center"/>
        <w:rPr>
          <w:rFonts w:hint="eastAsia" w:ascii="仿宋" w:hAnsi="仿宋" w:eastAsia="仿宋" w:cs="仿宋"/>
          <w:b/>
          <w:bCs/>
          <w:color w:val="auto"/>
          <w:sz w:val="24"/>
          <w:szCs w:val="24"/>
        </w:rPr>
      </w:pPr>
      <w:bookmarkStart w:id="201" w:name="_Toc26894"/>
      <w:r>
        <w:rPr>
          <w:rFonts w:hint="eastAsia" w:ascii="仿宋" w:hAnsi="仿宋" w:eastAsia="仿宋" w:cs="仿宋"/>
          <w:b/>
          <w:bCs/>
          <w:color w:val="auto"/>
          <w:sz w:val="24"/>
          <w:szCs w:val="24"/>
        </w:rPr>
        <w:t>中小企业声明函（如是</w:t>
      </w:r>
      <w:r>
        <w:rPr>
          <w:rFonts w:hint="eastAsia" w:ascii="仿宋" w:hAnsi="仿宋" w:eastAsia="仿宋" w:cs="仿宋"/>
          <w:b/>
          <w:bCs/>
          <w:color w:val="auto"/>
          <w:sz w:val="24"/>
          <w:szCs w:val="24"/>
          <w:lang w:val="en-US" w:eastAsia="zh-CN"/>
        </w:rPr>
        <w:t>提供证明资料</w:t>
      </w:r>
      <w:r>
        <w:rPr>
          <w:rFonts w:hint="eastAsia" w:ascii="仿宋" w:hAnsi="仿宋" w:eastAsia="仿宋" w:cs="仿宋"/>
          <w:b/>
          <w:bCs/>
          <w:color w:val="auto"/>
          <w:sz w:val="24"/>
          <w:szCs w:val="24"/>
        </w:rPr>
        <w:t>）</w:t>
      </w:r>
    </w:p>
    <w:p>
      <w:pPr>
        <w:pageBreakBefore w:val="0"/>
        <w:kinsoku/>
        <w:wordWrap/>
        <w:overflowPunct/>
        <w:topLinePunct w:val="0"/>
        <w:bidi w:val="0"/>
        <w:spacing w:line="360" w:lineRule="auto"/>
        <w:jc w:val="center"/>
        <w:rPr>
          <w:rFonts w:hint="eastAsia" w:ascii="仿宋" w:hAnsi="仿宋" w:eastAsia="仿宋" w:cs="仿宋"/>
          <w:b/>
          <w:bCs/>
          <w:color w:val="auto"/>
          <w:sz w:val="24"/>
          <w:szCs w:val="24"/>
        </w:rPr>
      </w:pPr>
    </w:p>
    <w:p>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本公司郑重声明，根据《政府采购促进中小企业发展暂行办法》（财库〔2011〕181号）的规定，本公司为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（请填写：中型、小型、微型）企业。即本公司同时满足以下条件： </w:t>
      </w:r>
    </w:p>
    <w:p>
      <w:pPr>
        <w:pageBreakBefore w:val="0"/>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根据《工业和信息化部、国家统计局、国家发展和改革委员会、财政部关于印发中小企业划型标准规定的通知》（工信部联企业〔2011〕300号）规定的划分标准，本公司为______（请填写：中型、小型、微型）企业。 </w:t>
      </w:r>
    </w:p>
    <w:p>
      <w:pPr>
        <w:pageBreakBefore w:val="0"/>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2、本公司参加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单位的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项目采购活动提供本企业制造的货物，由本企业承担工程、提供服务，或者提供其他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（请填写：中型、小型、微型）企业制造的货物。本条所称货物不包括使用大型企业注册商标的货物。   </w:t>
      </w:r>
    </w:p>
    <w:p>
      <w:pPr>
        <w:pageBreakBefore w:val="0"/>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本公司对上述声明的真实性负责。如有虚假，将依法承担相应责任。</w:t>
      </w:r>
    </w:p>
    <w:p>
      <w:pPr>
        <w:pageBreakBefore w:val="0"/>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w:t>
      </w:r>
    </w:p>
    <w:p>
      <w:pPr>
        <w:pageBreakBefore w:val="0"/>
        <w:kinsoku/>
        <w:wordWrap/>
        <w:overflowPunct/>
        <w:topLinePunct w:val="0"/>
        <w:bidi w:val="0"/>
        <w:spacing w:line="360" w:lineRule="auto"/>
        <w:rPr>
          <w:rFonts w:hint="eastAsia" w:ascii="仿宋" w:hAnsi="仿宋" w:eastAsia="仿宋" w:cs="仿宋"/>
          <w:color w:val="auto"/>
          <w:sz w:val="24"/>
          <w:szCs w:val="24"/>
        </w:rPr>
      </w:pPr>
    </w:p>
    <w:p>
      <w:pPr>
        <w:pageBreakBefore w:val="0"/>
        <w:kinsoku/>
        <w:wordWrap/>
        <w:overflowPunct/>
        <w:topLinePunct w:val="0"/>
        <w:bidi w:val="0"/>
        <w:spacing w:line="360" w:lineRule="auto"/>
        <w:ind w:firstLine="4800" w:firstLineChars="2000"/>
        <w:rPr>
          <w:rFonts w:hint="eastAsia" w:ascii="仿宋" w:hAnsi="仿宋" w:eastAsia="仿宋" w:cs="仿宋"/>
          <w:color w:val="auto"/>
          <w:sz w:val="24"/>
          <w:szCs w:val="24"/>
        </w:rPr>
      </w:pPr>
      <w:r>
        <w:rPr>
          <w:rFonts w:hint="eastAsia" w:ascii="仿宋" w:hAnsi="仿宋" w:eastAsia="仿宋" w:cs="仿宋"/>
          <w:color w:val="auto"/>
          <w:sz w:val="24"/>
          <w:szCs w:val="24"/>
        </w:rPr>
        <w:t>企业名称（盖章）：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ageBreakBefore w:val="0"/>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日            期：</w:t>
      </w:r>
      <w:r>
        <w:rPr>
          <w:rFonts w:hint="eastAsia" w:ascii="仿宋" w:hAnsi="仿宋" w:eastAsia="仿宋" w:cs="仿宋"/>
          <w:color w:val="auto"/>
          <w:sz w:val="24"/>
          <w:szCs w:val="24"/>
          <w:u w:val="single"/>
        </w:rPr>
        <w:t xml:space="preserve">                         </w:t>
      </w:r>
    </w:p>
    <w:p>
      <w:pPr>
        <w:pageBreakBefore w:val="0"/>
        <w:kinsoku/>
        <w:wordWrap/>
        <w:overflowPunct/>
        <w:topLinePunct w:val="0"/>
        <w:bidi w:val="0"/>
        <w:spacing w:line="360" w:lineRule="auto"/>
        <w:jc w:val="center"/>
        <w:rPr>
          <w:rFonts w:hint="eastAsia" w:ascii="仿宋" w:hAnsi="仿宋" w:eastAsia="仿宋" w:cs="仿宋"/>
          <w:b/>
          <w:bCs/>
          <w:color w:val="auto"/>
          <w:sz w:val="24"/>
          <w:szCs w:val="24"/>
        </w:rPr>
      </w:pPr>
    </w:p>
    <w:p>
      <w:pPr>
        <w:pStyle w:val="2"/>
        <w:pageBreakBefore w:val="0"/>
        <w:kinsoku/>
        <w:wordWrap/>
        <w:overflowPunct/>
        <w:topLinePunct w:val="0"/>
        <w:bidi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注：根据《政府采购促进中小企业发展暂行办法》（财库〔2011〕181号）文的有关规定，投标人属于符合本办法第二条之规定的中小企业者，应在资格性文件中提供相关部门出具的资格证明材料，否则不予认可。</w:t>
      </w:r>
    </w:p>
    <w:p>
      <w:pPr>
        <w:pStyle w:val="84"/>
        <w:outlineLvl w:val="2"/>
        <w:rPr>
          <w:rFonts w:hint="eastAsia" w:ascii="宋体" w:hAnsi="宋体" w:eastAsia="宋体" w:cs="宋体"/>
          <w:b w:val="0"/>
          <w:bCs/>
          <w:highlight w:val="none"/>
          <w:lang w:val="en-US" w:eastAsia="zh-CN"/>
        </w:rPr>
      </w:pPr>
    </w:p>
    <w:p>
      <w:pPr>
        <w:pStyle w:val="84"/>
        <w:outlineLvl w:val="2"/>
        <w:rPr>
          <w:rFonts w:hint="eastAsia" w:ascii="宋体" w:hAnsi="宋体" w:eastAsia="宋体" w:cs="宋体"/>
          <w:b w:val="0"/>
          <w:bCs/>
          <w:highlight w:val="none"/>
          <w:lang w:val="en-US" w:eastAsia="zh-CN"/>
        </w:rPr>
      </w:pPr>
    </w:p>
    <w:p>
      <w:pPr>
        <w:pStyle w:val="84"/>
        <w:outlineLvl w:val="2"/>
        <w:rPr>
          <w:rFonts w:hint="eastAsia" w:ascii="宋体" w:hAnsi="宋体" w:eastAsia="宋体" w:cs="宋体"/>
          <w:b w:val="0"/>
          <w:bCs/>
          <w:highlight w:val="none"/>
          <w:lang w:val="en-US" w:eastAsia="zh-CN"/>
        </w:rPr>
      </w:pPr>
    </w:p>
    <w:p>
      <w:pPr>
        <w:pStyle w:val="84"/>
        <w:outlineLvl w:val="2"/>
        <w:rPr>
          <w:rFonts w:hint="eastAsia" w:ascii="宋体" w:hAnsi="宋体" w:eastAsia="宋体" w:cs="宋体"/>
          <w:b w:val="0"/>
          <w:bCs/>
          <w:highlight w:val="none"/>
          <w:lang w:val="en-US" w:eastAsia="zh-CN"/>
        </w:rPr>
      </w:pPr>
    </w:p>
    <w:p>
      <w:pPr>
        <w:pStyle w:val="84"/>
        <w:outlineLvl w:val="2"/>
        <w:rPr>
          <w:rFonts w:hint="eastAsia" w:ascii="宋体" w:hAnsi="宋体" w:eastAsia="宋体" w:cs="宋体"/>
          <w:b w:val="0"/>
          <w:bCs/>
          <w:highlight w:val="none"/>
          <w:lang w:val="en-US" w:eastAsia="zh-CN"/>
        </w:rPr>
      </w:pPr>
    </w:p>
    <w:p>
      <w:pPr>
        <w:pStyle w:val="84"/>
        <w:outlineLvl w:val="2"/>
        <w:rPr>
          <w:rFonts w:hint="eastAsia" w:ascii="宋体" w:hAnsi="宋体" w:eastAsia="宋体" w:cs="宋体"/>
          <w:b w:val="0"/>
          <w:bCs/>
          <w:highlight w:val="none"/>
          <w:lang w:val="en-US" w:eastAsia="zh-CN"/>
        </w:rPr>
      </w:pPr>
    </w:p>
    <w:p>
      <w:pPr>
        <w:pStyle w:val="84"/>
        <w:outlineLvl w:val="2"/>
        <w:rPr>
          <w:rFonts w:hint="eastAsia" w:ascii="宋体" w:hAnsi="宋体" w:eastAsia="宋体" w:cs="宋体"/>
          <w:b w:val="0"/>
          <w:bCs/>
          <w:highlight w:val="none"/>
          <w:lang w:val="en-US" w:eastAsia="zh-CN"/>
        </w:rPr>
      </w:pPr>
    </w:p>
    <w:p>
      <w:pPr>
        <w:pStyle w:val="84"/>
        <w:outlineLvl w:val="2"/>
        <w:rPr>
          <w:rFonts w:hint="eastAsia" w:ascii="宋体" w:hAnsi="宋体" w:eastAsia="宋体" w:cs="宋体"/>
          <w:b w:val="0"/>
          <w:bCs/>
          <w:highlight w:val="none"/>
          <w:lang w:val="en-US" w:eastAsia="zh-CN"/>
        </w:rPr>
      </w:pPr>
      <w:r>
        <w:rPr>
          <w:rFonts w:hint="eastAsia" w:ascii="宋体" w:hAnsi="宋体" w:eastAsia="宋体" w:cs="宋体"/>
          <w:b w:val="0"/>
          <w:bCs/>
          <w:highlight w:val="none"/>
          <w:lang w:val="en-US" w:eastAsia="zh-CN"/>
        </w:rPr>
        <w:t>附件二：残疾人福利性单位声明函</w:t>
      </w:r>
      <w:bookmarkEnd w:id="201"/>
      <w:r>
        <w:rPr>
          <w:rFonts w:hint="eastAsia" w:ascii="宋体" w:hAnsi="宋体" w:eastAsia="宋体" w:cs="宋体"/>
          <w:b w:val="0"/>
          <w:bCs/>
          <w:highlight w:val="none"/>
          <w:lang w:val="en-US" w:eastAsia="zh-CN"/>
        </w:rPr>
        <w:t>（若有）</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jc w:val="right"/>
        <w:rPr>
          <w:rFonts w:hint="eastAsia" w:ascii="宋体" w:hAnsi="宋体" w:eastAsia="宋体" w:cs="宋体"/>
          <w:sz w:val="24"/>
        </w:rPr>
      </w:pPr>
      <w:r>
        <w:rPr>
          <w:rFonts w:hint="eastAsia" w:ascii="宋体" w:hAnsi="宋体" w:eastAsia="宋体" w:cs="宋体"/>
          <w:sz w:val="24"/>
        </w:rPr>
        <w:t>日  期：</w:t>
      </w:r>
    </w:p>
    <w:p>
      <w:pPr>
        <w:pStyle w:val="27"/>
        <w:ind w:left="0" w:leftChars="0" w:firstLine="0" w:firstLineChars="0"/>
        <w:jc w:val="center"/>
      </w:pPr>
    </w:p>
    <w:p>
      <w:pPr>
        <w:pStyle w:val="27"/>
        <w:ind w:left="0" w:leftChars="0" w:firstLine="0" w:firstLineChars="0"/>
        <w:rPr>
          <w:rFonts w:hint="eastAsia" w:ascii="宋体" w:hAnsi="宋体" w:eastAsia="宋体" w:cs="宋体"/>
          <w:sz w:val="20"/>
          <w:szCs w:val="18"/>
          <w:lang w:eastAsia="zh-CN"/>
        </w:rPr>
      </w:pPr>
    </w:p>
    <w:p>
      <w:pPr>
        <w:spacing w:before="145" w:beforeLines="50" w:after="145" w:afterLines="50" w:line="300" w:lineRule="auto"/>
        <w:ind w:firstLine="240" w:firstLineChars="100"/>
        <w:rPr>
          <w:rFonts w:hint="eastAsia" w:ascii="宋体" w:hAnsi="宋体" w:eastAsia="宋体" w:cs="宋体"/>
          <w:sz w:val="24"/>
          <w:lang w:eastAsia="zh-CN"/>
        </w:rPr>
      </w:pPr>
    </w:p>
    <w:p>
      <w:pPr>
        <w:spacing w:before="145" w:beforeLines="50" w:after="145" w:afterLines="50" w:line="300" w:lineRule="auto"/>
        <w:rPr>
          <w:rFonts w:hint="eastAsia" w:ascii="宋体" w:hAnsi="宋体" w:eastAsia="宋体" w:cs="宋体"/>
          <w:bCs/>
          <w:sz w:val="24"/>
        </w:rPr>
      </w:pPr>
    </w:p>
    <w:p>
      <w:pPr>
        <w:spacing w:line="360" w:lineRule="auto"/>
        <w:jc w:val="center"/>
        <w:rPr>
          <w:rFonts w:hint="eastAsia" w:ascii="宋体" w:hAnsi="宋体" w:eastAsia="宋体" w:cs="宋体"/>
        </w:rPr>
      </w:pPr>
      <w:r>
        <w:rPr>
          <w:rStyle w:val="38"/>
          <w:rFonts w:hint="eastAsia" w:ascii="宋体" w:hAnsi="宋体" w:eastAsia="宋体" w:cs="宋体"/>
          <w:sz w:val="24"/>
          <w:szCs w:val="24"/>
        </w:rPr>
        <w:br w:type="page"/>
      </w:r>
      <w:r>
        <w:rPr>
          <w:rFonts w:hint="eastAsia" w:ascii="宋体" w:hAnsi="宋体" w:eastAsia="宋体" w:cs="宋体"/>
          <w:sz w:val="32"/>
          <w:szCs w:val="32"/>
        </w:rPr>
        <w:t>（投标文件标书封皮）</w:t>
      </w:r>
    </w:p>
    <w:p>
      <w:pPr>
        <w:spacing w:line="360" w:lineRule="auto"/>
        <w:jc w:val="right"/>
        <w:rPr>
          <w:rFonts w:hint="eastAsia" w:ascii="宋体" w:hAnsi="宋体" w:eastAsia="宋体" w:cs="宋体"/>
        </w:rPr>
      </w:pPr>
      <w:r>
        <w:rPr>
          <w:rFonts w:hint="eastAsia" w:ascii="宋体" w:hAnsi="宋体" w:eastAsia="宋体" w:cs="宋体"/>
          <w:b/>
          <w:bCs/>
          <w:kern w:val="1"/>
          <w:sz w:val="36"/>
          <w:szCs w:val="36"/>
        </w:rPr>
        <w:t>正（副）本</w:t>
      </w:r>
    </w:p>
    <w:p>
      <w:pPr>
        <w:spacing w:line="360" w:lineRule="auto"/>
        <w:rPr>
          <w:rFonts w:hint="eastAsia" w:ascii="宋体" w:hAnsi="宋体" w:eastAsia="宋体" w:cs="宋体"/>
        </w:rPr>
      </w:pPr>
    </w:p>
    <w:p>
      <w:pPr>
        <w:spacing w:line="360" w:lineRule="auto"/>
        <w:jc w:val="center"/>
        <w:rPr>
          <w:rFonts w:hint="eastAsia" w:ascii="宋体" w:hAnsi="宋体" w:eastAsia="宋体" w:cs="宋体"/>
        </w:rPr>
      </w:pPr>
      <w:r>
        <w:rPr>
          <w:rFonts w:hint="eastAsia" w:ascii="宋体" w:hAnsi="宋体" w:eastAsia="宋体" w:cs="宋体"/>
          <w:b/>
          <w:bCs/>
          <w:sz w:val="52"/>
          <w:szCs w:val="52"/>
          <w:u w:val="single"/>
        </w:rPr>
        <w:t xml:space="preserve">****          </w:t>
      </w:r>
      <w:r>
        <w:rPr>
          <w:rFonts w:hint="eastAsia" w:ascii="宋体" w:hAnsi="宋体" w:eastAsia="宋体" w:cs="宋体"/>
          <w:b/>
          <w:bCs/>
          <w:sz w:val="52"/>
          <w:szCs w:val="52"/>
        </w:rPr>
        <w:t>项目</w:t>
      </w:r>
    </w:p>
    <w:p>
      <w:pPr>
        <w:spacing w:line="360" w:lineRule="auto"/>
        <w:jc w:val="center"/>
        <w:rPr>
          <w:rFonts w:hint="eastAsia" w:ascii="宋体" w:hAnsi="宋体" w:eastAsia="宋体" w:cs="宋体"/>
          <w:sz w:val="24"/>
          <w:szCs w:val="28"/>
        </w:rPr>
      </w:pPr>
      <w:r>
        <w:rPr>
          <w:rFonts w:hint="eastAsia" w:ascii="宋体" w:hAnsi="宋体" w:eastAsia="宋体" w:cs="宋体"/>
          <w:sz w:val="24"/>
          <w:szCs w:val="28"/>
        </w:rPr>
        <w:t>项目编号：</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jc w:val="center"/>
        <w:rPr>
          <w:rFonts w:hint="eastAsia" w:ascii="宋体" w:hAnsi="宋体" w:eastAsia="宋体" w:cs="宋体"/>
          <w:sz w:val="28"/>
          <w:szCs w:val="28"/>
        </w:rPr>
      </w:pPr>
      <w:r>
        <w:rPr>
          <w:rFonts w:hint="eastAsia" w:ascii="宋体" w:hAnsi="宋体" w:eastAsia="宋体" w:cs="宋体"/>
          <w:b/>
          <w:bCs/>
          <w:sz w:val="72"/>
          <w:szCs w:val="144"/>
        </w:rPr>
        <w:t>技 术 文 件</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pPr>
        <w:spacing w:line="360" w:lineRule="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r>
        <w:rPr>
          <w:rFonts w:hint="eastAsia" w:ascii="宋体" w:hAnsi="宋体" w:eastAsia="宋体" w:cs="宋体"/>
          <w:sz w:val="28"/>
          <w:szCs w:val="28"/>
          <w:lang w:eastAsia="zh-CN"/>
        </w:rPr>
        <w:t>并</w:t>
      </w:r>
      <w:r>
        <w:rPr>
          <w:rFonts w:hint="eastAsia" w:ascii="宋体" w:hAnsi="宋体" w:eastAsia="宋体" w:cs="宋体"/>
          <w:sz w:val="28"/>
          <w:szCs w:val="28"/>
        </w:rPr>
        <w:t>盖章）</w:t>
      </w:r>
    </w:p>
    <w:p>
      <w:pPr>
        <w:widowControl/>
        <w:autoSpaceDE w:val="0"/>
        <w:autoSpaceDN w:val="0"/>
        <w:adjustRightInd w:val="0"/>
        <w:ind w:right="-482"/>
        <w:jc w:val="center"/>
        <w:rPr>
          <w:rFonts w:hint="eastAsia" w:ascii="宋体" w:hAnsi="宋体" w:eastAsia="宋体" w:cs="宋体"/>
          <w:kern w:val="1"/>
          <w:sz w:val="24"/>
          <w:szCs w:val="24"/>
        </w:rPr>
      </w:pPr>
      <w:r>
        <w:rPr>
          <w:rFonts w:hint="eastAsia" w:ascii="宋体" w:hAnsi="宋体" w:eastAsia="宋体" w:cs="宋体"/>
          <w:sz w:val="28"/>
          <w:szCs w:val="28"/>
        </w:rPr>
        <w:t>年     月     日</w:t>
      </w:r>
    </w:p>
    <w:p>
      <w:pPr>
        <w:widowControl/>
        <w:autoSpaceDE w:val="0"/>
        <w:autoSpaceDN w:val="0"/>
        <w:adjustRightInd w:val="0"/>
        <w:ind w:right="-482" w:firstLine="2160" w:firstLineChars="900"/>
        <w:rPr>
          <w:rFonts w:hint="eastAsia" w:ascii="宋体" w:hAnsi="宋体" w:eastAsia="宋体" w:cs="宋体"/>
          <w:kern w:val="1"/>
          <w:sz w:val="24"/>
          <w:szCs w:val="24"/>
        </w:rPr>
      </w:pPr>
    </w:p>
    <w:p>
      <w:pPr>
        <w:widowControl/>
        <w:autoSpaceDE w:val="0"/>
        <w:autoSpaceDN w:val="0"/>
        <w:adjustRightInd w:val="0"/>
        <w:spacing w:before="260" w:after="260" w:line="440" w:lineRule="exact"/>
        <w:ind w:right="-481"/>
        <w:jc w:val="center"/>
        <w:rPr>
          <w:rFonts w:hint="eastAsia" w:ascii="宋体" w:hAnsi="宋体" w:eastAsia="宋体" w:cs="宋体"/>
          <w:kern w:val="1"/>
          <w:sz w:val="30"/>
          <w:szCs w:val="30"/>
        </w:rPr>
      </w:pPr>
      <w:r>
        <w:rPr>
          <w:rFonts w:hint="eastAsia" w:ascii="宋体" w:hAnsi="宋体" w:eastAsia="宋体" w:cs="宋体"/>
          <w:kern w:val="1"/>
          <w:sz w:val="30"/>
          <w:szCs w:val="30"/>
        </w:rPr>
        <w:br w:type="page"/>
      </w:r>
    </w:p>
    <w:p>
      <w:pPr>
        <w:widowControl/>
        <w:autoSpaceDE w:val="0"/>
        <w:autoSpaceDN w:val="0"/>
        <w:adjustRightInd w:val="0"/>
        <w:spacing w:before="260" w:after="260" w:line="440" w:lineRule="exact"/>
        <w:ind w:right="-481"/>
        <w:jc w:val="center"/>
        <w:rPr>
          <w:rFonts w:hint="eastAsia" w:ascii="宋体" w:hAnsi="宋体" w:eastAsia="宋体" w:cs="宋体"/>
          <w:kern w:val="1"/>
          <w:sz w:val="30"/>
          <w:szCs w:val="30"/>
        </w:rPr>
      </w:pPr>
      <w:r>
        <w:rPr>
          <w:rFonts w:hint="eastAsia" w:ascii="宋体" w:hAnsi="宋体" w:eastAsia="宋体" w:cs="宋体"/>
          <w:kern w:val="1"/>
          <w:sz w:val="30"/>
          <w:szCs w:val="30"/>
        </w:rPr>
        <w:t>目 录</w:t>
      </w:r>
    </w:p>
    <w:p>
      <w:pPr>
        <w:widowControl/>
        <w:autoSpaceDE w:val="0"/>
        <w:autoSpaceDN w:val="0"/>
        <w:adjustRightInd w:val="0"/>
        <w:spacing w:line="440" w:lineRule="exact"/>
        <w:ind w:right="-482"/>
        <w:jc w:val="left"/>
        <w:rPr>
          <w:rFonts w:hint="eastAsia" w:ascii="宋体" w:hAnsi="宋体" w:eastAsia="宋体" w:cs="宋体"/>
          <w:kern w:val="1"/>
          <w:sz w:val="24"/>
          <w:szCs w:val="24"/>
        </w:rPr>
      </w:pPr>
    </w:p>
    <w:p>
      <w:pPr>
        <w:widowControl/>
        <w:autoSpaceDE w:val="0"/>
        <w:autoSpaceDN w:val="0"/>
        <w:adjustRightInd w:val="0"/>
        <w:spacing w:line="440" w:lineRule="exact"/>
        <w:ind w:right="-482" w:firstLine="480"/>
        <w:jc w:val="left"/>
        <w:rPr>
          <w:rStyle w:val="38"/>
          <w:rFonts w:hint="eastAsia" w:ascii="宋体" w:hAnsi="宋体" w:eastAsia="宋体" w:cs="宋体"/>
          <w:color w:val="0000FF"/>
          <w:sz w:val="24"/>
          <w:szCs w:val="24"/>
        </w:rPr>
      </w:pPr>
      <w:r>
        <w:rPr>
          <w:rFonts w:hint="eastAsia" w:ascii="宋体" w:hAnsi="宋体" w:eastAsia="宋体" w:cs="宋体"/>
          <w:kern w:val="1"/>
          <w:sz w:val="24"/>
          <w:szCs w:val="24"/>
        </w:rPr>
        <w:t>一、</w:t>
      </w:r>
      <w:r>
        <w:rPr>
          <w:rStyle w:val="38"/>
          <w:rFonts w:hint="eastAsia" w:ascii="宋体" w:hAnsi="宋体" w:eastAsia="宋体" w:cs="宋体"/>
          <w:sz w:val="24"/>
          <w:szCs w:val="24"/>
        </w:rPr>
        <w:t>货物清单；</w:t>
      </w:r>
    </w:p>
    <w:p>
      <w:pPr>
        <w:widowControl/>
        <w:autoSpaceDE w:val="0"/>
        <w:autoSpaceDN w:val="0"/>
        <w:adjustRightInd w:val="0"/>
        <w:spacing w:line="440" w:lineRule="exact"/>
        <w:ind w:right="-482" w:firstLine="480"/>
        <w:jc w:val="left"/>
        <w:rPr>
          <w:rStyle w:val="38"/>
          <w:rFonts w:hint="eastAsia" w:ascii="宋体" w:hAnsi="宋体" w:eastAsia="宋体" w:cs="宋体"/>
          <w:sz w:val="24"/>
          <w:szCs w:val="24"/>
        </w:rPr>
      </w:pPr>
      <w:r>
        <w:rPr>
          <w:rStyle w:val="38"/>
          <w:rFonts w:hint="eastAsia" w:ascii="宋体" w:hAnsi="宋体" w:eastAsia="宋体" w:cs="宋体"/>
          <w:sz w:val="24"/>
          <w:szCs w:val="24"/>
          <w:lang w:val="en-US" w:eastAsia="zh-CN"/>
        </w:rPr>
        <w:t>二</w:t>
      </w:r>
      <w:r>
        <w:rPr>
          <w:rStyle w:val="38"/>
          <w:rFonts w:hint="eastAsia" w:ascii="宋体" w:hAnsi="宋体" w:eastAsia="宋体" w:cs="宋体"/>
          <w:sz w:val="24"/>
          <w:szCs w:val="24"/>
        </w:rPr>
        <w:t>、技术偏离表；</w:t>
      </w:r>
    </w:p>
    <w:p>
      <w:pPr>
        <w:widowControl/>
        <w:autoSpaceDE w:val="0"/>
        <w:autoSpaceDN w:val="0"/>
        <w:adjustRightInd w:val="0"/>
        <w:spacing w:line="440" w:lineRule="exact"/>
        <w:ind w:right="-482" w:firstLine="480"/>
        <w:jc w:val="left"/>
        <w:rPr>
          <w:rStyle w:val="38"/>
          <w:rFonts w:hint="eastAsia" w:ascii="宋体" w:hAnsi="宋体" w:eastAsia="宋体" w:cs="宋体"/>
          <w:sz w:val="24"/>
          <w:szCs w:val="24"/>
        </w:rPr>
      </w:pPr>
      <w:r>
        <w:rPr>
          <w:rStyle w:val="38"/>
          <w:rFonts w:hint="eastAsia" w:ascii="宋体" w:hAnsi="宋体" w:eastAsia="宋体" w:cs="宋体"/>
          <w:sz w:val="24"/>
          <w:szCs w:val="24"/>
          <w:lang w:val="en-US" w:eastAsia="zh-CN"/>
        </w:rPr>
        <w:t>三</w:t>
      </w:r>
      <w:r>
        <w:rPr>
          <w:rStyle w:val="38"/>
          <w:rFonts w:hint="eastAsia" w:ascii="宋体" w:hAnsi="宋体" w:eastAsia="宋体" w:cs="宋体"/>
          <w:sz w:val="24"/>
          <w:szCs w:val="24"/>
        </w:rPr>
        <w:t>、技术服务方案；</w:t>
      </w:r>
    </w:p>
    <w:p>
      <w:pPr>
        <w:widowControl/>
        <w:autoSpaceDE w:val="0"/>
        <w:autoSpaceDN w:val="0"/>
        <w:adjustRightInd w:val="0"/>
        <w:spacing w:line="440" w:lineRule="exact"/>
        <w:ind w:right="-482" w:firstLine="480"/>
        <w:jc w:val="left"/>
        <w:rPr>
          <w:rStyle w:val="38"/>
          <w:rFonts w:hint="eastAsia" w:ascii="宋体" w:hAnsi="宋体" w:eastAsia="宋体" w:cs="宋体"/>
          <w:sz w:val="24"/>
          <w:szCs w:val="24"/>
        </w:rPr>
      </w:pPr>
      <w:r>
        <w:rPr>
          <w:rStyle w:val="38"/>
          <w:rFonts w:hint="eastAsia" w:ascii="宋体" w:hAnsi="宋体" w:eastAsia="宋体" w:cs="宋体"/>
          <w:sz w:val="24"/>
          <w:szCs w:val="24"/>
          <w:lang w:val="en-US" w:eastAsia="zh-CN"/>
        </w:rPr>
        <w:t>四</w:t>
      </w:r>
      <w:r>
        <w:rPr>
          <w:rStyle w:val="38"/>
          <w:rFonts w:hint="eastAsia" w:ascii="宋体" w:hAnsi="宋体" w:eastAsia="宋体" w:cs="宋体"/>
          <w:sz w:val="24"/>
          <w:szCs w:val="24"/>
        </w:rPr>
        <w:t>、质量管理与保证措施</w:t>
      </w:r>
    </w:p>
    <w:p>
      <w:pPr>
        <w:widowControl/>
        <w:autoSpaceDE w:val="0"/>
        <w:autoSpaceDN w:val="0"/>
        <w:adjustRightInd w:val="0"/>
        <w:spacing w:line="440" w:lineRule="exact"/>
        <w:ind w:right="-482" w:firstLine="480"/>
        <w:jc w:val="left"/>
        <w:rPr>
          <w:rFonts w:hint="eastAsia" w:ascii="宋体" w:hAnsi="宋体" w:eastAsia="宋体" w:cs="宋体"/>
          <w:kern w:val="1"/>
          <w:sz w:val="24"/>
          <w:szCs w:val="24"/>
        </w:rPr>
      </w:pPr>
      <w:r>
        <w:rPr>
          <w:rFonts w:hint="eastAsia" w:ascii="宋体" w:hAnsi="宋体" w:eastAsia="宋体" w:cs="宋体"/>
          <w:kern w:val="1"/>
          <w:sz w:val="24"/>
          <w:szCs w:val="24"/>
          <w:lang w:val="en-US" w:eastAsia="zh-CN"/>
        </w:rPr>
        <w:t>五</w:t>
      </w:r>
      <w:r>
        <w:rPr>
          <w:rFonts w:hint="eastAsia" w:ascii="宋体" w:hAnsi="宋体" w:eastAsia="宋体" w:cs="宋体"/>
          <w:kern w:val="1"/>
          <w:sz w:val="24"/>
          <w:szCs w:val="24"/>
        </w:rPr>
        <w:t>、</w:t>
      </w:r>
      <w:r>
        <w:rPr>
          <w:rFonts w:hint="eastAsia" w:ascii="宋体" w:hAnsi="宋体" w:eastAsia="宋体" w:cs="宋体"/>
          <w:sz w:val="24"/>
          <w:szCs w:val="24"/>
        </w:rPr>
        <w:t>项目实施人员（主要从业人员以及其技术资格）一览表</w:t>
      </w:r>
      <w:r>
        <w:rPr>
          <w:rFonts w:hint="eastAsia" w:ascii="宋体" w:hAnsi="宋体" w:eastAsia="宋体" w:cs="宋体"/>
          <w:kern w:val="1"/>
          <w:sz w:val="24"/>
          <w:szCs w:val="24"/>
        </w:rPr>
        <w:t xml:space="preserve">； </w:t>
      </w:r>
    </w:p>
    <w:p>
      <w:pPr>
        <w:widowControl/>
        <w:autoSpaceDE w:val="0"/>
        <w:autoSpaceDN w:val="0"/>
        <w:adjustRightInd w:val="0"/>
        <w:spacing w:line="440" w:lineRule="exact"/>
        <w:ind w:right="-482" w:firstLine="480"/>
        <w:jc w:val="left"/>
        <w:rPr>
          <w:rStyle w:val="38"/>
          <w:rFonts w:hint="eastAsia" w:ascii="宋体" w:hAnsi="宋体" w:eastAsia="宋体" w:cs="宋体"/>
          <w:sz w:val="24"/>
          <w:szCs w:val="24"/>
        </w:rPr>
      </w:pPr>
      <w:r>
        <w:rPr>
          <w:rStyle w:val="38"/>
          <w:rFonts w:hint="eastAsia" w:ascii="宋体" w:hAnsi="宋体" w:eastAsia="宋体" w:cs="宋体"/>
          <w:sz w:val="24"/>
          <w:szCs w:val="24"/>
          <w:lang w:val="en-US" w:eastAsia="zh-CN"/>
        </w:rPr>
        <w:t>六</w:t>
      </w:r>
      <w:r>
        <w:rPr>
          <w:rStyle w:val="38"/>
          <w:rFonts w:hint="eastAsia" w:ascii="宋体" w:hAnsi="宋体" w:eastAsia="宋体" w:cs="宋体"/>
          <w:sz w:val="24"/>
          <w:szCs w:val="24"/>
        </w:rPr>
        <w:t>、保证供货周期的组织方案以及人力资源安排；</w:t>
      </w:r>
    </w:p>
    <w:p>
      <w:pPr>
        <w:widowControl/>
        <w:autoSpaceDE w:val="0"/>
        <w:autoSpaceDN w:val="0"/>
        <w:adjustRightInd w:val="0"/>
        <w:spacing w:line="440" w:lineRule="exact"/>
        <w:ind w:right="-482" w:firstLine="480"/>
        <w:jc w:val="left"/>
        <w:rPr>
          <w:rStyle w:val="38"/>
          <w:rFonts w:hint="eastAsia" w:ascii="宋体" w:hAnsi="宋体" w:eastAsia="宋体" w:cs="宋体"/>
          <w:sz w:val="24"/>
          <w:szCs w:val="24"/>
        </w:rPr>
      </w:pPr>
      <w:r>
        <w:rPr>
          <w:rStyle w:val="38"/>
          <w:rFonts w:hint="eastAsia" w:ascii="宋体" w:hAnsi="宋体" w:eastAsia="宋体" w:cs="宋体"/>
          <w:sz w:val="24"/>
          <w:szCs w:val="24"/>
          <w:lang w:val="en-US" w:eastAsia="zh-CN"/>
        </w:rPr>
        <w:t>七</w:t>
      </w:r>
      <w:r>
        <w:rPr>
          <w:rStyle w:val="38"/>
          <w:rFonts w:hint="eastAsia" w:ascii="宋体" w:hAnsi="宋体" w:eastAsia="宋体" w:cs="宋体"/>
          <w:sz w:val="24"/>
          <w:szCs w:val="24"/>
        </w:rPr>
        <w:t>、售后服务方案及承诺；</w:t>
      </w:r>
    </w:p>
    <w:p>
      <w:pPr>
        <w:widowControl/>
        <w:autoSpaceDE w:val="0"/>
        <w:autoSpaceDN w:val="0"/>
        <w:adjustRightInd w:val="0"/>
        <w:spacing w:line="440" w:lineRule="exact"/>
        <w:ind w:right="-482" w:firstLine="480"/>
        <w:jc w:val="left"/>
        <w:rPr>
          <w:rStyle w:val="38"/>
          <w:rFonts w:hint="eastAsia" w:ascii="宋体" w:hAnsi="宋体" w:eastAsia="宋体" w:cs="宋体"/>
          <w:sz w:val="24"/>
          <w:szCs w:val="24"/>
        </w:rPr>
      </w:pPr>
      <w:r>
        <w:rPr>
          <w:rStyle w:val="38"/>
          <w:rFonts w:hint="eastAsia" w:ascii="宋体" w:hAnsi="宋体" w:eastAsia="宋体" w:cs="宋体"/>
          <w:sz w:val="24"/>
          <w:szCs w:val="24"/>
          <w:lang w:val="en-US" w:eastAsia="zh-CN"/>
        </w:rPr>
        <w:t>八</w:t>
      </w:r>
      <w:r>
        <w:rPr>
          <w:rStyle w:val="38"/>
          <w:rFonts w:hint="eastAsia" w:ascii="宋体" w:hAnsi="宋体" w:eastAsia="宋体" w:cs="宋体"/>
          <w:sz w:val="24"/>
          <w:szCs w:val="24"/>
        </w:rPr>
        <w:t>、投标人需要说明的其他文件和说明（格式自拟）。</w:t>
      </w:r>
    </w:p>
    <w:p>
      <w:pPr>
        <w:widowControl/>
        <w:autoSpaceDE w:val="0"/>
        <w:autoSpaceDN w:val="0"/>
        <w:adjustRightInd w:val="0"/>
        <w:spacing w:line="440" w:lineRule="exact"/>
        <w:ind w:right="-481"/>
        <w:jc w:val="left"/>
        <w:rPr>
          <w:rStyle w:val="38"/>
          <w:rFonts w:hint="eastAsia" w:ascii="宋体" w:hAnsi="宋体" w:eastAsia="宋体" w:cs="宋体"/>
          <w:sz w:val="24"/>
          <w:szCs w:val="24"/>
        </w:rPr>
      </w:pP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t>一、货物清单</w:t>
      </w:r>
    </w:p>
    <w:p>
      <w:pPr>
        <w:widowControl/>
        <w:autoSpaceDE w:val="0"/>
        <w:autoSpaceDN w:val="0"/>
        <w:adjustRightInd w:val="0"/>
        <w:spacing w:before="120" w:after="120" w:line="440" w:lineRule="exact"/>
        <w:ind w:right="-481" w:firstLine="630"/>
        <w:jc w:val="center"/>
        <w:rPr>
          <w:rFonts w:hint="eastAsia" w:ascii="宋体" w:hAnsi="宋体" w:eastAsia="宋体" w:cs="宋体"/>
          <w:kern w:val="1"/>
          <w:sz w:val="24"/>
          <w:szCs w:val="24"/>
        </w:rPr>
      </w:pPr>
    </w:p>
    <w:p>
      <w:pPr>
        <w:widowControl/>
        <w:autoSpaceDE w:val="0"/>
        <w:autoSpaceDN w:val="0"/>
        <w:adjustRightInd w:val="0"/>
        <w:spacing w:after="240" w:line="440" w:lineRule="exact"/>
        <w:ind w:right="-481"/>
        <w:rPr>
          <w:rFonts w:hint="eastAsia" w:ascii="宋体" w:hAnsi="宋体" w:eastAsia="宋体" w:cs="宋体"/>
          <w:b/>
          <w:bCs/>
          <w:kern w:val="1"/>
          <w:sz w:val="24"/>
          <w:szCs w:val="24"/>
        </w:rPr>
      </w:pPr>
      <w:r>
        <w:rPr>
          <w:rStyle w:val="38"/>
          <w:rFonts w:hint="eastAsia" w:ascii="宋体" w:hAnsi="宋体" w:eastAsia="宋体" w:cs="宋体"/>
          <w:b/>
          <w:bCs/>
          <w:sz w:val="24"/>
          <w:szCs w:val="24"/>
          <w:lang w:val="en-US" w:eastAsia="zh-CN"/>
        </w:rPr>
        <w:t>项目名称</w:t>
      </w:r>
      <w:r>
        <w:rPr>
          <w:rStyle w:val="38"/>
          <w:rFonts w:hint="eastAsia" w:ascii="宋体" w:hAnsi="宋体" w:eastAsia="宋体" w:cs="宋体"/>
          <w:b/>
          <w:bCs/>
          <w:sz w:val="24"/>
          <w:szCs w:val="24"/>
        </w:rPr>
        <w:t>：</w:t>
      </w:r>
      <w:r>
        <w:rPr>
          <w:rStyle w:val="38"/>
          <w:rFonts w:hint="eastAsia" w:ascii="宋体" w:hAnsi="宋体" w:eastAsia="宋体" w:cs="宋体"/>
          <w:b/>
          <w:bCs/>
          <w:sz w:val="24"/>
          <w:szCs w:val="24"/>
          <w:u w:val="single"/>
        </w:rPr>
        <w:t xml:space="preserve">               </w:t>
      </w:r>
      <w:r>
        <w:rPr>
          <w:rStyle w:val="38"/>
          <w:rFonts w:hint="eastAsia" w:ascii="宋体" w:hAnsi="宋体" w:eastAsia="宋体" w:cs="宋体"/>
          <w:b/>
          <w:bCs/>
          <w:sz w:val="24"/>
          <w:szCs w:val="24"/>
        </w:rPr>
        <w:t xml:space="preserve">            </w:t>
      </w:r>
      <w:r>
        <w:rPr>
          <w:rStyle w:val="38"/>
          <w:rFonts w:hint="eastAsia" w:ascii="宋体" w:hAnsi="宋体" w:eastAsia="宋体" w:cs="宋体"/>
          <w:b/>
          <w:bCs/>
          <w:sz w:val="24"/>
          <w:szCs w:val="24"/>
          <w:lang w:val="en-US" w:eastAsia="zh-CN"/>
        </w:rPr>
        <w:t>项目编号</w:t>
      </w:r>
      <w:r>
        <w:rPr>
          <w:rStyle w:val="38"/>
          <w:rFonts w:hint="eastAsia" w:ascii="宋体" w:hAnsi="宋体" w:eastAsia="宋体" w:cs="宋体"/>
          <w:b/>
          <w:bCs/>
          <w:sz w:val="24"/>
          <w:szCs w:val="24"/>
        </w:rPr>
        <w:t>：</w:t>
      </w:r>
      <w:r>
        <w:rPr>
          <w:rFonts w:hint="eastAsia" w:ascii="宋体" w:hAnsi="宋体" w:eastAsia="宋体" w:cs="宋体"/>
          <w:b/>
          <w:bCs/>
          <w:kern w:val="1"/>
          <w:sz w:val="24"/>
          <w:szCs w:val="24"/>
          <w:u w:val="single"/>
        </w:rPr>
        <w:t xml:space="preserve">                  </w:t>
      </w:r>
      <w:r>
        <w:rPr>
          <w:rStyle w:val="38"/>
          <w:rFonts w:hint="eastAsia" w:ascii="宋体" w:hAnsi="宋体" w:eastAsia="宋体" w:cs="宋体"/>
          <w:b/>
          <w:bCs/>
          <w:sz w:val="24"/>
          <w:szCs w:val="24"/>
        </w:rPr>
        <w:t xml:space="preserve"> </w:t>
      </w:r>
    </w:p>
    <w:tbl>
      <w:tblPr>
        <w:tblStyle w:val="30"/>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68"/>
        <w:gridCol w:w="977"/>
        <w:gridCol w:w="1177"/>
        <w:gridCol w:w="1370"/>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序号</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lang w:val="en-US" w:eastAsia="zh-CN"/>
              </w:rPr>
              <w:t>货物</w:t>
            </w:r>
            <w:r>
              <w:rPr>
                <w:rStyle w:val="38"/>
                <w:rFonts w:hint="eastAsia" w:ascii="宋体" w:hAnsi="宋体" w:eastAsia="宋体" w:cs="宋体"/>
                <w:sz w:val="24"/>
                <w:szCs w:val="24"/>
              </w:rPr>
              <w:t>名称</w:t>
            </w:r>
          </w:p>
        </w:tc>
        <w:tc>
          <w:tcPr>
            <w:tcW w:w="977"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品牌</w:t>
            </w:r>
          </w:p>
        </w:tc>
        <w:tc>
          <w:tcPr>
            <w:tcW w:w="1177"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产地</w:t>
            </w:r>
          </w:p>
        </w:tc>
        <w:tc>
          <w:tcPr>
            <w:tcW w:w="1370"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规格</w:t>
            </w:r>
          </w:p>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型号</w:t>
            </w:r>
          </w:p>
        </w:tc>
        <w:tc>
          <w:tcPr>
            <w:tcW w:w="3805"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性能以及指标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1</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2</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3</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4</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8"/>
                <w:rFonts w:hint="eastAsia" w:ascii="宋体" w:hAnsi="宋体" w:eastAsia="宋体" w:cs="宋体"/>
                <w:sz w:val="24"/>
                <w:szCs w:val="24"/>
              </w:rPr>
            </w:pPr>
            <w:r>
              <w:rPr>
                <w:rStyle w:val="38"/>
                <w:rFonts w:hint="eastAsia" w:ascii="宋体" w:hAnsi="宋体" w:eastAsia="宋体" w:cs="宋体"/>
                <w:sz w:val="24"/>
                <w:szCs w:val="24"/>
              </w:rPr>
              <w:t>5</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6</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bl>
    <w:p>
      <w:pPr>
        <w:widowControl/>
        <w:autoSpaceDE w:val="0"/>
        <w:autoSpaceDN w:val="0"/>
        <w:adjustRightInd w:val="0"/>
        <w:spacing w:before="120" w:line="440" w:lineRule="exact"/>
        <w:ind w:right="-481"/>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注：</w:t>
      </w:r>
      <w:r>
        <w:rPr>
          <w:rFonts w:hint="eastAsia" w:ascii="宋体" w:hAnsi="宋体" w:eastAsia="宋体" w:cs="宋体"/>
          <w:kern w:val="1"/>
          <w:sz w:val="24"/>
          <w:szCs w:val="24"/>
        </w:rPr>
        <w:t>在填写时，如本表格不适合投标单位的实际情况，可根据本表格式自行制表填写</w:t>
      </w:r>
      <w:r>
        <w:rPr>
          <w:rFonts w:hint="eastAsia" w:ascii="宋体" w:hAnsi="宋体" w:eastAsia="宋体" w:cs="宋体"/>
          <w:kern w:val="1"/>
          <w:sz w:val="24"/>
          <w:szCs w:val="24"/>
          <w:lang w:eastAsia="zh-CN"/>
        </w:rPr>
        <w:t>。</w:t>
      </w:r>
    </w:p>
    <w:p>
      <w:pPr>
        <w:pStyle w:val="13"/>
        <w:rPr>
          <w:rFonts w:hint="eastAsia" w:ascii="宋体" w:hAnsi="宋体" w:eastAsia="宋体" w:cs="宋体"/>
          <w:kern w:val="1"/>
          <w:sz w:val="24"/>
          <w:szCs w:val="24"/>
          <w:lang w:val="en-US" w:eastAsia="zh-CN"/>
        </w:rPr>
      </w:pPr>
    </w:p>
    <w:p>
      <w:pPr>
        <w:rPr>
          <w:rFonts w:hint="eastAsia" w:ascii="宋体" w:hAnsi="宋体" w:eastAsia="宋体" w:cs="宋体"/>
          <w:lang w:val="en-US" w:eastAsia="zh-CN"/>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widowControl/>
        <w:autoSpaceDE w:val="0"/>
        <w:autoSpaceDN w:val="0"/>
        <w:adjustRightInd w:val="0"/>
        <w:spacing w:line="440" w:lineRule="exact"/>
        <w:ind w:firstLine="4080" w:firstLineChars="17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autoSpaceDE w:val="0"/>
        <w:autoSpaceDN w:val="0"/>
        <w:adjustRightInd w:val="0"/>
        <w:spacing w:line="440" w:lineRule="exact"/>
        <w:jc w:val="both"/>
        <w:rPr>
          <w:rFonts w:hint="eastAsia" w:ascii="宋体" w:hAnsi="宋体" w:eastAsia="宋体" w:cs="宋体"/>
          <w:color w:val="0000FF"/>
          <w:kern w:val="1"/>
        </w:rPr>
      </w:pPr>
      <w:r>
        <w:rPr>
          <w:rFonts w:hint="eastAsia" w:ascii="宋体" w:hAnsi="宋体" w:eastAsia="宋体" w:cs="宋体"/>
          <w:kern w:val="1"/>
        </w:rPr>
        <w:br w:type="page"/>
      </w:r>
    </w:p>
    <w:p>
      <w:pPr>
        <w:widowControl/>
        <w:autoSpaceDE w:val="0"/>
        <w:autoSpaceDN w:val="0"/>
        <w:adjustRightInd w:val="0"/>
        <w:spacing w:afterLines="100" w:line="440" w:lineRule="exact"/>
        <w:jc w:val="center"/>
        <w:rPr>
          <w:rStyle w:val="38"/>
          <w:rFonts w:hint="eastAsia" w:ascii="宋体" w:hAnsi="宋体" w:eastAsia="宋体" w:cs="宋体"/>
          <w:sz w:val="24"/>
          <w:szCs w:val="24"/>
        </w:rPr>
      </w:pPr>
      <w:r>
        <w:rPr>
          <w:rStyle w:val="38"/>
          <w:rFonts w:hint="eastAsia" w:ascii="宋体" w:hAnsi="宋体" w:eastAsia="宋体" w:cs="宋体"/>
          <w:sz w:val="28"/>
          <w:szCs w:val="28"/>
          <w:lang w:val="en-US" w:eastAsia="zh-CN"/>
        </w:rPr>
        <w:t>二</w:t>
      </w:r>
      <w:r>
        <w:rPr>
          <w:rStyle w:val="38"/>
          <w:rFonts w:hint="eastAsia" w:ascii="宋体" w:hAnsi="宋体" w:eastAsia="宋体" w:cs="宋体"/>
          <w:sz w:val="28"/>
          <w:szCs w:val="28"/>
        </w:rPr>
        <w:t>、技术偏离表</w:t>
      </w:r>
    </w:p>
    <w:tbl>
      <w:tblPr>
        <w:tblStyle w:val="30"/>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24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招标文件章节及条款号</w:t>
            </w:r>
          </w:p>
        </w:tc>
        <w:tc>
          <w:tcPr>
            <w:tcW w:w="308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投标文件章节及条款号</w:t>
            </w:r>
          </w:p>
        </w:tc>
        <w:tc>
          <w:tcPr>
            <w:tcW w:w="201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2</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bl>
    <w:p>
      <w:pPr>
        <w:widowControl/>
        <w:autoSpaceDE w:val="0"/>
        <w:autoSpaceDN w:val="0"/>
        <w:adjustRightInd w:val="0"/>
        <w:spacing w:line="440" w:lineRule="exact"/>
        <w:rPr>
          <w:rStyle w:val="38"/>
          <w:rFonts w:hint="eastAsia" w:ascii="宋体" w:hAnsi="宋体" w:eastAsia="宋体" w:cs="宋体"/>
          <w:sz w:val="24"/>
          <w:szCs w:val="24"/>
        </w:rPr>
      </w:pPr>
      <w:r>
        <w:rPr>
          <w:rFonts w:hint="eastAsia" w:ascii="宋体" w:hAnsi="宋体" w:eastAsia="宋体" w:cs="宋体"/>
          <w:sz w:val="24"/>
          <w:szCs w:val="24"/>
        </w:rPr>
        <w:t>注：偏离情况填写为正偏离、负偏离、无偏离。</w:t>
      </w:r>
    </w:p>
    <w:p>
      <w:pPr>
        <w:widowControl/>
        <w:autoSpaceDE w:val="0"/>
        <w:autoSpaceDN w:val="0"/>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1、投标人应根据投标设备的性能指标、对照招标文件中“第三章</w:t>
      </w:r>
      <w:r>
        <w:rPr>
          <w:rFonts w:hint="eastAsia" w:ascii="宋体" w:hAnsi="宋体" w:eastAsia="宋体" w:cs="宋体"/>
          <w:sz w:val="24"/>
          <w:szCs w:val="24"/>
        </w:rPr>
        <w:t xml:space="preserve"> </w:t>
      </w:r>
      <w:r>
        <w:rPr>
          <w:rFonts w:hint="eastAsia" w:ascii="宋体" w:hAnsi="宋体" w:eastAsia="宋体" w:cs="宋体"/>
          <w:sz w:val="24"/>
          <w:szCs w:val="24"/>
          <w:lang w:val="zh-CN"/>
        </w:rPr>
        <w:t>采购需求</w:t>
      </w:r>
      <w:r>
        <w:rPr>
          <w:rFonts w:hint="eastAsia" w:ascii="宋体" w:hAnsi="宋体" w:eastAsia="宋体" w:cs="宋体"/>
          <w:sz w:val="24"/>
          <w:szCs w:val="24"/>
        </w:rPr>
        <w:t>---2.采购产品</w:t>
      </w:r>
      <w:r>
        <w:rPr>
          <w:rFonts w:hint="eastAsia" w:ascii="宋体" w:hAnsi="宋体" w:eastAsia="宋体" w:cs="宋体"/>
          <w:sz w:val="24"/>
          <w:szCs w:val="24"/>
          <w:lang w:val="zh-CN"/>
        </w:rPr>
        <w:t>技术规格、</w:t>
      </w:r>
      <w:r>
        <w:rPr>
          <w:rFonts w:hint="eastAsia" w:ascii="宋体" w:hAnsi="宋体" w:eastAsia="宋体" w:cs="宋体"/>
          <w:sz w:val="24"/>
          <w:szCs w:val="24"/>
        </w:rPr>
        <w:t>要求和数量</w:t>
      </w:r>
      <w:r>
        <w:rPr>
          <w:rFonts w:hint="eastAsia" w:ascii="宋体" w:hAnsi="宋体" w:eastAsia="宋体" w:cs="宋体"/>
          <w:sz w:val="24"/>
          <w:szCs w:val="24"/>
          <w:lang w:val="zh-CN"/>
        </w:rPr>
        <w:t>”中的各项技术参数要求，如实逐条一一对应填写响应情况，如有未响应技术指标，评标委员会有权视其为负偏离；</w:t>
      </w:r>
    </w:p>
    <w:p>
      <w:pPr>
        <w:widowControl/>
        <w:autoSpaceDE w:val="0"/>
        <w:autoSpaceDN w:val="0"/>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2、请投标人在“偏离情况”一栏详细描述存在正偏离或负偏离技术指标，并标明偏离情况；</w:t>
      </w:r>
    </w:p>
    <w:p>
      <w:pPr>
        <w:widowControl/>
        <w:autoSpaceDE w:val="0"/>
        <w:autoSpaceDN w:val="0"/>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3、招标文件技术指标未做要求的，不视为正偏离。</w:t>
      </w:r>
    </w:p>
    <w:p>
      <w:pPr>
        <w:widowControl/>
        <w:autoSpaceDE w:val="0"/>
        <w:autoSpaceDN w:val="0"/>
        <w:adjustRightInd w:val="0"/>
        <w:spacing w:line="440" w:lineRule="exact"/>
        <w:ind w:firstLine="480" w:firstLineChars="200"/>
        <w:rPr>
          <w:rFonts w:hint="eastAsia" w:ascii="宋体" w:hAnsi="宋体" w:eastAsia="宋体" w:cs="宋体"/>
          <w:sz w:val="24"/>
          <w:szCs w:val="24"/>
        </w:rPr>
      </w:pPr>
    </w:p>
    <w:p>
      <w:pPr>
        <w:widowControl/>
        <w:autoSpaceDE w:val="0"/>
        <w:autoSpaceDN w:val="0"/>
        <w:adjustRightInd w:val="0"/>
        <w:spacing w:line="440" w:lineRule="exact"/>
        <w:ind w:firstLine="480" w:firstLineChars="200"/>
        <w:rPr>
          <w:rFonts w:hint="eastAsia" w:ascii="宋体" w:hAnsi="宋体" w:eastAsia="宋体" w:cs="宋体"/>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cs="宋体"/>
          <w:sz w:val="24"/>
          <w:szCs w:val="24"/>
          <w:lang w:eastAsia="zh-CN"/>
        </w:rPr>
        <w:t>或</w:t>
      </w:r>
      <w:r>
        <w:rPr>
          <w:rFonts w:hint="eastAsia" w:ascii="宋体" w:hAnsi="宋体" w:eastAsia="宋体" w:cs="宋体"/>
          <w:sz w:val="24"/>
          <w:szCs w:val="24"/>
        </w:rPr>
        <w:t>盖章）</w:t>
      </w:r>
    </w:p>
    <w:p>
      <w:pPr>
        <w:widowControl/>
        <w:autoSpaceDE w:val="0"/>
        <w:autoSpaceDN w:val="0"/>
        <w:adjustRightInd w:val="0"/>
        <w:spacing w:line="440" w:lineRule="exact"/>
        <w:ind w:firstLine="4080" w:firstLineChars="17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autoSpaceDE w:val="0"/>
        <w:autoSpaceDN w:val="0"/>
        <w:adjustRightInd w:val="0"/>
        <w:spacing w:line="440" w:lineRule="exact"/>
        <w:rPr>
          <w:rFonts w:hint="eastAsia" w:ascii="宋体" w:hAnsi="宋体" w:eastAsia="宋体" w:cs="宋体"/>
          <w:sz w:val="24"/>
          <w:szCs w:val="24"/>
        </w:rPr>
      </w:pPr>
      <w:r>
        <w:rPr>
          <w:rFonts w:hint="eastAsia" w:ascii="宋体" w:hAnsi="宋体" w:eastAsia="宋体" w:cs="宋体"/>
          <w:sz w:val="24"/>
          <w:szCs w:val="24"/>
        </w:rPr>
        <w:br w:type="page"/>
      </w: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lang w:val="en-US" w:eastAsia="zh-CN"/>
        </w:rPr>
        <w:t>三</w:t>
      </w:r>
      <w:r>
        <w:rPr>
          <w:rFonts w:hint="eastAsia" w:ascii="宋体" w:hAnsi="宋体" w:eastAsia="宋体" w:cs="宋体"/>
          <w:kern w:val="1"/>
          <w:sz w:val="28"/>
          <w:szCs w:val="28"/>
        </w:rPr>
        <w:t>、技术服务方案</w:t>
      </w:r>
    </w:p>
    <w:p>
      <w:pPr>
        <w:widowControl/>
        <w:autoSpaceDE w:val="0"/>
        <w:autoSpaceDN w:val="0"/>
        <w:adjustRightInd w:val="0"/>
        <w:spacing w:before="120" w:after="120" w:line="440" w:lineRule="exact"/>
        <w:ind w:right="-481"/>
        <w:rPr>
          <w:rFonts w:hint="eastAsia" w:ascii="宋体" w:hAnsi="宋体" w:eastAsia="宋体" w:cs="宋体"/>
          <w:sz w:val="24"/>
          <w:szCs w:val="24"/>
        </w:rPr>
      </w:pPr>
      <w:r>
        <w:rPr>
          <w:rFonts w:hint="eastAsia" w:ascii="宋体" w:hAnsi="宋体" w:eastAsia="宋体" w:cs="宋体"/>
          <w:sz w:val="24"/>
          <w:szCs w:val="24"/>
        </w:rPr>
        <w:t>（货物服务方案等投标人自拟）</w:t>
      </w:r>
    </w:p>
    <w:p>
      <w:pPr>
        <w:widowControl/>
        <w:autoSpaceDE w:val="0"/>
        <w:autoSpaceDN w:val="0"/>
        <w:adjustRightInd w:val="0"/>
        <w:spacing w:before="120" w:after="120" w:line="440" w:lineRule="exact"/>
        <w:ind w:right="-481"/>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32"/>
          <w:szCs w:val="32"/>
          <w:lang w:val="en-US" w:eastAsia="zh-CN"/>
        </w:rPr>
        <w:t>四</w:t>
      </w:r>
      <w:r>
        <w:rPr>
          <w:rFonts w:hint="eastAsia" w:ascii="宋体" w:hAnsi="宋体" w:eastAsia="宋体" w:cs="宋体"/>
          <w:kern w:val="1"/>
          <w:sz w:val="32"/>
          <w:szCs w:val="32"/>
        </w:rPr>
        <w:t>、</w:t>
      </w:r>
      <w:r>
        <w:rPr>
          <w:rFonts w:hint="eastAsia" w:ascii="宋体" w:hAnsi="宋体" w:eastAsia="宋体" w:cs="宋体"/>
          <w:sz w:val="28"/>
          <w:szCs w:val="28"/>
        </w:rPr>
        <w:t>质量管理与保证措施</w:t>
      </w:r>
    </w:p>
    <w:p>
      <w:pPr>
        <w:widowControl/>
        <w:autoSpaceDE w:val="0"/>
        <w:autoSpaceDN w:val="0"/>
        <w:adjustRightInd w:val="0"/>
        <w:spacing w:before="120" w:after="120" w:line="440" w:lineRule="exact"/>
        <w:ind w:right="-481"/>
        <w:rPr>
          <w:rFonts w:hint="eastAsia" w:ascii="宋体" w:hAnsi="宋体" w:eastAsia="宋体" w:cs="宋体"/>
          <w:kern w:val="1"/>
          <w:sz w:val="28"/>
          <w:szCs w:val="28"/>
        </w:rPr>
      </w:pPr>
      <w:r>
        <w:rPr>
          <w:rFonts w:hint="eastAsia" w:ascii="宋体" w:hAnsi="宋体" w:eastAsia="宋体" w:cs="宋体"/>
          <w:kern w:val="1"/>
          <w:sz w:val="24"/>
          <w:szCs w:val="24"/>
        </w:rPr>
        <w:t>（</w:t>
      </w:r>
      <w:r>
        <w:rPr>
          <w:rFonts w:hint="eastAsia" w:ascii="宋体" w:hAnsi="宋体" w:eastAsia="宋体" w:cs="宋体"/>
          <w:sz w:val="24"/>
          <w:szCs w:val="24"/>
        </w:rPr>
        <w:t>完善的质量保证体系、具体有效的质量保证措施等，格式自拟。</w:t>
      </w:r>
      <w:r>
        <w:rPr>
          <w:rFonts w:hint="eastAsia" w:ascii="宋体" w:hAnsi="宋体" w:eastAsia="宋体" w:cs="宋体"/>
          <w:kern w:val="1"/>
          <w:sz w:val="24"/>
          <w:szCs w:val="24"/>
        </w:rPr>
        <w:t>）</w:t>
      </w:r>
    </w:p>
    <w:p>
      <w:pPr>
        <w:widowControl/>
        <w:autoSpaceDE w:val="0"/>
        <w:autoSpaceDN w:val="0"/>
        <w:adjustRightInd w:val="0"/>
        <w:spacing w:before="120" w:after="120" w:line="440" w:lineRule="exact"/>
        <w:ind w:right="-481"/>
        <w:rPr>
          <w:rFonts w:hint="eastAsia" w:ascii="宋体" w:hAnsi="宋体" w:eastAsia="宋体" w:cs="宋体"/>
          <w:kern w:val="1"/>
          <w:sz w:val="28"/>
          <w:szCs w:val="28"/>
        </w:rPr>
      </w:pP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before="120" w:afterLines="100" w:line="440" w:lineRule="exact"/>
        <w:ind w:right="-482"/>
        <w:jc w:val="center"/>
        <w:rPr>
          <w:rFonts w:hint="eastAsia" w:ascii="宋体" w:hAnsi="宋体" w:eastAsia="宋体" w:cs="宋体"/>
          <w:kern w:val="1"/>
          <w:sz w:val="28"/>
          <w:szCs w:val="28"/>
        </w:rPr>
      </w:pPr>
      <w:r>
        <w:rPr>
          <w:rFonts w:hint="eastAsia" w:ascii="宋体" w:hAnsi="宋体" w:eastAsia="宋体" w:cs="宋体"/>
          <w:kern w:val="1"/>
          <w:sz w:val="28"/>
          <w:szCs w:val="28"/>
          <w:lang w:val="en-US" w:eastAsia="zh-CN"/>
        </w:rPr>
        <w:t>五</w:t>
      </w:r>
      <w:r>
        <w:rPr>
          <w:rFonts w:hint="eastAsia" w:ascii="宋体" w:hAnsi="宋体" w:eastAsia="宋体" w:cs="宋体"/>
          <w:kern w:val="1"/>
          <w:sz w:val="28"/>
          <w:szCs w:val="28"/>
        </w:rPr>
        <w:t>、项目实施人员（主要从业人员以及其技术资格）一览表</w:t>
      </w:r>
    </w:p>
    <w:tbl>
      <w:tblPr>
        <w:tblStyle w:val="30"/>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31"/>
        <w:gridCol w:w="1371"/>
        <w:gridCol w:w="1371"/>
        <w:gridCol w:w="1958"/>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128" w:type="dxa"/>
            <w:tcMar>
              <w:top w:w="100" w:type="dxa"/>
              <w:right w:w="100" w:type="dxa"/>
            </w:tcMar>
            <w:vAlign w:val="center"/>
          </w:tcPr>
          <w:p>
            <w:pPr>
              <w:widowControl/>
              <w:autoSpaceDE w:val="0"/>
              <w:autoSpaceDN w:val="0"/>
              <w:adjustRightInd w:val="0"/>
              <w:spacing w:before="120" w:after="50"/>
              <w:jc w:val="center"/>
              <w:rPr>
                <w:rStyle w:val="38"/>
                <w:rFonts w:hint="eastAsia" w:ascii="宋体" w:hAnsi="宋体" w:eastAsia="宋体" w:cs="宋体"/>
                <w:sz w:val="24"/>
                <w:szCs w:val="24"/>
              </w:rPr>
            </w:pPr>
            <w:r>
              <w:rPr>
                <w:rStyle w:val="38"/>
                <w:rFonts w:hint="eastAsia" w:ascii="宋体" w:hAnsi="宋体" w:eastAsia="宋体" w:cs="宋体"/>
                <w:sz w:val="24"/>
                <w:szCs w:val="24"/>
              </w:rPr>
              <w:t>姓  名</w:t>
            </w:r>
          </w:p>
        </w:tc>
        <w:tc>
          <w:tcPr>
            <w:tcW w:w="1531" w:type="dxa"/>
            <w:tcMar>
              <w:top w:w="100" w:type="dxa"/>
              <w:right w:w="100" w:type="dxa"/>
            </w:tcMar>
            <w:vAlign w:val="center"/>
          </w:tcPr>
          <w:p>
            <w:pPr>
              <w:widowControl/>
              <w:autoSpaceDE w:val="0"/>
              <w:autoSpaceDN w:val="0"/>
              <w:adjustRightInd w:val="0"/>
              <w:spacing w:before="120" w:after="50"/>
              <w:jc w:val="center"/>
              <w:rPr>
                <w:rStyle w:val="38"/>
                <w:rFonts w:hint="eastAsia" w:ascii="宋体" w:hAnsi="宋体" w:eastAsia="宋体" w:cs="宋体"/>
                <w:sz w:val="24"/>
                <w:szCs w:val="24"/>
              </w:rPr>
            </w:pPr>
            <w:r>
              <w:rPr>
                <w:rStyle w:val="38"/>
                <w:rFonts w:hint="eastAsia" w:ascii="宋体" w:hAnsi="宋体" w:eastAsia="宋体" w:cs="宋体"/>
                <w:sz w:val="24"/>
                <w:szCs w:val="24"/>
              </w:rPr>
              <w:t>职务</w:t>
            </w:r>
          </w:p>
        </w:tc>
        <w:tc>
          <w:tcPr>
            <w:tcW w:w="1371" w:type="dxa"/>
            <w:tcMar>
              <w:top w:w="100" w:type="dxa"/>
              <w:right w:w="100" w:type="dxa"/>
            </w:tcMar>
            <w:vAlign w:val="center"/>
          </w:tcPr>
          <w:p>
            <w:pPr>
              <w:widowControl/>
              <w:autoSpaceDE w:val="0"/>
              <w:autoSpaceDN w:val="0"/>
              <w:adjustRightInd w:val="0"/>
              <w:spacing w:before="120" w:after="50"/>
              <w:jc w:val="center"/>
              <w:rPr>
                <w:rStyle w:val="38"/>
                <w:rFonts w:hint="eastAsia" w:ascii="宋体" w:hAnsi="宋体" w:eastAsia="宋体" w:cs="宋体"/>
                <w:sz w:val="24"/>
                <w:szCs w:val="24"/>
              </w:rPr>
            </w:pPr>
            <w:r>
              <w:rPr>
                <w:rStyle w:val="38"/>
                <w:rFonts w:hint="eastAsia" w:ascii="宋体" w:hAnsi="宋体" w:eastAsia="宋体" w:cs="宋体"/>
                <w:sz w:val="24"/>
                <w:szCs w:val="24"/>
              </w:rPr>
              <w:t>专业技</w:t>
            </w:r>
          </w:p>
          <w:p>
            <w:pPr>
              <w:widowControl/>
              <w:autoSpaceDE w:val="0"/>
              <w:autoSpaceDN w:val="0"/>
              <w:adjustRightInd w:val="0"/>
              <w:spacing w:before="120" w:after="50"/>
              <w:jc w:val="center"/>
              <w:rPr>
                <w:rStyle w:val="38"/>
                <w:rFonts w:hint="eastAsia" w:ascii="宋体" w:hAnsi="宋体" w:eastAsia="宋体" w:cs="宋体"/>
                <w:sz w:val="24"/>
                <w:szCs w:val="24"/>
              </w:rPr>
            </w:pPr>
            <w:r>
              <w:rPr>
                <w:rStyle w:val="38"/>
                <w:rFonts w:hint="eastAsia" w:ascii="宋体" w:hAnsi="宋体" w:eastAsia="宋体" w:cs="宋体"/>
                <w:sz w:val="24"/>
                <w:szCs w:val="24"/>
              </w:rPr>
              <w:t>术资格</w:t>
            </w:r>
          </w:p>
        </w:tc>
        <w:tc>
          <w:tcPr>
            <w:tcW w:w="1371" w:type="dxa"/>
            <w:tcMar>
              <w:top w:w="100" w:type="dxa"/>
              <w:right w:w="100" w:type="dxa"/>
            </w:tcMar>
            <w:vAlign w:val="center"/>
          </w:tcPr>
          <w:p>
            <w:pPr>
              <w:widowControl/>
              <w:autoSpaceDE w:val="0"/>
              <w:autoSpaceDN w:val="0"/>
              <w:adjustRightInd w:val="0"/>
              <w:spacing w:before="120" w:after="50"/>
              <w:jc w:val="center"/>
              <w:rPr>
                <w:rStyle w:val="38"/>
                <w:rFonts w:hint="eastAsia" w:ascii="宋体" w:hAnsi="宋体" w:eastAsia="宋体" w:cs="宋体"/>
                <w:sz w:val="24"/>
                <w:szCs w:val="24"/>
              </w:rPr>
            </w:pPr>
            <w:r>
              <w:rPr>
                <w:rStyle w:val="38"/>
                <w:rFonts w:hint="eastAsia" w:ascii="宋体" w:hAnsi="宋体" w:eastAsia="宋体" w:cs="宋体"/>
                <w:sz w:val="24"/>
                <w:szCs w:val="24"/>
              </w:rPr>
              <w:t>证书</w:t>
            </w:r>
          </w:p>
          <w:p>
            <w:pPr>
              <w:widowControl/>
              <w:autoSpaceDE w:val="0"/>
              <w:autoSpaceDN w:val="0"/>
              <w:adjustRightInd w:val="0"/>
              <w:spacing w:before="120" w:after="50"/>
              <w:jc w:val="center"/>
              <w:rPr>
                <w:rStyle w:val="38"/>
                <w:rFonts w:hint="eastAsia" w:ascii="宋体" w:hAnsi="宋体" w:eastAsia="宋体" w:cs="宋体"/>
                <w:sz w:val="24"/>
                <w:szCs w:val="24"/>
              </w:rPr>
            </w:pPr>
            <w:r>
              <w:rPr>
                <w:rStyle w:val="38"/>
                <w:rFonts w:hint="eastAsia" w:ascii="宋体" w:hAnsi="宋体" w:eastAsia="宋体" w:cs="宋体"/>
                <w:sz w:val="24"/>
                <w:szCs w:val="24"/>
              </w:rPr>
              <w:t>编号</w:t>
            </w:r>
          </w:p>
        </w:tc>
        <w:tc>
          <w:tcPr>
            <w:tcW w:w="1958" w:type="dxa"/>
            <w:tcMar>
              <w:top w:w="100" w:type="dxa"/>
              <w:right w:w="100" w:type="dxa"/>
            </w:tcMar>
            <w:vAlign w:val="center"/>
          </w:tcPr>
          <w:p>
            <w:pPr>
              <w:widowControl/>
              <w:autoSpaceDE w:val="0"/>
              <w:autoSpaceDN w:val="0"/>
              <w:adjustRightInd w:val="0"/>
              <w:spacing w:before="120" w:after="50"/>
              <w:jc w:val="center"/>
              <w:rPr>
                <w:rStyle w:val="38"/>
                <w:rFonts w:hint="eastAsia" w:ascii="宋体" w:hAnsi="宋体" w:eastAsia="宋体" w:cs="宋体"/>
                <w:sz w:val="24"/>
                <w:szCs w:val="24"/>
              </w:rPr>
            </w:pPr>
            <w:r>
              <w:rPr>
                <w:rStyle w:val="38"/>
                <w:rFonts w:hint="eastAsia" w:ascii="宋体" w:hAnsi="宋体" w:eastAsia="宋体" w:cs="宋体"/>
                <w:sz w:val="24"/>
                <w:szCs w:val="24"/>
              </w:rPr>
              <w:t>参加本单位工作时间</w:t>
            </w:r>
          </w:p>
        </w:tc>
        <w:tc>
          <w:tcPr>
            <w:tcW w:w="2321" w:type="dxa"/>
            <w:tcMar>
              <w:top w:w="100" w:type="dxa"/>
              <w:right w:w="100" w:type="dxa"/>
            </w:tcMar>
            <w:vAlign w:val="center"/>
          </w:tcPr>
          <w:p>
            <w:pPr>
              <w:widowControl/>
              <w:autoSpaceDE w:val="0"/>
              <w:autoSpaceDN w:val="0"/>
              <w:adjustRightInd w:val="0"/>
              <w:spacing w:before="120" w:after="50"/>
              <w:jc w:val="center"/>
              <w:rPr>
                <w:rStyle w:val="38"/>
                <w:rFonts w:hint="eastAsia" w:ascii="宋体" w:hAnsi="宋体" w:eastAsia="宋体" w:cs="宋体"/>
                <w:sz w:val="24"/>
                <w:szCs w:val="24"/>
              </w:rPr>
            </w:pPr>
            <w:r>
              <w:rPr>
                <w:rStyle w:val="38"/>
                <w:rFonts w:hint="eastAsia" w:ascii="宋体" w:hAnsi="宋体" w:eastAsia="宋体" w:cs="宋体"/>
                <w:sz w:val="24"/>
                <w:szCs w:val="24"/>
              </w:rPr>
              <w:t>劳动合</w:t>
            </w:r>
          </w:p>
          <w:p>
            <w:pPr>
              <w:widowControl/>
              <w:autoSpaceDE w:val="0"/>
              <w:autoSpaceDN w:val="0"/>
              <w:adjustRightInd w:val="0"/>
              <w:spacing w:before="120" w:after="50"/>
              <w:jc w:val="center"/>
              <w:rPr>
                <w:rStyle w:val="38"/>
                <w:rFonts w:hint="eastAsia" w:ascii="宋体" w:hAnsi="宋体" w:eastAsia="宋体" w:cs="宋体"/>
                <w:sz w:val="24"/>
                <w:szCs w:val="24"/>
              </w:rPr>
            </w:pPr>
            <w:r>
              <w:rPr>
                <w:rStyle w:val="38"/>
                <w:rFonts w:hint="eastAsia" w:ascii="宋体" w:hAnsi="宋体" w:eastAsia="宋体" w:cs="宋体"/>
                <w:sz w:val="24"/>
                <w:szCs w:val="24"/>
              </w:rPr>
              <w:t>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ind w:left="5250"/>
              <w:rPr>
                <w:rFonts w:hint="eastAsia" w:ascii="宋体" w:hAnsi="宋体" w:eastAsia="宋体" w:cs="宋体"/>
                <w:b/>
                <w:bCs/>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bl>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kern w:val="1"/>
          <w:sz w:val="24"/>
          <w:szCs w:val="24"/>
        </w:rPr>
        <w:t>注：</w:t>
      </w:r>
      <w:r>
        <w:rPr>
          <w:rFonts w:hint="eastAsia" w:ascii="宋体" w:hAnsi="宋体" w:eastAsia="宋体" w:cs="宋体"/>
          <w:kern w:val="1"/>
          <w:sz w:val="24"/>
          <w:szCs w:val="24"/>
          <w:lang w:val="en-US" w:eastAsia="zh-CN"/>
        </w:rPr>
        <w:t>1.</w:t>
      </w:r>
      <w:r>
        <w:rPr>
          <w:rFonts w:hint="eastAsia" w:ascii="宋体" w:hAnsi="宋体" w:eastAsia="宋体" w:cs="宋体"/>
          <w:kern w:val="1"/>
          <w:sz w:val="24"/>
          <w:szCs w:val="24"/>
        </w:rPr>
        <w:t>在填写时，如本表格不适合投标单位的实际情况，可根据本表格式自行制表填写。</w:t>
      </w:r>
    </w:p>
    <w:p>
      <w:pPr>
        <w:pStyle w:val="13"/>
        <w:rPr>
          <w:rFonts w:hint="eastAsia" w:ascii="宋体" w:hAnsi="宋体" w:eastAsia="宋体" w:cs="宋体"/>
          <w:lang w:val="en-US" w:eastAsia="zh-CN"/>
        </w:rPr>
      </w:pPr>
      <w:r>
        <w:rPr>
          <w:rFonts w:hint="eastAsia" w:ascii="宋体" w:hAnsi="宋体" w:eastAsia="宋体" w:cs="宋体"/>
          <w:kern w:val="1"/>
          <w:sz w:val="24"/>
          <w:szCs w:val="24"/>
          <w:lang w:val="en-US" w:eastAsia="zh-CN"/>
        </w:rPr>
        <w:t xml:space="preserve">    2.本表后附从业人员证明材料。</w:t>
      </w:r>
    </w:p>
    <w:p>
      <w:pPr>
        <w:spacing w:line="440" w:lineRule="exact"/>
        <w:ind w:firstLine="4108" w:firstLineChars="1712"/>
        <w:rPr>
          <w:rFonts w:hint="eastAsia" w:ascii="宋体" w:hAnsi="宋体" w:eastAsia="宋体" w:cs="宋体"/>
          <w:sz w:val="24"/>
          <w:szCs w:val="24"/>
        </w:rPr>
      </w:pPr>
    </w:p>
    <w:p>
      <w:pPr>
        <w:spacing w:line="440" w:lineRule="exact"/>
        <w:ind w:firstLine="4108" w:firstLineChars="1712"/>
        <w:rPr>
          <w:rFonts w:hint="eastAsia" w:ascii="宋体" w:hAnsi="宋体" w:eastAsia="宋体" w:cs="宋体"/>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widowControl/>
        <w:autoSpaceDE w:val="0"/>
        <w:autoSpaceDN w:val="0"/>
        <w:adjustRightInd w:val="0"/>
        <w:spacing w:line="440" w:lineRule="exact"/>
        <w:ind w:firstLine="4080" w:firstLineChars="17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autoSpaceDE w:val="0"/>
        <w:autoSpaceDN w:val="0"/>
        <w:adjustRightInd w:val="0"/>
        <w:spacing w:line="440" w:lineRule="exact"/>
        <w:rPr>
          <w:rFonts w:hint="eastAsia" w:ascii="宋体" w:hAnsi="宋体" w:eastAsia="宋体" w:cs="宋体"/>
          <w:kern w:val="1"/>
        </w:rPr>
      </w:pPr>
      <w:r>
        <w:rPr>
          <w:rFonts w:hint="eastAsia" w:ascii="宋体" w:hAnsi="宋体" w:eastAsia="宋体" w:cs="宋体"/>
          <w:kern w:val="1"/>
        </w:rPr>
        <w:br w:type="page"/>
      </w:r>
    </w:p>
    <w:p>
      <w:pPr>
        <w:widowControl/>
        <w:autoSpaceDE w:val="0"/>
        <w:autoSpaceDN w:val="0"/>
        <w:adjustRightInd w:val="0"/>
        <w:spacing w:afterLines="100" w:line="440" w:lineRule="exact"/>
        <w:jc w:val="center"/>
        <w:rPr>
          <w:rFonts w:hint="eastAsia" w:ascii="宋体" w:hAnsi="宋体" w:eastAsia="宋体" w:cs="宋体"/>
          <w:kern w:val="1"/>
        </w:rPr>
      </w:pPr>
      <w:r>
        <w:rPr>
          <w:rFonts w:hint="eastAsia" w:ascii="宋体" w:hAnsi="宋体" w:eastAsia="宋体" w:cs="宋体"/>
          <w:kern w:val="1"/>
          <w:sz w:val="28"/>
          <w:szCs w:val="28"/>
          <w:lang w:val="en-US" w:eastAsia="zh-CN"/>
        </w:rPr>
        <w:t>六</w:t>
      </w:r>
      <w:r>
        <w:rPr>
          <w:rFonts w:hint="eastAsia" w:ascii="宋体" w:hAnsi="宋体" w:eastAsia="宋体" w:cs="宋体"/>
          <w:kern w:val="1"/>
          <w:sz w:val="28"/>
          <w:szCs w:val="28"/>
        </w:rPr>
        <w:t>、</w:t>
      </w:r>
      <w:r>
        <w:rPr>
          <w:rStyle w:val="38"/>
          <w:rFonts w:hint="eastAsia" w:ascii="宋体" w:hAnsi="宋体" w:eastAsia="宋体" w:cs="宋体"/>
          <w:sz w:val="28"/>
          <w:szCs w:val="28"/>
        </w:rPr>
        <w:t>保证供货周期的组织方案以及人力资源安排</w:t>
      </w:r>
    </w:p>
    <w:p>
      <w:pPr>
        <w:widowControl/>
        <w:autoSpaceDE w:val="0"/>
        <w:autoSpaceDN w:val="0"/>
        <w:adjustRightInd w:val="0"/>
        <w:spacing w:line="440" w:lineRule="exact"/>
        <w:rPr>
          <w:rFonts w:hint="eastAsia" w:ascii="宋体" w:hAnsi="宋体" w:eastAsia="宋体" w:cs="宋体"/>
          <w:kern w:val="1"/>
        </w:rPr>
      </w:pPr>
    </w:p>
    <w:p>
      <w:pPr>
        <w:widowControl/>
        <w:autoSpaceDE w:val="0"/>
        <w:autoSpaceDN w:val="0"/>
        <w:adjustRightInd w:val="0"/>
        <w:spacing w:line="440" w:lineRule="exact"/>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line="440" w:lineRule="exact"/>
        <w:jc w:val="center"/>
        <w:rPr>
          <w:rFonts w:hint="eastAsia" w:ascii="宋体" w:hAnsi="宋体" w:eastAsia="宋体" w:cs="宋体"/>
          <w:kern w:val="1"/>
        </w:rPr>
      </w:pPr>
      <w:r>
        <w:rPr>
          <w:rFonts w:hint="eastAsia" w:ascii="宋体" w:hAnsi="宋体" w:eastAsia="宋体" w:cs="宋体"/>
          <w:kern w:val="1"/>
          <w:sz w:val="28"/>
          <w:szCs w:val="28"/>
          <w:lang w:val="en-US" w:eastAsia="zh-CN"/>
        </w:rPr>
        <w:t>七</w:t>
      </w:r>
      <w:r>
        <w:rPr>
          <w:rFonts w:hint="eastAsia" w:ascii="宋体" w:hAnsi="宋体" w:eastAsia="宋体" w:cs="宋体"/>
          <w:kern w:val="1"/>
          <w:sz w:val="28"/>
          <w:szCs w:val="28"/>
        </w:rPr>
        <w:t>、售后服务方案及承诺</w:t>
      </w:r>
    </w:p>
    <w:p>
      <w:pPr>
        <w:widowControl/>
        <w:autoSpaceDE w:val="0"/>
        <w:autoSpaceDN w:val="0"/>
        <w:adjustRightInd w:val="0"/>
        <w:spacing w:line="440" w:lineRule="exact"/>
        <w:rPr>
          <w:rFonts w:hint="eastAsia" w:ascii="宋体" w:hAnsi="宋体" w:eastAsia="宋体" w:cs="宋体"/>
          <w:kern w:val="1"/>
        </w:rPr>
      </w:pPr>
      <w:r>
        <w:rPr>
          <w:rFonts w:hint="eastAsia" w:ascii="宋体" w:hAnsi="宋体" w:eastAsia="宋体" w:cs="宋体"/>
          <w:kern w:val="1"/>
        </w:rPr>
        <w:t>（</w:t>
      </w:r>
      <w:r>
        <w:rPr>
          <w:rFonts w:hint="eastAsia" w:ascii="宋体" w:hAnsi="宋体" w:eastAsia="宋体" w:cs="宋体"/>
          <w:sz w:val="24"/>
          <w:szCs w:val="24"/>
        </w:rPr>
        <w:t>承诺到货率、质保期、质量有问题的货物提供备品、设立专门的用户服务机构及热线、售后服务体系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服务人员</w:t>
      </w:r>
      <w:r>
        <w:rPr>
          <w:rFonts w:hint="eastAsia" w:ascii="宋体" w:hAnsi="宋体" w:eastAsia="宋体" w:cs="宋体"/>
          <w:sz w:val="24"/>
          <w:szCs w:val="24"/>
        </w:rPr>
        <w:t>等，投标人自拟</w:t>
      </w:r>
      <w:r>
        <w:rPr>
          <w:rFonts w:hint="eastAsia" w:ascii="宋体" w:hAnsi="宋体" w:eastAsia="宋体" w:cs="宋体"/>
          <w:kern w:val="1"/>
        </w:rPr>
        <w:t>）</w:t>
      </w:r>
    </w:p>
    <w:p>
      <w:pPr>
        <w:widowControl/>
        <w:autoSpaceDE w:val="0"/>
        <w:autoSpaceDN w:val="0"/>
        <w:adjustRightInd w:val="0"/>
        <w:spacing w:line="440" w:lineRule="exact"/>
        <w:rPr>
          <w:rFonts w:hint="eastAsia" w:ascii="宋体" w:hAnsi="宋体" w:eastAsia="宋体" w:cs="宋体"/>
          <w:kern w:val="1"/>
        </w:rPr>
      </w:pP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line="440" w:lineRule="exact"/>
        <w:jc w:val="center"/>
        <w:rPr>
          <w:rStyle w:val="38"/>
          <w:rFonts w:hint="eastAsia" w:ascii="宋体" w:hAnsi="宋体" w:eastAsia="宋体" w:cs="宋体"/>
          <w:sz w:val="28"/>
          <w:szCs w:val="28"/>
        </w:rPr>
      </w:pPr>
      <w:r>
        <w:rPr>
          <w:rStyle w:val="38"/>
          <w:rFonts w:hint="eastAsia" w:ascii="宋体" w:hAnsi="宋体" w:eastAsia="宋体" w:cs="宋体"/>
          <w:sz w:val="28"/>
          <w:szCs w:val="28"/>
          <w:lang w:val="en-US" w:eastAsia="zh-CN"/>
        </w:rPr>
        <w:t>八</w:t>
      </w:r>
      <w:r>
        <w:rPr>
          <w:rStyle w:val="38"/>
          <w:rFonts w:hint="eastAsia" w:ascii="宋体" w:hAnsi="宋体" w:eastAsia="宋体" w:cs="宋体"/>
          <w:sz w:val="28"/>
          <w:szCs w:val="28"/>
        </w:rPr>
        <w:t>、投标人需要说明的其他文件和说明</w:t>
      </w:r>
    </w:p>
    <w:p>
      <w:pPr>
        <w:widowControl/>
        <w:autoSpaceDE w:val="0"/>
        <w:autoSpaceDN w:val="0"/>
        <w:adjustRightInd w:val="0"/>
        <w:spacing w:line="440" w:lineRule="exact"/>
        <w:rPr>
          <w:rStyle w:val="38"/>
          <w:rFonts w:hint="eastAsia" w:ascii="宋体" w:hAnsi="宋体" w:eastAsia="宋体" w:cs="宋体"/>
          <w:sz w:val="28"/>
          <w:szCs w:val="28"/>
          <w:lang w:val="en-GB"/>
        </w:rPr>
      </w:pPr>
      <w:r>
        <w:rPr>
          <w:rStyle w:val="38"/>
          <w:rFonts w:hint="eastAsia" w:ascii="宋体" w:hAnsi="宋体" w:eastAsia="宋体" w:cs="宋体"/>
          <w:sz w:val="24"/>
          <w:szCs w:val="24"/>
        </w:rPr>
        <w:t>（格式自拟）</w:t>
      </w:r>
      <w:bookmarkEnd w:id="195"/>
    </w:p>
    <w:sectPr>
      <w:footerReference r:id="rId6" w:type="default"/>
      <w:pgSz w:w="11906" w:h="16838"/>
      <w:pgMar w:top="1440" w:right="1440" w:bottom="1440" w:left="1440"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ACDC74E-0687-464C-BAAD-1B2681CEF2A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D0168FB2-A7BC-489B-936D-C2799AFA2C23}"/>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embedRegular r:id="rId3" w:fontKey="{6BACC45C-07D6-4B14-AC16-C29C6ACC91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37CB8"/>
    <w:multiLevelType w:val="singleLevel"/>
    <w:tmpl w:val="95B37CB8"/>
    <w:lvl w:ilvl="0" w:tentative="0">
      <w:start w:val="1"/>
      <w:numFmt w:val="decimal"/>
      <w:suff w:val="nothing"/>
      <w:lvlText w:val="%1、"/>
      <w:lvlJc w:val="left"/>
    </w:lvl>
  </w:abstractNum>
  <w:abstractNum w:abstractNumId="1">
    <w:nsid w:val="9DFB31B7"/>
    <w:multiLevelType w:val="multilevel"/>
    <w:tmpl w:val="9DFB31B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A03D35CD"/>
    <w:multiLevelType w:val="singleLevel"/>
    <w:tmpl w:val="A03D35CD"/>
    <w:lvl w:ilvl="0" w:tentative="0">
      <w:start w:val="16"/>
      <w:numFmt w:val="decimal"/>
      <w:suff w:val="nothing"/>
      <w:lvlText w:val="%1、"/>
      <w:lvlJc w:val="left"/>
    </w:lvl>
  </w:abstractNum>
  <w:abstractNum w:abstractNumId="3">
    <w:nsid w:val="DD7B22E5"/>
    <w:multiLevelType w:val="singleLevel"/>
    <w:tmpl w:val="DD7B22E5"/>
    <w:lvl w:ilvl="0" w:tentative="0">
      <w:start w:val="4"/>
      <w:numFmt w:val="decimal"/>
      <w:suff w:val="nothing"/>
      <w:lvlText w:val="%1、"/>
      <w:lvlJc w:val="left"/>
    </w:lvl>
  </w:abstractNum>
  <w:abstractNum w:abstractNumId="4">
    <w:nsid w:val="DFBD56FD"/>
    <w:multiLevelType w:val="singleLevel"/>
    <w:tmpl w:val="DFBD56FD"/>
    <w:lvl w:ilvl="0" w:tentative="0">
      <w:start w:val="3"/>
      <w:numFmt w:val="decimal"/>
      <w:suff w:val="nothing"/>
      <w:lvlText w:val="%1、"/>
      <w:lvlJc w:val="left"/>
    </w:lvl>
  </w:abstractNum>
  <w:abstractNum w:abstractNumId="5">
    <w:nsid w:val="EA8089DC"/>
    <w:multiLevelType w:val="singleLevel"/>
    <w:tmpl w:val="EA8089DC"/>
    <w:lvl w:ilvl="0" w:tentative="0">
      <w:start w:val="1"/>
      <w:numFmt w:val="chineseCounting"/>
      <w:suff w:val="nothing"/>
      <w:lvlText w:val="%1、"/>
      <w:lvlJc w:val="left"/>
      <w:rPr>
        <w:rFonts w:hint="eastAsia"/>
      </w:rPr>
    </w:lvl>
  </w:abstractNum>
  <w:abstractNum w:abstractNumId="6">
    <w:nsid w:val="F167B430"/>
    <w:multiLevelType w:val="singleLevel"/>
    <w:tmpl w:val="F167B430"/>
    <w:lvl w:ilvl="0" w:tentative="0">
      <w:start w:val="1"/>
      <w:numFmt w:val="chineseCounting"/>
      <w:suff w:val="nothing"/>
      <w:lvlText w:val="（%1）"/>
      <w:lvlJc w:val="left"/>
      <w:rPr>
        <w:rFonts w:hint="eastAsia"/>
      </w:rPr>
    </w:lvl>
  </w:abstractNum>
  <w:abstractNum w:abstractNumId="7">
    <w:nsid w:val="10F0DB0B"/>
    <w:multiLevelType w:val="multilevel"/>
    <w:tmpl w:val="10F0DB0B"/>
    <w:lvl w:ilvl="0" w:tentative="0">
      <w:start w:val="1"/>
      <w:numFmt w:val="decimal"/>
      <w:lvlText w:val="%1."/>
      <w:lvlJc w:val="left"/>
      <w:pPr>
        <w:ind w:left="108" w:hanging="241"/>
        <w:jc w:val="left"/>
      </w:pPr>
      <w:rPr>
        <w:rFonts w:hint="default" w:ascii="仿宋" w:hAnsi="仿宋" w:eastAsia="仿宋" w:cs="仿宋"/>
        <w:spacing w:val="-96"/>
        <w:w w:val="100"/>
        <w:sz w:val="22"/>
        <w:szCs w:val="22"/>
        <w:lang w:val="zh-CN" w:eastAsia="zh-CN" w:bidi="zh-CN"/>
      </w:rPr>
    </w:lvl>
    <w:lvl w:ilvl="1" w:tentative="0">
      <w:start w:val="0"/>
      <w:numFmt w:val="bullet"/>
      <w:lvlText w:val="•"/>
      <w:lvlJc w:val="left"/>
      <w:pPr>
        <w:ind w:left="703" w:hanging="241"/>
      </w:pPr>
      <w:rPr>
        <w:rFonts w:hint="default"/>
        <w:lang w:val="zh-CN" w:eastAsia="zh-CN" w:bidi="zh-CN"/>
      </w:rPr>
    </w:lvl>
    <w:lvl w:ilvl="2" w:tentative="0">
      <w:start w:val="0"/>
      <w:numFmt w:val="bullet"/>
      <w:lvlText w:val="•"/>
      <w:lvlJc w:val="left"/>
      <w:pPr>
        <w:ind w:left="1307" w:hanging="241"/>
      </w:pPr>
      <w:rPr>
        <w:rFonts w:hint="default"/>
        <w:lang w:val="zh-CN" w:eastAsia="zh-CN" w:bidi="zh-CN"/>
      </w:rPr>
    </w:lvl>
    <w:lvl w:ilvl="3" w:tentative="0">
      <w:start w:val="0"/>
      <w:numFmt w:val="bullet"/>
      <w:lvlText w:val="•"/>
      <w:lvlJc w:val="left"/>
      <w:pPr>
        <w:ind w:left="1910" w:hanging="241"/>
      </w:pPr>
      <w:rPr>
        <w:rFonts w:hint="default"/>
        <w:lang w:val="zh-CN" w:eastAsia="zh-CN" w:bidi="zh-CN"/>
      </w:rPr>
    </w:lvl>
    <w:lvl w:ilvl="4" w:tentative="0">
      <w:start w:val="0"/>
      <w:numFmt w:val="bullet"/>
      <w:lvlText w:val="•"/>
      <w:lvlJc w:val="left"/>
      <w:pPr>
        <w:ind w:left="2514" w:hanging="241"/>
      </w:pPr>
      <w:rPr>
        <w:rFonts w:hint="default"/>
        <w:lang w:val="zh-CN" w:eastAsia="zh-CN" w:bidi="zh-CN"/>
      </w:rPr>
    </w:lvl>
    <w:lvl w:ilvl="5" w:tentative="0">
      <w:start w:val="0"/>
      <w:numFmt w:val="bullet"/>
      <w:lvlText w:val="•"/>
      <w:lvlJc w:val="left"/>
      <w:pPr>
        <w:ind w:left="3117" w:hanging="241"/>
      </w:pPr>
      <w:rPr>
        <w:rFonts w:hint="default"/>
        <w:lang w:val="zh-CN" w:eastAsia="zh-CN" w:bidi="zh-CN"/>
      </w:rPr>
    </w:lvl>
    <w:lvl w:ilvl="6" w:tentative="0">
      <w:start w:val="0"/>
      <w:numFmt w:val="bullet"/>
      <w:lvlText w:val="•"/>
      <w:lvlJc w:val="left"/>
      <w:pPr>
        <w:ind w:left="3721" w:hanging="241"/>
      </w:pPr>
      <w:rPr>
        <w:rFonts w:hint="default"/>
        <w:lang w:val="zh-CN" w:eastAsia="zh-CN" w:bidi="zh-CN"/>
      </w:rPr>
    </w:lvl>
    <w:lvl w:ilvl="7" w:tentative="0">
      <w:start w:val="0"/>
      <w:numFmt w:val="bullet"/>
      <w:lvlText w:val="•"/>
      <w:lvlJc w:val="left"/>
      <w:pPr>
        <w:ind w:left="4324" w:hanging="241"/>
      </w:pPr>
      <w:rPr>
        <w:rFonts w:hint="default"/>
        <w:lang w:val="zh-CN" w:eastAsia="zh-CN" w:bidi="zh-CN"/>
      </w:rPr>
    </w:lvl>
    <w:lvl w:ilvl="8" w:tentative="0">
      <w:start w:val="0"/>
      <w:numFmt w:val="bullet"/>
      <w:lvlText w:val="•"/>
      <w:lvlJc w:val="left"/>
      <w:pPr>
        <w:ind w:left="4928" w:hanging="241"/>
      </w:pPr>
      <w:rPr>
        <w:rFonts w:hint="default"/>
        <w:lang w:val="zh-CN" w:eastAsia="zh-CN" w:bidi="zh-CN"/>
      </w:rPr>
    </w:lvl>
  </w:abstractNum>
  <w:abstractNum w:abstractNumId="8">
    <w:nsid w:val="11BA8C19"/>
    <w:multiLevelType w:val="singleLevel"/>
    <w:tmpl w:val="11BA8C19"/>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9">
    <w:nsid w:val="1224D179"/>
    <w:multiLevelType w:val="singleLevel"/>
    <w:tmpl w:val="1224D179"/>
    <w:lvl w:ilvl="0" w:tentative="0">
      <w:start w:val="3"/>
      <w:numFmt w:val="chineseCounting"/>
      <w:suff w:val="nothing"/>
      <w:lvlText w:val="%1、"/>
      <w:lvlJc w:val="left"/>
      <w:rPr>
        <w:rFonts w:hint="eastAsia"/>
      </w:rPr>
    </w:lvl>
  </w:abstractNum>
  <w:abstractNum w:abstractNumId="10">
    <w:nsid w:val="1A2F2D31"/>
    <w:multiLevelType w:val="multilevel"/>
    <w:tmpl w:val="1A2F2D31"/>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A380784"/>
    <w:multiLevelType w:val="multilevel"/>
    <w:tmpl w:val="1A3807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C878EF"/>
    <w:multiLevelType w:val="multilevel"/>
    <w:tmpl w:val="2EC878EF"/>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3ED6611B"/>
    <w:multiLevelType w:val="multilevel"/>
    <w:tmpl w:val="3ED6611B"/>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2EA459D"/>
    <w:multiLevelType w:val="multilevel"/>
    <w:tmpl w:val="42EA459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4F402CB"/>
    <w:multiLevelType w:val="multilevel"/>
    <w:tmpl w:val="44F402C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D63189B"/>
    <w:multiLevelType w:val="multilevel"/>
    <w:tmpl w:val="4D63189B"/>
    <w:lvl w:ilvl="0" w:tentative="0">
      <w:start w:val="1"/>
      <w:numFmt w:val="decimal"/>
      <w:lvlText w:val="%1."/>
      <w:lvlJc w:val="left"/>
      <w:pPr>
        <w:ind w:left="108" w:hanging="248"/>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703" w:hanging="248"/>
      </w:pPr>
      <w:rPr>
        <w:rFonts w:hint="default"/>
        <w:lang w:val="zh-CN" w:eastAsia="zh-CN" w:bidi="zh-CN"/>
      </w:rPr>
    </w:lvl>
    <w:lvl w:ilvl="2" w:tentative="0">
      <w:start w:val="0"/>
      <w:numFmt w:val="bullet"/>
      <w:lvlText w:val="•"/>
      <w:lvlJc w:val="left"/>
      <w:pPr>
        <w:ind w:left="1307" w:hanging="248"/>
      </w:pPr>
      <w:rPr>
        <w:rFonts w:hint="default"/>
        <w:lang w:val="zh-CN" w:eastAsia="zh-CN" w:bidi="zh-CN"/>
      </w:rPr>
    </w:lvl>
    <w:lvl w:ilvl="3" w:tentative="0">
      <w:start w:val="0"/>
      <w:numFmt w:val="bullet"/>
      <w:lvlText w:val="•"/>
      <w:lvlJc w:val="left"/>
      <w:pPr>
        <w:ind w:left="1910" w:hanging="248"/>
      </w:pPr>
      <w:rPr>
        <w:rFonts w:hint="default"/>
        <w:lang w:val="zh-CN" w:eastAsia="zh-CN" w:bidi="zh-CN"/>
      </w:rPr>
    </w:lvl>
    <w:lvl w:ilvl="4" w:tentative="0">
      <w:start w:val="0"/>
      <w:numFmt w:val="bullet"/>
      <w:lvlText w:val="•"/>
      <w:lvlJc w:val="left"/>
      <w:pPr>
        <w:ind w:left="2514" w:hanging="248"/>
      </w:pPr>
      <w:rPr>
        <w:rFonts w:hint="default"/>
        <w:lang w:val="zh-CN" w:eastAsia="zh-CN" w:bidi="zh-CN"/>
      </w:rPr>
    </w:lvl>
    <w:lvl w:ilvl="5" w:tentative="0">
      <w:start w:val="0"/>
      <w:numFmt w:val="bullet"/>
      <w:lvlText w:val="•"/>
      <w:lvlJc w:val="left"/>
      <w:pPr>
        <w:ind w:left="3117" w:hanging="248"/>
      </w:pPr>
      <w:rPr>
        <w:rFonts w:hint="default"/>
        <w:lang w:val="zh-CN" w:eastAsia="zh-CN" w:bidi="zh-CN"/>
      </w:rPr>
    </w:lvl>
    <w:lvl w:ilvl="6" w:tentative="0">
      <w:start w:val="0"/>
      <w:numFmt w:val="bullet"/>
      <w:lvlText w:val="•"/>
      <w:lvlJc w:val="left"/>
      <w:pPr>
        <w:ind w:left="3721" w:hanging="248"/>
      </w:pPr>
      <w:rPr>
        <w:rFonts w:hint="default"/>
        <w:lang w:val="zh-CN" w:eastAsia="zh-CN" w:bidi="zh-CN"/>
      </w:rPr>
    </w:lvl>
    <w:lvl w:ilvl="7" w:tentative="0">
      <w:start w:val="0"/>
      <w:numFmt w:val="bullet"/>
      <w:lvlText w:val="•"/>
      <w:lvlJc w:val="left"/>
      <w:pPr>
        <w:ind w:left="4324" w:hanging="248"/>
      </w:pPr>
      <w:rPr>
        <w:rFonts w:hint="default"/>
        <w:lang w:val="zh-CN" w:eastAsia="zh-CN" w:bidi="zh-CN"/>
      </w:rPr>
    </w:lvl>
    <w:lvl w:ilvl="8" w:tentative="0">
      <w:start w:val="0"/>
      <w:numFmt w:val="bullet"/>
      <w:lvlText w:val="•"/>
      <w:lvlJc w:val="left"/>
      <w:pPr>
        <w:ind w:left="4928" w:hanging="248"/>
      </w:pPr>
      <w:rPr>
        <w:rFonts w:hint="default"/>
        <w:lang w:val="zh-CN" w:eastAsia="zh-CN" w:bidi="zh-CN"/>
      </w:rPr>
    </w:lvl>
  </w:abstractNum>
  <w:abstractNum w:abstractNumId="17">
    <w:nsid w:val="4E530F18"/>
    <w:multiLevelType w:val="multilevel"/>
    <w:tmpl w:val="4E530F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FDB5142"/>
    <w:multiLevelType w:val="multilevel"/>
    <w:tmpl w:val="4FDB5142"/>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9">
    <w:nsid w:val="5626ED99"/>
    <w:multiLevelType w:val="singleLevel"/>
    <w:tmpl w:val="5626ED99"/>
    <w:lvl w:ilvl="0" w:tentative="0">
      <w:start w:val="2"/>
      <w:numFmt w:val="chineseCounting"/>
      <w:suff w:val="nothing"/>
      <w:lvlText w:val="%1、"/>
      <w:lvlJc w:val="left"/>
    </w:lvl>
  </w:abstractNum>
  <w:abstractNum w:abstractNumId="20">
    <w:nsid w:val="586B4E59"/>
    <w:multiLevelType w:val="multilevel"/>
    <w:tmpl w:val="586B4E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9794E73"/>
    <w:multiLevelType w:val="singleLevel"/>
    <w:tmpl w:val="69794E73"/>
    <w:lvl w:ilvl="0" w:tentative="0">
      <w:start w:val="1"/>
      <w:numFmt w:val="decimal"/>
      <w:suff w:val="nothing"/>
      <w:lvlText w:val="%1、"/>
      <w:lvlJc w:val="left"/>
    </w:lvl>
  </w:abstractNum>
  <w:abstractNum w:abstractNumId="22">
    <w:nsid w:val="6C7924C9"/>
    <w:multiLevelType w:val="multilevel"/>
    <w:tmpl w:val="6C7924C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21F7164"/>
    <w:multiLevelType w:val="multilevel"/>
    <w:tmpl w:val="721F7164"/>
    <w:lvl w:ilvl="0" w:tentative="0">
      <w:start w:val="1"/>
      <w:numFmt w:val="decimal"/>
      <w:pStyle w:val="59"/>
      <w:lvlText w:val="(%1)"/>
      <w:lvlJc w:val="left"/>
      <w:pPr>
        <w:ind w:left="1134" w:hanging="567"/>
      </w:pPr>
      <w:rPr>
        <w:rFonts w:hint="default" w:ascii="Arial" w:hAnsi="Arial" w:eastAsia="宋体"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8"/>
  </w:num>
  <w:num w:numId="3">
    <w:abstractNumId w:val="23"/>
  </w:num>
  <w:num w:numId="4">
    <w:abstractNumId w:val="7"/>
  </w:num>
  <w:num w:numId="5">
    <w:abstractNumId w:val="16"/>
  </w:num>
  <w:num w:numId="6">
    <w:abstractNumId w:val="21"/>
  </w:num>
  <w:num w:numId="7">
    <w:abstractNumId w:val="0"/>
  </w:num>
  <w:num w:numId="8">
    <w:abstractNumId w:val="5"/>
  </w:num>
  <w:num w:numId="9">
    <w:abstractNumId w:val="19"/>
  </w:num>
  <w:num w:numId="10">
    <w:abstractNumId w:val="3"/>
  </w:num>
  <w:num w:numId="11">
    <w:abstractNumId w:val="10"/>
  </w:num>
  <w:num w:numId="12">
    <w:abstractNumId w:val="20"/>
  </w:num>
  <w:num w:numId="13">
    <w:abstractNumId w:val="22"/>
  </w:num>
  <w:num w:numId="14">
    <w:abstractNumId w:val="15"/>
  </w:num>
  <w:num w:numId="15">
    <w:abstractNumId w:val="13"/>
  </w:num>
  <w:num w:numId="16">
    <w:abstractNumId w:val="11"/>
  </w:num>
  <w:num w:numId="17">
    <w:abstractNumId w:val="17"/>
  </w:num>
  <w:num w:numId="18">
    <w:abstractNumId w:val="4"/>
  </w:num>
  <w:num w:numId="19">
    <w:abstractNumId w:val="14"/>
  </w:num>
  <w:num w:numId="20">
    <w:abstractNumId w:val="18"/>
  </w:num>
  <w:num w:numId="21">
    <w:abstractNumId w:val="12"/>
  </w:num>
  <w:num w:numId="22">
    <w:abstractNumId w:val="2"/>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NzhjNmE5YmFjZDdiNjEwNzcwZjQ4ZTJiNzg4Y2YifQ=="/>
  </w:docVars>
  <w:rsids>
    <w:rsidRoot w:val="3390740E"/>
    <w:rsid w:val="000E5F84"/>
    <w:rsid w:val="000F69F9"/>
    <w:rsid w:val="00183D1F"/>
    <w:rsid w:val="00257221"/>
    <w:rsid w:val="002A42F1"/>
    <w:rsid w:val="003345CE"/>
    <w:rsid w:val="00415F32"/>
    <w:rsid w:val="00504317"/>
    <w:rsid w:val="00717D3D"/>
    <w:rsid w:val="00786FF5"/>
    <w:rsid w:val="007B6AC9"/>
    <w:rsid w:val="00821480"/>
    <w:rsid w:val="00875A65"/>
    <w:rsid w:val="00A47684"/>
    <w:rsid w:val="00AC69F1"/>
    <w:rsid w:val="00B05DFB"/>
    <w:rsid w:val="00D310F9"/>
    <w:rsid w:val="00D464FF"/>
    <w:rsid w:val="00E462C7"/>
    <w:rsid w:val="00F07841"/>
    <w:rsid w:val="01070540"/>
    <w:rsid w:val="011C7A61"/>
    <w:rsid w:val="012D0409"/>
    <w:rsid w:val="01391B08"/>
    <w:rsid w:val="01415FE7"/>
    <w:rsid w:val="01466841"/>
    <w:rsid w:val="0153326A"/>
    <w:rsid w:val="01596BDC"/>
    <w:rsid w:val="015F4D05"/>
    <w:rsid w:val="016E15F0"/>
    <w:rsid w:val="017B0FD9"/>
    <w:rsid w:val="01867FFC"/>
    <w:rsid w:val="019978BC"/>
    <w:rsid w:val="01B46B1C"/>
    <w:rsid w:val="01D82F31"/>
    <w:rsid w:val="01E65A4B"/>
    <w:rsid w:val="01EB70EB"/>
    <w:rsid w:val="01F30FC2"/>
    <w:rsid w:val="01F37548"/>
    <w:rsid w:val="01F7546E"/>
    <w:rsid w:val="01FE3195"/>
    <w:rsid w:val="0211075A"/>
    <w:rsid w:val="02190CDE"/>
    <w:rsid w:val="02244E15"/>
    <w:rsid w:val="02251590"/>
    <w:rsid w:val="023F68CD"/>
    <w:rsid w:val="02542E95"/>
    <w:rsid w:val="025808D4"/>
    <w:rsid w:val="0261475F"/>
    <w:rsid w:val="02654DFF"/>
    <w:rsid w:val="026D4780"/>
    <w:rsid w:val="029C61D1"/>
    <w:rsid w:val="02B65A9C"/>
    <w:rsid w:val="02B92C32"/>
    <w:rsid w:val="02B93245"/>
    <w:rsid w:val="02BC7D06"/>
    <w:rsid w:val="02CB6666"/>
    <w:rsid w:val="02D4220F"/>
    <w:rsid w:val="02D5148B"/>
    <w:rsid w:val="02D637A2"/>
    <w:rsid w:val="02DE6187"/>
    <w:rsid w:val="02FE178B"/>
    <w:rsid w:val="02FF5458"/>
    <w:rsid w:val="0317318F"/>
    <w:rsid w:val="031933D1"/>
    <w:rsid w:val="031F6079"/>
    <w:rsid w:val="03222A2A"/>
    <w:rsid w:val="032269F9"/>
    <w:rsid w:val="035510DA"/>
    <w:rsid w:val="036B6108"/>
    <w:rsid w:val="037351FE"/>
    <w:rsid w:val="03752E0D"/>
    <w:rsid w:val="037551E4"/>
    <w:rsid w:val="03816FB2"/>
    <w:rsid w:val="038807BB"/>
    <w:rsid w:val="039B29C9"/>
    <w:rsid w:val="03A10CAA"/>
    <w:rsid w:val="03A24E74"/>
    <w:rsid w:val="03AD45BE"/>
    <w:rsid w:val="03BA78DB"/>
    <w:rsid w:val="03CC4DBC"/>
    <w:rsid w:val="03D06C4D"/>
    <w:rsid w:val="03EA6160"/>
    <w:rsid w:val="04016EE0"/>
    <w:rsid w:val="041D63F5"/>
    <w:rsid w:val="04227975"/>
    <w:rsid w:val="043B2CB5"/>
    <w:rsid w:val="043E30AA"/>
    <w:rsid w:val="044A1C4A"/>
    <w:rsid w:val="04650902"/>
    <w:rsid w:val="04CF6C6A"/>
    <w:rsid w:val="04DE4196"/>
    <w:rsid w:val="04E516C2"/>
    <w:rsid w:val="04F60B22"/>
    <w:rsid w:val="05033789"/>
    <w:rsid w:val="05053629"/>
    <w:rsid w:val="05233089"/>
    <w:rsid w:val="052C79F7"/>
    <w:rsid w:val="05307316"/>
    <w:rsid w:val="05323B75"/>
    <w:rsid w:val="053B11D1"/>
    <w:rsid w:val="05432BBE"/>
    <w:rsid w:val="055612CF"/>
    <w:rsid w:val="056B7F9F"/>
    <w:rsid w:val="056F26B0"/>
    <w:rsid w:val="05704DD8"/>
    <w:rsid w:val="057124BA"/>
    <w:rsid w:val="05746FC2"/>
    <w:rsid w:val="05823DC5"/>
    <w:rsid w:val="059651D4"/>
    <w:rsid w:val="059B2AEB"/>
    <w:rsid w:val="059F275B"/>
    <w:rsid w:val="059F3A06"/>
    <w:rsid w:val="05B165FF"/>
    <w:rsid w:val="05D35F51"/>
    <w:rsid w:val="05D60FE8"/>
    <w:rsid w:val="05DA4692"/>
    <w:rsid w:val="05E56821"/>
    <w:rsid w:val="05EF79D4"/>
    <w:rsid w:val="05F07453"/>
    <w:rsid w:val="05F97384"/>
    <w:rsid w:val="06137C02"/>
    <w:rsid w:val="06161453"/>
    <w:rsid w:val="06254B7F"/>
    <w:rsid w:val="062A581B"/>
    <w:rsid w:val="06320521"/>
    <w:rsid w:val="0632635B"/>
    <w:rsid w:val="064A5A9D"/>
    <w:rsid w:val="06510F22"/>
    <w:rsid w:val="065D1452"/>
    <w:rsid w:val="068C5DE8"/>
    <w:rsid w:val="069232A2"/>
    <w:rsid w:val="06933381"/>
    <w:rsid w:val="06A12303"/>
    <w:rsid w:val="06B10804"/>
    <w:rsid w:val="06B94718"/>
    <w:rsid w:val="06BE4464"/>
    <w:rsid w:val="06BF698D"/>
    <w:rsid w:val="06C42E42"/>
    <w:rsid w:val="06D2287C"/>
    <w:rsid w:val="06EA3448"/>
    <w:rsid w:val="06F84611"/>
    <w:rsid w:val="07163664"/>
    <w:rsid w:val="0728173B"/>
    <w:rsid w:val="072E4123"/>
    <w:rsid w:val="07335318"/>
    <w:rsid w:val="07431E20"/>
    <w:rsid w:val="07762DFC"/>
    <w:rsid w:val="07AE561F"/>
    <w:rsid w:val="07B070C4"/>
    <w:rsid w:val="07C66721"/>
    <w:rsid w:val="07C9793D"/>
    <w:rsid w:val="07D14AE4"/>
    <w:rsid w:val="07E53F09"/>
    <w:rsid w:val="07E94B24"/>
    <w:rsid w:val="080003BB"/>
    <w:rsid w:val="0802440D"/>
    <w:rsid w:val="080C2673"/>
    <w:rsid w:val="080D19C3"/>
    <w:rsid w:val="081B03FF"/>
    <w:rsid w:val="08255F0D"/>
    <w:rsid w:val="08273E74"/>
    <w:rsid w:val="08362309"/>
    <w:rsid w:val="083660F9"/>
    <w:rsid w:val="08426D79"/>
    <w:rsid w:val="08543F95"/>
    <w:rsid w:val="087211AD"/>
    <w:rsid w:val="08733318"/>
    <w:rsid w:val="08822B3D"/>
    <w:rsid w:val="088F19C6"/>
    <w:rsid w:val="0892087C"/>
    <w:rsid w:val="08AE079C"/>
    <w:rsid w:val="08BA1DB4"/>
    <w:rsid w:val="08BB7D2B"/>
    <w:rsid w:val="08CF0CCF"/>
    <w:rsid w:val="08ED168F"/>
    <w:rsid w:val="08F14654"/>
    <w:rsid w:val="08F54CBF"/>
    <w:rsid w:val="08FB50E9"/>
    <w:rsid w:val="0908276D"/>
    <w:rsid w:val="092145AA"/>
    <w:rsid w:val="0929339D"/>
    <w:rsid w:val="09307D48"/>
    <w:rsid w:val="09332858"/>
    <w:rsid w:val="09374D3F"/>
    <w:rsid w:val="093C2B8B"/>
    <w:rsid w:val="0949693F"/>
    <w:rsid w:val="094F2E41"/>
    <w:rsid w:val="095E7F80"/>
    <w:rsid w:val="096114E9"/>
    <w:rsid w:val="096D1D5A"/>
    <w:rsid w:val="097207A7"/>
    <w:rsid w:val="097B5705"/>
    <w:rsid w:val="09915475"/>
    <w:rsid w:val="099C2425"/>
    <w:rsid w:val="09AC6560"/>
    <w:rsid w:val="09B108C5"/>
    <w:rsid w:val="09B21BFC"/>
    <w:rsid w:val="09CE39D9"/>
    <w:rsid w:val="09F370D3"/>
    <w:rsid w:val="0A014CC5"/>
    <w:rsid w:val="0A117773"/>
    <w:rsid w:val="0A163389"/>
    <w:rsid w:val="0A226888"/>
    <w:rsid w:val="0A6F2814"/>
    <w:rsid w:val="0A7260F8"/>
    <w:rsid w:val="0A79469D"/>
    <w:rsid w:val="0A7C3308"/>
    <w:rsid w:val="0A7D0314"/>
    <w:rsid w:val="0A826E25"/>
    <w:rsid w:val="0A8A2F8A"/>
    <w:rsid w:val="0A997BCB"/>
    <w:rsid w:val="0AC26A55"/>
    <w:rsid w:val="0ACC5838"/>
    <w:rsid w:val="0AD1533C"/>
    <w:rsid w:val="0AE012A0"/>
    <w:rsid w:val="0AE42481"/>
    <w:rsid w:val="0AE96C40"/>
    <w:rsid w:val="0AFF58B5"/>
    <w:rsid w:val="0B2039EA"/>
    <w:rsid w:val="0B2125EB"/>
    <w:rsid w:val="0B346668"/>
    <w:rsid w:val="0B525D57"/>
    <w:rsid w:val="0B574100"/>
    <w:rsid w:val="0B604F75"/>
    <w:rsid w:val="0B6C7DF0"/>
    <w:rsid w:val="0B74741F"/>
    <w:rsid w:val="0B8C60D9"/>
    <w:rsid w:val="0B8E420A"/>
    <w:rsid w:val="0B955598"/>
    <w:rsid w:val="0BB63E43"/>
    <w:rsid w:val="0BBC48D3"/>
    <w:rsid w:val="0BBD6EBE"/>
    <w:rsid w:val="0BC35275"/>
    <w:rsid w:val="0BCA0D2D"/>
    <w:rsid w:val="0BCE15C6"/>
    <w:rsid w:val="0BD10911"/>
    <w:rsid w:val="0BD24474"/>
    <w:rsid w:val="0BD466FD"/>
    <w:rsid w:val="0BE3399B"/>
    <w:rsid w:val="0BE837C1"/>
    <w:rsid w:val="0BEE13F9"/>
    <w:rsid w:val="0BF56037"/>
    <w:rsid w:val="0BFB56F7"/>
    <w:rsid w:val="0C0D24BD"/>
    <w:rsid w:val="0C3C32F1"/>
    <w:rsid w:val="0C3F018E"/>
    <w:rsid w:val="0C402D99"/>
    <w:rsid w:val="0C44572D"/>
    <w:rsid w:val="0C472212"/>
    <w:rsid w:val="0C6507DC"/>
    <w:rsid w:val="0C7871BF"/>
    <w:rsid w:val="0C8146C0"/>
    <w:rsid w:val="0C8218FF"/>
    <w:rsid w:val="0C860123"/>
    <w:rsid w:val="0C947D72"/>
    <w:rsid w:val="0C9E5B95"/>
    <w:rsid w:val="0CA84FED"/>
    <w:rsid w:val="0CAC56D3"/>
    <w:rsid w:val="0CC53AF0"/>
    <w:rsid w:val="0CC57E17"/>
    <w:rsid w:val="0CCC42D6"/>
    <w:rsid w:val="0CCD4CCD"/>
    <w:rsid w:val="0CD20FBC"/>
    <w:rsid w:val="0CDC6477"/>
    <w:rsid w:val="0CDF7627"/>
    <w:rsid w:val="0CE70B53"/>
    <w:rsid w:val="0CEA7D08"/>
    <w:rsid w:val="0CEE2F4C"/>
    <w:rsid w:val="0D0267DB"/>
    <w:rsid w:val="0D13704C"/>
    <w:rsid w:val="0D1B505A"/>
    <w:rsid w:val="0D1B6BD4"/>
    <w:rsid w:val="0D1F2BE5"/>
    <w:rsid w:val="0D5A654B"/>
    <w:rsid w:val="0D6D06FF"/>
    <w:rsid w:val="0D6D7BA2"/>
    <w:rsid w:val="0D707FDD"/>
    <w:rsid w:val="0D775CA9"/>
    <w:rsid w:val="0D932A7B"/>
    <w:rsid w:val="0D945C88"/>
    <w:rsid w:val="0D9F609E"/>
    <w:rsid w:val="0DAC40DF"/>
    <w:rsid w:val="0DCA5649"/>
    <w:rsid w:val="0DD90D2A"/>
    <w:rsid w:val="0DE235C5"/>
    <w:rsid w:val="0DEC7D15"/>
    <w:rsid w:val="0DFA7A23"/>
    <w:rsid w:val="0E125859"/>
    <w:rsid w:val="0E5F1184"/>
    <w:rsid w:val="0E605363"/>
    <w:rsid w:val="0E66233C"/>
    <w:rsid w:val="0E72396F"/>
    <w:rsid w:val="0E7304E4"/>
    <w:rsid w:val="0E760492"/>
    <w:rsid w:val="0E7E77AE"/>
    <w:rsid w:val="0E883E64"/>
    <w:rsid w:val="0E8C4BAA"/>
    <w:rsid w:val="0E9061BF"/>
    <w:rsid w:val="0E9276B1"/>
    <w:rsid w:val="0E9601D6"/>
    <w:rsid w:val="0ED0174A"/>
    <w:rsid w:val="0F196319"/>
    <w:rsid w:val="0F37676D"/>
    <w:rsid w:val="0F423089"/>
    <w:rsid w:val="0F432B23"/>
    <w:rsid w:val="0F447544"/>
    <w:rsid w:val="0F4A5265"/>
    <w:rsid w:val="0F501231"/>
    <w:rsid w:val="0F566FA2"/>
    <w:rsid w:val="0F64775C"/>
    <w:rsid w:val="0F7851AB"/>
    <w:rsid w:val="0F7C6102"/>
    <w:rsid w:val="0F8310EE"/>
    <w:rsid w:val="0F8633FE"/>
    <w:rsid w:val="0F8B2D78"/>
    <w:rsid w:val="0F963B27"/>
    <w:rsid w:val="0FA830CD"/>
    <w:rsid w:val="0FAD3B2A"/>
    <w:rsid w:val="0FB4786B"/>
    <w:rsid w:val="0FD6081C"/>
    <w:rsid w:val="0FE33A4D"/>
    <w:rsid w:val="0FFD654C"/>
    <w:rsid w:val="10003075"/>
    <w:rsid w:val="10262EB2"/>
    <w:rsid w:val="103C656E"/>
    <w:rsid w:val="10496D35"/>
    <w:rsid w:val="104E10D6"/>
    <w:rsid w:val="10533935"/>
    <w:rsid w:val="10596505"/>
    <w:rsid w:val="10656094"/>
    <w:rsid w:val="10756B4C"/>
    <w:rsid w:val="107D54B5"/>
    <w:rsid w:val="10911D53"/>
    <w:rsid w:val="1091766E"/>
    <w:rsid w:val="109A120E"/>
    <w:rsid w:val="10A00624"/>
    <w:rsid w:val="10A2208C"/>
    <w:rsid w:val="10D17E06"/>
    <w:rsid w:val="10DD7D2D"/>
    <w:rsid w:val="10E30B54"/>
    <w:rsid w:val="10F539FE"/>
    <w:rsid w:val="1109016A"/>
    <w:rsid w:val="110A7B20"/>
    <w:rsid w:val="11212114"/>
    <w:rsid w:val="113D5F72"/>
    <w:rsid w:val="114855C9"/>
    <w:rsid w:val="114900F8"/>
    <w:rsid w:val="11491476"/>
    <w:rsid w:val="11760564"/>
    <w:rsid w:val="117D1470"/>
    <w:rsid w:val="117F688B"/>
    <w:rsid w:val="1191204D"/>
    <w:rsid w:val="11A06393"/>
    <w:rsid w:val="11A6660A"/>
    <w:rsid w:val="11A960ED"/>
    <w:rsid w:val="11AD7CE2"/>
    <w:rsid w:val="11BA7726"/>
    <w:rsid w:val="11C664AC"/>
    <w:rsid w:val="11E83A15"/>
    <w:rsid w:val="11F800D4"/>
    <w:rsid w:val="122074B8"/>
    <w:rsid w:val="122F2C62"/>
    <w:rsid w:val="12313FA7"/>
    <w:rsid w:val="12346111"/>
    <w:rsid w:val="12495852"/>
    <w:rsid w:val="125674F8"/>
    <w:rsid w:val="12774A86"/>
    <w:rsid w:val="12877022"/>
    <w:rsid w:val="128955F1"/>
    <w:rsid w:val="128979BF"/>
    <w:rsid w:val="12B14FCC"/>
    <w:rsid w:val="12B952F9"/>
    <w:rsid w:val="12BC5DA5"/>
    <w:rsid w:val="12C37788"/>
    <w:rsid w:val="12D5066B"/>
    <w:rsid w:val="12FF3845"/>
    <w:rsid w:val="130A5013"/>
    <w:rsid w:val="13133FCF"/>
    <w:rsid w:val="13195963"/>
    <w:rsid w:val="132437C9"/>
    <w:rsid w:val="13277721"/>
    <w:rsid w:val="132F46EA"/>
    <w:rsid w:val="13315C15"/>
    <w:rsid w:val="134417DA"/>
    <w:rsid w:val="134F0723"/>
    <w:rsid w:val="13640C2C"/>
    <w:rsid w:val="136460AE"/>
    <w:rsid w:val="136E04DD"/>
    <w:rsid w:val="13720110"/>
    <w:rsid w:val="13764281"/>
    <w:rsid w:val="138F3179"/>
    <w:rsid w:val="13B93367"/>
    <w:rsid w:val="13DE1DCC"/>
    <w:rsid w:val="13EE1468"/>
    <w:rsid w:val="13F14238"/>
    <w:rsid w:val="13F42390"/>
    <w:rsid w:val="13FA4DCC"/>
    <w:rsid w:val="13FD5ED0"/>
    <w:rsid w:val="140C4729"/>
    <w:rsid w:val="142B5B13"/>
    <w:rsid w:val="1431124A"/>
    <w:rsid w:val="143570B8"/>
    <w:rsid w:val="14506409"/>
    <w:rsid w:val="145265C5"/>
    <w:rsid w:val="146E5B8D"/>
    <w:rsid w:val="14723C15"/>
    <w:rsid w:val="147240DC"/>
    <w:rsid w:val="14873CD3"/>
    <w:rsid w:val="1492566F"/>
    <w:rsid w:val="149722C9"/>
    <w:rsid w:val="14A14FAE"/>
    <w:rsid w:val="14A34B4D"/>
    <w:rsid w:val="14B1350D"/>
    <w:rsid w:val="14C43FCC"/>
    <w:rsid w:val="14C5798B"/>
    <w:rsid w:val="14C67FF7"/>
    <w:rsid w:val="14F66936"/>
    <w:rsid w:val="151267BE"/>
    <w:rsid w:val="152B6F9E"/>
    <w:rsid w:val="152E3B0A"/>
    <w:rsid w:val="15330703"/>
    <w:rsid w:val="153642B2"/>
    <w:rsid w:val="154C6E75"/>
    <w:rsid w:val="155105B8"/>
    <w:rsid w:val="15563035"/>
    <w:rsid w:val="156063E1"/>
    <w:rsid w:val="15636F6C"/>
    <w:rsid w:val="15675BC0"/>
    <w:rsid w:val="156D6C3E"/>
    <w:rsid w:val="156E495F"/>
    <w:rsid w:val="158A167C"/>
    <w:rsid w:val="15951871"/>
    <w:rsid w:val="15A14996"/>
    <w:rsid w:val="15AD2D2A"/>
    <w:rsid w:val="15D265B1"/>
    <w:rsid w:val="15D71B05"/>
    <w:rsid w:val="15F24AA9"/>
    <w:rsid w:val="1605282A"/>
    <w:rsid w:val="160D62DB"/>
    <w:rsid w:val="162B6AFB"/>
    <w:rsid w:val="162F2805"/>
    <w:rsid w:val="16312CE3"/>
    <w:rsid w:val="163D3672"/>
    <w:rsid w:val="1647529D"/>
    <w:rsid w:val="164B4327"/>
    <w:rsid w:val="165547C7"/>
    <w:rsid w:val="166A720D"/>
    <w:rsid w:val="169E42E4"/>
    <w:rsid w:val="16A03C9A"/>
    <w:rsid w:val="16A70ED7"/>
    <w:rsid w:val="16C36C63"/>
    <w:rsid w:val="16D677EB"/>
    <w:rsid w:val="16DC3AAA"/>
    <w:rsid w:val="16F940E7"/>
    <w:rsid w:val="171754D5"/>
    <w:rsid w:val="172719AB"/>
    <w:rsid w:val="172F4AF3"/>
    <w:rsid w:val="174263EB"/>
    <w:rsid w:val="17486C88"/>
    <w:rsid w:val="175E0E32"/>
    <w:rsid w:val="17672E19"/>
    <w:rsid w:val="177A0E1F"/>
    <w:rsid w:val="177A4DE4"/>
    <w:rsid w:val="17B1375A"/>
    <w:rsid w:val="17D06426"/>
    <w:rsid w:val="17D763C2"/>
    <w:rsid w:val="17D96EFE"/>
    <w:rsid w:val="17DB3467"/>
    <w:rsid w:val="17DC4D91"/>
    <w:rsid w:val="17E409DB"/>
    <w:rsid w:val="180D4289"/>
    <w:rsid w:val="18280AEF"/>
    <w:rsid w:val="1828551D"/>
    <w:rsid w:val="182B24D0"/>
    <w:rsid w:val="186D436E"/>
    <w:rsid w:val="18725F30"/>
    <w:rsid w:val="18A62CFB"/>
    <w:rsid w:val="18A9254F"/>
    <w:rsid w:val="18AD4955"/>
    <w:rsid w:val="18B55146"/>
    <w:rsid w:val="18B875FE"/>
    <w:rsid w:val="18BF3A3C"/>
    <w:rsid w:val="18C91115"/>
    <w:rsid w:val="18CB216F"/>
    <w:rsid w:val="18ED0502"/>
    <w:rsid w:val="18F35DEF"/>
    <w:rsid w:val="18FA252A"/>
    <w:rsid w:val="18FE7F08"/>
    <w:rsid w:val="18FF3CEE"/>
    <w:rsid w:val="19010305"/>
    <w:rsid w:val="19032EA8"/>
    <w:rsid w:val="191743CE"/>
    <w:rsid w:val="19267F8A"/>
    <w:rsid w:val="19346493"/>
    <w:rsid w:val="1938125B"/>
    <w:rsid w:val="195E62EC"/>
    <w:rsid w:val="19630A84"/>
    <w:rsid w:val="1968029D"/>
    <w:rsid w:val="197E79E0"/>
    <w:rsid w:val="19832915"/>
    <w:rsid w:val="198E1EAE"/>
    <w:rsid w:val="199A751A"/>
    <w:rsid w:val="199D34CE"/>
    <w:rsid w:val="19BA3865"/>
    <w:rsid w:val="19BA7280"/>
    <w:rsid w:val="19D23783"/>
    <w:rsid w:val="19D86E3E"/>
    <w:rsid w:val="19DE6130"/>
    <w:rsid w:val="1A0B466A"/>
    <w:rsid w:val="1A2F72D6"/>
    <w:rsid w:val="1A305252"/>
    <w:rsid w:val="1A3441CE"/>
    <w:rsid w:val="1A3B7CC2"/>
    <w:rsid w:val="1A5D0081"/>
    <w:rsid w:val="1A611DE0"/>
    <w:rsid w:val="1A6E7FB6"/>
    <w:rsid w:val="1A7B306F"/>
    <w:rsid w:val="1A806848"/>
    <w:rsid w:val="1A814826"/>
    <w:rsid w:val="1A877C75"/>
    <w:rsid w:val="1A921E3C"/>
    <w:rsid w:val="1AA17AB6"/>
    <w:rsid w:val="1AA22A51"/>
    <w:rsid w:val="1AA651E6"/>
    <w:rsid w:val="1AAE51B4"/>
    <w:rsid w:val="1ABB06B8"/>
    <w:rsid w:val="1AE4030D"/>
    <w:rsid w:val="1AE6371B"/>
    <w:rsid w:val="1AFA0C51"/>
    <w:rsid w:val="1AFD0A64"/>
    <w:rsid w:val="1AFE4EC5"/>
    <w:rsid w:val="1B47553D"/>
    <w:rsid w:val="1B5355BA"/>
    <w:rsid w:val="1B6179C7"/>
    <w:rsid w:val="1B8204F5"/>
    <w:rsid w:val="1B9253A3"/>
    <w:rsid w:val="1B927D6A"/>
    <w:rsid w:val="1B9C5D53"/>
    <w:rsid w:val="1BBC2CBA"/>
    <w:rsid w:val="1BBD16AB"/>
    <w:rsid w:val="1BC63490"/>
    <w:rsid w:val="1BCC1E70"/>
    <w:rsid w:val="1BD24A3B"/>
    <w:rsid w:val="1BE20BDB"/>
    <w:rsid w:val="1C14134E"/>
    <w:rsid w:val="1C1556A6"/>
    <w:rsid w:val="1C2864CC"/>
    <w:rsid w:val="1C6C3CA4"/>
    <w:rsid w:val="1C8360BC"/>
    <w:rsid w:val="1C8506AB"/>
    <w:rsid w:val="1C8E5E18"/>
    <w:rsid w:val="1C900E01"/>
    <w:rsid w:val="1CBF3AA6"/>
    <w:rsid w:val="1CC5781E"/>
    <w:rsid w:val="1CD16877"/>
    <w:rsid w:val="1CEB374A"/>
    <w:rsid w:val="1CEE58A5"/>
    <w:rsid w:val="1CF2640C"/>
    <w:rsid w:val="1D0A3BF7"/>
    <w:rsid w:val="1D161258"/>
    <w:rsid w:val="1D2147FC"/>
    <w:rsid w:val="1D293D92"/>
    <w:rsid w:val="1D3515C9"/>
    <w:rsid w:val="1D3C306E"/>
    <w:rsid w:val="1D504947"/>
    <w:rsid w:val="1D5F2D27"/>
    <w:rsid w:val="1D723B16"/>
    <w:rsid w:val="1D7A35D1"/>
    <w:rsid w:val="1DA3608C"/>
    <w:rsid w:val="1DBE4CB0"/>
    <w:rsid w:val="1DC36E6D"/>
    <w:rsid w:val="1DCA48A3"/>
    <w:rsid w:val="1DDE073E"/>
    <w:rsid w:val="1DDE453E"/>
    <w:rsid w:val="1DEF3A5A"/>
    <w:rsid w:val="1DF20628"/>
    <w:rsid w:val="1E1D3072"/>
    <w:rsid w:val="1E285DF8"/>
    <w:rsid w:val="1E3035F1"/>
    <w:rsid w:val="1E3D5D47"/>
    <w:rsid w:val="1E414EFE"/>
    <w:rsid w:val="1E6F0FA6"/>
    <w:rsid w:val="1E731CA4"/>
    <w:rsid w:val="1E7F1AFC"/>
    <w:rsid w:val="1E8C604D"/>
    <w:rsid w:val="1E9224A7"/>
    <w:rsid w:val="1EAA2EA9"/>
    <w:rsid w:val="1EAD1413"/>
    <w:rsid w:val="1EAD3D02"/>
    <w:rsid w:val="1EB23E31"/>
    <w:rsid w:val="1EC50873"/>
    <w:rsid w:val="1EC9771A"/>
    <w:rsid w:val="1ECC13D5"/>
    <w:rsid w:val="1ECC332E"/>
    <w:rsid w:val="1EE9111D"/>
    <w:rsid w:val="1F091C2E"/>
    <w:rsid w:val="1F0F2CAA"/>
    <w:rsid w:val="1F0F3AC4"/>
    <w:rsid w:val="1F100342"/>
    <w:rsid w:val="1F182CC6"/>
    <w:rsid w:val="1F2A1D94"/>
    <w:rsid w:val="1F3B52CF"/>
    <w:rsid w:val="1F450063"/>
    <w:rsid w:val="1F4C2F1E"/>
    <w:rsid w:val="1F517F48"/>
    <w:rsid w:val="1F791DEE"/>
    <w:rsid w:val="1F89604C"/>
    <w:rsid w:val="1F9537B1"/>
    <w:rsid w:val="1FA34011"/>
    <w:rsid w:val="1FB90384"/>
    <w:rsid w:val="1FC15CDC"/>
    <w:rsid w:val="1FDC333E"/>
    <w:rsid w:val="1FF82C2C"/>
    <w:rsid w:val="1FFA0403"/>
    <w:rsid w:val="20152C0F"/>
    <w:rsid w:val="201A219E"/>
    <w:rsid w:val="201A5E0D"/>
    <w:rsid w:val="20253D33"/>
    <w:rsid w:val="202558E6"/>
    <w:rsid w:val="202F3F1B"/>
    <w:rsid w:val="203A1A2A"/>
    <w:rsid w:val="2043206D"/>
    <w:rsid w:val="204A4D98"/>
    <w:rsid w:val="207778D6"/>
    <w:rsid w:val="208B65E8"/>
    <w:rsid w:val="20970180"/>
    <w:rsid w:val="209C2290"/>
    <w:rsid w:val="209F17AE"/>
    <w:rsid w:val="20A25CE4"/>
    <w:rsid w:val="20AA62F5"/>
    <w:rsid w:val="20AD5F53"/>
    <w:rsid w:val="20C633DE"/>
    <w:rsid w:val="20D220D6"/>
    <w:rsid w:val="20DC4B45"/>
    <w:rsid w:val="20EA2F22"/>
    <w:rsid w:val="211F178A"/>
    <w:rsid w:val="21215F19"/>
    <w:rsid w:val="213A2764"/>
    <w:rsid w:val="21417C0C"/>
    <w:rsid w:val="21497417"/>
    <w:rsid w:val="214A4735"/>
    <w:rsid w:val="2169415F"/>
    <w:rsid w:val="21784EEB"/>
    <w:rsid w:val="218339B2"/>
    <w:rsid w:val="21925ED0"/>
    <w:rsid w:val="21A5397D"/>
    <w:rsid w:val="21A66DA0"/>
    <w:rsid w:val="21A67E33"/>
    <w:rsid w:val="21B31565"/>
    <w:rsid w:val="21C034E1"/>
    <w:rsid w:val="21C05C68"/>
    <w:rsid w:val="21C14E47"/>
    <w:rsid w:val="21C4176D"/>
    <w:rsid w:val="21CC2FB1"/>
    <w:rsid w:val="21DF125B"/>
    <w:rsid w:val="22013579"/>
    <w:rsid w:val="22142615"/>
    <w:rsid w:val="22303CF7"/>
    <w:rsid w:val="22347F26"/>
    <w:rsid w:val="22425830"/>
    <w:rsid w:val="225E028A"/>
    <w:rsid w:val="22664D98"/>
    <w:rsid w:val="22677FF9"/>
    <w:rsid w:val="227338E5"/>
    <w:rsid w:val="22787597"/>
    <w:rsid w:val="227B6347"/>
    <w:rsid w:val="22821DF8"/>
    <w:rsid w:val="228B537C"/>
    <w:rsid w:val="22A27EB2"/>
    <w:rsid w:val="22A7766B"/>
    <w:rsid w:val="22C22238"/>
    <w:rsid w:val="22F14D4B"/>
    <w:rsid w:val="23015C35"/>
    <w:rsid w:val="23105735"/>
    <w:rsid w:val="23474F72"/>
    <w:rsid w:val="234A09E0"/>
    <w:rsid w:val="2355768F"/>
    <w:rsid w:val="235643A6"/>
    <w:rsid w:val="235F7E10"/>
    <w:rsid w:val="23612F5B"/>
    <w:rsid w:val="23746501"/>
    <w:rsid w:val="2393016E"/>
    <w:rsid w:val="23974089"/>
    <w:rsid w:val="239D482D"/>
    <w:rsid w:val="23A03194"/>
    <w:rsid w:val="23AC5522"/>
    <w:rsid w:val="23B7059F"/>
    <w:rsid w:val="23B73DEC"/>
    <w:rsid w:val="23E96AE2"/>
    <w:rsid w:val="2405544A"/>
    <w:rsid w:val="2409179A"/>
    <w:rsid w:val="24100FC7"/>
    <w:rsid w:val="241758E3"/>
    <w:rsid w:val="24226518"/>
    <w:rsid w:val="24230DED"/>
    <w:rsid w:val="242F650D"/>
    <w:rsid w:val="243A5990"/>
    <w:rsid w:val="243C5298"/>
    <w:rsid w:val="24462D8D"/>
    <w:rsid w:val="244B45EE"/>
    <w:rsid w:val="244E574D"/>
    <w:rsid w:val="245358E6"/>
    <w:rsid w:val="245F77CA"/>
    <w:rsid w:val="24722154"/>
    <w:rsid w:val="248C70B9"/>
    <w:rsid w:val="248D2864"/>
    <w:rsid w:val="24A106B2"/>
    <w:rsid w:val="24A26292"/>
    <w:rsid w:val="24A56241"/>
    <w:rsid w:val="24A62CC5"/>
    <w:rsid w:val="24A66286"/>
    <w:rsid w:val="24B34A6B"/>
    <w:rsid w:val="24BA3512"/>
    <w:rsid w:val="24E773E9"/>
    <w:rsid w:val="24F70EEB"/>
    <w:rsid w:val="24FF7695"/>
    <w:rsid w:val="25056E93"/>
    <w:rsid w:val="25072AA2"/>
    <w:rsid w:val="251D52EB"/>
    <w:rsid w:val="252E4E78"/>
    <w:rsid w:val="252F3C1C"/>
    <w:rsid w:val="25302E70"/>
    <w:rsid w:val="2547757B"/>
    <w:rsid w:val="25497021"/>
    <w:rsid w:val="254E368A"/>
    <w:rsid w:val="255203D9"/>
    <w:rsid w:val="25671EF2"/>
    <w:rsid w:val="25677539"/>
    <w:rsid w:val="25710085"/>
    <w:rsid w:val="257B31CD"/>
    <w:rsid w:val="258A4DB4"/>
    <w:rsid w:val="258E032F"/>
    <w:rsid w:val="25953D21"/>
    <w:rsid w:val="25964835"/>
    <w:rsid w:val="2598608C"/>
    <w:rsid w:val="259D6ED5"/>
    <w:rsid w:val="25A61CDF"/>
    <w:rsid w:val="25D90CDC"/>
    <w:rsid w:val="25DB3872"/>
    <w:rsid w:val="25DE43E2"/>
    <w:rsid w:val="25FA029F"/>
    <w:rsid w:val="26063115"/>
    <w:rsid w:val="260F2E60"/>
    <w:rsid w:val="26190E48"/>
    <w:rsid w:val="26256535"/>
    <w:rsid w:val="26281D3E"/>
    <w:rsid w:val="263A64E3"/>
    <w:rsid w:val="267A114F"/>
    <w:rsid w:val="26882B9F"/>
    <w:rsid w:val="268847A9"/>
    <w:rsid w:val="26906977"/>
    <w:rsid w:val="26965C29"/>
    <w:rsid w:val="26970B20"/>
    <w:rsid w:val="26A279BA"/>
    <w:rsid w:val="26B40FBC"/>
    <w:rsid w:val="26BA1553"/>
    <w:rsid w:val="26C47C06"/>
    <w:rsid w:val="26C54908"/>
    <w:rsid w:val="26CC67FB"/>
    <w:rsid w:val="26D0112D"/>
    <w:rsid w:val="26D96290"/>
    <w:rsid w:val="26E00A85"/>
    <w:rsid w:val="26FB5B38"/>
    <w:rsid w:val="27050A1B"/>
    <w:rsid w:val="272674C9"/>
    <w:rsid w:val="27547A2E"/>
    <w:rsid w:val="2759588C"/>
    <w:rsid w:val="275C5CD6"/>
    <w:rsid w:val="27644345"/>
    <w:rsid w:val="276532FC"/>
    <w:rsid w:val="276812CF"/>
    <w:rsid w:val="27690D48"/>
    <w:rsid w:val="277039CC"/>
    <w:rsid w:val="277B57A8"/>
    <w:rsid w:val="27946DAA"/>
    <w:rsid w:val="279574D4"/>
    <w:rsid w:val="27A668FF"/>
    <w:rsid w:val="27B63712"/>
    <w:rsid w:val="27BC0290"/>
    <w:rsid w:val="27C154A3"/>
    <w:rsid w:val="27CB0E9C"/>
    <w:rsid w:val="27CC24BE"/>
    <w:rsid w:val="27EE5BA5"/>
    <w:rsid w:val="27F97584"/>
    <w:rsid w:val="28017B69"/>
    <w:rsid w:val="28284B57"/>
    <w:rsid w:val="283204F9"/>
    <w:rsid w:val="2834536B"/>
    <w:rsid w:val="28346222"/>
    <w:rsid w:val="283822D6"/>
    <w:rsid w:val="28397C62"/>
    <w:rsid w:val="287379E2"/>
    <w:rsid w:val="287A2739"/>
    <w:rsid w:val="28836A4D"/>
    <w:rsid w:val="28885E11"/>
    <w:rsid w:val="289A1DD6"/>
    <w:rsid w:val="289B7097"/>
    <w:rsid w:val="28A9720A"/>
    <w:rsid w:val="28C92869"/>
    <w:rsid w:val="28D53702"/>
    <w:rsid w:val="28D54C02"/>
    <w:rsid w:val="28E030CC"/>
    <w:rsid w:val="28E1754E"/>
    <w:rsid w:val="28E3740A"/>
    <w:rsid w:val="28E453FC"/>
    <w:rsid w:val="28F556F1"/>
    <w:rsid w:val="29121F00"/>
    <w:rsid w:val="2917291C"/>
    <w:rsid w:val="29274EFE"/>
    <w:rsid w:val="29292725"/>
    <w:rsid w:val="2937704C"/>
    <w:rsid w:val="29391F39"/>
    <w:rsid w:val="29411465"/>
    <w:rsid w:val="295959FF"/>
    <w:rsid w:val="295C2EFB"/>
    <w:rsid w:val="2960444C"/>
    <w:rsid w:val="29765013"/>
    <w:rsid w:val="298142BB"/>
    <w:rsid w:val="29846103"/>
    <w:rsid w:val="29890081"/>
    <w:rsid w:val="298B4E2C"/>
    <w:rsid w:val="29966D9A"/>
    <w:rsid w:val="299B0C1D"/>
    <w:rsid w:val="29BC2638"/>
    <w:rsid w:val="29C50A2F"/>
    <w:rsid w:val="29D10496"/>
    <w:rsid w:val="29D36734"/>
    <w:rsid w:val="29EE2717"/>
    <w:rsid w:val="29F91F6F"/>
    <w:rsid w:val="29F94360"/>
    <w:rsid w:val="2A0624BF"/>
    <w:rsid w:val="2A0B29B0"/>
    <w:rsid w:val="2A1C3265"/>
    <w:rsid w:val="2A1D732F"/>
    <w:rsid w:val="2A277BB5"/>
    <w:rsid w:val="2A2A6BA3"/>
    <w:rsid w:val="2A310A3F"/>
    <w:rsid w:val="2A70418C"/>
    <w:rsid w:val="2A882D31"/>
    <w:rsid w:val="2AB55C42"/>
    <w:rsid w:val="2AB738C8"/>
    <w:rsid w:val="2AC46E9B"/>
    <w:rsid w:val="2ACE040C"/>
    <w:rsid w:val="2ACF242A"/>
    <w:rsid w:val="2AD73080"/>
    <w:rsid w:val="2AE36A74"/>
    <w:rsid w:val="2AEE5296"/>
    <w:rsid w:val="2B103450"/>
    <w:rsid w:val="2B105781"/>
    <w:rsid w:val="2B29084A"/>
    <w:rsid w:val="2B2D73FC"/>
    <w:rsid w:val="2B3F0BC7"/>
    <w:rsid w:val="2B4E3E18"/>
    <w:rsid w:val="2B4F35C6"/>
    <w:rsid w:val="2B5D343C"/>
    <w:rsid w:val="2B6321CF"/>
    <w:rsid w:val="2B683729"/>
    <w:rsid w:val="2B771DDA"/>
    <w:rsid w:val="2B970F25"/>
    <w:rsid w:val="2B9A197D"/>
    <w:rsid w:val="2BA1439E"/>
    <w:rsid w:val="2BA46A90"/>
    <w:rsid w:val="2BB42891"/>
    <w:rsid w:val="2BD276C5"/>
    <w:rsid w:val="2BD55811"/>
    <w:rsid w:val="2BD62E54"/>
    <w:rsid w:val="2BEC6911"/>
    <w:rsid w:val="2BFC2909"/>
    <w:rsid w:val="2C144B16"/>
    <w:rsid w:val="2C155A7F"/>
    <w:rsid w:val="2C445EDA"/>
    <w:rsid w:val="2C5775DB"/>
    <w:rsid w:val="2C770359"/>
    <w:rsid w:val="2C817AF3"/>
    <w:rsid w:val="2C9313C5"/>
    <w:rsid w:val="2C95657E"/>
    <w:rsid w:val="2CC33510"/>
    <w:rsid w:val="2CC8357B"/>
    <w:rsid w:val="2CE7073F"/>
    <w:rsid w:val="2CE92566"/>
    <w:rsid w:val="2D000D35"/>
    <w:rsid w:val="2D316CD6"/>
    <w:rsid w:val="2D494353"/>
    <w:rsid w:val="2D524E5A"/>
    <w:rsid w:val="2D56047C"/>
    <w:rsid w:val="2D5B2E31"/>
    <w:rsid w:val="2D5C578F"/>
    <w:rsid w:val="2D713213"/>
    <w:rsid w:val="2D763FA2"/>
    <w:rsid w:val="2D8D274C"/>
    <w:rsid w:val="2D954313"/>
    <w:rsid w:val="2D9976C8"/>
    <w:rsid w:val="2DA6352B"/>
    <w:rsid w:val="2DC73DF7"/>
    <w:rsid w:val="2DCB0172"/>
    <w:rsid w:val="2DD06762"/>
    <w:rsid w:val="2DDB023F"/>
    <w:rsid w:val="2DE12F9D"/>
    <w:rsid w:val="2DEC6610"/>
    <w:rsid w:val="2DF4574E"/>
    <w:rsid w:val="2DF73322"/>
    <w:rsid w:val="2E116357"/>
    <w:rsid w:val="2E16306A"/>
    <w:rsid w:val="2E25603D"/>
    <w:rsid w:val="2E271ED2"/>
    <w:rsid w:val="2E2F77DB"/>
    <w:rsid w:val="2E3037CB"/>
    <w:rsid w:val="2E347505"/>
    <w:rsid w:val="2E3F392F"/>
    <w:rsid w:val="2E414624"/>
    <w:rsid w:val="2E421840"/>
    <w:rsid w:val="2E525891"/>
    <w:rsid w:val="2E59680F"/>
    <w:rsid w:val="2E64722F"/>
    <w:rsid w:val="2E872AAD"/>
    <w:rsid w:val="2E907687"/>
    <w:rsid w:val="2E950E5F"/>
    <w:rsid w:val="2EAA37C0"/>
    <w:rsid w:val="2EC57342"/>
    <w:rsid w:val="2EC60319"/>
    <w:rsid w:val="2ED20222"/>
    <w:rsid w:val="2ED45275"/>
    <w:rsid w:val="2ED67F44"/>
    <w:rsid w:val="2ED80613"/>
    <w:rsid w:val="2EE62049"/>
    <w:rsid w:val="2F3C7F94"/>
    <w:rsid w:val="2F490799"/>
    <w:rsid w:val="2F551185"/>
    <w:rsid w:val="2F5A2B59"/>
    <w:rsid w:val="2F5B1D5D"/>
    <w:rsid w:val="2F7F2114"/>
    <w:rsid w:val="2F804D68"/>
    <w:rsid w:val="2F8477A9"/>
    <w:rsid w:val="2F872E79"/>
    <w:rsid w:val="2F9C3D11"/>
    <w:rsid w:val="2F9D6943"/>
    <w:rsid w:val="2FA16A47"/>
    <w:rsid w:val="2FB669A3"/>
    <w:rsid w:val="2FB933E4"/>
    <w:rsid w:val="2FD17725"/>
    <w:rsid w:val="2FD82C24"/>
    <w:rsid w:val="2FD97D7C"/>
    <w:rsid w:val="2FE47C8F"/>
    <w:rsid w:val="2FE629BB"/>
    <w:rsid w:val="2FE83506"/>
    <w:rsid w:val="301A6768"/>
    <w:rsid w:val="302E3742"/>
    <w:rsid w:val="30367485"/>
    <w:rsid w:val="303F2376"/>
    <w:rsid w:val="30450C63"/>
    <w:rsid w:val="30552025"/>
    <w:rsid w:val="30734711"/>
    <w:rsid w:val="30937A84"/>
    <w:rsid w:val="3099481D"/>
    <w:rsid w:val="30AB61B0"/>
    <w:rsid w:val="30B3424D"/>
    <w:rsid w:val="30CE6CD3"/>
    <w:rsid w:val="30DA0C8E"/>
    <w:rsid w:val="30DA1E89"/>
    <w:rsid w:val="30DA6ED1"/>
    <w:rsid w:val="30F447D5"/>
    <w:rsid w:val="31026C0A"/>
    <w:rsid w:val="310506F1"/>
    <w:rsid w:val="31090FD1"/>
    <w:rsid w:val="31094167"/>
    <w:rsid w:val="310E70CF"/>
    <w:rsid w:val="31267258"/>
    <w:rsid w:val="314521F6"/>
    <w:rsid w:val="31500225"/>
    <w:rsid w:val="31574A25"/>
    <w:rsid w:val="316E01B8"/>
    <w:rsid w:val="316F5DC0"/>
    <w:rsid w:val="318F385D"/>
    <w:rsid w:val="319262B0"/>
    <w:rsid w:val="319D0E14"/>
    <w:rsid w:val="31B468A3"/>
    <w:rsid w:val="31D9538D"/>
    <w:rsid w:val="31DE7AE4"/>
    <w:rsid w:val="31E20735"/>
    <w:rsid w:val="31F322FE"/>
    <w:rsid w:val="31F6735B"/>
    <w:rsid w:val="320C7047"/>
    <w:rsid w:val="320E7313"/>
    <w:rsid w:val="323C3EBC"/>
    <w:rsid w:val="32424C9B"/>
    <w:rsid w:val="3249667C"/>
    <w:rsid w:val="325411B2"/>
    <w:rsid w:val="32551F5E"/>
    <w:rsid w:val="326213B2"/>
    <w:rsid w:val="326B095F"/>
    <w:rsid w:val="327815A0"/>
    <w:rsid w:val="32965382"/>
    <w:rsid w:val="32A312A5"/>
    <w:rsid w:val="32A76FB0"/>
    <w:rsid w:val="32AA7B6D"/>
    <w:rsid w:val="32AC3044"/>
    <w:rsid w:val="32AF34F7"/>
    <w:rsid w:val="32B27847"/>
    <w:rsid w:val="32BB73DF"/>
    <w:rsid w:val="32C3737A"/>
    <w:rsid w:val="32CE23E7"/>
    <w:rsid w:val="32E331A4"/>
    <w:rsid w:val="32EB49D4"/>
    <w:rsid w:val="32F5452D"/>
    <w:rsid w:val="32FF0054"/>
    <w:rsid w:val="330A11F7"/>
    <w:rsid w:val="3310247B"/>
    <w:rsid w:val="33207A1C"/>
    <w:rsid w:val="3326374E"/>
    <w:rsid w:val="33280CE3"/>
    <w:rsid w:val="332D7CE1"/>
    <w:rsid w:val="334640AA"/>
    <w:rsid w:val="33482566"/>
    <w:rsid w:val="334D1DE8"/>
    <w:rsid w:val="3350003C"/>
    <w:rsid w:val="3366607E"/>
    <w:rsid w:val="3370666C"/>
    <w:rsid w:val="33731577"/>
    <w:rsid w:val="337E5926"/>
    <w:rsid w:val="337F78F6"/>
    <w:rsid w:val="3390740E"/>
    <w:rsid w:val="33932DCC"/>
    <w:rsid w:val="33C24CDF"/>
    <w:rsid w:val="33C65B63"/>
    <w:rsid w:val="33C90490"/>
    <w:rsid w:val="33CE707D"/>
    <w:rsid w:val="33D265DC"/>
    <w:rsid w:val="33DD5929"/>
    <w:rsid w:val="33E03FB6"/>
    <w:rsid w:val="33F337BD"/>
    <w:rsid w:val="33F93805"/>
    <w:rsid w:val="34027462"/>
    <w:rsid w:val="341847E7"/>
    <w:rsid w:val="34267D29"/>
    <w:rsid w:val="342B21E8"/>
    <w:rsid w:val="34360E17"/>
    <w:rsid w:val="34381F9C"/>
    <w:rsid w:val="34436E45"/>
    <w:rsid w:val="34560264"/>
    <w:rsid w:val="345B7473"/>
    <w:rsid w:val="34663ED0"/>
    <w:rsid w:val="346E1C08"/>
    <w:rsid w:val="34815B81"/>
    <w:rsid w:val="348C2AAD"/>
    <w:rsid w:val="348E2A01"/>
    <w:rsid w:val="34900A9A"/>
    <w:rsid w:val="34AE3486"/>
    <w:rsid w:val="34B71E2A"/>
    <w:rsid w:val="34DA61AE"/>
    <w:rsid w:val="34F86642"/>
    <w:rsid w:val="3501440D"/>
    <w:rsid w:val="35014854"/>
    <w:rsid w:val="350D4951"/>
    <w:rsid w:val="3523640D"/>
    <w:rsid w:val="353B00D4"/>
    <w:rsid w:val="35471143"/>
    <w:rsid w:val="3567388C"/>
    <w:rsid w:val="356F6271"/>
    <w:rsid w:val="35735413"/>
    <w:rsid w:val="35794D6B"/>
    <w:rsid w:val="357B1AAA"/>
    <w:rsid w:val="35825813"/>
    <w:rsid w:val="35905694"/>
    <w:rsid w:val="3590648F"/>
    <w:rsid w:val="3594687B"/>
    <w:rsid w:val="359B33B3"/>
    <w:rsid w:val="359C2E99"/>
    <w:rsid w:val="359D0903"/>
    <w:rsid w:val="359D1909"/>
    <w:rsid w:val="35A85EEE"/>
    <w:rsid w:val="35BC7482"/>
    <w:rsid w:val="35CA19F8"/>
    <w:rsid w:val="35DC54EA"/>
    <w:rsid w:val="35E0314A"/>
    <w:rsid w:val="35F46B1B"/>
    <w:rsid w:val="36041DA9"/>
    <w:rsid w:val="364528AC"/>
    <w:rsid w:val="36455341"/>
    <w:rsid w:val="36605F7A"/>
    <w:rsid w:val="36653323"/>
    <w:rsid w:val="366D75CE"/>
    <w:rsid w:val="367779AA"/>
    <w:rsid w:val="368F0C49"/>
    <w:rsid w:val="36923746"/>
    <w:rsid w:val="36B05B8E"/>
    <w:rsid w:val="36B06144"/>
    <w:rsid w:val="36DE14B5"/>
    <w:rsid w:val="36E42F21"/>
    <w:rsid w:val="36EB554C"/>
    <w:rsid w:val="36EC229A"/>
    <w:rsid w:val="371D0880"/>
    <w:rsid w:val="37613A1D"/>
    <w:rsid w:val="378F0910"/>
    <w:rsid w:val="37B92791"/>
    <w:rsid w:val="37CA5732"/>
    <w:rsid w:val="37CD4EC9"/>
    <w:rsid w:val="37CF345B"/>
    <w:rsid w:val="37F417DC"/>
    <w:rsid w:val="37FD4873"/>
    <w:rsid w:val="3803255E"/>
    <w:rsid w:val="380A0A68"/>
    <w:rsid w:val="38136EA2"/>
    <w:rsid w:val="381B4348"/>
    <w:rsid w:val="38261E35"/>
    <w:rsid w:val="383F433C"/>
    <w:rsid w:val="3851468F"/>
    <w:rsid w:val="38537F46"/>
    <w:rsid w:val="385A5A3A"/>
    <w:rsid w:val="386248F2"/>
    <w:rsid w:val="38677890"/>
    <w:rsid w:val="388721E2"/>
    <w:rsid w:val="3890795C"/>
    <w:rsid w:val="38A13889"/>
    <w:rsid w:val="38AD3262"/>
    <w:rsid w:val="38B27608"/>
    <w:rsid w:val="38BF3688"/>
    <w:rsid w:val="38D95A55"/>
    <w:rsid w:val="390071B1"/>
    <w:rsid w:val="391D6903"/>
    <w:rsid w:val="392625FD"/>
    <w:rsid w:val="39294592"/>
    <w:rsid w:val="39296809"/>
    <w:rsid w:val="39330C23"/>
    <w:rsid w:val="39337695"/>
    <w:rsid w:val="3935623B"/>
    <w:rsid w:val="39376919"/>
    <w:rsid w:val="393828FD"/>
    <w:rsid w:val="394107AC"/>
    <w:rsid w:val="39537D75"/>
    <w:rsid w:val="397A700E"/>
    <w:rsid w:val="397E632E"/>
    <w:rsid w:val="39AB0A72"/>
    <w:rsid w:val="39B72F81"/>
    <w:rsid w:val="39CA43DF"/>
    <w:rsid w:val="39CF11E7"/>
    <w:rsid w:val="39FD0783"/>
    <w:rsid w:val="3A0D1778"/>
    <w:rsid w:val="3A121556"/>
    <w:rsid w:val="3A163212"/>
    <w:rsid w:val="3A3233E1"/>
    <w:rsid w:val="3A35391F"/>
    <w:rsid w:val="3A4D70BE"/>
    <w:rsid w:val="3A5A6304"/>
    <w:rsid w:val="3A601E3A"/>
    <w:rsid w:val="3A645DBF"/>
    <w:rsid w:val="3A6856CC"/>
    <w:rsid w:val="3A757123"/>
    <w:rsid w:val="3A886145"/>
    <w:rsid w:val="3A8A560C"/>
    <w:rsid w:val="3A9B37B6"/>
    <w:rsid w:val="3A9D399F"/>
    <w:rsid w:val="3AB323A0"/>
    <w:rsid w:val="3ABE56C2"/>
    <w:rsid w:val="3AE04563"/>
    <w:rsid w:val="3AE90D97"/>
    <w:rsid w:val="3AF7088C"/>
    <w:rsid w:val="3AFC0037"/>
    <w:rsid w:val="3B004220"/>
    <w:rsid w:val="3B086638"/>
    <w:rsid w:val="3B290EDF"/>
    <w:rsid w:val="3B3A5EAB"/>
    <w:rsid w:val="3B3D0CDD"/>
    <w:rsid w:val="3B683BC1"/>
    <w:rsid w:val="3B6F030E"/>
    <w:rsid w:val="3B760DB3"/>
    <w:rsid w:val="3B806CCB"/>
    <w:rsid w:val="3B8C2B55"/>
    <w:rsid w:val="3B8D64A0"/>
    <w:rsid w:val="3B8E2D72"/>
    <w:rsid w:val="3BAA1E02"/>
    <w:rsid w:val="3BAA1FD8"/>
    <w:rsid w:val="3BB15227"/>
    <w:rsid w:val="3BBA23D3"/>
    <w:rsid w:val="3BC25DE1"/>
    <w:rsid w:val="3C0178F5"/>
    <w:rsid w:val="3C2459CB"/>
    <w:rsid w:val="3C303BB0"/>
    <w:rsid w:val="3C333B11"/>
    <w:rsid w:val="3C490379"/>
    <w:rsid w:val="3C632BAD"/>
    <w:rsid w:val="3C697B26"/>
    <w:rsid w:val="3C807C49"/>
    <w:rsid w:val="3C8131B1"/>
    <w:rsid w:val="3C920BB5"/>
    <w:rsid w:val="3C981E0F"/>
    <w:rsid w:val="3CCC7229"/>
    <w:rsid w:val="3CE27D8E"/>
    <w:rsid w:val="3CF0729F"/>
    <w:rsid w:val="3CFA5349"/>
    <w:rsid w:val="3CFA69E3"/>
    <w:rsid w:val="3D233F35"/>
    <w:rsid w:val="3D333BF0"/>
    <w:rsid w:val="3D3F3DA1"/>
    <w:rsid w:val="3D435E22"/>
    <w:rsid w:val="3D7E15C6"/>
    <w:rsid w:val="3D8175A7"/>
    <w:rsid w:val="3D895C07"/>
    <w:rsid w:val="3D8C41D6"/>
    <w:rsid w:val="3DA12C5F"/>
    <w:rsid w:val="3DB86D41"/>
    <w:rsid w:val="3DD0444E"/>
    <w:rsid w:val="3DD9778A"/>
    <w:rsid w:val="3DDC44A5"/>
    <w:rsid w:val="3DF80EEB"/>
    <w:rsid w:val="3DFF7A07"/>
    <w:rsid w:val="3E0D6FB9"/>
    <w:rsid w:val="3E135FC1"/>
    <w:rsid w:val="3E254F06"/>
    <w:rsid w:val="3E4079B3"/>
    <w:rsid w:val="3E5470EF"/>
    <w:rsid w:val="3E5F22B7"/>
    <w:rsid w:val="3E6C5D3F"/>
    <w:rsid w:val="3E9E74DD"/>
    <w:rsid w:val="3EA95A42"/>
    <w:rsid w:val="3EB81AEB"/>
    <w:rsid w:val="3EB84196"/>
    <w:rsid w:val="3EBD3071"/>
    <w:rsid w:val="3EBF7209"/>
    <w:rsid w:val="3EC3787E"/>
    <w:rsid w:val="3ECA7A6C"/>
    <w:rsid w:val="3EDD3112"/>
    <w:rsid w:val="3EE51861"/>
    <w:rsid w:val="3EE94933"/>
    <w:rsid w:val="3EF21DDE"/>
    <w:rsid w:val="3EF43CA7"/>
    <w:rsid w:val="3F3C19CB"/>
    <w:rsid w:val="3F43088C"/>
    <w:rsid w:val="3F4E7B70"/>
    <w:rsid w:val="3F4F3C9D"/>
    <w:rsid w:val="3F524B3F"/>
    <w:rsid w:val="3F5E5A8C"/>
    <w:rsid w:val="3F607936"/>
    <w:rsid w:val="3F8805C3"/>
    <w:rsid w:val="3F8A0269"/>
    <w:rsid w:val="3FA80F9A"/>
    <w:rsid w:val="3FAF0934"/>
    <w:rsid w:val="3FB01F4D"/>
    <w:rsid w:val="3FC05AD6"/>
    <w:rsid w:val="3FDD5D7C"/>
    <w:rsid w:val="3FE91FDB"/>
    <w:rsid w:val="3FEC79B4"/>
    <w:rsid w:val="400D2677"/>
    <w:rsid w:val="402417AF"/>
    <w:rsid w:val="402B6318"/>
    <w:rsid w:val="4031392C"/>
    <w:rsid w:val="4044156F"/>
    <w:rsid w:val="404C4AE8"/>
    <w:rsid w:val="405125DC"/>
    <w:rsid w:val="40580367"/>
    <w:rsid w:val="40593854"/>
    <w:rsid w:val="40743885"/>
    <w:rsid w:val="407F7948"/>
    <w:rsid w:val="40811E02"/>
    <w:rsid w:val="408F5C2F"/>
    <w:rsid w:val="40A277DC"/>
    <w:rsid w:val="40A32211"/>
    <w:rsid w:val="40A4377B"/>
    <w:rsid w:val="40AC6CC0"/>
    <w:rsid w:val="40C502E3"/>
    <w:rsid w:val="40DA400D"/>
    <w:rsid w:val="40E10D33"/>
    <w:rsid w:val="40E81285"/>
    <w:rsid w:val="40F3232A"/>
    <w:rsid w:val="41156E82"/>
    <w:rsid w:val="41174F71"/>
    <w:rsid w:val="4122220F"/>
    <w:rsid w:val="412B4186"/>
    <w:rsid w:val="4134209B"/>
    <w:rsid w:val="41402ADC"/>
    <w:rsid w:val="414D3CC5"/>
    <w:rsid w:val="41611D54"/>
    <w:rsid w:val="417648B7"/>
    <w:rsid w:val="41936D7B"/>
    <w:rsid w:val="41954477"/>
    <w:rsid w:val="41AC0A9B"/>
    <w:rsid w:val="41B2165F"/>
    <w:rsid w:val="41BC4873"/>
    <w:rsid w:val="41C428E8"/>
    <w:rsid w:val="41D27E03"/>
    <w:rsid w:val="41E905F9"/>
    <w:rsid w:val="42363C9E"/>
    <w:rsid w:val="423A44A8"/>
    <w:rsid w:val="42477661"/>
    <w:rsid w:val="42547DAA"/>
    <w:rsid w:val="42573048"/>
    <w:rsid w:val="42BD137D"/>
    <w:rsid w:val="42E83483"/>
    <w:rsid w:val="43023D7A"/>
    <w:rsid w:val="43053364"/>
    <w:rsid w:val="43171E14"/>
    <w:rsid w:val="431856A5"/>
    <w:rsid w:val="431E0128"/>
    <w:rsid w:val="43222887"/>
    <w:rsid w:val="432F22A9"/>
    <w:rsid w:val="434D30E9"/>
    <w:rsid w:val="43674E77"/>
    <w:rsid w:val="436C5BF5"/>
    <w:rsid w:val="436E087B"/>
    <w:rsid w:val="437757E9"/>
    <w:rsid w:val="4380463A"/>
    <w:rsid w:val="438C2802"/>
    <w:rsid w:val="43996CCD"/>
    <w:rsid w:val="43A00365"/>
    <w:rsid w:val="43A20E22"/>
    <w:rsid w:val="43AD2741"/>
    <w:rsid w:val="43B03CB9"/>
    <w:rsid w:val="43B875CD"/>
    <w:rsid w:val="43BC2D17"/>
    <w:rsid w:val="43CD3BEF"/>
    <w:rsid w:val="43EC2FA6"/>
    <w:rsid w:val="43EC55F6"/>
    <w:rsid w:val="44166896"/>
    <w:rsid w:val="441A283E"/>
    <w:rsid w:val="442C3BBA"/>
    <w:rsid w:val="44361589"/>
    <w:rsid w:val="444820A8"/>
    <w:rsid w:val="444E1ADD"/>
    <w:rsid w:val="445F1F72"/>
    <w:rsid w:val="44733580"/>
    <w:rsid w:val="4474176F"/>
    <w:rsid w:val="448E1E0B"/>
    <w:rsid w:val="44910D58"/>
    <w:rsid w:val="44A776BF"/>
    <w:rsid w:val="44B36EDB"/>
    <w:rsid w:val="44C33F58"/>
    <w:rsid w:val="44C51236"/>
    <w:rsid w:val="44CC47CD"/>
    <w:rsid w:val="44E522BF"/>
    <w:rsid w:val="44EE2822"/>
    <w:rsid w:val="44F75932"/>
    <w:rsid w:val="44F9763B"/>
    <w:rsid w:val="450E7957"/>
    <w:rsid w:val="45182C3F"/>
    <w:rsid w:val="452E279B"/>
    <w:rsid w:val="454A5D82"/>
    <w:rsid w:val="454D17A4"/>
    <w:rsid w:val="45637592"/>
    <w:rsid w:val="45742481"/>
    <w:rsid w:val="4583099F"/>
    <w:rsid w:val="459604EB"/>
    <w:rsid w:val="45987EA2"/>
    <w:rsid w:val="45A51423"/>
    <w:rsid w:val="45A73923"/>
    <w:rsid w:val="45B11D2C"/>
    <w:rsid w:val="45DC4423"/>
    <w:rsid w:val="45DE15FD"/>
    <w:rsid w:val="45EA380F"/>
    <w:rsid w:val="45EF61C5"/>
    <w:rsid w:val="45F2062E"/>
    <w:rsid w:val="45F71CEC"/>
    <w:rsid w:val="45FF454C"/>
    <w:rsid w:val="461031E3"/>
    <w:rsid w:val="46182AAF"/>
    <w:rsid w:val="461F0AF3"/>
    <w:rsid w:val="463E0FD1"/>
    <w:rsid w:val="4647282F"/>
    <w:rsid w:val="465102B1"/>
    <w:rsid w:val="46572FE5"/>
    <w:rsid w:val="46634480"/>
    <w:rsid w:val="46665433"/>
    <w:rsid w:val="46680506"/>
    <w:rsid w:val="46824EC4"/>
    <w:rsid w:val="4691685F"/>
    <w:rsid w:val="46B32EDE"/>
    <w:rsid w:val="46C04255"/>
    <w:rsid w:val="46D9136A"/>
    <w:rsid w:val="46EA5EB9"/>
    <w:rsid w:val="46EC13FE"/>
    <w:rsid w:val="47187AB1"/>
    <w:rsid w:val="472A6A1B"/>
    <w:rsid w:val="4731662A"/>
    <w:rsid w:val="47415DF2"/>
    <w:rsid w:val="474A005A"/>
    <w:rsid w:val="474F35E3"/>
    <w:rsid w:val="47554E66"/>
    <w:rsid w:val="47555433"/>
    <w:rsid w:val="476231F9"/>
    <w:rsid w:val="47664C50"/>
    <w:rsid w:val="476E602F"/>
    <w:rsid w:val="47773DDA"/>
    <w:rsid w:val="47876915"/>
    <w:rsid w:val="47881532"/>
    <w:rsid w:val="479161F7"/>
    <w:rsid w:val="47AC2B32"/>
    <w:rsid w:val="47D20D5F"/>
    <w:rsid w:val="47DA303A"/>
    <w:rsid w:val="47E12B77"/>
    <w:rsid w:val="47EE71EB"/>
    <w:rsid w:val="480D59DB"/>
    <w:rsid w:val="481638EC"/>
    <w:rsid w:val="482D320B"/>
    <w:rsid w:val="4836579A"/>
    <w:rsid w:val="483A714A"/>
    <w:rsid w:val="48607822"/>
    <w:rsid w:val="486A2FBC"/>
    <w:rsid w:val="486A7BB8"/>
    <w:rsid w:val="486E6D59"/>
    <w:rsid w:val="487B6078"/>
    <w:rsid w:val="489F6B33"/>
    <w:rsid w:val="48A034A5"/>
    <w:rsid w:val="48FB2646"/>
    <w:rsid w:val="49310C13"/>
    <w:rsid w:val="493535B9"/>
    <w:rsid w:val="493547D4"/>
    <w:rsid w:val="494B6B6D"/>
    <w:rsid w:val="495459A6"/>
    <w:rsid w:val="4958709C"/>
    <w:rsid w:val="49626FA9"/>
    <w:rsid w:val="4967404D"/>
    <w:rsid w:val="4993113E"/>
    <w:rsid w:val="49A6389F"/>
    <w:rsid w:val="49AB0565"/>
    <w:rsid w:val="49AB5527"/>
    <w:rsid w:val="49B57ADD"/>
    <w:rsid w:val="49C64C23"/>
    <w:rsid w:val="49ED4D77"/>
    <w:rsid w:val="49F3035B"/>
    <w:rsid w:val="49FA43FE"/>
    <w:rsid w:val="49FA7D9D"/>
    <w:rsid w:val="49FB6B4D"/>
    <w:rsid w:val="4A07210A"/>
    <w:rsid w:val="4A10665F"/>
    <w:rsid w:val="4A136EB3"/>
    <w:rsid w:val="4A1471F6"/>
    <w:rsid w:val="4A223431"/>
    <w:rsid w:val="4A2D400B"/>
    <w:rsid w:val="4A332CFB"/>
    <w:rsid w:val="4A4F4589"/>
    <w:rsid w:val="4A525E27"/>
    <w:rsid w:val="4A636993"/>
    <w:rsid w:val="4A637F0A"/>
    <w:rsid w:val="4A783430"/>
    <w:rsid w:val="4A7A7858"/>
    <w:rsid w:val="4A8653EE"/>
    <w:rsid w:val="4A921FD6"/>
    <w:rsid w:val="4A943A68"/>
    <w:rsid w:val="4ABD1A66"/>
    <w:rsid w:val="4AC360D1"/>
    <w:rsid w:val="4AC47E4F"/>
    <w:rsid w:val="4AC97207"/>
    <w:rsid w:val="4ADD3446"/>
    <w:rsid w:val="4AE20AAE"/>
    <w:rsid w:val="4AF55130"/>
    <w:rsid w:val="4B083A72"/>
    <w:rsid w:val="4B10184B"/>
    <w:rsid w:val="4B246CAA"/>
    <w:rsid w:val="4B3963EB"/>
    <w:rsid w:val="4B5A1437"/>
    <w:rsid w:val="4B6F16B5"/>
    <w:rsid w:val="4B8851D6"/>
    <w:rsid w:val="4BBE7344"/>
    <w:rsid w:val="4BC01AA2"/>
    <w:rsid w:val="4BCE1567"/>
    <w:rsid w:val="4BE143CD"/>
    <w:rsid w:val="4BEC3A70"/>
    <w:rsid w:val="4C2239DF"/>
    <w:rsid w:val="4C263509"/>
    <w:rsid w:val="4C3E5410"/>
    <w:rsid w:val="4C411D32"/>
    <w:rsid w:val="4C600F86"/>
    <w:rsid w:val="4C7C28D3"/>
    <w:rsid w:val="4C9E02AB"/>
    <w:rsid w:val="4CBC6C2B"/>
    <w:rsid w:val="4CBE0013"/>
    <w:rsid w:val="4CC36B68"/>
    <w:rsid w:val="4CDF687D"/>
    <w:rsid w:val="4CEE449A"/>
    <w:rsid w:val="4CEF71CA"/>
    <w:rsid w:val="4CF469D9"/>
    <w:rsid w:val="4D120829"/>
    <w:rsid w:val="4D12499E"/>
    <w:rsid w:val="4D1C6665"/>
    <w:rsid w:val="4D2D31CC"/>
    <w:rsid w:val="4D50486B"/>
    <w:rsid w:val="4D567D3B"/>
    <w:rsid w:val="4D575E9E"/>
    <w:rsid w:val="4D5A2FEB"/>
    <w:rsid w:val="4D5D305C"/>
    <w:rsid w:val="4D6A0129"/>
    <w:rsid w:val="4D762AA5"/>
    <w:rsid w:val="4D7B1171"/>
    <w:rsid w:val="4D7F43B9"/>
    <w:rsid w:val="4D8F7A48"/>
    <w:rsid w:val="4D9D0287"/>
    <w:rsid w:val="4DBC0934"/>
    <w:rsid w:val="4DCD4DD9"/>
    <w:rsid w:val="4DDD6657"/>
    <w:rsid w:val="4DDE1331"/>
    <w:rsid w:val="4DE14BB0"/>
    <w:rsid w:val="4DFB44CF"/>
    <w:rsid w:val="4E057D5D"/>
    <w:rsid w:val="4E120BBB"/>
    <w:rsid w:val="4E26590B"/>
    <w:rsid w:val="4E280EE6"/>
    <w:rsid w:val="4E3F576D"/>
    <w:rsid w:val="4E473856"/>
    <w:rsid w:val="4E48070B"/>
    <w:rsid w:val="4E4E5D53"/>
    <w:rsid w:val="4E507355"/>
    <w:rsid w:val="4E5F61AF"/>
    <w:rsid w:val="4E706E8A"/>
    <w:rsid w:val="4E7D0080"/>
    <w:rsid w:val="4E7F5FCF"/>
    <w:rsid w:val="4E807407"/>
    <w:rsid w:val="4E9D3869"/>
    <w:rsid w:val="4EA75D55"/>
    <w:rsid w:val="4EB3332E"/>
    <w:rsid w:val="4EF60A9A"/>
    <w:rsid w:val="4EF61477"/>
    <w:rsid w:val="4F130481"/>
    <w:rsid w:val="4F266D1F"/>
    <w:rsid w:val="4F2A0341"/>
    <w:rsid w:val="4F3013D6"/>
    <w:rsid w:val="4F337FD5"/>
    <w:rsid w:val="4F371E9A"/>
    <w:rsid w:val="4F3806C6"/>
    <w:rsid w:val="4F565FD6"/>
    <w:rsid w:val="4F6F62DF"/>
    <w:rsid w:val="4F704776"/>
    <w:rsid w:val="4F824AB9"/>
    <w:rsid w:val="4F9368AC"/>
    <w:rsid w:val="4F9D68AF"/>
    <w:rsid w:val="4FA40E4E"/>
    <w:rsid w:val="4FBD028E"/>
    <w:rsid w:val="4FC51A32"/>
    <w:rsid w:val="4FEC79A3"/>
    <w:rsid w:val="500353E7"/>
    <w:rsid w:val="502344EE"/>
    <w:rsid w:val="50252B2C"/>
    <w:rsid w:val="502822D3"/>
    <w:rsid w:val="50283E0F"/>
    <w:rsid w:val="50347D1D"/>
    <w:rsid w:val="50391A1A"/>
    <w:rsid w:val="5057099F"/>
    <w:rsid w:val="506543BB"/>
    <w:rsid w:val="5075461D"/>
    <w:rsid w:val="508609D5"/>
    <w:rsid w:val="50991068"/>
    <w:rsid w:val="509947F2"/>
    <w:rsid w:val="50A27C01"/>
    <w:rsid w:val="50AF2A66"/>
    <w:rsid w:val="50B07C1F"/>
    <w:rsid w:val="50BE4216"/>
    <w:rsid w:val="50C932D6"/>
    <w:rsid w:val="50D933D0"/>
    <w:rsid w:val="50E31290"/>
    <w:rsid w:val="50E74582"/>
    <w:rsid w:val="50EC3C76"/>
    <w:rsid w:val="50EC455E"/>
    <w:rsid w:val="50F20585"/>
    <w:rsid w:val="510065DD"/>
    <w:rsid w:val="510A22C1"/>
    <w:rsid w:val="510A64D6"/>
    <w:rsid w:val="512A55A8"/>
    <w:rsid w:val="512D74A4"/>
    <w:rsid w:val="51501067"/>
    <w:rsid w:val="51520166"/>
    <w:rsid w:val="515C0243"/>
    <w:rsid w:val="516B0FF8"/>
    <w:rsid w:val="516F2EB9"/>
    <w:rsid w:val="51746229"/>
    <w:rsid w:val="519849D7"/>
    <w:rsid w:val="51A721AE"/>
    <w:rsid w:val="51B360E5"/>
    <w:rsid w:val="51C429DC"/>
    <w:rsid w:val="51C4760A"/>
    <w:rsid w:val="51D23862"/>
    <w:rsid w:val="51DC4C20"/>
    <w:rsid w:val="51E26AC3"/>
    <w:rsid w:val="521E291B"/>
    <w:rsid w:val="52327EA6"/>
    <w:rsid w:val="523975CA"/>
    <w:rsid w:val="524041F4"/>
    <w:rsid w:val="525252E7"/>
    <w:rsid w:val="52636FCB"/>
    <w:rsid w:val="52996345"/>
    <w:rsid w:val="52A51CDA"/>
    <w:rsid w:val="52CD42C5"/>
    <w:rsid w:val="52D11115"/>
    <w:rsid w:val="52F65EE9"/>
    <w:rsid w:val="52FA6566"/>
    <w:rsid w:val="52FC29D5"/>
    <w:rsid w:val="5310326E"/>
    <w:rsid w:val="531847A8"/>
    <w:rsid w:val="532852EE"/>
    <w:rsid w:val="532C152A"/>
    <w:rsid w:val="5334431C"/>
    <w:rsid w:val="5338592C"/>
    <w:rsid w:val="534014E1"/>
    <w:rsid w:val="534319B2"/>
    <w:rsid w:val="53495D9F"/>
    <w:rsid w:val="534B5517"/>
    <w:rsid w:val="534B759C"/>
    <w:rsid w:val="534E073D"/>
    <w:rsid w:val="5364440C"/>
    <w:rsid w:val="537C2F0B"/>
    <w:rsid w:val="53864224"/>
    <w:rsid w:val="5394396E"/>
    <w:rsid w:val="5399736B"/>
    <w:rsid w:val="539D31E7"/>
    <w:rsid w:val="53A912BA"/>
    <w:rsid w:val="53D81430"/>
    <w:rsid w:val="53D85CA1"/>
    <w:rsid w:val="53DC6163"/>
    <w:rsid w:val="5406123A"/>
    <w:rsid w:val="54084CBA"/>
    <w:rsid w:val="54106745"/>
    <w:rsid w:val="543F081F"/>
    <w:rsid w:val="54606A9A"/>
    <w:rsid w:val="54624EB9"/>
    <w:rsid w:val="546479FC"/>
    <w:rsid w:val="54652A8E"/>
    <w:rsid w:val="54915690"/>
    <w:rsid w:val="5494305E"/>
    <w:rsid w:val="549B096C"/>
    <w:rsid w:val="54A44655"/>
    <w:rsid w:val="54A8158F"/>
    <w:rsid w:val="54B86AB2"/>
    <w:rsid w:val="54D2129D"/>
    <w:rsid w:val="55042313"/>
    <w:rsid w:val="55326F81"/>
    <w:rsid w:val="55434A1E"/>
    <w:rsid w:val="5559450E"/>
    <w:rsid w:val="55945B57"/>
    <w:rsid w:val="559519EA"/>
    <w:rsid w:val="55B259BB"/>
    <w:rsid w:val="55B8354B"/>
    <w:rsid w:val="55C6220C"/>
    <w:rsid w:val="55EA0AEE"/>
    <w:rsid w:val="55ED67C1"/>
    <w:rsid w:val="560345EB"/>
    <w:rsid w:val="560B7ACB"/>
    <w:rsid w:val="563F46A5"/>
    <w:rsid w:val="56477271"/>
    <w:rsid w:val="565A61D2"/>
    <w:rsid w:val="5669749E"/>
    <w:rsid w:val="566F60E6"/>
    <w:rsid w:val="568E55D8"/>
    <w:rsid w:val="56E666D1"/>
    <w:rsid w:val="56F36805"/>
    <w:rsid w:val="57073F8B"/>
    <w:rsid w:val="57206731"/>
    <w:rsid w:val="57227636"/>
    <w:rsid w:val="572A1D43"/>
    <w:rsid w:val="573F37A0"/>
    <w:rsid w:val="57490EA8"/>
    <w:rsid w:val="575A43A4"/>
    <w:rsid w:val="576772D1"/>
    <w:rsid w:val="57773AD5"/>
    <w:rsid w:val="579A1A73"/>
    <w:rsid w:val="57B81053"/>
    <w:rsid w:val="57F61DD3"/>
    <w:rsid w:val="5805384C"/>
    <w:rsid w:val="580C0F3A"/>
    <w:rsid w:val="580F689B"/>
    <w:rsid w:val="581772F9"/>
    <w:rsid w:val="5828796A"/>
    <w:rsid w:val="584002D9"/>
    <w:rsid w:val="584B3A0C"/>
    <w:rsid w:val="585039A6"/>
    <w:rsid w:val="586F766C"/>
    <w:rsid w:val="588C4A84"/>
    <w:rsid w:val="58C67EAF"/>
    <w:rsid w:val="58D9795F"/>
    <w:rsid w:val="58E40BD7"/>
    <w:rsid w:val="58F070CC"/>
    <w:rsid w:val="5904708B"/>
    <w:rsid w:val="590F1507"/>
    <w:rsid w:val="591644C3"/>
    <w:rsid w:val="592517BD"/>
    <w:rsid w:val="592A4921"/>
    <w:rsid w:val="592A590C"/>
    <w:rsid w:val="594053B0"/>
    <w:rsid w:val="594B7F19"/>
    <w:rsid w:val="595274B1"/>
    <w:rsid w:val="597025C4"/>
    <w:rsid w:val="597068F3"/>
    <w:rsid w:val="59AA3805"/>
    <w:rsid w:val="59E1005E"/>
    <w:rsid w:val="59E53D6C"/>
    <w:rsid w:val="59F948D8"/>
    <w:rsid w:val="59FA2896"/>
    <w:rsid w:val="59FB332D"/>
    <w:rsid w:val="5A024EB5"/>
    <w:rsid w:val="5A1116FD"/>
    <w:rsid w:val="5A215065"/>
    <w:rsid w:val="5A2A6284"/>
    <w:rsid w:val="5A2C6001"/>
    <w:rsid w:val="5A373E24"/>
    <w:rsid w:val="5A3B22F0"/>
    <w:rsid w:val="5A427EDD"/>
    <w:rsid w:val="5A4B3E86"/>
    <w:rsid w:val="5A4E03B9"/>
    <w:rsid w:val="5A4F2381"/>
    <w:rsid w:val="5A734220"/>
    <w:rsid w:val="5A7D72B9"/>
    <w:rsid w:val="5AA3518B"/>
    <w:rsid w:val="5AB70C06"/>
    <w:rsid w:val="5ABD109B"/>
    <w:rsid w:val="5AE9147E"/>
    <w:rsid w:val="5AEE1A5D"/>
    <w:rsid w:val="5AF073B6"/>
    <w:rsid w:val="5AF47DD9"/>
    <w:rsid w:val="5AFC26E4"/>
    <w:rsid w:val="5B046CCA"/>
    <w:rsid w:val="5B254B01"/>
    <w:rsid w:val="5B3449EB"/>
    <w:rsid w:val="5B3B1622"/>
    <w:rsid w:val="5B3D627F"/>
    <w:rsid w:val="5B4A11E6"/>
    <w:rsid w:val="5B525C87"/>
    <w:rsid w:val="5B581160"/>
    <w:rsid w:val="5B582514"/>
    <w:rsid w:val="5B5F56BA"/>
    <w:rsid w:val="5B6214FD"/>
    <w:rsid w:val="5B7A1D7C"/>
    <w:rsid w:val="5B8541D4"/>
    <w:rsid w:val="5B8B3019"/>
    <w:rsid w:val="5B9F2405"/>
    <w:rsid w:val="5BA5228B"/>
    <w:rsid w:val="5BB66EEA"/>
    <w:rsid w:val="5BE50F25"/>
    <w:rsid w:val="5BEF1728"/>
    <w:rsid w:val="5BFA6891"/>
    <w:rsid w:val="5BFE45DF"/>
    <w:rsid w:val="5C162E5A"/>
    <w:rsid w:val="5C2715E1"/>
    <w:rsid w:val="5C353E0C"/>
    <w:rsid w:val="5C4129B1"/>
    <w:rsid w:val="5C56117C"/>
    <w:rsid w:val="5C994F63"/>
    <w:rsid w:val="5CB53A5E"/>
    <w:rsid w:val="5CC2508E"/>
    <w:rsid w:val="5CCE6850"/>
    <w:rsid w:val="5CE17957"/>
    <w:rsid w:val="5CF5401D"/>
    <w:rsid w:val="5D085919"/>
    <w:rsid w:val="5D0D01AF"/>
    <w:rsid w:val="5D185A10"/>
    <w:rsid w:val="5D2641A2"/>
    <w:rsid w:val="5D30732C"/>
    <w:rsid w:val="5D3A70EE"/>
    <w:rsid w:val="5D5C71A2"/>
    <w:rsid w:val="5D6846AE"/>
    <w:rsid w:val="5D6879E4"/>
    <w:rsid w:val="5D69598E"/>
    <w:rsid w:val="5D6D410D"/>
    <w:rsid w:val="5D725B1F"/>
    <w:rsid w:val="5D727024"/>
    <w:rsid w:val="5D925D4C"/>
    <w:rsid w:val="5D97555D"/>
    <w:rsid w:val="5DA471B0"/>
    <w:rsid w:val="5DBC3E30"/>
    <w:rsid w:val="5DDB06A3"/>
    <w:rsid w:val="5DE55991"/>
    <w:rsid w:val="5DEF61A4"/>
    <w:rsid w:val="5DF02116"/>
    <w:rsid w:val="5DF503DE"/>
    <w:rsid w:val="5DFE27C2"/>
    <w:rsid w:val="5E335543"/>
    <w:rsid w:val="5E3535DC"/>
    <w:rsid w:val="5E3F3738"/>
    <w:rsid w:val="5E4353D6"/>
    <w:rsid w:val="5E464AE2"/>
    <w:rsid w:val="5E4B1EBA"/>
    <w:rsid w:val="5E6120E8"/>
    <w:rsid w:val="5E6E2DD8"/>
    <w:rsid w:val="5E734D07"/>
    <w:rsid w:val="5E744057"/>
    <w:rsid w:val="5E744C62"/>
    <w:rsid w:val="5E7C7F51"/>
    <w:rsid w:val="5E8F42CB"/>
    <w:rsid w:val="5E950952"/>
    <w:rsid w:val="5EB52D97"/>
    <w:rsid w:val="5EBE05DB"/>
    <w:rsid w:val="5EC53714"/>
    <w:rsid w:val="5ECC203B"/>
    <w:rsid w:val="5F160BE6"/>
    <w:rsid w:val="5F4B2E3F"/>
    <w:rsid w:val="5F717BE5"/>
    <w:rsid w:val="5F971630"/>
    <w:rsid w:val="5FAD25C4"/>
    <w:rsid w:val="5FC16257"/>
    <w:rsid w:val="5FC82C4D"/>
    <w:rsid w:val="5FCB5E7E"/>
    <w:rsid w:val="5FCE13FB"/>
    <w:rsid w:val="5FDA6C9A"/>
    <w:rsid w:val="5FE87082"/>
    <w:rsid w:val="5FEB4F44"/>
    <w:rsid w:val="60033351"/>
    <w:rsid w:val="6014147E"/>
    <w:rsid w:val="601B45EF"/>
    <w:rsid w:val="6031597A"/>
    <w:rsid w:val="60491819"/>
    <w:rsid w:val="604B706D"/>
    <w:rsid w:val="605170F5"/>
    <w:rsid w:val="60582448"/>
    <w:rsid w:val="60762418"/>
    <w:rsid w:val="60876719"/>
    <w:rsid w:val="60885CA7"/>
    <w:rsid w:val="60913740"/>
    <w:rsid w:val="609A133F"/>
    <w:rsid w:val="60B5241A"/>
    <w:rsid w:val="60C65C53"/>
    <w:rsid w:val="60CD19C8"/>
    <w:rsid w:val="60D27E02"/>
    <w:rsid w:val="60F90076"/>
    <w:rsid w:val="60FA7FBD"/>
    <w:rsid w:val="610317E8"/>
    <w:rsid w:val="61055D5C"/>
    <w:rsid w:val="61267FC7"/>
    <w:rsid w:val="613767AA"/>
    <w:rsid w:val="61441376"/>
    <w:rsid w:val="614F5246"/>
    <w:rsid w:val="616B3116"/>
    <w:rsid w:val="616D778C"/>
    <w:rsid w:val="616F2E2F"/>
    <w:rsid w:val="618150F9"/>
    <w:rsid w:val="61A34DEC"/>
    <w:rsid w:val="61A82A46"/>
    <w:rsid w:val="61AD5014"/>
    <w:rsid w:val="61BE56DE"/>
    <w:rsid w:val="61C3664A"/>
    <w:rsid w:val="61D14699"/>
    <w:rsid w:val="61DE00C2"/>
    <w:rsid w:val="61EE5716"/>
    <w:rsid w:val="61F20910"/>
    <w:rsid w:val="620057B1"/>
    <w:rsid w:val="620B3C1D"/>
    <w:rsid w:val="62137E58"/>
    <w:rsid w:val="62173D90"/>
    <w:rsid w:val="6226047D"/>
    <w:rsid w:val="623F6C33"/>
    <w:rsid w:val="62400DDA"/>
    <w:rsid w:val="625729E3"/>
    <w:rsid w:val="62583CB6"/>
    <w:rsid w:val="626D0407"/>
    <w:rsid w:val="62950CE0"/>
    <w:rsid w:val="629A717E"/>
    <w:rsid w:val="629D52D3"/>
    <w:rsid w:val="62AB7783"/>
    <w:rsid w:val="62DD3D8E"/>
    <w:rsid w:val="62E91F7A"/>
    <w:rsid w:val="630020D3"/>
    <w:rsid w:val="630075C7"/>
    <w:rsid w:val="63166270"/>
    <w:rsid w:val="63265E9F"/>
    <w:rsid w:val="632671EB"/>
    <w:rsid w:val="63275C4B"/>
    <w:rsid w:val="632B0E85"/>
    <w:rsid w:val="632F07AB"/>
    <w:rsid w:val="63322BBF"/>
    <w:rsid w:val="633D546F"/>
    <w:rsid w:val="634C17B6"/>
    <w:rsid w:val="635600A9"/>
    <w:rsid w:val="635B0E29"/>
    <w:rsid w:val="635C3B47"/>
    <w:rsid w:val="636D2D88"/>
    <w:rsid w:val="6370311A"/>
    <w:rsid w:val="637A6E33"/>
    <w:rsid w:val="63822D65"/>
    <w:rsid w:val="63835C63"/>
    <w:rsid w:val="63927568"/>
    <w:rsid w:val="63927F30"/>
    <w:rsid w:val="6398423D"/>
    <w:rsid w:val="639E09A4"/>
    <w:rsid w:val="63B87DE9"/>
    <w:rsid w:val="63BF7C32"/>
    <w:rsid w:val="63C11FDF"/>
    <w:rsid w:val="63DA1D6D"/>
    <w:rsid w:val="640436CD"/>
    <w:rsid w:val="64062FAD"/>
    <w:rsid w:val="64113315"/>
    <w:rsid w:val="642A5D45"/>
    <w:rsid w:val="6434085F"/>
    <w:rsid w:val="644D55B2"/>
    <w:rsid w:val="644D5D48"/>
    <w:rsid w:val="64641170"/>
    <w:rsid w:val="647A620C"/>
    <w:rsid w:val="647D0E30"/>
    <w:rsid w:val="647F3A4C"/>
    <w:rsid w:val="64961FEA"/>
    <w:rsid w:val="649737D1"/>
    <w:rsid w:val="649B10C0"/>
    <w:rsid w:val="64AC2A0D"/>
    <w:rsid w:val="64D5744C"/>
    <w:rsid w:val="64D57CC1"/>
    <w:rsid w:val="64D94CD6"/>
    <w:rsid w:val="64E75170"/>
    <w:rsid w:val="64EF542F"/>
    <w:rsid w:val="64F25DE5"/>
    <w:rsid w:val="64F60DB6"/>
    <w:rsid w:val="65085515"/>
    <w:rsid w:val="65120220"/>
    <w:rsid w:val="651D44CF"/>
    <w:rsid w:val="651E4C38"/>
    <w:rsid w:val="652561BA"/>
    <w:rsid w:val="65287336"/>
    <w:rsid w:val="652F4833"/>
    <w:rsid w:val="65364C48"/>
    <w:rsid w:val="6539524A"/>
    <w:rsid w:val="653F1978"/>
    <w:rsid w:val="656137FC"/>
    <w:rsid w:val="657D2EF6"/>
    <w:rsid w:val="658A0837"/>
    <w:rsid w:val="659B1B6E"/>
    <w:rsid w:val="65A90638"/>
    <w:rsid w:val="65B303FE"/>
    <w:rsid w:val="65BF032F"/>
    <w:rsid w:val="65CE09F7"/>
    <w:rsid w:val="65D12212"/>
    <w:rsid w:val="65E80F94"/>
    <w:rsid w:val="65FB6B37"/>
    <w:rsid w:val="6601214F"/>
    <w:rsid w:val="661532C3"/>
    <w:rsid w:val="66331C34"/>
    <w:rsid w:val="66351D80"/>
    <w:rsid w:val="66554C65"/>
    <w:rsid w:val="665B0220"/>
    <w:rsid w:val="66647CEF"/>
    <w:rsid w:val="66871673"/>
    <w:rsid w:val="668D6EB0"/>
    <w:rsid w:val="669612B8"/>
    <w:rsid w:val="66A30A81"/>
    <w:rsid w:val="66A45E38"/>
    <w:rsid w:val="66AE5B8C"/>
    <w:rsid w:val="66B912B0"/>
    <w:rsid w:val="66C4285D"/>
    <w:rsid w:val="66C57C55"/>
    <w:rsid w:val="66F16AD4"/>
    <w:rsid w:val="66F25101"/>
    <w:rsid w:val="66F928A0"/>
    <w:rsid w:val="66F957EA"/>
    <w:rsid w:val="66FC1EA6"/>
    <w:rsid w:val="67014DEE"/>
    <w:rsid w:val="67061C6F"/>
    <w:rsid w:val="670E33AA"/>
    <w:rsid w:val="670E4CCD"/>
    <w:rsid w:val="671A4206"/>
    <w:rsid w:val="67302540"/>
    <w:rsid w:val="673322C0"/>
    <w:rsid w:val="675751AB"/>
    <w:rsid w:val="6788741A"/>
    <w:rsid w:val="67955879"/>
    <w:rsid w:val="67A1449C"/>
    <w:rsid w:val="67AA2559"/>
    <w:rsid w:val="67B45CF9"/>
    <w:rsid w:val="67C44BE8"/>
    <w:rsid w:val="67DA72F1"/>
    <w:rsid w:val="67EB266B"/>
    <w:rsid w:val="68000AEE"/>
    <w:rsid w:val="68071BA7"/>
    <w:rsid w:val="68143A8E"/>
    <w:rsid w:val="68156359"/>
    <w:rsid w:val="681D5409"/>
    <w:rsid w:val="6836397F"/>
    <w:rsid w:val="68381A30"/>
    <w:rsid w:val="685436B1"/>
    <w:rsid w:val="685D76D5"/>
    <w:rsid w:val="6880290D"/>
    <w:rsid w:val="68C2275C"/>
    <w:rsid w:val="68D17DA1"/>
    <w:rsid w:val="68D66F7D"/>
    <w:rsid w:val="68DC3034"/>
    <w:rsid w:val="68E704E2"/>
    <w:rsid w:val="68FD3F41"/>
    <w:rsid w:val="69001CEE"/>
    <w:rsid w:val="69086524"/>
    <w:rsid w:val="690C7823"/>
    <w:rsid w:val="690D6FCB"/>
    <w:rsid w:val="691924BC"/>
    <w:rsid w:val="69384EE2"/>
    <w:rsid w:val="693C5F0C"/>
    <w:rsid w:val="693F763B"/>
    <w:rsid w:val="69480D57"/>
    <w:rsid w:val="696C440D"/>
    <w:rsid w:val="69704E73"/>
    <w:rsid w:val="697A30B8"/>
    <w:rsid w:val="69802604"/>
    <w:rsid w:val="69926F76"/>
    <w:rsid w:val="69A363E3"/>
    <w:rsid w:val="69CC6E17"/>
    <w:rsid w:val="69DF2E45"/>
    <w:rsid w:val="69DF38CB"/>
    <w:rsid w:val="6A0A2A05"/>
    <w:rsid w:val="6A0B4A98"/>
    <w:rsid w:val="6A0E0D04"/>
    <w:rsid w:val="6A117E0F"/>
    <w:rsid w:val="6A234CE7"/>
    <w:rsid w:val="6A2B3DFA"/>
    <w:rsid w:val="6A2C069F"/>
    <w:rsid w:val="6A2F5D6D"/>
    <w:rsid w:val="6A564508"/>
    <w:rsid w:val="6A601B22"/>
    <w:rsid w:val="6A6A318A"/>
    <w:rsid w:val="6A864E94"/>
    <w:rsid w:val="6A9F1EAC"/>
    <w:rsid w:val="6AA638F9"/>
    <w:rsid w:val="6AA933EA"/>
    <w:rsid w:val="6AAF0A38"/>
    <w:rsid w:val="6AB10108"/>
    <w:rsid w:val="6AB817BE"/>
    <w:rsid w:val="6AC2789A"/>
    <w:rsid w:val="6AEA1A38"/>
    <w:rsid w:val="6AF26073"/>
    <w:rsid w:val="6AF85145"/>
    <w:rsid w:val="6AFE13B8"/>
    <w:rsid w:val="6B1346D4"/>
    <w:rsid w:val="6B2A49F8"/>
    <w:rsid w:val="6B3360BE"/>
    <w:rsid w:val="6B500125"/>
    <w:rsid w:val="6B5D5F9E"/>
    <w:rsid w:val="6B5E5F82"/>
    <w:rsid w:val="6B605E11"/>
    <w:rsid w:val="6B6E7D76"/>
    <w:rsid w:val="6B786DC2"/>
    <w:rsid w:val="6B8123A4"/>
    <w:rsid w:val="6B8754D9"/>
    <w:rsid w:val="6B8D0362"/>
    <w:rsid w:val="6B9F6CC6"/>
    <w:rsid w:val="6BB137E4"/>
    <w:rsid w:val="6BD12BF8"/>
    <w:rsid w:val="6BEA4F78"/>
    <w:rsid w:val="6BF25603"/>
    <w:rsid w:val="6BFE10C7"/>
    <w:rsid w:val="6C0E025B"/>
    <w:rsid w:val="6C233704"/>
    <w:rsid w:val="6C3A0317"/>
    <w:rsid w:val="6C541169"/>
    <w:rsid w:val="6C5D21FB"/>
    <w:rsid w:val="6C721E31"/>
    <w:rsid w:val="6C9E5415"/>
    <w:rsid w:val="6CAA6D68"/>
    <w:rsid w:val="6CBF5624"/>
    <w:rsid w:val="6CDB1F80"/>
    <w:rsid w:val="6CE63F9D"/>
    <w:rsid w:val="6CF13EC6"/>
    <w:rsid w:val="6D0E17BA"/>
    <w:rsid w:val="6D1214DA"/>
    <w:rsid w:val="6D154D66"/>
    <w:rsid w:val="6D170857"/>
    <w:rsid w:val="6D187838"/>
    <w:rsid w:val="6D314807"/>
    <w:rsid w:val="6D4C0234"/>
    <w:rsid w:val="6D4E753F"/>
    <w:rsid w:val="6D535020"/>
    <w:rsid w:val="6D635AD2"/>
    <w:rsid w:val="6D7221B9"/>
    <w:rsid w:val="6D771D03"/>
    <w:rsid w:val="6D7A7821"/>
    <w:rsid w:val="6D835DEB"/>
    <w:rsid w:val="6D8D725B"/>
    <w:rsid w:val="6D8F1E33"/>
    <w:rsid w:val="6DA070E2"/>
    <w:rsid w:val="6DC4579A"/>
    <w:rsid w:val="6DC81EC1"/>
    <w:rsid w:val="6DD536D2"/>
    <w:rsid w:val="6DD97201"/>
    <w:rsid w:val="6DF456B4"/>
    <w:rsid w:val="6DF763D4"/>
    <w:rsid w:val="6E0505EF"/>
    <w:rsid w:val="6E254456"/>
    <w:rsid w:val="6E262FB4"/>
    <w:rsid w:val="6E352EB4"/>
    <w:rsid w:val="6E4D32D0"/>
    <w:rsid w:val="6E55044F"/>
    <w:rsid w:val="6E5767F6"/>
    <w:rsid w:val="6E605042"/>
    <w:rsid w:val="6E680107"/>
    <w:rsid w:val="6E976C98"/>
    <w:rsid w:val="6EA24956"/>
    <w:rsid w:val="6EBE56B6"/>
    <w:rsid w:val="6ECE001D"/>
    <w:rsid w:val="6ED717F6"/>
    <w:rsid w:val="6EDA3E17"/>
    <w:rsid w:val="6EE13152"/>
    <w:rsid w:val="6EE57E46"/>
    <w:rsid w:val="6F026F6D"/>
    <w:rsid w:val="6F0671DE"/>
    <w:rsid w:val="6F09367A"/>
    <w:rsid w:val="6F0E2812"/>
    <w:rsid w:val="6F11329D"/>
    <w:rsid w:val="6F12034C"/>
    <w:rsid w:val="6F196F4B"/>
    <w:rsid w:val="6F1D1982"/>
    <w:rsid w:val="6F2563F6"/>
    <w:rsid w:val="6F3A19A1"/>
    <w:rsid w:val="6F3F1170"/>
    <w:rsid w:val="6F565726"/>
    <w:rsid w:val="6F565DEB"/>
    <w:rsid w:val="6F67671B"/>
    <w:rsid w:val="6F833C57"/>
    <w:rsid w:val="6F8D43ED"/>
    <w:rsid w:val="6FAC2801"/>
    <w:rsid w:val="6FC912BB"/>
    <w:rsid w:val="6FD67B49"/>
    <w:rsid w:val="6FDC5499"/>
    <w:rsid w:val="6FEC6252"/>
    <w:rsid w:val="6FF25BF6"/>
    <w:rsid w:val="6FF7723D"/>
    <w:rsid w:val="6FF94E21"/>
    <w:rsid w:val="700803B2"/>
    <w:rsid w:val="701270F1"/>
    <w:rsid w:val="702B1420"/>
    <w:rsid w:val="70367B08"/>
    <w:rsid w:val="704C1802"/>
    <w:rsid w:val="7073547E"/>
    <w:rsid w:val="708C6C14"/>
    <w:rsid w:val="70914DE8"/>
    <w:rsid w:val="709B49AD"/>
    <w:rsid w:val="709F56B9"/>
    <w:rsid w:val="70AD220A"/>
    <w:rsid w:val="70AF1502"/>
    <w:rsid w:val="70B4507B"/>
    <w:rsid w:val="70D94425"/>
    <w:rsid w:val="70E91966"/>
    <w:rsid w:val="7101188A"/>
    <w:rsid w:val="710E36C8"/>
    <w:rsid w:val="711759BB"/>
    <w:rsid w:val="71275EF7"/>
    <w:rsid w:val="71286898"/>
    <w:rsid w:val="712971A5"/>
    <w:rsid w:val="71394485"/>
    <w:rsid w:val="713C786D"/>
    <w:rsid w:val="71533B5C"/>
    <w:rsid w:val="71567A73"/>
    <w:rsid w:val="716600BD"/>
    <w:rsid w:val="717E112C"/>
    <w:rsid w:val="7192542E"/>
    <w:rsid w:val="71A720CD"/>
    <w:rsid w:val="71BD1968"/>
    <w:rsid w:val="71E02DAD"/>
    <w:rsid w:val="71EB2105"/>
    <w:rsid w:val="71F856FC"/>
    <w:rsid w:val="71FF3F46"/>
    <w:rsid w:val="7218737B"/>
    <w:rsid w:val="72214789"/>
    <w:rsid w:val="72247D88"/>
    <w:rsid w:val="723C060D"/>
    <w:rsid w:val="725854FE"/>
    <w:rsid w:val="726764D5"/>
    <w:rsid w:val="726C689C"/>
    <w:rsid w:val="727110AF"/>
    <w:rsid w:val="72773F02"/>
    <w:rsid w:val="727F01BF"/>
    <w:rsid w:val="72870327"/>
    <w:rsid w:val="728D4994"/>
    <w:rsid w:val="728F1BF4"/>
    <w:rsid w:val="72902AA4"/>
    <w:rsid w:val="72966949"/>
    <w:rsid w:val="7298446F"/>
    <w:rsid w:val="72AB166E"/>
    <w:rsid w:val="72B63775"/>
    <w:rsid w:val="72C40D43"/>
    <w:rsid w:val="72D53A8C"/>
    <w:rsid w:val="72DC1E41"/>
    <w:rsid w:val="72E4675A"/>
    <w:rsid w:val="72E65A56"/>
    <w:rsid w:val="72F17A71"/>
    <w:rsid w:val="72F738D6"/>
    <w:rsid w:val="731A4CAD"/>
    <w:rsid w:val="732E2A2B"/>
    <w:rsid w:val="73351A2B"/>
    <w:rsid w:val="73356E13"/>
    <w:rsid w:val="73777153"/>
    <w:rsid w:val="738D32D9"/>
    <w:rsid w:val="739441DE"/>
    <w:rsid w:val="73B256E9"/>
    <w:rsid w:val="73B30F17"/>
    <w:rsid w:val="73C537B1"/>
    <w:rsid w:val="73CD33BB"/>
    <w:rsid w:val="73D1075C"/>
    <w:rsid w:val="73D410F7"/>
    <w:rsid w:val="73DD3FC1"/>
    <w:rsid w:val="73E476ED"/>
    <w:rsid w:val="73E63A72"/>
    <w:rsid w:val="73EA4640"/>
    <w:rsid w:val="73EC03DD"/>
    <w:rsid w:val="73F64075"/>
    <w:rsid w:val="73FB6C2B"/>
    <w:rsid w:val="740A6140"/>
    <w:rsid w:val="74301621"/>
    <w:rsid w:val="74442730"/>
    <w:rsid w:val="74531D2F"/>
    <w:rsid w:val="745B488C"/>
    <w:rsid w:val="746C669B"/>
    <w:rsid w:val="74842DB4"/>
    <w:rsid w:val="749232A9"/>
    <w:rsid w:val="74A4534E"/>
    <w:rsid w:val="74F56F80"/>
    <w:rsid w:val="750758DC"/>
    <w:rsid w:val="75090E3A"/>
    <w:rsid w:val="75181C9D"/>
    <w:rsid w:val="75213866"/>
    <w:rsid w:val="752368E0"/>
    <w:rsid w:val="754340C6"/>
    <w:rsid w:val="754B4A3D"/>
    <w:rsid w:val="75505F4B"/>
    <w:rsid w:val="756E7E47"/>
    <w:rsid w:val="75706D1D"/>
    <w:rsid w:val="75894CB4"/>
    <w:rsid w:val="758D76E5"/>
    <w:rsid w:val="759D359F"/>
    <w:rsid w:val="75A61441"/>
    <w:rsid w:val="75C20429"/>
    <w:rsid w:val="75C56403"/>
    <w:rsid w:val="75C630A2"/>
    <w:rsid w:val="75CB1A4C"/>
    <w:rsid w:val="75E20279"/>
    <w:rsid w:val="75E36096"/>
    <w:rsid w:val="75F453A3"/>
    <w:rsid w:val="75FC0828"/>
    <w:rsid w:val="760A11F0"/>
    <w:rsid w:val="760C45D1"/>
    <w:rsid w:val="761149AD"/>
    <w:rsid w:val="76197675"/>
    <w:rsid w:val="76232AEC"/>
    <w:rsid w:val="76273749"/>
    <w:rsid w:val="76284AC2"/>
    <w:rsid w:val="76473EF6"/>
    <w:rsid w:val="76491255"/>
    <w:rsid w:val="764E37CA"/>
    <w:rsid w:val="765F1B2B"/>
    <w:rsid w:val="769211D6"/>
    <w:rsid w:val="76B53CD2"/>
    <w:rsid w:val="76D24760"/>
    <w:rsid w:val="76F07EAA"/>
    <w:rsid w:val="76FE2D08"/>
    <w:rsid w:val="77171721"/>
    <w:rsid w:val="771B0062"/>
    <w:rsid w:val="772251E6"/>
    <w:rsid w:val="77537D25"/>
    <w:rsid w:val="7754790A"/>
    <w:rsid w:val="777136F3"/>
    <w:rsid w:val="77776CAF"/>
    <w:rsid w:val="777E710B"/>
    <w:rsid w:val="77813BB7"/>
    <w:rsid w:val="77845250"/>
    <w:rsid w:val="778878C7"/>
    <w:rsid w:val="778D3EAD"/>
    <w:rsid w:val="778F34A7"/>
    <w:rsid w:val="77966242"/>
    <w:rsid w:val="77BE0B12"/>
    <w:rsid w:val="77CE0FB7"/>
    <w:rsid w:val="77DA3FCE"/>
    <w:rsid w:val="77E109BC"/>
    <w:rsid w:val="77E66E2A"/>
    <w:rsid w:val="780508C4"/>
    <w:rsid w:val="78077577"/>
    <w:rsid w:val="78147F54"/>
    <w:rsid w:val="781903FE"/>
    <w:rsid w:val="78291D14"/>
    <w:rsid w:val="78390DEB"/>
    <w:rsid w:val="784D278D"/>
    <w:rsid w:val="7862675C"/>
    <w:rsid w:val="78635A04"/>
    <w:rsid w:val="78653BC0"/>
    <w:rsid w:val="78692B14"/>
    <w:rsid w:val="787542D7"/>
    <w:rsid w:val="7877756F"/>
    <w:rsid w:val="787C64BB"/>
    <w:rsid w:val="78850FF2"/>
    <w:rsid w:val="789B4907"/>
    <w:rsid w:val="789F743A"/>
    <w:rsid w:val="78A918EE"/>
    <w:rsid w:val="78AE75B3"/>
    <w:rsid w:val="78B725DE"/>
    <w:rsid w:val="78BB11DA"/>
    <w:rsid w:val="78BF0458"/>
    <w:rsid w:val="78C16764"/>
    <w:rsid w:val="78C676CF"/>
    <w:rsid w:val="78D14C8A"/>
    <w:rsid w:val="78D47EDB"/>
    <w:rsid w:val="78D85249"/>
    <w:rsid w:val="78EC0BEA"/>
    <w:rsid w:val="78FE2B52"/>
    <w:rsid w:val="790B23F9"/>
    <w:rsid w:val="790D0AC0"/>
    <w:rsid w:val="79234D2F"/>
    <w:rsid w:val="7932685A"/>
    <w:rsid w:val="79360170"/>
    <w:rsid w:val="79410484"/>
    <w:rsid w:val="79463BC4"/>
    <w:rsid w:val="794C74AB"/>
    <w:rsid w:val="79516F70"/>
    <w:rsid w:val="79525636"/>
    <w:rsid w:val="79527A44"/>
    <w:rsid w:val="795D3D1D"/>
    <w:rsid w:val="795E0718"/>
    <w:rsid w:val="795F3B46"/>
    <w:rsid w:val="7991711C"/>
    <w:rsid w:val="79A4194C"/>
    <w:rsid w:val="79BF025D"/>
    <w:rsid w:val="79C476EA"/>
    <w:rsid w:val="79CF419C"/>
    <w:rsid w:val="79FC4121"/>
    <w:rsid w:val="7A075A61"/>
    <w:rsid w:val="7A1A6B77"/>
    <w:rsid w:val="7A234F10"/>
    <w:rsid w:val="7A314C83"/>
    <w:rsid w:val="7A3221EC"/>
    <w:rsid w:val="7A34770A"/>
    <w:rsid w:val="7A5549F4"/>
    <w:rsid w:val="7A576DBA"/>
    <w:rsid w:val="7A5C5DD2"/>
    <w:rsid w:val="7A5D5ED6"/>
    <w:rsid w:val="7A714B34"/>
    <w:rsid w:val="7A715493"/>
    <w:rsid w:val="7A770D8D"/>
    <w:rsid w:val="7A797A07"/>
    <w:rsid w:val="7A7C535A"/>
    <w:rsid w:val="7A886D99"/>
    <w:rsid w:val="7AAB6D14"/>
    <w:rsid w:val="7AB26C83"/>
    <w:rsid w:val="7ABA33EA"/>
    <w:rsid w:val="7ACC5ED1"/>
    <w:rsid w:val="7AE32D5B"/>
    <w:rsid w:val="7AE70FFA"/>
    <w:rsid w:val="7AF80C0B"/>
    <w:rsid w:val="7B3377DF"/>
    <w:rsid w:val="7B36045B"/>
    <w:rsid w:val="7B5633CA"/>
    <w:rsid w:val="7B5D323B"/>
    <w:rsid w:val="7B5E6F7F"/>
    <w:rsid w:val="7B5F4A24"/>
    <w:rsid w:val="7B642401"/>
    <w:rsid w:val="7B665E5A"/>
    <w:rsid w:val="7B7D3058"/>
    <w:rsid w:val="7B866876"/>
    <w:rsid w:val="7B9710F5"/>
    <w:rsid w:val="7BA67073"/>
    <w:rsid w:val="7BBC3352"/>
    <w:rsid w:val="7BCD1BB0"/>
    <w:rsid w:val="7BD45598"/>
    <w:rsid w:val="7BD56697"/>
    <w:rsid w:val="7BE60EA3"/>
    <w:rsid w:val="7BE713ED"/>
    <w:rsid w:val="7BF70EC6"/>
    <w:rsid w:val="7C0D020A"/>
    <w:rsid w:val="7C176585"/>
    <w:rsid w:val="7C2C5508"/>
    <w:rsid w:val="7C2E68EF"/>
    <w:rsid w:val="7C3946A2"/>
    <w:rsid w:val="7C3A7068"/>
    <w:rsid w:val="7C5E5352"/>
    <w:rsid w:val="7C71145B"/>
    <w:rsid w:val="7C8F35E7"/>
    <w:rsid w:val="7C9D1ABB"/>
    <w:rsid w:val="7CB153C6"/>
    <w:rsid w:val="7CC657AB"/>
    <w:rsid w:val="7CD16D5D"/>
    <w:rsid w:val="7CD556FD"/>
    <w:rsid w:val="7CFC7AC4"/>
    <w:rsid w:val="7D0166A0"/>
    <w:rsid w:val="7D041215"/>
    <w:rsid w:val="7D1C7AB0"/>
    <w:rsid w:val="7D1E41BA"/>
    <w:rsid w:val="7D274817"/>
    <w:rsid w:val="7D5E3D8A"/>
    <w:rsid w:val="7D721420"/>
    <w:rsid w:val="7D8A2717"/>
    <w:rsid w:val="7D8A53A6"/>
    <w:rsid w:val="7D8E2F05"/>
    <w:rsid w:val="7D970D55"/>
    <w:rsid w:val="7DD345AE"/>
    <w:rsid w:val="7DEC38C1"/>
    <w:rsid w:val="7E160799"/>
    <w:rsid w:val="7E3E236F"/>
    <w:rsid w:val="7E431552"/>
    <w:rsid w:val="7E4818A4"/>
    <w:rsid w:val="7E4C644D"/>
    <w:rsid w:val="7E5D2C1D"/>
    <w:rsid w:val="7E882F1A"/>
    <w:rsid w:val="7E8A4813"/>
    <w:rsid w:val="7EA72BFC"/>
    <w:rsid w:val="7EAC26D6"/>
    <w:rsid w:val="7EB138C0"/>
    <w:rsid w:val="7EC40767"/>
    <w:rsid w:val="7EC918A7"/>
    <w:rsid w:val="7ECD4E2F"/>
    <w:rsid w:val="7EF06C38"/>
    <w:rsid w:val="7EFF6E4C"/>
    <w:rsid w:val="7F113A1D"/>
    <w:rsid w:val="7F1C7D6F"/>
    <w:rsid w:val="7F23172E"/>
    <w:rsid w:val="7F290B1C"/>
    <w:rsid w:val="7F3E5AAC"/>
    <w:rsid w:val="7F7D19C8"/>
    <w:rsid w:val="7F8942F1"/>
    <w:rsid w:val="7F8E0A36"/>
    <w:rsid w:val="7F9D4E73"/>
    <w:rsid w:val="7FA36CD4"/>
    <w:rsid w:val="7FA54125"/>
    <w:rsid w:val="7FAE37E8"/>
    <w:rsid w:val="7FC543CA"/>
    <w:rsid w:val="7FCC7A1A"/>
    <w:rsid w:val="7FDF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qFormat/>
    <w:uiPriority w:val="1"/>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11">
    <w:name w:val="Normal Indent"/>
    <w:basedOn w:val="1"/>
    <w:unhideWhenUsed/>
    <w:qFormat/>
    <w:uiPriority w:val="99"/>
    <w:pPr>
      <w:ind w:firstLine="420" w:firstLineChars="200"/>
    </w:pPr>
    <w:rPr>
      <w:rFonts w:ascii="Times New Roman" w:hAnsi="Times New Roman" w:cs="Times New Roman"/>
      <w:sz w:val="21"/>
      <w:szCs w:val="21"/>
    </w:rPr>
  </w:style>
  <w:style w:type="paragraph" w:styleId="12">
    <w:name w:val="Document Map"/>
    <w:basedOn w:val="1"/>
    <w:link w:val="47"/>
    <w:qFormat/>
    <w:uiPriority w:val="0"/>
    <w:rPr>
      <w:rFonts w:ascii="宋体"/>
      <w:sz w:val="18"/>
      <w:szCs w:val="18"/>
    </w:rPr>
  </w:style>
  <w:style w:type="paragraph" w:styleId="13">
    <w:name w:val="toa heading"/>
    <w:basedOn w:val="1"/>
    <w:next w:val="1"/>
    <w:semiHidden/>
    <w:qFormat/>
    <w:uiPriority w:val="0"/>
    <w:pPr>
      <w:spacing w:before="120"/>
    </w:pPr>
    <w:rPr>
      <w:rFonts w:ascii="Arial" w:hAnsi="Arial" w:cs="Arial"/>
      <w:sz w:val="24"/>
      <w:szCs w:val="24"/>
    </w:rPr>
  </w:style>
  <w:style w:type="paragraph" w:styleId="14">
    <w:name w:val="Body Text Indent"/>
    <w:basedOn w:val="1"/>
    <w:qFormat/>
    <w:uiPriority w:val="0"/>
    <w:pPr>
      <w:spacing w:line="440" w:lineRule="exact"/>
      <w:ind w:firstLine="480" w:firstLineChars="200"/>
    </w:pPr>
    <w:rPr>
      <w:sz w:val="24"/>
    </w:rPr>
  </w:style>
  <w:style w:type="paragraph" w:styleId="15">
    <w:name w:val="List Bullet 2"/>
    <w:basedOn w:val="1"/>
    <w:qFormat/>
    <w:uiPriority w:val="0"/>
    <w:pPr>
      <w:numPr>
        <w:ilvl w:val="0"/>
        <w:numId w:val="2"/>
      </w:numPr>
    </w:pPr>
  </w:style>
  <w:style w:type="paragraph" w:styleId="16">
    <w:name w:val="toc 3"/>
    <w:basedOn w:val="1"/>
    <w:next w:val="1"/>
    <w:qFormat/>
    <w:uiPriority w:val="0"/>
    <w:pPr>
      <w:ind w:left="840" w:leftChars="400"/>
    </w:pPr>
  </w:style>
  <w:style w:type="paragraph" w:styleId="17">
    <w:name w:val="Plain Text"/>
    <w:basedOn w:val="1"/>
    <w:qFormat/>
    <w:uiPriority w:val="0"/>
    <w:rPr>
      <w:rFonts w:ascii="宋体" w:hAnsi="Courier New" w:cs="宋体"/>
      <w:szCs w:val="21"/>
    </w:rPr>
  </w:style>
  <w:style w:type="paragraph" w:styleId="18">
    <w:name w:val="Body Text Indent 2"/>
    <w:basedOn w:val="1"/>
    <w:qFormat/>
    <w:uiPriority w:val="0"/>
    <w:pPr>
      <w:spacing w:after="120" w:line="480" w:lineRule="auto"/>
      <w:ind w:left="420" w:leftChars="200"/>
    </w:pPr>
  </w:style>
  <w:style w:type="paragraph" w:styleId="19">
    <w:name w:val="footer"/>
    <w:basedOn w:val="1"/>
    <w:unhideWhenUsed/>
    <w:qFormat/>
    <w:uiPriority w:val="99"/>
    <w:pPr>
      <w:tabs>
        <w:tab w:val="center" w:pos="4153"/>
        <w:tab w:val="right" w:pos="8306"/>
      </w:tabs>
      <w:snapToGrid w:val="0"/>
      <w:jc w:val="left"/>
    </w:pPr>
    <w:rPr>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toc 6"/>
    <w:basedOn w:val="1"/>
    <w:next w:val="1"/>
    <w:qFormat/>
    <w:uiPriority w:val="0"/>
    <w:pPr>
      <w:ind w:left="1050"/>
      <w:jc w:val="left"/>
    </w:pPr>
    <w:rPr>
      <w:rFonts w:ascii="Calibri" w:hAnsi="Calibri"/>
      <w:sz w:val="18"/>
      <w:szCs w:val="18"/>
    </w:rPr>
  </w:style>
  <w:style w:type="paragraph" w:styleId="24">
    <w:name w:val="toc 2"/>
    <w:basedOn w:val="1"/>
    <w:next w:val="1"/>
    <w:qFormat/>
    <w:uiPriority w:val="0"/>
    <w:pPr>
      <w:ind w:left="420" w:leftChars="200"/>
    </w:p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Body Text First Indent"/>
    <w:basedOn w:val="2"/>
    <w:next w:val="23"/>
    <w:semiHidden/>
    <w:unhideWhenUsed/>
    <w:qFormat/>
    <w:uiPriority w:val="99"/>
    <w:pPr>
      <w:ind w:firstLine="420" w:firstLineChars="100"/>
    </w:pPr>
  </w:style>
  <w:style w:type="paragraph" w:styleId="27">
    <w:name w:val="Body Text First Indent 2"/>
    <w:basedOn w:val="28"/>
    <w:qFormat/>
    <w:uiPriority w:val="0"/>
    <w:pPr>
      <w:ind w:firstLine="420" w:firstLineChars="200"/>
    </w:pPr>
  </w:style>
  <w:style w:type="paragraph" w:customStyle="1" w:styleId="28">
    <w:name w:val="正文缩进1"/>
    <w:basedOn w:val="29"/>
    <w:qFormat/>
    <w:uiPriority w:val="0"/>
    <w:pPr>
      <w:spacing w:beforeLines="0" w:beforeAutospacing="0" w:after="120" w:afterAutospacing="0"/>
      <w:ind w:left="420" w:leftChars="200"/>
    </w:pPr>
  </w:style>
  <w:style w:type="paragraph" w:customStyle="1" w:styleId="29">
    <w:name w:val="正文1"/>
    <w:next w:val="27"/>
    <w:qFormat/>
    <w:uiPriority w:val="0"/>
    <w:pPr>
      <w:widowControl w:val="0"/>
      <w:suppressAutoHyphens w:val="0"/>
      <w:bidi w:val="0"/>
      <w:spacing w:beforeLines="0" w:afterLines="0"/>
      <w:jc w:val="both"/>
    </w:pPr>
    <w:rPr>
      <w:rFonts w:ascii="Calibri" w:hAnsi="Calibri" w:eastAsia="宋体" w:cs="Calibri"/>
      <w:color w:val="auto"/>
      <w:kern w:val="2"/>
      <w:sz w:val="21"/>
      <w:szCs w:val="22"/>
      <w:lang w:val="en-US" w:eastAsia="zh-CN" w:bidi="ar-SA"/>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unhideWhenUsed/>
    <w:qFormat/>
    <w:uiPriority w:val="0"/>
    <w:rPr>
      <w:rFonts w:cs="Times New Roman"/>
    </w:rPr>
  </w:style>
  <w:style w:type="character" w:styleId="35">
    <w:name w:val="Hyperlink"/>
    <w:basedOn w:val="32"/>
    <w:qFormat/>
    <w:uiPriority w:val="99"/>
    <w:rPr>
      <w:color w:val="0000FF"/>
      <w:u w:val="single"/>
    </w:rPr>
  </w:style>
  <w:style w:type="character" w:styleId="36">
    <w:name w:val="HTML Sample"/>
    <w:basedOn w:val="32"/>
    <w:qFormat/>
    <w:uiPriority w:val="0"/>
    <w:rPr>
      <w:rFonts w:ascii="Courier New" w:hAnsi="Courier New"/>
    </w:rPr>
  </w:style>
  <w:style w:type="paragraph" w:styleId="37">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38">
    <w:name w:val="样式 仿宋"/>
    <w:qFormat/>
    <w:uiPriority w:val="0"/>
    <w:rPr>
      <w:rFonts w:ascii="仿宋" w:hAnsi="仿宋" w:eastAsia="仿宋"/>
      <w:kern w:val="1"/>
    </w:rPr>
  </w:style>
  <w:style w:type="paragraph" w:customStyle="1" w:styleId="39">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40">
    <w:name w:val="样式 仿宋 行距: 1.5 倍行距"/>
    <w:basedOn w:val="1"/>
    <w:qFormat/>
    <w:uiPriority w:val="0"/>
    <w:pPr>
      <w:spacing w:line="360" w:lineRule="auto"/>
    </w:pPr>
    <w:rPr>
      <w:rFonts w:ascii="仿宋" w:hAnsi="仿宋" w:eastAsia="仿宋" w:cs="宋体"/>
      <w:sz w:val="24"/>
      <w:szCs w:val="20"/>
    </w:rPr>
  </w:style>
  <w:style w:type="character" w:customStyle="1" w:styleId="41">
    <w:name w:val="font21"/>
    <w:basedOn w:val="32"/>
    <w:qFormat/>
    <w:uiPriority w:val="0"/>
    <w:rPr>
      <w:rFonts w:hint="default" w:ascii="等线" w:hAnsi="等线" w:eastAsia="等线" w:cs="等线"/>
      <w:color w:val="000000"/>
      <w:sz w:val="22"/>
      <w:szCs w:val="22"/>
      <w:u w:val="none"/>
    </w:rPr>
  </w:style>
  <w:style w:type="character" w:customStyle="1" w:styleId="42">
    <w:name w:val="font41"/>
    <w:basedOn w:val="32"/>
    <w:qFormat/>
    <w:uiPriority w:val="0"/>
    <w:rPr>
      <w:rFonts w:hint="eastAsia" w:ascii="宋体" w:hAnsi="宋体" w:eastAsia="宋体" w:cs="宋体"/>
      <w:color w:val="000000"/>
      <w:sz w:val="20"/>
      <w:szCs w:val="20"/>
      <w:u w:val="none"/>
    </w:rPr>
  </w:style>
  <w:style w:type="character" w:customStyle="1" w:styleId="43">
    <w:name w:val="font111"/>
    <w:basedOn w:val="32"/>
    <w:qFormat/>
    <w:uiPriority w:val="0"/>
    <w:rPr>
      <w:rFonts w:hint="eastAsia" w:ascii="宋体" w:hAnsi="宋体" w:eastAsia="宋体" w:cs="宋体"/>
      <w:color w:val="000000"/>
      <w:sz w:val="20"/>
      <w:szCs w:val="20"/>
      <w:u w:val="none"/>
    </w:rPr>
  </w:style>
  <w:style w:type="character" w:customStyle="1" w:styleId="44">
    <w:name w:val="font101"/>
    <w:basedOn w:val="32"/>
    <w:qFormat/>
    <w:uiPriority w:val="0"/>
    <w:rPr>
      <w:rFonts w:hint="eastAsia" w:ascii="宋体" w:hAnsi="宋体" w:eastAsia="宋体" w:cs="宋体"/>
      <w:b/>
      <w:color w:val="000000"/>
      <w:sz w:val="20"/>
      <w:szCs w:val="20"/>
      <w:u w:val="none"/>
    </w:rPr>
  </w:style>
  <w:style w:type="paragraph" w:styleId="45">
    <w:name w:val="List Paragraph"/>
    <w:basedOn w:val="1"/>
    <w:qFormat/>
    <w:uiPriority w:val="34"/>
    <w:pPr>
      <w:ind w:firstLine="420" w:firstLineChars="200"/>
    </w:pPr>
  </w:style>
  <w:style w:type="paragraph" w:customStyle="1" w:styleId="46">
    <w:name w:val="_Style 1"/>
    <w:basedOn w:val="1"/>
    <w:qFormat/>
    <w:uiPriority w:val="34"/>
    <w:pPr>
      <w:ind w:firstLine="420" w:firstLineChars="200"/>
    </w:pPr>
  </w:style>
  <w:style w:type="character" w:customStyle="1" w:styleId="47">
    <w:name w:val="文档结构图 Char"/>
    <w:basedOn w:val="32"/>
    <w:link w:val="12"/>
    <w:qFormat/>
    <w:uiPriority w:val="0"/>
    <w:rPr>
      <w:rFonts w:ascii="宋体" w:eastAsia="宋体"/>
      <w:kern w:val="2"/>
      <w:sz w:val="18"/>
      <w:szCs w:val="18"/>
    </w:rPr>
  </w:style>
  <w:style w:type="character" w:customStyle="1" w:styleId="48">
    <w:name w:val="font61"/>
    <w:basedOn w:val="32"/>
    <w:qFormat/>
    <w:uiPriority w:val="0"/>
    <w:rPr>
      <w:rFonts w:hint="eastAsia" w:ascii="宋体" w:hAnsi="宋体" w:eastAsia="宋体" w:cs="宋体"/>
      <w:color w:val="000000"/>
      <w:sz w:val="40"/>
      <w:szCs w:val="40"/>
      <w:u w:val="none"/>
    </w:rPr>
  </w:style>
  <w:style w:type="character" w:customStyle="1" w:styleId="49">
    <w:name w:val="font71"/>
    <w:basedOn w:val="32"/>
    <w:qFormat/>
    <w:uiPriority w:val="0"/>
    <w:rPr>
      <w:rFonts w:hint="eastAsia" w:ascii="仿宋" w:hAnsi="仿宋" w:eastAsia="仿宋" w:cs="仿宋"/>
      <w:color w:val="000000"/>
      <w:sz w:val="20"/>
      <w:szCs w:val="20"/>
      <w:u w:val="none"/>
    </w:rPr>
  </w:style>
  <w:style w:type="character" w:customStyle="1" w:styleId="50">
    <w:name w:val="font51"/>
    <w:basedOn w:val="32"/>
    <w:qFormat/>
    <w:uiPriority w:val="0"/>
    <w:rPr>
      <w:rFonts w:ascii="Arial" w:hAnsi="Arial" w:cs="Arial"/>
      <w:color w:val="000000"/>
      <w:sz w:val="20"/>
      <w:szCs w:val="20"/>
      <w:u w:val="none"/>
    </w:rPr>
  </w:style>
  <w:style w:type="paragraph" w:customStyle="1" w:styleId="51">
    <w:name w:val="样式 正文缩进 + 首行缩进:  2 字符"/>
    <w:basedOn w:val="11"/>
    <w:qFormat/>
    <w:uiPriority w:val="0"/>
    <w:pPr>
      <w:spacing w:line="360" w:lineRule="auto"/>
      <w:ind w:firstLine="200"/>
    </w:pPr>
    <w:rPr>
      <w:sz w:val="24"/>
      <w:szCs w:val="24"/>
    </w:rPr>
  </w:style>
  <w:style w:type="paragraph" w:customStyle="1" w:styleId="52">
    <w:name w:val="正文new"/>
    <w:basedOn w:val="1"/>
    <w:qFormat/>
    <w:uiPriority w:val="0"/>
    <w:pPr>
      <w:spacing w:before="156" w:beforeLines="50" w:after="156" w:afterLines="50" w:line="360" w:lineRule="auto"/>
      <w:ind w:firstLine="420" w:firstLineChars="200"/>
    </w:pPr>
    <w:rPr>
      <w:rFonts w:ascii="宋体" w:hAnsi="宋体" w:eastAsiaTheme="minorEastAsia"/>
      <w:color w:val="000000"/>
      <w:szCs w:val="24"/>
    </w:rPr>
  </w:style>
  <w:style w:type="paragraph" w:customStyle="1" w:styleId="53">
    <w:name w:val="_正文段落"/>
    <w:basedOn w:val="1"/>
    <w:qFormat/>
    <w:uiPriority w:val="0"/>
    <w:pPr>
      <w:spacing w:beforeLines="50" w:after="46" w:line="360" w:lineRule="auto"/>
      <w:ind w:firstLine="480" w:firstLineChars="200"/>
    </w:pPr>
    <w:rPr>
      <w:rFonts w:ascii="Arial" w:hAnsi="Arial" w:eastAsiaTheme="minorEastAsia"/>
      <w:color w:val="000000"/>
      <w:szCs w:val="24"/>
    </w:rPr>
  </w:style>
  <w:style w:type="paragraph" w:customStyle="1" w:styleId="54">
    <w:name w:val="标准正文样式"/>
    <w:basedOn w:val="1"/>
    <w:qFormat/>
    <w:uiPriority w:val="0"/>
    <w:pPr>
      <w:widowControl/>
      <w:spacing w:line="360" w:lineRule="auto"/>
      <w:ind w:firstLine="200" w:firstLineChars="200"/>
      <w:jc w:val="left"/>
    </w:pPr>
    <w:rPr>
      <w:rFonts w:ascii="Times New Roman" w:hAnsi="Times New Roman" w:cs="Times New Roman"/>
      <w:szCs w:val="24"/>
    </w:rPr>
  </w:style>
  <w:style w:type="paragraph" w:customStyle="1" w:styleId="55">
    <w:name w:val="正文样式"/>
    <w:basedOn w:val="1"/>
    <w:qFormat/>
    <w:uiPriority w:val="0"/>
    <w:pPr>
      <w:tabs>
        <w:tab w:val="left" w:pos="1560"/>
      </w:tabs>
      <w:spacing w:before="163" w:after="163" w:line="300" w:lineRule="auto"/>
      <w:ind w:left="1560" w:hanging="360"/>
    </w:pPr>
    <w:rPr>
      <w:rFonts w:ascii="宋体" w:hAnsi="Times New Roman" w:cs="Times New Roman"/>
      <w:szCs w:val="24"/>
    </w:rPr>
  </w:style>
  <w:style w:type="paragraph" w:customStyle="1" w:styleId="56">
    <w:name w:val="标题5"/>
    <w:basedOn w:val="1"/>
    <w:qFormat/>
    <w:uiPriority w:val="99"/>
    <w:pPr>
      <w:spacing w:before="120" w:after="120"/>
    </w:pPr>
    <w:rPr>
      <w:rFonts w:ascii="宋体" w:hAnsi="Times New Roman" w:cs="Times New Roman"/>
      <w:b/>
      <w:sz w:val="28"/>
      <w:szCs w:val="24"/>
    </w:rPr>
  </w:style>
  <w:style w:type="character" w:customStyle="1" w:styleId="57">
    <w:name w:val="font11"/>
    <w:basedOn w:val="32"/>
    <w:qFormat/>
    <w:uiPriority w:val="0"/>
    <w:rPr>
      <w:rFonts w:hint="eastAsia" w:ascii="宋体" w:hAnsi="宋体" w:eastAsia="宋体" w:cs="宋体"/>
      <w:color w:val="000000"/>
      <w:sz w:val="24"/>
      <w:szCs w:val="24"/>
      <w:u w:val="none"/>
    </w:rPr>
  </w:style>
  <w:style w:type="paragraph" w:customStyle="1" w:styleId="58">
    <w:name w:val="0"/>
    <w:basedOn w:val="1"/>
    <w:qFormat/>
    <w:uiPriority w:val="0"/>
    <w:pPr>
      <w:widowControl/>
      <w:snapToGrid w:val="0"/>
    </w:pPr>
    <w:rPr>
      <w:rFonts w:ascii="Times New Roman" w:hAnsi="Times New Roman"/>
      <w:szCs w:val="21"/>
    </w:rPr>
  </w:style>
  <w:style w:type="paragraph" w:customStyle="1" w:styleId="59">
    <w:name w:val="5 五级标题"/>
    <w:basedOn w:val="11"/>
    <w:qFormat/>
    <w:uiPriority w:val="0"/>
    <w:pPr>
      <w:numPr>
        <w:ilvl w:val="0"/>
        <w:numId w:val="3"/>
      </w:numPr>
      <w:spacing w:before="100" w:beforeAutospacing="1" w:after="100" w:afterAutospacing="1" w:line="300" w:lineRule="auto"/>
      <w:ind w:firstLine="0" w:firstLineChars="0"/>
    </w:pPr>
    <w:rPr>
      <w:rFonts w:ascii="Arial" w:hAnsi="Arial"/>
    </w:rPr>
  </w:style>
  <w:style w:type="character" w:customStyle="1" w:styleId="60">
    <w:name w:val="font01"/>
    <w:basedOn w:val="32"/>
    <w:qFormat/>
    <w:uiPriority w:val="0"/>
    <w:rPr>
      <w:rFonts w:hint="eastAsia" w:ascii="宋体" w:hAnsi="宋体" w:eastAsia="宋体" w:cs="宋体"/>
      <w:color w:val="000000"/>
      <w:sz w:val="24"/>
      <w:szCs w:val="24"/>
      <w:u w:val="none"/>
    </w:rPr>
  </w:style>
  <w:style w:type="paragraph" w:customStyle="1" w:styleId="61">
    <w:name w:val="样式 正文文本缩进 + 行距: 固定值 23 磅"/>
    <w:basedOn w:val="14"/>
    <w:qFormat/>
    <w:uiPriority w:val="0"/>
    <w:pPr>
      <w:spacing w:line="360" w:lineRule="auto"/>
      <w:ind w:firstLine="200"/>
    </w:pPr>
    <w:rPr>
      <w:rFonts w:cs="宋体"/>
      <w:szCs w:val="20"/>
    </w:rPr>
  </w:style>
  <w:style w:type="paragraph" w:customStyle="1" w:styleId="62">
    <w:name w:val="样式 宋体 小四 黑色 左 行距: 固定值 19 磅"/>
    <w:basedOn w:val="1"/>
    <w:qFormat/>
    <w:uiPriority w:val="0"/>
    <w:pPr>
      <w:spacing w:line="360" w:lineRule="auto"/>
      <w:jc w:val="left"/>
    </w:pPr>
    <w:rPr>
      <w:rFonts w:ascii="宋体" w:hAnsi="宋体" w:cs="宋体"/>
      <w:color w:val="000000"/>
      <w:sz w:val="24"/>
      <w:szCs w:val="20"/>
    </w:rPr>
  </w:style>
  <w:style w:type="paragraph" w:customStyle="1" w:styleId="63">
    <w:name w:val="样式 正文+首行缩进2 + 首行缩进:  2 字符 段后: 0.5 行3"/>
    <w:basedOn w:val="1"/>
    <w:qFormat/>
    <w:uiPriority w:val="0"/>
    <w:pPr>
      <w:snapToGrid/>
      <w:spacing w:line="360" w:lineRule="auto"/>
      <w:ind w:firstLine="200" w:firstLineChars="200"/>
    </w:pPr>
    <w:rPr>
      <w:rFonts w:cs="宋体"/>
      <w:kern w:val="0"/>
      <w:sz w:val="24"/>
      <w:szCs w:val="20"/>
    </w:rPr>
  </w:style>
  <w:style w:type="paragraph" w:customStyle="1" w:styleId="64">
    <w:name w:val="1样式-正文"/>
    <w:basedOn w:val="14"/>
    <w:qFormat/>
    <w:uiPriority w:val="0"/>
    <w:pPr>
      <w:spacing w:line="360" w:lineRule="auto"/>
    </w:pPr>
    <w:rPr>
      <w:rFonts w:ascii="宋体" w:hAnsi="宋体"/>
    </w:rPr>
  </w:style>
  <w:style w:type="paragraph" w:customStyle="1" w:styleId="65">
    <w:name w:val="zhengwen"/>
    <w:basedOn w:val="14"/>
    <w:link w:val="68"/>
    <w:qFormat/>
    <w:uiPriority w:val="0"/>
    <w:pPr>
      <w:spacing w:line="360" w:lineRule="auto"/>
    </w:pPr>
    <w:rPr>
      <w:rFonts w:ascii="宋体" w:hAnsi="宋体"/>
    </w:rPr>
  </w:style>
  <w:style w:type="paragraph" w:customStyle="1" w:styleId="66">
    <w:name w:val="目录 12"/>
    <w:basedOn w:val="1"/>
    <w:next w:val="1"/>
    <w:qFormat/>
    <w:uiPriority w:val="39"/>
    <w:pPr>
      <w:spacing w:before="120" w:after="120"/>
      <w:ind w:left="432" w:hanging="432"/>
      <w:jc w:val="left"/>
    </w:pPr>
    <w:rPr>
      <w:rFonts w:ascii="宋体" w:hAnsi="宋体" w:cs="微软雅黑"/>
      <w:b/>
      <w:bCs/>
      <w:caps/>
      <w:sz w:val="24"/>
    </w:rPr>
  </w:style>
  <w:style w:type="paragraph" w:customStyle="1" w:styleId="67">
    <w:name w:val="列出段落1"/>
    <w:basedOn w:val="1"/>
    <w:qFormat/>
    <w:uiPriority w:val="34"/>
    <w:pPr>
      <w:snapToGrid/>
      <w:ind w:firstLine="420" w:firstLineChars="200"/>
    </w:pPr>
    <w:rPr>
      <w:rFonts w:ascii="Calibri" w:hAnsi="Calibri"/>
      <w:szCs w:val="22"/>
    </w:rPr>
  </w:style>
  <w:style w:type="character" w:customStyle="1" w:styleId="68">
    <w:name w:val="zhengwen 字符"/>
    <w:link w:val="65"/>
    <w:qFormat/>
    <w:uiPriority w:val="0"/>
    <w:rPr>
      <w:rFonts w:ascii="宋体" w:hAnsi="宋体"/>
    </w:rPr>
  </w:style>
  <w:style w:type="paragraph" w:customStyle="1" w:styleId="69">
    <w:name w:val="列出段落2"/>
    <w:basedOn w:val="1"/>
    <w:qFormat/>
    <w:uiPriority w:val="34"/>
    <w:pPr>
      <w:widowControl/>
      <w:snapToGrid/>
      <w:ind w:firstLine="420" w:firstLineChars="200"/>
    </w:pPr>
    <w:rPr>
      <w:rFonts w:ascii="Calibri" w:hAnsi="Calibri" w:cs="宋体"/>
      <w:kern w:val="0"/>
      <w:szCs w:val="21"/>
    </w:rPr>
  </w:style>
  <w:style w:type="paragraph" w:customStyle="1" w:styleId="70">
    <w:name w:val="标准正文格式"/>
    <w:basedOn w:val="1"/>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paragraph" w:customStyle="1" w:styleId="71">
    <w:name w:val="列表段落1"/>
    <w:basedOn w:val="1"/>
    <w:qFormat/>
    <w:uiPriority w:val="34"/>
    <w:pPr>
      <w:ind w:firstLine="420" w:firstLineChars="200"/>
    </w:pPr>
  </w:style>
  <w:style w:type="paragraph" w:customStyle="1" w:styleId="72">
    <w:name w:val="图名"/>
    <w:basedOn w:val="1"/>
    <w:qFormat/>
    <w:uiPriority w:val="0"/>
    <w:pPr>
      <w:spacing w:beforeLines="100" w:line="360" w:lineRule="auto"/>
      <w:jc w:val="center"/>
    </w:pPr>
    <w:rPr>
      <w:rFonts w:cs="宋体"/>
      <w:b/>
      <w:kern w:val="2"/>
    </w:rPr>
  </w:style>
  <w:style w:type="character" w:customStyle="1" w:styleId="73">
    <w:name w:val="重点 Char"/>
    <w:basedOn w:val="32"/>
    <w:link w:val="74"/>
    <w:qFormat/>
    <w:uiPriority w:val="0"/>
    <w:rPr>
      <w:rFonts w:ascii="Verdana" w:hAnsi="Verdana"/>
      <w:b/>
      <w:kern w:val="2"/>
      <w:u w:val="single"/>
    </w:rPr>
  </w:style>
  <w:style w:type="paragraph" w:customStyle="1" w:styleId="74">
    <w:name w:val="重点"/>
    <w:basedOn w:val="1"/>
    <w:link w:val="73"/>
    <w:qFormat/>
    <w:uiPriority w:val="0"/>
    <w:pPr>
      <w:adjustRightInd w:val="0"/>
      <w:spacing w:line="360" w:lineRule="auto"/>
      <w:ind w:firstLine="480" w:firstLineChars="200"/>
      <w:textAlignment w:val="baseline"/>
    </w:pPr>
    <w:rPr>
      <w:rFonts w:ascii="Verdana" w:hAnsi="Verdana"/>
      <w:b/>
      <w:kern w:val="2"/>
      <w:u w:val="single"/>
    </w:rPr>
  </w:style>
  <w:style w:type="paragraph" w:customStyle="1" w:styleId="75">
    <w:name w:val="样式3"/>
    <w:basedOn w:val="1"/>
    <w:qFormat/>
    <w:uiPriority w:val="0"/>
    <w:pPr>
      <w:spacing w:line="360" w:lineRule="auto"/>
      <w:ind w:firstLine="480" w:firstLineChars="200"/>
    </w:pPr>
    <w:rPr>
      <w:kern w:val="2"/>
    </w:rPr>
  </w:style>
  <w:style w:type="paragraph" w:customStyle="1" w:styleId="76">
    <w:name w:val="333333"/>
    <w:basedOn w:val="1"/>
    <w:qFormat/>
    <w:uiPriority w:val="0"/>
    <w:pPr>
      <w:widowControl/>
      <w:spacing w:line="360" w:lineRule="auto"/>
      <w:ind w:firstLine="504" w:firstLineChars="210"/>
    </w:pPr>
    <w:rPr>
      <w:rFonts w:ascii="Arial" w:hAnsi="Arial" w:cs="Arial"/>
      <w:color w:val="000000"/>
      <w:lang w:bidi="en-US"/>
    </w:rPr>
  </w:style>
  <w:style w:type="paragraph" w:customStyle="1" w:styleId="77">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78">
    <w:name w:val="Table Paragraph"/>
    <w:basedOn w:val="1"/>
    <w:qFormat/>
    <w:uiPriority w:val="1"/>
    <w:pPr>
      <w:jc w:val="left"/>
    </w:pPr>
    <w:rPr>
      <w:rFonts w:ascii="宋体" w:hAnsi="宋体" w:cs="宋体"/>
      <w:sz w:val="22"/>
      <w:szCs w:val="22"/>
      <w:lang w:eastAsia="en-US"/>
    </w:rPr>
  </w:style>
  <w:style w:type="character" w:customStyle="1" w:styleId="79">
    <w:name w:val="font31"/>
    <w:basedOn w:val="32"/>
    <w:qFormat/>
    <w:uiPriority w:val="0"/>
    <w:rPr>
      <w:rFonts w:hint="eastAsia" w:ascii="宋体" w:hAnsi="宋体" w:eastAsia="宋体" w:cs="宋体"/>
      <w:color w:val="FF0000"/>
      <w:sz w:val="20"/>
      <w:szCs w:val="20"/>
      <w:u w:val="none"/>
    </w:rPr>
  </w:style>
  <w:style w:type="paragraph" w:customStyle="1" w:styleId="80">
    <w:name w:val="图形文字"/>
    <w:basedOn w:val="1"/>
    <w:qFormat/>
    <w:uiPriority w:val="0"/>
    <w:pPr>
      <w:jc w:val="center"/>
    </w:pPr>
    <w:rPr>
      <w:szCs w:val="21"/>
    </w:rPr>
  </w:style>
  <w:style w:type="character" w:customStyle="1" w:styleId="81">
    <w:name w:val="图形文字 Char"/>
    <w:qFormat/>
    <w:uiPriority w:val="0"/>
    <w:rPr>
      <w:rFonts w:eastAsia="宋体"/>
      <w:kern w:val="2"/>
      <w:sz w:val="21"/>
      <w:szCs w:val="21"/>
      <w:lang w:val="en-US" w:eastAsia="zh-CN" w:bidi="ar-SA"/>
    </w:rPr>
  </w:style>
  <w:style w:type="paragraph" w:customStyle="1" w:styleId="8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3">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4">
    <w:name w:val="Normal_11"/>
    <w:qFormat/>
    <w:uiPriority w:val="0"/>
    <w:rPr>
      <w:rFonts w:ascii="黑体" w:hAnsi="黑体" w:eastAsia="黑体" w:cs="Times New Roman"/>
      <w:b/>
      <w:sz w:val="32"/>
      <w:szCs w:val="24"/>
      <w:lang w:bidi="ar-SA"/>
    </w:rPr>
  </w:style>
  <w:style w:type="character" w:customStyle="1" w:styleId="85">
    <w:name w:val="NormalCharacter"/>
    <w:semiHidden/>
    <w:qFormat/>
    <w:uiPriority w:val="0"/>
  </w:style>
  <w:style w:type="paragraph" w:customStyle="1" w:styleId="86">
    <w:name w:val=" Char Char Char Char"/>
    <w:basedOn w:val="1"/>
    <w:qFormat/>
    <w:uiPriority w:val="0"/>
    <w:pPr>
      <w:adjustRightInd w:val="0"/>
      <w:snapToGrid w:val="0"/>
      <w:spacing w:line="360" w:lineRule="auto"/>
      <w:ind w:firstLine="643"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108</Pages>
  <Words>51368</Words>
  <Characters>56844</Characters>
  <Lines>341</Lines>
  <Paragraphs>96</Paragraphs>
  <TotalTime>5</TotalTime>
  <ScaleCrop>false</ScaleCrop>
  <LinksUpToDate>false</LinksUpToDate>
  <CharactersWithSpaces>61536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2018-10-26T10:20:00Z</dcterms:created>
  <dc:creator>Administrator</dc:creator>
  <cp:lastModifiedBy>蓝色泡泡</cp:lastModifiedBy>
  <cp:lastPrinted>2022-05-27T12:09:00Z</cp:lastPrinted>
  <dcterms:modified xsi:type="dcterms:W3CDTF">2022-05-30T08:43:23Z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BFA8CF853ED3411BB29C1570911BE6C9</vt:lpwstr>
  </property>
</Properties>
</file>