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000" w:type="pct"/>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ind w:left="0" w:firstLine="0"/>
              <w:jc w:val="both"/>
              <w:rPr>
                <w:rFonts w:ascii="仿宋" w:hAnsi="仿宋" w:eastAsia="仿宋" w:cs="仿宋"/>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000" w:type="pct"/>
            <w:tcBorders>
              <w:top w:val="nil"/>
              <w:left w:val="nil"/>
              <w:bottom w:val="nil"/>
              <w:right w:val="nil"/>
            </w:tcBorders>
            <w:shd w:val="clear" w:color="auto" w:fill="auto"/>
            <w:tcMar>
              <w:top w:w="0" w:type="dxa"/>
              <w:left w:w="0" w:type="dxa"/>
              <w:bottom w:w="0" w:type="dxa"/>
              <w:right w:w="0" w:type="dxa"/>
            </w:tcMar>
            <w:vAlign w:val="center"/>
          </w:tcPr>
          <w:p>
            <w:pPr>
              <w:spacing w:line="360" w:lineRule="auto"/>
              <w:jc w:val="center"/>
              <w:textAlignment w:val="baseline"/>
              <w:rPr>
                <w:rFonts w:ascii="宋体" w:hAnsi="宋体" w:cs="宋体"/>
                <w:b/>
                <w:bCs/>
                <w:sz w:val="48"/>
                <w:szCs w:val="48"/>
              </w:rPr>
            </w:pPr>
            <w:r>
              <w:rPr>
                <w:rFonts w:hint="eastAsia" w:ascii="宋体" w:hAnsi="宋体"/>
                <w:b w:val="0"/>
                <w:bCs/>
                <w:color w:val="000000" w:themeColor="text1"/>
                <w:sz w:val="36"/>
                <w:szCs w:val="36"/>
                <w:highlight w:val="none"/>
                <w:lang w:val="en-US" w:eastAsia="zh-CN"/>
                <w14:textFill>
                  <w14:solidFill>
                    <w14:schemeClr w14:val="tx1"/>
                  </w14:solidFill>
                </w14:textFill>
              </w:rPr>
              <w:br w:type="textWrapping"/>
            </w:r>
            <w:bookmarkStart w:id="0" w:name="OLE_LINK2"/>
            <w:bookmarkStart w:id="1" w:name="OLE_LINK5"/>
            <w:bookmarkStart w:id="2" w:name="OLE_LINK1"/>
            <w:r>
              <w:rPr>
                <w:rFonts w:hint="eastAsia" w:ascii="宋体" w:hAnsi="宋体"/>
                <w:b/>
                <w:bCs w:val="0"/>
                <w:color w:val="000000" w:themeColor="text1"/>
                <w:sz w:val="48"/>
                <w:szCs w:val="48"/>
                <w:highlight w:val="none"/>
                <w:lang w:val="en-US" w:eastAsia="zh-CN"/>
                <w14:textFill>
                  <w14:solidFill>
                    <w14:schemeClr w14:val="tx1"/>
                  </w14:solidFill>
                </w14:textFill>
              </w:rPr>
              <w:t>阿瓦提县乡村振兴项目塔木托格拉克镇吐格贝希村庭院整治项目</w:t>
            </w:r>
          </w:p>
          <w:bookmarkEnd w:id="0"/>
          <w:bookmarkEnd w:id="1"/>
          <w:bookmarkEnd w:id="2"/>
          <w:p>
            <w:pPr>
              <w:keepNext w:val="0"/>
              <w:keepLines w:val="0"/>
              <w:widowControl/>
              <w:suppressLineNumbers w:val="0"/>
              <w:ind w:left="0" w:firstLine="0"/>
              <w:jc w:val="center"/>
              <w:rPr>
                <w:rFonts w:hint="default" w:ascii="仿宋" w:hAnsi="仿宋" w:eastAsia="仿宋" w:cs="仿宋"/>
                <w:i w:val="0"/>
                <w:iCs w:val="0"/>
                <w:caps w:val="0"/>
                <w:color w:val="000000"/>
                <w:spacing w:val="0"/>
                <w:sz w:val="27"/>
                <w:szCs w:val="27"/>
                <w:lang w:val="en-US"/>
              </w:rPr>
            </w:pPr>
          </w:p>
        </w:tc>
      </w:tr>
    </w:tbl>
    <w:p>
      <w:pPr>
        <w:autoSpaceDE w:val="0"/>
        <w:autoSpaceDN w:val="0"/>
        <w:adjustRightInd w:val="0"/>
        <w:spacing w:line="360" w:lineRule="auto"/>
        <w:jc w:val="both"/>
        <w:rPr>
          <w:rFonts w:ascii="宋体" w:hAnsi="宋体"/>
          <w:b/>
          <w:bCs/>
          <w:color w:val="000000" w:themeColor="text1"/>
          <w:kern w:val="0"/>
          <w:sz w:val="44"/>
          <w:szCs w:val="44"/>
          <w:highlight w:val="none"/>
          <w14:textFill>
            <w14:solidFill>
              <w14:schemeClr w14:val="tx1"/>
            </w14:solidFill>
          </w14:textFill>
        </w:rPr>
      </w:pPr>
    </w:p>
    <w:p>
      <w:pPr>
        <w:keepNext w:val="0"/>
        <w:keepLines w:val="0"/>
        <w:pageBreakBefore w:val="0"/>
        <w:widowControl/>
        <w:kinsoku/>
        <w:wordWrap/>
        <w:overflowPunct/>
        <w:topLinePunct w:val="0"/>
        <w:bidi w:val="0"/>
        <w:snapToGrid/>
        <w:spacing w:line="480" w:lineRule="auto"/>
        <w:jc w:val="center"/>
        <w:textAlignment w:val="auto"/>
        <w:rPr>
          <w:rFonts w:ascii="宋体" w:hAnsi="宋体"/>
          <w:b/>
          <w:bCs/>
          <w:color w:val="000000" w:themeColor="text1"/>
          <w:sz w:val="44"/>
          <w:szCs w:val="44"/>
          <w:highlight w:val="none"/>
          <w14:textFill>
            <w14:solidFill>
              <w14:schemeClr w14:val="tx1"/>
            </w14:solidFill>
          </w14:textFill>
        </w:rPr>
      </w:pPr>
    </w:p>
    <w:p>
      <w:pPr>
        <w:keepNext w:val="0"/>
        <w:keepLines w:val="0"/>
        <w:pageBreakBefore w:val="0"/>
        <w:widowControl/>
        <w:kinsoku/>
        <w:wordWrap/>
        <w:overflowPunct/>
        <w:topLinePunct w:val="0"/>
        <w:bidi w:val="0"/>
        <w:snapToGrid/>
        <w:spacing w:line="480" w:lineRule="auto"/>
        <w:jc w:val="center"/>
        <w:textAlignment w:val="auto"/>
        <w:rPr>
          <w:rFonts w:ascii="宋体" w:hAnsi="宋体"/>
          <w:b/>
          <w:bCs/>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80" w:lineRule="auto"/>
        <w:jc w:val="center"/>
        <w:textAlignment w:val="auto"/>
        <w:rPr>
          <w:rFonts w:ascii="宋体"/>
          <w:color w:val="000000" w:themeColor="text1"/>
          <w:kern w:val="0"/>
          <w:sz w:val="44"/>
          <w:szCs w:val="44"/>
          <w:highlight w:val="none"/>
          <w14:textFill>
            <w14:solidFill>
              <w14:schemeClr w14:val="tx1"/>
            </w14:solidFill>
          </w14:textFill>
        </w:rPr>
      </w:pPr>
      <w:r>
        <w:rPr>
          <w:rFonts w:hint="eastAsia" w:ascii="宋体"/>
          <w:b/>
          <w:bCs/>
          <w:color w:val="000000" w:themeColor="text1"/>
          <w:spacing w:val="34"/>
          <w:kern w:val="0"/>
          <w:sz w:val="56"/>
          <w:szCs w:val="56"/>
          <w:highlight w:val="none"/>
          <w14:textFill>
            <w14:solidFill>
              <w14:schemeClr w14:val="tx1"/>
            </w14:solidFill>
          </w14:textFill>
        </w:rPr>
        <w:t>竞争性磋商文件</w:t>
      </w:r>
    </w:p>
    <w:p>
      <w:pPr>
        <w:autoSpaceDE w:val="0"/>
        <w:autoSpaceDN w:val="0"/>
        <w:adjustRightInd w:val="0"/>
        <w:spacing w:line="500" w:lineRule="exact"/>
        <w:jc w:val="center"/>
        <w:rPr>
          <w:rFonts w:ascii="宋体"/>
          <w:color w:val="000000" w:themeColor="text1"/>
          <w:kern w:val="0"/>
          <w:sz w:val="44"/>
          <w:szCs w:val="44"/>
          <w:highlight w:val="none"/>
          <w14:textFill>
            <w14:solidFill>
              <w14:schemeClr w14:val="tx1"/>
            </w14:solidFill>
          </w14:textFill>
        </w:rPr>
      </w:pPr>
    </w:p>
    <w:p>
      <w:pPr>
        <w:autoSpaceDE w:val="0"/>
        <w:autoSpaceDN w:val="0"/>
        <w:adjustRightInd w:val="0"/>
        <w:spacing w:line="500" w:lineRule="exact"/>
        <w:rPr>
          <w:rFonts w:hAnsi="宋体"/>
          <w:b/>
          <w:color w:val="000000" w:themeColor="text1"/>
          <w:sz w:val="44"/>
          <w:szCs w:val="44"/>
          <w:highlight w:val="none"/>
          <w14:textFill>
            <w14:solidFill>
              <w14:schemeClr w14:val="tx1"/>
            </w14:solidFill>
          </w14:textFill>
        </w:rPr>
      </w:pPr>
    </w:p>
    <w:p>
      <w:pPr>
        <w:widowControl/>
        <w:spacing w:line="360" w:lineRule="auto"/>
        <w:jc w:val="center"/>
        <w:rPr>
          <w:rFonts w:hint="default" w:ascii="仿宋_GB2312" w:hAnsi="宋体" w:eastAsia="宋体"/>
          <w:b/>
          <w:color w:val="000000" w:themeColor="text1"/>
          <w:sz w:val="44"/>
          <w:szCs w:val="44"/>
          <w:highlight w:val="none"/>
          <w:lang w:val="en-US" w:eastAsia="zh-CN"/>
          <w14:textFill>
            <w14:solidFill>
              <w14:schemeClr w14:val="tx1"/>
            </w14:solidFill>
          </w14:textFill>
        </w:rPr>
      </w:pPr>
      <w:r>
        <w:rPr>
          <w:rFonts w:hint="eastAsia" w:hAnsi="宋体"/>
          <w:b w:val="0"/>
          <w:bCs/>
          <w:color w:val="000000" w:themeColor="text1"/>
          <w:sz w:val="36"/>
          <w:szCs w:val="36"/>
          <w:highlight w:val="none"/>
          <w:lang w:val="en-US" w:eastAsia="zh-CN"/>
          <w14:textFill>
            <w14:solidFill>
              <w14:schemeClr w14:val="tx1"/>
            </w14:solidFill>
          </w14:textFill>
        </w:rPr>
        <w:t>项目</w:t>
      </w:r>
      <w:r>
        <w:rPr>
          <w:rFonts w:hint="eastAsia" w:hAnsi="宋体"/>
          <w:b w:val="0"/>
          <w:bCs/>
          <w:color w:val="000000" w:themeColor="text1"/>
          <w:sz w:val="36"/>
          <w:szCs w:val="36"/>
          <w:highlight w:val="none"/>
          <w14:textFill>
            <w14:solidFill>
              <w14:schemeClr w14:val="tx1"/>
            </w14:solidFill>
          </w14:textFill>
        </w:rPr>
        <w:t>编号</w:t>
      </w:r>
      <w:r>
        <w:rPr>
          <w:rFonts w:hint="eastAsia" w:ascii="宋体" w:hAnsi="宋体"/>
          <w:b w:val="0"/>
          <w:bCs/>
          <w:color w:val="000000" w:themeColor="text1"/>
          <w:sz w:val="36"/>
          <w:szCs w:val="36"/>
          <w:highlight w:val="none"/>
          <w14:textFill>
            <w14:solidFill>
              <w14:schemeClr w14:val="tx1"/>
            </w14:solidFill>
          </w14:textFill>
        </w:rPr>
        <w:t>：</w:t>
      </w:r>
      <w:r>
        <w:rPr>
          <w:rFonts w:hint="eastAsia" w:ascii="宋体" w:hAnsi="宋体"/>
          <w:b w:val="0"/>
          <w:bCs/>
          <w:color w:val="000000" w:themeColor="text1"/>
          <w:sz w:val="36"/>
          <w:szCs w:val="36"/>
          <w:highlight w:val="none"/>
          <w:lang w:val="en-US" w:eastAsia="zh-CN"/>
          <w14:textFill>
            <w14:solidFill>
              <w14:schemeClr w14:val="tx1"/>
            </w14:solidFill>
          </w14:textFill>
        </w:rPr>
        <w:t>20221031</w:t>
      </w:r>
    </w:p>
    <w:p>
      <w:pPr>
        <w:pStyle w:val="13"/>
        <w:spacing w:line="360" w:lineRule="auto"/>
        <w:rPr>
          <w:rFonts w:hAnsi="宋体"/>
          <w:b/>
          <w:color w:val="000000" w:themeColor="text1"/>
          <w:sz w:val="24"/>
          <w:szCs w:val="24"/>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360" w:lineRule="auto"/>
        <w:rPr>
          <w:rFonts w:hAnsi="宋体"/>
          <w:b/>
          <w:color w:val="000000" w:themeColor="text1"/>
          <w:sz w:val="32"/>
          <w:szCs w:val="32"/>
          <w:highlight w:val="none"/>
          <w14:textFill>
            <w14:solidFill>
              <w14:schemeClr w14:val="tx1"/>
            </w14:solidFill>
          </w14:textFill>
        </w:rPr>
      </w:pPr>
    </w:p>
    <w:p>
      <w:pPr>
        <w:pStyle w:val="13"/>
        <w:spacing w:line="580" w:lineRule="exact"/>
        <w:ind w:firstLine="562" w:firstLineChars="200"/>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   购   人：</w:t>
      </w:r>
      <w:r>
        <w:rPr>
          <w:rFonts w:hint="eastAsia" w:hAnsi="宋体"/>
          <w:b/>
          <w:color w:val="000000" w:themeColor="text1"/>
          <w:sz w:val="28"/>
          <w:szCs w:val="28"/>
          <w:highlight w:val="none"/>
          <w:lang w:val="en-US" w:eastAsia="zh-CN"/>
          <w14:textFill>
            <w14:solidFill>
              <w14:schemeClr w14:val="tx1"/>
            </w14:solidFill>
          </w14:textFill>
        </w:rPr>
        <w:t>阿瓦提县农业农村局</w:t>
      </w:r>
    </w:p>
    <w:p>
      <w:pPr>
        <w:pStyle w:val="13"/>
        <w:spacing w:line="580" w:lineRule="exact"/>
        <w:ind w:firstLine="562" w:firstLineChars="200"/>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r>
        <w:rPr>
          <w:rFonts w:hint="eastAsia" w:hAnsi="宋体"/>
          <w:b/>
          <w:color w:val="000000" w:themeColor="text1"/>
          <w:sz w:val="28"/>
          <w:szCs w:val="28"/>
          <w:highlight w:val="none"/>
          <w:lang w:val="en-US" w:eastAsia="zh-CN"/>
          <w14:textFill>
            <w14:solidFill>
              <w14:schemeClr w14:val="tx1"/>
            </w14:solidFill>
          </w14:textFill>
        </w:rPr>
        <w:t>新疆孚悦工程咨询有限公司</w:t>
      </w:r>
    </w:p>
    <w:p>
      <w:pPr>
        <w:pStyle w:val="13"/>
        <w:spacing w:line="580" w:lineRule="exact"/>
        <w:ind w:firstLine="562" w:firstLineChars="200"/>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日        期：202</w:t>
      </w:r>
      <w:r>
        <w:rPr>
          <w:rFonts w:hint="eastAsia" w:hAnsi="宋体"/>
          <w:b/>
          <w:color w:val="000000" w:themeColor="text1"/>
          <w:sz w:val="28"/>
          <w:szCs w:val="28"/>
          <w:highlight w:val="none"/>
          <w:lang w:val="en-US" w:eastAsia="zh-CN"/>
          <w14:textFill>
            <w14:solidFill>
              <w14:schemeClr w14:val="tx1"/>
            </w14:solidFill>
          </w14:textFill>
        </w:rPr>
        <w:t>2</w:t>
      </w:r>
      <w:r>
        <w:rPr>
          <w:rFonts w:hint="eastAsia" w:hAnsi="宋体"/>
          <w:b/>
          <w:color w:val="000000" w:themeColor="text1"/>
          <w:sz w:val="28"/>
          <w:szCs w:val="28"/>
          <w:highlight w:val="none"/>
          <w14:textFill>
            <w14:solidFill>
              <w14:schemeClr w14:val="tx1"/>
            </w14:solidFill>
          </w14:textFill>
        </w:rPr>
        <w:t>年</w:t>
      </w:r>
      <w:r>
        <w:rPr>
          <w:rFonts w:hint="eastAsia" w:hAnsi="宋体"/>
          <w:b/>
          <w:color w:val="000000" w:themeColor="text1"/>
          <w:sz w:val="28"/>
          <w:szCs w:val="28"/>
          <w:highlight w:val="none"/>
          <w:lang w:val="en-US" w:eastAsia="zh-CN"/>
          <w14:textFill>
            <w14:solidFill>
              <w14:schemeClr w14:val="tx1"/>
            </w14:solidFill>
          </w14:textFill>
        </w:rPr>
        <w:t>6</w:t>
      </w:r>
      <w:r>
        <w:rPr>
          <w:rFonts w:hint="eastAsia" w:hAnsi="宋体"/>
          <w:b/>
          <w:color w:val="000000" w:themeColor="text1"/>
          <w:sz w:val="28"/>
          <w:szCs w:val="28"/>
          <w:highlight w:val="none"/>
          <w14:textFill>
            <w14:solidFill>
              <w14:schemeClr w14:val="tx1"/>
            </w14:solidFill>
          </w14:textFill>
        </w:rPr>
        <w:t>月</w:t>
      </w:r>
    </w:p>
    <w:p>
      <w:pPr>
        <w:autoSpaceDE w:val="0"/>
        <w:autoSpaceDN w:val="0"/>
        <w:adjustRightInd w:val="0"/>
        <w:spacing w:line="400" w:lineRule="exact"/>
        <w:ind w:firstLine="472" w:firstLineChars="196"/>
        <w:rPr>
          <w:b/>
          <w:bCs/>
          <w:color w:val="000000" w:themeColor="text1"/>
          <w:sz w:val="24"/>
          <w:szCs w:val="24"/>
          <w:highlight w:val="none"/>
          <w14:textFill>
            <w14:solidFill>
              <w14:schemeClr w14:val="tx1"/>
            </w14:solidFill>
          </w14:textFill>
        </w:rPr>
      </w:pPr>
    </w:p>
    <w:p>
      <w:pPr>
        <w:autoSpaceDE w:val="0"/>
        <w:autoSpaceDN w:val="0"/>
        <w:adjustRightInd w:val="0"/>
        <w:spacing w:line="400" w:lineRule="exact"/>
        <w:ind w:firstLine="411" w:firstLineChars="196"/>
        <w:rPr>
          <w:rFonts w:ascii="宋体" w:hAnsi="宋体"/>
          <w:color w:val="000000" w:themeColor="text1"/>
          <w:highlight w:val="none"/>
          <w14:textFill>
            <w14:solidFill>
              <w14:schemeClr w14:val="tx1"/>
            </w14:solidFill>
          </w14:textFill>
        </w:rPr>
        <w:sectPr>
          <w:headerReference r:id="rId3" w:type="default"/>
          <w:pgSz w:w="11907" w:h="16840"/>
          <w:pgMar w:top="1134" w:right="1134" w:bottom="1134" w:left="1418" w:header="720" w:footer="720" w:gutter="0"/>
          <w:cols w:space="720" w:num="1"/>
          <w:docGrid w:type="lines" w:linePitch="312" w:charSpace="0"/>
        </w:sectPr>
      </w:pPr>
    </w:p>
    <w:sdt>
      <w:sdtPr>
        <w:rPr>
          <w:rFonts w:ascii="宋体" w:hAnsi="宋体"/>
          <w:color w:val="000000" w:themeColor="text1"/>
          <w:highlight w:val="none"/>
          <w14:textFill>
            <w14:solidFill>
              <w14:schemeClr w14:val="tx1"/>
            </w14:solidFill>
          </w14:textFill>
        </w:rPr>
        <w:id w:val="147469227"/>
        <w:docPartObj>
          <w:docPartGallery w:val="Table of Contents"/>
          <w:docPartUnique/>
        </w:docPartObj>
      </w:sdtPr>
      <w:sdtEndPr>
        <w:rPr>
          <w:rFonts w:ascii="Times New Roman" w:hAnsi="Times New Roman"/>
          <w:color w:val="000000" w:themeColor="text1"/>
          <w:highlight w:val="none"/>
          <w14:textFill>
            <w14:solidFill>
              <w14:schemeClr w14:val="tx1"/>
            </w14:solidFill>
          </w14:textFill>
        </w:rPr>
      </w:sdtEndPr>
      <w:sdtContent>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vertAlign w:val="baseline"/>
              <w14:textFill>
                <w14:solidFill>
                  <w14:schemeClr w14:val="tx1"/>
                </w14:solidFill>
              </w14:textFill>
            </w:rPr>
            <w:drawing>
              <wp:inline distT="0" distB="0" distL="114300" distR="114300">
                <wp:extent cx="6686550" cy="8606790"/>
                <wp:effectExtent l="0" t="0" r="0" b="3810"/>
                <wp:docPr id="1" name="图片 1" descr="d5a35f0746efced6cf79818794a7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a35f0746efced6cf79818794a7f52"/>
                        <pic:cNvPicPr>
                          <a:picLocks noChangeAspect="1"/>
                        </pic:cNvPicPr>
                      </pic:nvPicPr>
                      <pic:blipFill>
                        <a:blip r:embed="rId9"/>
                        <a:srcRect l="-1241" r="880"/>
                        <a:stretch>
                          <a:fillRect/>
                        </a:stretch>
                      </pic:blipFill>
                      <pic:spPr>
                        <a:xfrm>
                          <a:off x="0" y="0"/>
                          <a:ext cx="6686550" cy="8606790"/>
                        </a:xfrm>
                        <a:prstGeom prst="rect">
                          <a:avLst/>
                        </a:prstGeom>
                      </pic:spPr>
                    </pic:pic>
                  </a:graphicData>
                </a:graphic>
              </wp:inline>
            </w:drawing>
          </w:r>
        </w:p>
      </w:sdtContent>
    </w:sdt>
    <w:p>
      <w:pPr>
        <w:pStyle w:val="2"/>
        <w:sectPr>
          <w:footerReference r:id="rId4" w:type="default"/>
          <w:pgSz w:w="11907" w:h="16840"/>
          <w:pgMar w:top="1134" w:right="1134" w:bottom="1134" w:left="1418" w:header="720" w:footer="720" w:gutter="0"/>
          <w:pgNumType w:start="1"/>
          <w:cols w:space="720" w:num="1"/>
          <w:docGrid w:type="lines" w:linePitch="312" w:charSpace="0"/>
        </w:sectPr>
      </w:pPr>
    </w:p>
    <w:p>
      <w:pPr>
        <w:jc w:val="center"/>
        <w:rPr>
          <w:rFonts w:ascii="宋体" w:hAnsi="宋体"/>
          <w:b/>
          <w:bCs/>
          <w:color w:val="000000" w:themeColor="text1"/>
          <w:sz w:val="44"/>
          <w:szCs w:val="44"/>
          <w:highlight w:val="none"/>
          <w14:textFill>
            <w14:solidFill>
              <w14:schemeClr w14:val="tx1"/>
            </w14:solidFill>
          </w14:textFill>
        </w:rPr>
      </w:pPr>
      <w:r>
        <w:rPr>
          <w:rFonts w:ascii="宋体" w:hAnsi="宋体"/>
          <w:b/>
          <w:bCs/>
          <w:color w:val="000000" w:themeColor="text1"/>
          <w:sz w:val="44"/>
          <w:szCs w:val="44"/>
          <w:highlight w:val="none"/>
          <w14:textFill>
            <w14:solidFill>
              <w14:schemeClr w14:val="tx1"/>
            </w14:solidFill>
          </w14:textFill>
        </w:rPr>
        <w:t>目</w:t>
      </w:r>
      <w:r>
        <w:rPr>
          <w:rFonts w:hint="eastAsia" w:ascii="宋体" w:hAnsi="宋体"/>
          <w:b/>
          <w:bCs/>
          <w:color w:val="000000" w:themeColor="text1"/>
          <w:sz w:val="44"/>
          <w:szCs w:val="44"/>
          <w:highlight w:val="none"/>
          <w:lang w:val="en-US" w:eastAsia="zh-CN"/>
          <w14:textFill>
            <w14:solidFill>
              <w14:schemeClr w14:val="tx1"/>
            </w14:solidFill>
          </w14:textFill>
        </w:rPr>
        <w:t xml:space="preserve">  </w:t>
      </w:r>
      <w:r>
        <w:rPr>
          <w:rFonts w:ascii="宋体" w:hAnsi="宋体"/>
          <w:b/>
          <w:bCs/>
          <w:color w:val="000000" w:themeColor="text1"/>
          <w:sz w:val="44"/>
          <w:szCs w:val="44"/>
          <w:highlight w:val="none"/>
          <w14:textFill>
            <w14:solidFill>
              <w14:schemeClr w14:val="tx1"/>
            </w14:solidFill>
          </w14:textFill>
        </w:rPr>
        <w:t>录</w:t>
      </w:r>
    </w:p>
    <w:p>
      <w:pPr>
        <w:pStyle w:val="7"/>
        <w:rPr>
          <w:color w:val="000000" w:themeColor="text1"/>
          <w:highlight w:val="none"/>
          <w14:textFill>
            <w14:solidFill>
              <w14:schemeClr w14:val="tx1"/>
            </w14:solidFill>
          </w14:textFill>
        </w:rPr>
      </w:pPr>
    </w:p>
    <w:p>
      <w:pPr>
        <w:pStyle w:val="18"/>
        <w:tabs>
          <w:tab w:val="right" w:leader="dot" w:pos="9355"/>
        </w:tabs>
        <w:jc w:val="center"/>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_Toc16817 </w:instrText>
      </w:r>
      <w:r>
        <w:rPr>
          <w:color w:val="000000" w:themeColor="text1"/>
          <w:sz w:val="28"/>
          <w:szCs w:val="28"/>
          <w:highlight w:val="none"/>
          <w14:textFill>
            <w14:solidFill>
              <w14:schemeClr w14:val="tx1"/>
            </w14:solidFill>
          </w14:textFill>
        </w:rPr>
        <w:fldChar w:fldCharType="separate"/>
      </w:r>
      <w:r>
        <w:rPr>
          <w:rFonts w:hint="eastAsia" w:ascii="宋体" w:hAnsi="宋体"/>
          <w:color w:val="000000" w:themeColor="text1"/>
          <w:sz w:val="28"/>
          <w:szCs w:val="28"/>
          <w:highlight w:val="none"/>
          <w14:textFill>
            <w14:solidFill>
              <w14:schemeClr w14:val="tx1"/>
            </w14:solidFill>
          </w14:textFill>
        </w:rPr>
        <w:t xml:space="preserve">第一章   </w:t>
      </w:r>
      <w:r>
        <w:rPr>
          <w:rFonts w:hint="eastAsia" w:ascii="宋体" w:hAnsi="宋体"/>
          <w:color w:val="000000" w:themeColor="text1"/>
          <w:sz w:val="28"/>
          <w:szCs w:val="28"/>
          <w:highlight w:val="none"/>
          <w:lang w:val="en-US" w:eastAsia="zh-CN"/>
          <w14:textFill>
            <w14:solidFill>
              <w14:schemeClr w14:val="tx1"/>
            </w14:solidFill>
          </w14:textFill>
        </w:rPr>
        <w:t>竞 争 性 磋 商</w:t>
      </w:r>
      <w:r>
        <w:rPr>
          <w:rFonts w:hint="eastAsia" w:ascii="宋体" w:hAnsi="宋体"/>
          <w:color w:val="000000" w:themeColor="text1"/>
          <w:sz w:val="28"/>
          <w:szCs w:val="28"/>
          <w:highlight w:val="none"/>
          <w14:textFill>
            <w14:solidFill>
              <w14:schemeClr w14:val="tx1"/>
            </w14:solidFill>
          </w14:textFill>
        </w:rPr>
        <w:t xml:space="preserve"> 公 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_Toc16817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_Toc14730 </w:instrText>
      </w:r>
      <w:r>
        <w:rPr>
          <w:color w:val="000000" w:themeColor="text1"/>
          <w:sz w:val="28"/>
          <w:szCs w:val="28"/>
          <w:highlight w:val="none"/>
          <w14:textFill>
            <w14:solidFill>
              <w14:schemeClr w14:val="tx1"/>
            </w14:solidFill>
          </w14:textFill>
        </w:rPr>
        <w:fldChar w:fldCharType="separate"/>
      </w:r>
      <w:r>
        <w:rPr>
          <w:rFonts w:hint="eastAsia" w:ascii="宋体" w:hAnsi="宋体"/>
          <w:bCs/>
          <w:color w:val="000000" w:themeColor="text1"/>
          <w:sz w:val="28"/>
          <w:szCs w:val="28"/>
          <w:highlight w:val="none"/>
          <w14:textFill>
            <w14:solidFill>
              <w14:schemeClr w14:val="tx1"/>
            </w14:solidFill>
          </w14:textFill>
        </w:rPr>
        <w:t xml:space="preserve">第二章   </w:t>
      </w:r>
      <w:r>
        <w:rPr>
          <w:rFonts w:hint="eastAsia" w:ascii="宋体" w:hAnsi="宋体"/>
          <w:bCs/>
          <w:color w:val="000000" w:themeColor="text1"/>
          <w:sz w:val="28"/>
          <w:szCs w:val="28"/>
          <w:highlight w:val="none"/>
          <w:lang w:val="en-US" w:eastAsia="zh-CN"/>
          <w14:textFill>
            <w14:solidFill>
              <w14:schemeClr w14:val="tx1"/>
            </w14:solidFill>
          </w14:textFill>
        </w:rPr>
        <w:t>磋商</w:t>
      </w:r>
      <w:r>
        <w:rPr>
          <w:rFonts w:hint="eastAsia" w:ascii="宋体" w:hAnsi="宋体"/>
          <w:bCs/>
          <w:color w:val="000000" w:themeColor="text1"/>
          <w:sz w:val="28"/>
          <w:szCs w:val="28"/>
          <w:highlight w:val="none"/>
          <w14:textFill>
            <w14:solidFill>
              <w14:schemeClr w14:val="tx1"/>
            </w14:solidFill>
          </w14:textFill>
        </w:rPr>
        <w:t>须知前附表</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_Toc16173 </w:instrText>
      </w:r>
      <w:r>
        <w:rPr>
          <w:color w:val="000000" w:themeColor="text1"/>
          <w:sz w:val="28"/>
          <w:szCs w:val="28"/>
          <w:highlight w:val="none"/>
          <w14:textFill>
            <w14:solidFill>
              <w14:schemeClr w14:val="tx1"/>
            </w14:solidFill>
          </w14:textFill>
        </w:rPr>
        <w:fldChar w:fldCharType="separate"/>
      </w:r>
      <w:r>
        <w:rPr>
          <w:rFonts w:hint="eastAsia" w:ascii="宋体" w:hAnsi="宋体"/>
          <w:bCs/>
          <w:color w:val="000000" w:themeColor="text1"/>
          <w:sz w:val="28"/>
          <w:szCs w:val="28"/>
          <w:highlight w:val="none"/>
          <w14:textFill>
            <w14:solidFill>
              <w14:schemeClr w14:val="tx1"/>
            </w14:solidFill>
          </w14:textFill>
        </w:rPr>
        <w:t xml:space="preserve">第三章   </w:t>
      </w:r>
      <w:r>
        <w:rPr>
          <w:rFonts w:hint="eastAsia" w:ascii="宋体" w:hAnsi="宋体"/>
          <w:bCs/>
          <w:color w:val="000000" w:themeColor="text1"/>
          <w:sz w:val="28"/>
          <w:szCs w:val="28"/>
          <w:highlight w:val="none"/>
          <w:lang w:val="en-US" w:eastAsia="zh-CN"/>
          <w14:textFill>
            <w14:solidFill>
              <w14:schemeClr w14:val="tx1"/>
            </w14:solidFill>
          </w14:textFill>
        </w:rPr>
        <w:t>磋商</w:t>
      </w:r>
      <w:r>
        <w:rPr>
          <w:rFonts w:hint="eastAsia" w:ascii="宋体" w:hAnsi="宋体"/>
          <w:bCs/>
          <w:color w:val="000000" w:themeColor="text1"/>
          <w:sz w:val="28"/>
          <w:szCs w:val="28"/>
          <w:highlight w:val="none"/>
          <w14:textFill>
            <w14:solidFill>
              <w14:schemeClr w14:val="tx1"/>
            </w14:solidFill>
          </w14:textFill>
        </w:rPr>
        <w:t>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_Toc16173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9</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_Toc11883 </w:instrText>
      </w:r>
      <w:r>
        <w:rPr>
          <w:color w:val="000000" w:themeColor="text1"/>
          <w:sz w:val="28"/>
          <w:szCs w:val="28"/>
          <w:highlight w:val="none"/>
          <w14:textFill>
            <w14:solidFill>
              <w14:schemeClr w14:val="tx1"/>
            </w14:solidFill>
          </w14:textFill>
        </w:rPr>
        <w:fldChar w:fldCharType="separate"/>
      </w:r>
      <w:r>
        <w:rPr>
          <w:rFonts w:hint="eastAsia" w:ascii="宋体" w:hAnsi="宋体"/>
          <w:bCs/>
          <w:color w:val="000000" w:themeColor="text1"/>
          <w:sz w:val="28"/>
          <w:szCs w:val="28"/>
          <w:highlight w:val="none"/>
          <w14:textFill>
            <w14:solidFill>
              <w14:schemeClr w14:val="tx1"/>
            </w14:solidFill>
          </w14:textFill>
        </w:rPr>
        <w:t>第四章</w:t>
      </w:r>
      <w:r>
        <w:rPr>
          <w:rFonts w:hint="eastAsia" w:ascii="宋体" w:hAnsi="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bCs/>
          <w:color w:val="000000" w:themeColor="text1"/>
          <w:sz w:val="28"/>
          <w:szCs w:val="28"/>
          <w:highlight w:val="none"/>
          <w14:textFill>
            <w14:solidFill>
              <w14:schemeClr w14:val="tx1"/>
            </w14:solidFill>
          </w14:textFill>
        </w:rPr>
        <w:t>合同</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_Toc11883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33</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_Toc17554 </w:instrText>
      </w:r>
      <w:r>
        <w:rPr>
          <w:color w:val="000000" w:themeColor="text1"/>
          <w:sz w:val="28"/>
          <w:szCs w:val="28"/>
          <w:highlight w:val="none"/>
          <w14:textFill>
            <w14:solidFill>
              <w14:schemeClr w14:val="tx1"/>
            </w14:solidFill>
          </w14:textFill>
        </w:rPr>
        <w:fldChar w:fldCharType="separate"/>
      </w:r>
      <w:r>
        <w:rPr>
          <w:rFonts w:hint="eastAsia" w:ascii="宋体" w:hAnsi="宋体"/>
          <w:bCs/>
          <w:color w:val="000000" w:themeColor="text1"/>
          <w:sz w:val="28"/>
          <w:szCs w:val="28"/>
          <w:highlight w:val="none"/>
          <w14:textFill>
            <w14:solidFill>
              <w14:schemeClr w14:val="tx1"/>
            </w14:solidFill>
          </w14:textFill>
        </w:rPr>
        <w:t>第五章   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_Toc17554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78</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_Toc8136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第六章</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技术标准和要求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_Toc8136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82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pStyle w:val="18"/>
        <w:tabs>
          <w:tab w:val="right" w:leader="dot" w:pos="9355"/>
        </w:tabs>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_Toc21698 </w:instrText>
      </w:r>
      <w:r>
        <w:rPr>
          <w:color w:val="000000" w:themeColor="text1"/>
          <w:sz w:val="28"/>
          <w:szCs w:val="28"/>
          <w:highlight w:val="none"/>
          <w14:textFill>
            <w14:solidFill>
              <w14:schemeClr w14:val="tx1"/>
            </w14:solidFill>
          </w14:textFill>
        </w:rPr>
        <w:fldChar w:fldCharType="separate"/>
      </w:r>
      <w:r>
        <w:rPr>
          <w:rFonts w:hint="eastAsia" w:ascii="宋体" w:hAnsi="宋体"/>
          <w:bCs/>
          <w:color w:val="000000" w:themeColor="text1"/>
          <w:sz w:val="28"/>
          <w:szCs w:val="28"/>
          <w:highlight w:val="none"/>
          <w14:textFill>
            <w14:solidFill>
              <w14:schemeClr w14:val="tx1"/>
            </w14:solidFill>
          </w14:textFill>
        </w:rPr>
        <w:t>第七章</w:t>
      </w:r>
      <w:r>
        <w:rPr>
          <w:rFonts w:hint="eastAsia" w:ascii="宋体" w:hAnsi="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bCs/>
          <w:color w:val="000000" w:themeColor="text1"/>
          <w:sz w:val="28"/>
          <w:szCs w:val="28"/>
          <w:highlight w:val="none"/>
          <w14:textFill>
            <w14:solidFill>
              <w14:schemeClr w14:val="tx1"/>
            </w14:solidFill>
          </w14:textFill>
        </w:rPr>
        <w:t>响应文件格式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_Toc21698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83</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pPr>
        <w:tabs>
          <w:tab w:val="left" w:pos="7330"/>
        </w:tabs>
        <w:sectPr>
          <w:pgSz w:w="11907" w:h="16840"/>
          <w:pgMar w:top="1134" w:right="1134" w:bottom="1134" w:left="1418" w:header="720" w:footer="720" w:gutter="0"/>
          <w:pgNumType w:start="1"/>
          <w:cols w:space="720" w:num="1"/>
          <w:docGrid w:type="lines" w:linePitch="312" w:charSpace="0"/>
        </w:sectPr>
      </w:pPr>
      <w:r>
        <w:rPr>
          <w:color w:val="000000" w:themeColor="text1"/>
          <w:highlight w:val="none"/>
          <w14:textFill>
            <w14:solidFill>
              <w14:schemeClr w14:val="tx1"/>
            </w14:solidFill>
          </w14:textFill>
        </w:rPr>
        <w:fldChar w:fldCharType="end"/>
      </w:r>
    </w:p>
    <w:p>
      <w:pPr>
        <w:adjustRightInd w:val="0"/>
        <w:snapToGrid w:val="0"/>
        <w:spacing w:line="360" w:lineRule="auto"/>
        <w:jc w:val="center"/>
        <w:outlineLvl w:val="0"/>
        <w:rPr>
          <w:rFonts w:ascii="宋体" w:hAnsi="宋体"/>
          <w:b/>
          <w:color w:val="000000" w:themeColor="text1"/>
          <w:sz w:val="36"/>
          <w:szCs w:val="32"/>
          <w:highlight w:val="none"/>
          <w14:textFill>
            <w14:solidFill>
              <w14:schemeClr w14:val="tx1"/>
            </w14:solidFill>
          </w14:textFill>
        </w:rPr>
      </w:pPr>
      <w:bookmarkStart w:id="3" w:name="_Toc16817"/>
      <w:r>
        <w:rPr>
          <w:rFonts w:hint="eastAsia" w:ascii="宋体" w:hAnsi="宋体"/>
          <w:b/>
          <w:color w:val="000000" w:themeColor="text1"/>
          <w:sz w:val="36"/>
          <w:szCs w:val="32"/>
          <w:highlight w:val="none"/>
          <w14:textFill>
            <w14:solidFill>
              <w14:schemeClr w14:val="tx1"/>
            </w14:solidFill>
          </w14:textFill>
        </w:rPr>
        <w:t xml:space="preserve">第一章   </w:t>
      </w:r>
      <w:r>
        <w:rPr>
          <w:rFonts w:hint="eastAsia" w:ascii="宋体" w:hAnsi="宋体"/>
          <w:b/>
          <w:color w:val="000000" w:themeColor="text1"/>
          <w:sz w:val="36"/>
          <w:szCs w:val="32"/>
          <w:highlight w:val="none"/>
          <w:lang w:val="en-US" w:eastAsia="zh-CN"/>
          <w14:textFill>
            <w14:solidFill>
              <w14:schemeClr w14:val="tx1"/>
            </w14:solidFill>
          </w14:textFill>
        </w:rPr>
        <w:t>竞 争 性 磋 商</w:t>
      </w:r>
      <w:r>
        <w:rPr>
          <w:rFonts w:hint="eastAsia" w:ascii="宋体" w:hAnsi="宋体"/>
          <w:b/>
          <w:color w:val="000000" w:themeColor="text1"/>
          <w:sz w:val="36"/>
          <w:szCs w:val="32"/>
          <w:highlight w:val="none"/>
          <w14:textFill>
            <w14:solidFill>
              <w14:schemeClr w14:val="tx1"/>
            </w14:solidFill>
          </w14:textFill>
        </w:rPr>
        <w:t xml:space="preserve"> 公 告</w:t>
      </w:r>
      <w:bookmarkEnd w:id="3"/>
    </w:p>
    <w:p>
      <w:pPr>
        <w:pStyle w:val="3"/>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themeColor="text1"/>
          <w:kern w:val="2"/>
          <w:sz w:val="36"/>
          <w:szCs w:val="32"/>
          <w:highlight w:val="none"/>
          <w:lang w:val="en-US" w:eastAsia="zh-CN" w:bidi="ar-SA"/>
          <w14:textFill>
            <w14:solidFill>
              <w14:schemeClr w14:val="tx1"/>
            </w14:solidFill>
          </w14:textFill>
        </w:rPr>
      </w:pPr>
      <w:bookmarkStart w:id="4" w:name="_Toc17432"/>
      <w:bookmarkStart w:id="5" w:name="_Toc25742"/>
      <w:bookmarkStart w:id="6" w:name="_Toc29380"/>
      <w:r>
        <w:rPr>
          <w:rFonts w:hint="eastAsia" w:ascii="宋体" w:hAnsi="宋体" w:eastAsia="宋体" w:cs="Times New Roman"/>
          <w:b/>
          <w:color w:val="000000" w:themeColor="text1"/>
          <w:kern w:val="2"/>
          <w:sz w:val="36"/>
          <w:szCs w:val="32"/>
          <w:highlight w:val="none"/>
          <w:lang w:val="en-US" w:eastAsia="zh-CN" w:bidi="ar-SA"/>
          <w14:textFill>
            <w14:solidFill>
              <w14:schemeClr w14:val="tx1"/>
            </w14:solidFill>
          </w14:textFill>
        </w:rPr>
        <w:t>竞争性磋商公告</w:t>
      </w:r>
      <w:bookmarkEnd w:id="4"/>
    </w:p>
    <w:p>
      <w:pPr>
        <w:pStyle w:val="23"/>
        <w:rPr>
          <w:rFonts w:hint="eastAsia"/>
          <w:lang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0" w:right="0"/>
        <w:jc w:val="center"/>
        <w:textAlignment w:val="auto"/>
        <w:rPr>
          <w:rFonts w:hint="eastAsia" w:ascii="仿宋" w:hAnsi="仿宋" w:eastAsia="仿宋" w:cs="仿宋"/>
          <w:b/>
          <w:bCs/>
          <w:i w:val="0"/>
          <w:iCs w:val="0"/>
          <w:caps w:val="0"/>
          <w:spacing w:val="0"/>
          <w:sz w:val="27"/>
          <w:szCs w:val="27"/>
        </w:rPr>
      </w:pPr>
      <w:r>
        <w:rPr>
          <w:rFonts w:hint="eastAsia" w:ascii="仿宋" w:hAnsi="仿宋" w:eastAsia="仿宋" w:cs="仿宋"/>
          <w:b/>
          <w:bCs/>
          <w:i w:val="0"/>
          <w:iCs w:val="0"/>
          <w:caps w:val="0"/>
          <w:spacing w:val="0"/>
          <w:sz w:val="27"/>
          <w:szCs w:val="27"/>
          <w:lang w:val="en-US" w:eastAsia="zh-CN"/>
        </w:rPr>
        <w:t>阿瓦提县乡村振兴项目塔木托格拉克镇吐格贝希村庭院整治项目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0" w:right="0"/>
        <w:jc w:val="center"/>
        <w:textAlignment w:val="auto"/>
        <w:rPr>
          <w:rFonts w:hint="eastAsia" w:ascii="仿宋" w:hAnsi="仿宋" w:eastAsia="仿宋" w:cs="仿宋"/>
          <w:b/>
          <w:bCs/>
          <w:i w:val="0"/>
          <w:iCs w:val="0"/>
          <w:caps w:val="0"/>
          <w:spacing w:val="0"/>
          <w:sz w:val="27"/>
          <w:szCs w:val="27"/>
        </w:rPr>
      </w:pPr>
    </w:p>
    <w:p>
      <w:pPr>
        <w:pStyle w:val="22"/>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150" w:afterAutospacing="0" w:line="420" w:lineRule="exact"/>
        <w:ind w:left="0" w:right="0"/>
        <w:textAlignment w:val="auto"/>
        <w:rPr>
          <w:rFonts w:hint="eastAsia" w:ascii="仿宋" w:hAnsi="仿宋" w:eastAsia="仿宋" w:cs="仿宋"/>
          <w:i w:val="0"/>
          <w:iCs w:val="0"/>
          <w:caps w:val="0"/>
          <w:spacing w:val="0"/>
          <w:sz w:val="21"/>
          <w:szCs w:val="21"/>
        </w:rPr>
      </w:pPr>
      <w:r>
        <w:rPr>
          <w:rFonts w:ascii="仿宋" w:hAnsi="仿宋" w:eastAsia="仿宋" w:cs="仿宋"/>
          <w:i w:val="0"/>
          <w:iCs w:val="0"/>
          <w:caps w:val="0"/>
          <w:spacing w:val="0"/>
          <w:sz w:val="27"/>
          <w:szCs w:val="27"/>
        </w:rPr>
        <w:t>   项目概况</w:t>
      </w:r>
      <w:r>
        <w:rPr>
          <w:rFonts w:hint="eastAsia" w:ascii="仿宋" w:hAnsi="仿宋" w:eastAsia="仿宋" w:cs="仿宋"/>
          <w:i w:val="0"/>
          <w:iCs w:val="0"/>
          <w:caps w:val="0"/>
          <w:spacing w:val="0"/>
          <w:sz w:val="21"/>
          <w:szCs w:val="21"/>
        </w:rPr>
        <w:t xml:space="preserve">                                               </w:t>
      </w:r>
    </w:p>
    <w:p>
      <w:pPr>
        <w:pStyle w:val="22"/>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150" w:afterAutospacing="0" w:line="420" w:lineRule="exact"/>
        <w:ind w:left="0" w:right="0" w:firstLine="810" w:firstLineChars="300"/>
        <w:textAlignment w:val="auto"/>
        <w:rPr>
          <w:rFonts w:hint="eastAsia" w:ascii="仿宋" w:hAnsi="仿宋" w:eastAsia="仿宋" w:cs="仿宋"/>
          <w:i w:val="0"/>
          <w:iCs w:val="0"/>
          <w:caps w:val="0"/>
          <w:color w:val="0000FF"/>
          <w:spacing w:val="0"/>
          <w:sz w:val="27"/>
          <w:szCs w:val="27"/>
          <w:highlight w:val="none"/>
        </w:rPr>
      </w:pPr>
      <w:r>
        <w:rPr>
          <w:rFonts w:hint="eastAsia" w:ascii="仿宋" w:hAnsi="仿宋" w:eastAsia="仿宋" w:cs="仿宋"/>
          <w:i w:val="0"/>
          <w:iCs w:val="0"/>
          <w:caps w:val="0"/>
          <w:spacing w:val="0"/>
          <w:sz w:val="27"/>
          <w:szCs w:val="27"/>
          <w:lang w:val="en-US" w:eastAsia="zh-CN"/>
        </w:rPr>
        <w:t>阿瓦提县乡村振兴项目塔木托格拉克镇吐格贝希村庭院整治项目</w:t>
      </w:r>
      <w:r>
        <w:rPr>
          <w:rFonts w:hint="eastAsia" w:ascii="仿宋" w:hAnsi="仿宋" w:eastAsia="仿宋" w:cs="仿宋"/>
          <w:i w:val="0"/>
          <w:iCs w:val="0"/>
          <w:caps w:val="0"/>
          <w:spacing w:val="0"/>
          <w:sz w:val="27"/>
          <w:szCs w:val="27"/>
        </w:rPr>
        <w:t>的潜在供应商应在新疆政府采购网获取采购文件，并于</w:t>
      </w:r>
      <w:r>
        <w:rPr>
          <w:rFonts w:hint="eastAsia" w:ascii="仿宋" w:hAnsi="仿宋" w:eastAsia="仿宋" w:cs="仿宋"/>
          <w:i w:val="0"/>
          <w:iCs w:val="0"/>
          <w:caps w:val="0"/>
          <w:color w:val="0000FF"/>
          <w:spacing w:val="0"/>
          <w:sz w:val="27"/>
          <w:szCs w:val="27"/>
        </w:rPr>
        <w:t>2022年</w:t>
      </w:r>
      <w:r>
        <w:rPr>
          <w:rFonts w:hint="eastAsia" w:ascii="仿宋" w:hAnsi="仿宋" w:eastAsia="仿宋" w:cs="仿宋"/>
          <w:i w:val="0"/>
          <w:iCs w:val="0"/>
          <w:caps w:val="0"/>
          <w:color w:val="0000FF"/>
          <w:spacing w:val="0"/>
          <w:sz w:val="27"/>
          <w:szCs w:val="27"/>
          <w:lang w:val="en-US" w:eastAsia="zh-CN"/>
        </w:rPr>
        <w:t>6</w:t>
      </w:r>
      <w:r>
        <w:rPr>
          <w:rFonts w:hint="eastAsia" w:ascii="仿宋" w:hAnsi="仿宋" w:eastAsia="仿宋" w:cs="仿宋"/>
          <w:i w:val="0"/>
          <w:iCs w:val="0"/>
          <w:caps w:val="0"/>
          <w:color w:val="0000FF"/>
          <w:spacing w:val="0"/>
          <w:sz w:val="27"/>
          <w:szCs w:val="27"/>
        </w:rPr>
        <w:t>月</w:t>
      </w:r>
      <w:r>
        <w:rPr>
          <w:rFonts w:hint="eastAsia" w:ascii="仿宋" w:hAnsi="仿宋" w:eastAsia="仿宋" w:cs="仿宋"/>
          <w:i w:val="0"/>
          <w:iCs w:val="0"/>
          <w:caps w:val="0"/>
          <w:color w:val="0000FF"/>
          <w:spacing w:val="0"/>
          <w:sz w:val="27"/>
          <w:szCs w:val="27"/>
          <w:highlight w:val="none"/>
          <w:lang w:val="en-US" w:eastAsia="zh-CN"/>
        </w:rPr>
        <w:t>27</w:t>
      </w:r>
      <w:r>
        <w:rPr>
          <w:rFonts w:hint="eastAsia" w:ascii="仿宋" w:hAnsi="仿宋" w:eastAsia="仿宋" w:cs="仿宋"/>
          <w:i w:val="0"/>
          <w:iCs w:val="0"/>
          <w:caps w:val="0"/>
          <w:color w:val="0000FF"/>
          <w:spacing w:val="0"/>
          <w:sz w:val="27"/>
          <w:szCs w:val="27"/>
        </w:rPr>
        <w:t xml:space="preserve">日 </w:t>
      </w:r>
      <w:r>
        <w:rPr>
          <w:rFonts w:hint="eastAsia" w:ascii="仿宋" w:hAnsi="仿宋" w:eastAsia="仿宋" w:cs="仿宋"/>
          <w:i w:val="0"/>
          <w:iCs w:val="0"/>
          <w:caps w:val="0"/>
          <w:color w:val="0000FF"/>
          <w:spacing w:val="0"/>
          <w:sz w:val="27"/>
          <w:szCs w:val="27"/>
          <w:lang w:val="en-US" w:eastAsia="zh-CN"/>
        </w:rPr>
        <w:t>16</w:t>
      </w:r>
      <w:r>
        <w:rPr>
          <w:rFonts w:hint="eastAsia" w:ascii="仿宋" w:hAnsi="仿宋" w:eastAsia="仿宋" w:cs="仿宋"/>
          <w:i w:val="0"/>
          <w:iCs w:val="0"/>
          <w:caps w:val="0"/>
          <w:color w:val="0000FF"/>
          <w:spacing w:val="0"/>
          <w:sz w:val="27"/>
          <w:szCs w:val="27"/>
        </w:rPr>
        <w:t>:</w:t>
      </w:r>
      <w:r>
        <w:rPr>
          <w:rFonts w:hint="eastAsia" w:ascii="仿宋" w:hAnsi="仿宋" w:eastAsia="仿宋" w:cs="仿宋"/>
          <w:i w:val="0"/>
          <w:iCs w:val="0"/>
          <w:caps w:val="0"/>
          <w:color w:val="0000FF"/>
          <w:spacing w:val="0"/>
          <w:sz w:val="27"/>
          <w:szCs w:val="27"/>
          <w:lang w:val="en-US" w:eastAsia="zh-CN"/>
        </w:rPr>
        <w:t>3</w:t>
      </w:r>
      <w:r>
        <w:rPr>
          <w:rFonts w:hint="eastAsia" w:ascii="仿宋" w:hAnsi="仿宋" w:eastAsia="仿宋" w:cs="仿宋"/>
          <w:i w:val="0"/>
          <w:iCs w:val="0"/>
          <w:caps w:val="0"/>
          <w:color w:val="0000FF"/>
          <w:spacing w:val="0"/>
          <w:sz w:val="27"/>
          <w:szCs w:val="27"/>
        </w:rPr>
        <w:t>0</w:t>
      </w:r>
      <w:r>
        <w:rPr>
          <w:rFonts w:hint="eastAsia" w:ascii="仿宋" w:hAnsi="仿宋" w:eastAsia="仿宋" w:cs="仿宋"/>
          <w:i w:val="0"/>
          <w:iCs w:val="0"/>
          <w:caps w:val="0"/>
          <w:color w:val="0000FF"/>
          <w:spacing w:val="0"/>
          <w:sz w:val="27"/>
          <w:szCs w:val="27"/>
          <w:highlight w:val="none"/>
        </w:rPr>
        <w:t>（北京时间）前提交响应文件。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ascii="黑体" w:hAnsi="宋体" w:eastAsia="黑体" w:cs="黑体"/>
          <w:sz w:val="31"/>
          <w:szCs w:val="31"/>
        </w:rPr>
      </w:pPr>
      <w:r>
        <w:rPr>
          <w:rStyle w:val="27"/>
          <w:rFonts w:hint="eastAsia" w:ascii="黑体" w:hAnsi="宋体" w:eastAsia="黑体" w:cs="黑体"/>
          <w:b/>
          <w:bCs/>
          <w:i w:val="0"/>
          <w:iCs w:val="0"/>
          <w:caps w:val="0"/>
          <w:spacing w:val="0"/>
          <w:sz w:val="27"/>
          <w:szCs w:val="27"/>
          <w:lang w:eastAsia="zh-CN"/>
        </w:rPr>
        <w:t>一、项目基本情况</w:t>
      </w:r>
      <w:r>
        <w:rPr>
          <w:rStyle w:val="27"/>
          <w:rFonts w:hint="eastAsia" w:ascii="黑体" w:hAnsi="宋体" w:eastAsia="黑体" w:cs="黑体"/>
          <w:b/>
          <w:bCs/>
          <w:i w:val="0"/>
          <w:iCs w:val="0"/>
          <w:caps w:val="0"/>
          <w:spacing w:val="0"/>
          <w:sz w:val="27"/>
          <w:szCs w:val="27"/>
        </w:rPr>
        <w:t xml:space="preserve"> </w:t>
      </w:r>
      <w:r>
        <w:rPr>
          <w:rFonts w:ascii="黑体" w:hAnsi="宋体" w:eastAsia="黑体" w:cs="黑体"/>
          <w:b/>
          <w:bCs/>
          <w:i w:val="0"/>
          <w:iCs w:val="0"/>
          <w:caps w:val="0"/>
          <w:spacing w:val="0"/>
          <w:sz w:val="40"/>
          <w:szCs w:val="40"/>
        </w:rPr>
        <w:t> </w:t>
      </w:r>
      <w:r>
        <w:rPr>
          <w:rFonts w:ascii="黑体" w:hAnsi="宋体" w:eastAsia="黑体" w:cs="黑体"/>
          <w:i w:val="0"/>
          <w:iCs w:val="0"/>
          <w:caps w:val="0"/>
          <w:spacing w:val="0"/>
          <w:sz w:val="31"/>
          <w:szCs w:val="31"/>
        </w:rPr>
        <w:t xml:space="preserve">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default" w:eastAsia="仿宋"/>
          <w:lang w:val="en-US" w:eastAsia="zh-CN"/>
        </w:rPr>
      </w:pPr>
      <w:r>
        <w:rPr>
          <w:rFonts w:hint="eastAsia" w:ascii="仿宋" w:hAnsi="仿宋" w:eastAsia="仿宋" w:cs="仿宋"/>
          <w:i w:val="0"/>
          <w:iCs w:val="0"/>
          <w:caps w:val="0"/>
          <w:spacing w:val="0"/>
          <w:sz w:val="27"/>
          <w:szCs w:val="27"/>
        </w:rPr>
        <w:t>项目编号：</w:t>
      </w:r>
      <w:r>
        <w:rPr>
          <w:rFonts w:hint="eastAsia" w:ascii="仿宋" w:hAnsi="仿宋" w:eastAsia="仿宋" w:cs="仿宋"/>
          <w:i w:val="0"/>
          <w:iCs w:val="0"/>
          <w:caps w:val="0"/>
          <w:spacing w:val="0"/>
          <w:sz w:val="27"/>
          <w:szCs w:val="27"/>
          <w:lang w:val="en-US" w:eastAsia="zh-CN"/>
        </w:rPr>
        <w:t>20221031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40" w:firstLineChars="200"/>
        <w:jc w:val="both"/>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项目名称：</w:t>
      </w:r>
      <w:r>
        <w:rPr>
          <w:rFonts w:hint="eastAsia" w:ascii="仿宋" w:hAnsi="仿宋" w:eastAsia="仿宋" w:cs="仿宋"/>
          <w:i w:val="0"/>
          <w:iCs w:val="0"/>
          <w:caps w:val="0"/>
          <w:spacing w:val="0"/>
          <w:sz w:val="27"/>
          <w:szCs w:val="27"/>
          <w:lang w:val="en-US" w:eastAsia="zh-CN"/>
        </w:rPr>
        <w:t>阿瓦提县乡村振兴项目塔木托格拉克镇吐格贝希村庭院整治项目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40" w:firstLineChars="200"/>
        <w:jc w:val="both"/>
        <w:textAlignment w:val="auto"/>
        <w:rPr>
          <w:rFonts w:hint="eastAsia" w:eastAsia="仿宋"/>
          <w:lang w:eastAsia="zh-CN"/>
        </w:rPr>
      </w:pPr>
      <w:r>
        <w:rPr>
          <w:rFonts w:hint="eastAsia" w:ascii="仿宋" w:hAnsi="仿宋" w:eastAsia="仿宋" w:cs="仿宋"/>
          <w:i w:val="0"/>
          <w:iCs w:val="0"/>
          <w:caps w:val="0"/>
          <w:spacing w:val="0"/>
          <w:sz w:val="27"/>
          <w:szCs w:val="27"/>
        </w:rPr>
        <w:t>采购方式：竞争性</w:t>
      </w:r>
      <w:r>
        <w:rPr>
          <w:rFonts w:hint="eastAsia" w:ascii="仿宋" w:hAnsi="仿宋" w:eastAsia="仿宋" w:cs="仿宋"/>
          <w:i w:val="0"/>
          <w:iCs w:val="0"/>
          <w:caps w:val="0"/>
          <w:spacing w:val="0"/>
          <w:sz w:val="27"/>
          <w:szCs w:val="27"/>
          <w:lang w:eastAsia="zh-CN"/>
        </w:rPr>
        <w:t>磋商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default" w:eastAsia="仿宋"/>
          <w:lang w:val="en-US" w:eastAsia="zh-CN"/>
        </w:rPr>
      </w:pPr>
      <w:r>
        <w:rPr>
          <w:rFonts w:hint="eastAsia" w:ascii="仿宋" w:hAnsi="仿宋" w:eastAsia="仿宋" w:cs="仿宋"/>
          <w:i w:val="0"/>
          <w:iCs w:val="0"/>
          <w:caps w:val="0"/>
          <w:spacing w:val="0"/>
          <w:sz w:val="27"/>
          <w:szCs w:val="27"/>
        </w:rPr>
        <w:t>预算金额（元）：</w:t>
      </w:r>
      <w:r>
        <w:rPr>
          <w:rFonts w:hint="eastAsia" w:ascii="仿宋" w:hAnsi="仿宋" w:eastAsia="仿宋" w:cs="仿宋"/>
          <w:i w:val="0"/>
          <w:iCs w:val="0"/>
          <w:caps w:val="0"/>
          <w:spacing w:val="0"/>
          <w:sz w:val="27"/>
          <w:szCs w:val="27"/>
          <w:lang w:val="en-US" w:eastAsia="zh-CN"/>
        </w:rPr>
        <w:t>1000000元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default" w:ascii="仿宋" w:hAnsi="仿宋" w:eastAsia="仿宋" w:cs="仿宋"/>
          <w:i w:val="0"/>
          <w:iCs w:val="0"/>
          <w:caps w:val="0"/>
          <w:spacing w:val="0"/>
          <w:sz w:val="27"/>
          <w:szCs w:val="27"/>
          <w:lang w:val="en-US"/>
        </w:rPr>
      </w:pPr>
      <w:r>
        <w:rPr>
          <w:rFonts w:hint="eastAsia" w:ascii="仿宋" w:hAnsi="仿宋" w:eastAsia="仿宋" w:cs="仿宋"/>
          <w:i w:val="0"/>
          <w:iCs w:val="0"/>
          <w:caps w:val="0"/>
          <w:spacing w:val="0"/>
          <w:sz w:val="27"/>
          <w:szCs w:val="27"/>
        </w:rPr>
        <w:t>最高限价（元）：</w:t>
      </w:r>
      <w:r>
        <w:rPr>
          <w:rFonts w:hint="eastAsia" w:ascii="仿宋" w:hAnsi="仿宋" w:eastAsia="仿宋" w:cs="仿宋"/>
          <w:i w:val="0"/>
          <w:iCs w:val="0"/>
          <w:caps w:val="0"/>
          <w:spacing w:val="0"/>
          <w:sz w:val="27"/>
          <w:szCs w:val="27"/>
          <w:lang w:val="en-US" w:eastAsia="zh-CN"/>
        </w:rPr>
        <w:t>992154.82元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采购</w:t>
      </w:r>
      <w:r>
        <w:rPr>
          <w:rFonts w:hint="eastAsia" w:ascii="仿宋" w:hAnsi="仿宋" w:eastAsia="仿宋" w:cs="仿宋"/>
          <w:i w:val="0"/>
          <w:iCs w:val="0"/>
          <w:caps w:val="0"/>
          <w:spacing w:val="0"/>
          <w:sz w:val="27"/>
          <w:szCs w:val="27"/>
          <w:lang w:val="en-US" w:eastAsia="zh-CN"/>
        </w:rPr>
        <w:t>内容</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kern w:val="0"/>
          <w:sz w:val="27"/>
          <w:szCs w:val="27"/>
          <w:lang w:val="en-US" w:eastAsia="zh-CN" w:bidi="ar"/>
        </w:rPr>
        <w:t> 详见采购文件及工程量清单。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标项名称： 阿瓦提县乡村振兴项目-塔木托格拉克镇吐格贝希村庭院整治项目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数量： 不限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kern w:val="0"/>
          <w:sz w:val="27"/>
          <w:szCs w:val="27"/>
          <w:lang w:val="en-US" w:eastAsia="zh-CN" w:bidi="ar"/>
        </w:rPr>
        <w:t>预算金额（元）：1000000元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单位： 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简要规格描述： 详见采购文件及工程量清单。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40" w:firstLineChars="200"/>
        <w:jc w:val="both"/>
        <w:textAlignment w:val="auto"/>
        <w:rPr>
          <w:rFonts w:hint="eastAsia" w:ascii="仿宋" w:hAnsi="仿宋" w:eastAsia="仿宋" w:cs="仿宋"/>
          <w:i w:val="0"/>
          <w:iCs w:val="0"/>
          <w:caps w:val="0"/>
          <w:spacing w:val="0"/>
          <w:sz w:val="21"/>
          <w:szCs w:val="21"/>
        </w:rPr>
      </w:pPr>
      <w:r>
        <w:rPr>
          <w:rFonts w:hint="eastAsia" w:ascii="仿宋" w:hAnsi="仿宋" w:eastAsia="仿宋" w:cs="仿宋"/>
          <w:i w:val="0"/>
          <w:iCs w:val="0"/>
          <w:caps w:val="0"/>
          <w:spacing w:val="0"/>
          <w:kern w:val="0"/>
          <w:sz w:val="27"/>
          <w:szCs w:val="27"/>
          <w:lang w:val="en-US" w:eastAsia="zh-CN" w:bidi="ar"/>
        </w:rPr>
        <w:t>备注：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xml:space="preserve">    </w:t>
      </w:r>
      <w:r>
        <w:rPr>
          <w:rFonts w:hint="eastAsia" w:ascii="仿宋" w:hAnsi="仿宋" w:eastAsia="仿宋" w:cs="仿宋"/>
          <w:i w:val="0"/>
          <w:iCs w:val="0"/>
          <w:caps w:val="0"/>
          <w:spacing w:val="0"/>
          <w:sz w:val="27"/>
          <w:szCs w:val="27"/>
          <w:lang w:val="en-US" w:eastAsia="zh-CN"/>
        </w:rPr>
        <w:t>工期</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32天</w:t>
      </w:r>
      <w:r>
        <w:rPr>
          <w:rFonts w:hint="eastAsia" w:ascii="仿宋" w:hAnsi="仿宋" w:eastAsia="仿宋" w:cs="仿宋"/>
          <w:i w:val="0"/>
          <w:iCs w:val="0"/>
          <w:caps w:val="0"/>
          <w:spacing w:val="0"/>
          <w:sz w:val="27"/>
          <w:szCs w:val="27"/>
        </w:rPr>
        <w:t> 。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本项目（否）接受联合体投标。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27"/>
          <w:szCs w:val="27"/>
        </w:rPr>
      </w:pPr>
      <w:r>
        <w:rPr>
          <w:rStyle w:val="27"/>
          <w:rFonts w:ascii="黑体" w:hAnsi="宋体" w:eastAsia="黑体" w:cs="黑体"/>
          <w:b/>
          <w:bCs/>
          <w:i w:val="0"/>
          <w:iCs w:val="0"/>
          <w:caps w:val="0"/>
          <w:spacing w:val="0"/>
          <w:sz w:val="27"/>
          <w:szCs w:val="27"/>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（1）财政部、国家发展改革委、生态环境部、市场监管总局《关于调整优化节能产品、环境标志产品政府采购执行机制的通知》（财库[2019]9号文）；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（2）财政部、生态环境部《关于印发环境标志产品政府采购品目清单的通知》（财库[2019]18号文）；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（3）财政部、发展改革委《关于印发节能产品政府采购品目清单的通知》（财库[2019]19号文）；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（4）市场监管总局《市场监管总局关于发布参与实施政府采购节能产品、环境标志产品认证机构名录的公告》（2019年第16号）；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（5）财政部、工业和信息化部《关于印发《政府采购促进中小企业发展管理办法》的通知》（财库[2020]46号文）；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（6）财政部、民政部、中国残疾人联合会《关于促进残疾人就业政府采购政策的通知》（财库[2017]141号）；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highlight w:val="yellow"/>
        </w:rPr>
      </w:pPr>
      <w:r>
        <w:rPr>
          <w:rFonts w:hint="eastAsia" w:ascii="仿宋" w:hAnsi="仿宋" w:eastAsia="仿宋" w:cs="仿宋"/>
          <w:i w:val="0"/>
          <w:iCs w:val="0"/>
          <w:caps w:val="0"/>
          <w:spacing w:val="0"/>
          <w:sz w:val="27"/>
          <w:szCs w:val="27"/>
          <w:highlight w:val="none"/>
        </w:rPr>
        <w:t>（7）财政部、司法部（财库[2014]68号文）。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（1）有效经年检的营业执照；</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（2）法人代表或其委托代理人应提交本人身份证原件，委托代理人还应提交《法人代表授权委托书》原件；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（3）具备【</w:t>
      </w:r>
      <w:r>
        <w:rPr>
          <w:rFonts w:hint="eastAsia" w:ascii="仿宋" w:hAnsi="仿宋" w:eastAsia="仿宋" w:cs="仿宋"/>
          <w:i w:val="0"/>
          <w:iCs w:val="0"/>
          <w:caps w:val="0"/>
          <w:spacing w:val="0"/>
          <w:sz w:val="27"/>
          <w:szCs w:val="27"/>
          <w:highlight w:val="none"/>
          <w:lang w:val="en-US" w:eastAsia="zh-CN"/>
        </w:rPr>
        <w:t>市政公用工程施工总承包资质三级</w:t>
      </w:r>
      <w:r>
        <w:rPr>
          <w:rFonts w:hint="eastAsia" w:ascii="仿宋" w:hAnsi="仿宋" w:eastAsia="仿宋" w:cs="仿宋"/>
          <w:i w:val="0"/>
          <w:iCs w:val="0"/>
          <w:caps w:val="0"/>
          <w:spacing w:val="0"/>
          <w:sz w:val="27"/>
          <w:szCs w:val="27"/>
        </w:rPr>
        <w:t>】(含)以上资质；有效的安全生产许可证；项目负责人需满足【</w:t>
      </w:r>
      <w:r>
        <w:rPr>
          <w:rFonts w:hint="eastAsia" w:ascii="仿宋" w:hAnsi="仿宋" w:eastAsia="仿宋" w:cs="仿宋"/>
          <w:i w:val="0"/>
          <w:iCs w:val="0"/>
          <w:caps w:val="0"/>
          <w:spacing w:val="0"/>
          <w:sz w:val="27"/>
          <w:szCs w:val="27"/>
          <w:lang w:val="en-US" w:eastAsia="zh-CN"/>
        </w:rPr>
        <w:t>市政</w:t>
      </w:r>
      <w:r>
        <w:rPr>
          <w:rFonts w:hint="eastAsia" w:ascii="仿宋" w:hAnsi="仿宋" w:eastAsia="仿宋" w:cs="仿宋"/>
          <w:i w:val="0"/>
          <w:iCs w:val="0"/>
          <w:caps w:val="0"/>
          <w:spacing w:val="0"/>
          <w:sz w:val="27"/>
          <w:szCs w:val="27"/>
        </w:rPr>
        <w:t>工程专业注册建造师二级】（含）以上注册建造师执业资格</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lang w:val="en-US" w:eastAsia="zh-CN"/>
        </w:rPr>
        <w:t>具备安全生产考核合格证书</w:t>
      </w:r>
      <w:r>
        <w:rPr>
          <w:rFonts w:hint="eastAsia" w:ascii="仿宋" w:hAnsi="仿宋" w:eastAsia="仿宋" w:cs="仿宋"/>
          <w:i w:val="0"/>
          <w:iCs w:val="0"/>
          <w:caps w:val="0"/>
          <w:spacing w:val="0"/>
          <w:sz w:val="27"/>
          <w:szCs w:val="27"/>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4）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（5）提供投标截止前 6 个月社保局出具的社保缴纳明细（含委托代理人、建造师），入职不足6个月的按实际缴纳时间计算（盖有社保部门印章）；</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（6）提供2019-2021年的财务审计报告或财务报表〔成立不足一年提供成立至今财务报表）；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（7）完税证明；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（8）相互关联存在实际控制、管理关系的两个企业，不得参加同一项目的政府采购活动。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27"/>
          <w:szCs w:val="27"/>
        </w:rPr>
      </w:pPr>
      <w:r>
        <w:rPr>
          <w:rStyle w:val="27"/>
          <w:rFonts w:ascii="黑体" w:hAnsi="宋体" w:eastAsia="黑体" w:cs="黑体"/>
          <w:b/>
          <w:bCs/>
          <w:i w:val="0"/>
          <w:iCs w:val="0"/>
          <w:caps w:val="0"/>
          <w:spacing w:val="0"/>
          <w:sz w:val="27"/>
          <w:szCs w:val="27"/>
        </w:rPr>
        <w:t>三、获取采购文件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highlight w:val="none"/>
        </w:rPr>
      </w:pP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7"/>
          <w:szCs w:val="27"/>
          <w:highlight w:val="none"/>
        </w:rPr>
        <w:t xml:space="preserve">   </w:t>
      </w:r>
      <w:r>
        <w:rPr>
          <w:rFonts w:hint="eastAsia" w:ascii="仿宋" w:hAnsi="仿宋" w:eastAsia="仿宋" w:cs="仿宋"/>
          <w:i w:val="0"/>
          <w:iCs w:val="0"/>
          <w:caps w:val="0"/>
          <w:spacing w:val="0"/>
          <w:sz w:val="27"/>
          <w:szCs w:val="27"/>
          <w:highlight w:val="none"/>
          <w:u w:val="none"/>
        </w:rPr>
        <w:t>时间：2022年0</w:t>
      </w:r>
      <w:r>
        <w:rPr>
          <w:rFonts w:hint="eastAsia" w:ascii="仿宋" w:hAnsi="仿宋" w:eastAsia="仿宋" w:cs="仿宋"/>
          <w:i w:val="0"/>
          <w:iCs w:val="0"/>
          <w:caps w:val="0"/>
          <w:spacing w:val="0"/>
          <w:sz w:val="27"/>
          <w:szCs w:val="27"/>
          <w:highlight w:val="none"/>
          <w:u w:val="none"/>
          <w:lang w:val="en-US" w:eastAsia="zh-CN"/>
        </w:rPr>
        <w:t>6</w:t>
      </w:r>
      <w:r>
        <w:rPr>
          <w:rFonts w:hint="eastAsia" w:ascii="仿宋" w:hAnsi="仿宋" w:eastAsia="仿宋" w:cs="仿宋"/>
          <w:i w:val="0"/>
          <w:iCs w:val="0"/>
          <w:caps w:val="0"/>
          <w:spacing w:val="0"/>
          <w:sz w:val="27"/>
          <w:szCs w:val="27"/>
          <w:highlight w:val="none"/>
          <w:u w:val="none"/>
        </w:rPr>
        <w:t>月</w:t>
      </w:r>
      <w:r>
        <w:rPr>
          <w:rFonts w:hint="eastAsia" w:ascii="仿宋" w:hAnsi="仿宋" w:eastAsia="仿宋" w:cs="仿宋"/>
          <w:i w:val="0"/>
          <w:iCs w:val="0"/>
          <w:caps w:val="0"/>
          <w:spacing w:val="0"/>
          <w:sz w:val="27"/>
          <w:szCs w:val="27"/>
          <w:highlight w:val="none"/>
          <w:u w:val="none"/>
          <w:lang w:val="en-US" w:eastAsia="zh-CN"/>
        </w:rPr>
        <w:t>14</w:t>
      </w:r>
      <w:r>
        <w:rPr>
          <w:rFonts w:hint="eastAsia" w:ascii="仿宋" w:hAnsi="仿宋" w:eastAsia="仿宋" w:cs="仿宋"/>
          <w:i w:val="0"/>
          <w:iCs w:val="0"/>
          <w:caps w:val="0"/>
          <w:spacing w:val="0"/>
          <w:sz w:val="27"/>
          <w:szCs w:val="27"/>
          <w:highlight w:val="none"/>
          <w:u w:val="none"/>
        </w:rPr>
        <w:t>日至2022年0</w:t>
      </w:r>
      <w:r>
        <w:rPr>
          <w:rFonts w:hint="eastAsia" w:ascii="仿宋" w:hAnsi="仿宋" w:eastAsia="仿宋" w:cs="仿宋"/>
          <w:i w:val="0"/>
          <w:iCs w:val="0"/>
          <w:caps w:val="0"/>
          <w:spacing w:val="0"/>
          <w:sz w:val="27"/>
          <w:szCs w:val="27"/>
          <w:highlight w:val="none"/>
          <w:u w:val="none"/>
          <w:lang w:val="en-US" w:eastAsia="zh-CN"/>
        </w:rPr>
        <w:t>6</w:t>
      </w:r>
      <w:r>
        <w:rPr>
          <w:rFonts w:hint="eastAsia" w:ascii="仿宋" w:hAnsi="仿宋" w:eastAsia="仿宋" w:cs="仿宋"/>
          <w:i w:val="0"/>
          <w:iCs w:val="0"/>
          <w:caps w:val="0"/>
          <w:spacing w:val="0"/>
          <w:sz w:val="27"/>
          <w:szCs w:val="27"/>
          <w:highlight w:val="none"/>
          <w:u w:val="none"/>
        </w:rPr>
        <w:t>月</w:t>
      </w:r>
      <w:r>
        <w:rPr>
          <w:rFonts w:hint="eastAsia" w:ascii="仿宋" w:hAnsi="仿宋" w:eastAsia="仿宋" w:cs="仿宋"/>
          <w:i w:val="0"/>
          <w:iCs w:val="0"/>
          <w:caps w:val="0"/>
          <w:spacing w:val="0"/>
          <w:sz w:val="27"/>
          <w:szCs w:val="27"/>
          <w:highlight w:val="none"/>
          <w:u w:val="none"/>
          <w:lang w:val="en-US" w:eastAsia="zh-CN"/>
        </w:rPr>
        <w:t>21</w:t>
      </w:r>
      <w:r>
        <w:rPr>
          <w:rFonts w:hint="eastAsia" w:ascii="仿宋" w:hAnsi="仿宋" w:eastAsia="仿宋" w:cs="仿宋"/>
          <w:i w:val="0"/>
          <w:iCs w:val="0"/>
          <w:caps w:val="0"/>
          <w:spacing w:val="0"/>
          <w:sz w:val="27"/>
          <w:szCs w:val="27"/>
          <w:highlight w:val="none"/>
          <w:u w:val="none"/>
        </w:rPr>
        <w:t>日，每天上午10:00至14:00，下午16:00至20:00（北京时间，法定节假日除外）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地点：新疆政府采购网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方式：报名成功后自行下载采购文件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售价（元）：0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27"/>
          <w:szCs w:val="27"/>
        </w:rPr>
      </w:pPr>
      <w:r>
        <w:rPr>
          <w:rStyle w:val="27"/>
          <w:rFonts w:ascii="黑体" w:hAnsi="宋体" w:eastAsia="黑体" w:cs="黑体"/>
          <w:b/>
          <w:bCs/>
          <w:i w:val="0"/>
          <w:iCs w:val="0"/>
          <w:caps w:val="0"/>
          <w:spacing w:val="0"/>
          <w:sz w:val="27"/>
          <w:szCs w:val="27"/>
        </w:rPr>
        <w:t>四、响应文件提交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截止时间：2022年0</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27</w:t>
      </w:r>
      <w:r>
        <w:rPr>
          <w:rFonts w:hint="eastAsia" w:ascii="仿宋" w:hAnsi="仿宋" w:eastAsia="仿宋" w:cs="仿宋"/>
          <w:i w:val="0"/>
          <w:iCs w:val="0"/>
          <w:caps w:val="0"/>
          <w:spacing w:val="0"/>
          <w:sz w:val="27"/>
          <w:szCs w:val="27"/>
        </w:rPr>
        <w:t xml:space="preserve">日 </w:t>
      </w:r>
      <w:r>
        <w:rPr>
          <w:rFonts w:hint="eastAsia" w:ascii="仿宋" w:hAnsi="仿宋" w:eastAsia="仿宋" w:cs="仿宋"/>
          <w:i w:val="0"/>
          <w:iCs w:val="0"/>
          <w:caps w:val="0"/>
          <w:spacing w:val="0"/>
          <w:sz w:val="27"/>
          <w:szCs w:val="27"/>
          <w:highlight w:val="none"/>
          <w:lang w:val="en-US" w:eastAsia="zh-CN"/>
        </w:rPr>
        <w:t>16</w:t>
      </w:r>
      <w:r>
        <w:rPr>
          <w:rFonts w:hint="eastAsia" w:ascii="仿宋" w:hAnsi="仿宋" w:eastAsia="仿宋" w:cs="仿宋"/>
          <w:i w:val="0"/>
          <w:iCs w:val="0"/>
          <w:caps w:val="0"/>
          <w:spacing w:val="0"/>
          <w:sz w:val="27"/>
          <w:szCs w:val="27"/>
          <w:highlight w:val="none"/>
        </w:rPr>
        <w:t>:</w:t>
      </w:r>
      <w:r>
        <w:rPr>
          <w:rFonts w:hint="eastAsia" w:ascii="仿宋" w:hAnsi="仿宋" w:eastAsia="仿宋" w:cs="仿宋"/>
          <w:i w:val="0"/>
          <w:iCs w:val="0"/>
          <w:caps w:val="0"/>
          <w:spacing w:val="0"/>
          <w:sz w:val="27"/>
          <w:szCs w:val="27"/>
          <w:highlight w:val="none"/>
          <w:lang w:val="en-US" w:eastAsia="zh-CN"/>
        </w:rPr>
        <w:t>3</w:t>
      </w:r>
      <w:r>
        <w:rPr>
          <w:rFonts w:hint="eastAsia" w:ascii="仿宋" w:hAnsi="仿宋" w:eastAsia="仿宋" w:cs="仿宋"/>
          <w:i w:val="0"/>
          <w:iCs w:val="0"/>
          <w:caps w:val="0"/>
          <w:spacing w:val="0"/>
          <w:sz w:val="27"/>
          <w:szCs w:val="27"/>
          <w:highlight w:val="none"/>
        </w:rPr>
        <w:t>0</w:t>
      </w:r>
      <w:r>
        <w:rPr>
          <w:rFonts w:hint="eastAsia" w:ascii="仿宋" w:hAnsi="仿宋" w:eastAsia="仿宋" w:cs="仿宋"/>
          <w:i w:val="0"/>
          <w:iCs w:val="0"/>
          <w:caps w:val="0"/>
          <w:spacing w:val="0"/>
          <w:sz w:val="27"/>
          <w:szCs w:val="27"/>
        </w:rPr>
        <w:t>（北京时间）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地点：政采云平台http://www.zcygov.cn/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27"/>
          <w:szCs w:val="27"/>
        </w:rPr>
      </w:pPr>
      <w:r>
        <w:rPr>
          <w:rStyle w:val="27"/>
          <w:rFonts w:ascii="黑体" w:hAnsi="宋体" w:eastAsia="黑体" w:cs="黑体"/>
          <w:b/>
          <w:bCs/>
          <w:i w:val="0"/>
          <w:iCs w:val="0"/>
          <w:caps w:val="0"/>
          <w:spacing w:val="0"/>
          <w:sz w:val="27"/>
          <w:szCs w:val="27"/>
        </w:rPr>
        <w:t>五、响应文件开启</w:t>
      </w:r>
      <w:r>
        <w:rPr>
          <w:rFonts w:ascii="黑体" w:hAnsi="宋体" w:eastAsia="黑体" w:cs="黑体"/>
          <w:i w:val="0"/>
          <w:iCs w:val="0"/>
          <w:caps w:val="0"/>
          <w:spacing w:val="0"/>
          <w:sz w:val="27"/>
          <w:szCs w:val="27"/>
        </w:rPr>
        <w:t>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开启时间：2022年0</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27</w:t>
      </w:r>
      <w:r>
        <w:rPr>
          <w:rFonts w:hint="eastAsia" w:ascii="仿宋" w:hAnsi="仿宋" w:eastAsia="仿宋" w:cs="仿宋"/>
          <w:i w:val="0"/>
          <w:iCs w:val="0"/>
          <w:caps w:val="0"/>
          <w:spacing w:val="0"/>
          <w:sz w:val="27"/>
          <w:szCs w:val="27"/>
        </w:rPr>
        <w:t xml:space="preserve">日 </w:t>
      </w:r>
      <w:r>
        <w:rPr>
          <w:rFonts w:hint="eastAsia" w:ascii="仿宋" w:hAnsi="仿宋" w:eastAsia="仿宋" w:cs="仿宋"/>
          <w:i w:val="0"/>
          <w:iCs w:val="0"/>
          <w:caps w:val="0"/>
          <w:spacing w:val="0"/>
          <w:sz w:val="27"/>
          <w:szCs w:val="27"/>
          <w:lang w:val="en-US" w:eastAsia="zh-CN"/>
        </w:rPr>
        <w:t>16</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地点：政采云平台http://www.zcygov.cn/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31"/>
          <w:szCs w:val="31"/>
        </w:rPr>
      </w:pPr>
      <w:r>
        <w:rPr>
          <w:rStyle w:val="27"/>
          <w:rFonts w:ascii="黑体" w:hAnsi="宋体" w:eastAsia="黑体" w:cs="黑体"/>
          <w:b/>
          <w:bCs/>
          <w:i w:val="0"/>
          <w:iCs w:val="0"/>
          <w:caps w:val="0"/>
          <w:spacing w:val="0"/>
          <w:sz w:val="27"/>
          <w:szCs w:val="27"/>
        </w:rPr>
        <w:t>六、公告期限</w:t>
      </w:r>
      <w:r>
        <w:rPr>
          <w:rFonts w:ascii="黑体" w:hAnsi="宋体" w:eastAsia="黑体" w:cs="黑体"/>
          <w:i w:val="0"/>
          <w:iCs w:val="0"/>
          <w:caps w:val="0"/>
          <w:spacing w:val="0"/>
          <w:sz w:val="31"/>
          <w:szCs w:val="31"/>
        </w:rPr>
        <w:t>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    自本公告发布之日起</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rPr>
        <w:t>个工作日。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27"/>
          <w:szCs w:val="27"/>
        </w:rPr>
      </w:pPr>
      <w:r>
        <w:rPr>
          <w:rStyle w:val="27"/>
          <w:rFonts w:ascii="黑体" w:hAnsi="宋体" w:eastAsia="黑体" w:cs="黑体"/>
          <w:b/>
          <w:bCs/>
          <w:i w:val="0"/>
          <w:iCs w:val="0"/>
          <w:caps w:val="0"/>
          <w:spacing w:val="0"/>
          <w:sz w:val="27"/>
          <w:szCs w:val="27"/>
        </w:rPr>
        <w:t>七、其他补充事宜</w:t>
      </w:r>
      <w:r>
        <w:rPr>
          <w:rFonts w:ascii="黑体" w:hAnsi="宋体" w:eastAsia="黑体" w:cs="黑体"/>
          <w:i w:val="0"/>
          <w:iCs w:val="0"/>
          <w:caps w:val="0"/>
          <w:spacing w:val="0"/>
          <w:sz w:val="27"/>
          <w:szCs w:val="27"/>
        </w:rPr>
        <w:t>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 1、本公告在新疆政府采购网、阿瓦提县人民政府网同时发布。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 2、请投标单位随时关注本项目的澄清、答疑、变更事项。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3、本项目实行电子招投标，供应商须登录政采云平台申请获取磋商文件，并通过政采云电子投标客户端制作响应文件，同时自行承担与投标有关的一切费用。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textAlignment w:val="auto"/>
      </w:pPr>
      <w:r>
        <w:rPr>
          <w:rFonts w:hint="eastAsia" w:ascii="仿宋" w:hAnsi="仿宋" w:eastAsia="仿宋" w:cs="仿宋"/>
          <w:i w:val="0"/>
          <w:iCs w:val="0"/>
          <w:caps w:val="0"/>
          <w:spacing w:val="0"/>
          <w:sz w:val="27"/>
          <w:szCs w:val="27"/>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20" w:lineRule="exact"/>
        <w:ind w:left="0" w:right="0"/>
        <w:jc w:val="both"/>
        <w:textAlignment w:val="auto"/>
        <w:rPr>
          <w:rFonts w:ascii="黑体" w:hAnsi="宋体" w:eastAsia="黑体" w:cs="黑体"/>
          <w:sz w:val="31"/>
          <w:szCs w:val="31"/>
        </w:rPr>
      </w:pPr>
      <w:r>
        <w:rPr>
          <w:rStyle w:val="27"/>
          <w:rFonts w:ascii="黑体" w:hAnsi="宋体" w:eastAsia="黑体" w:cs="黑体"/>
          <w:b/>
          <w:bCs/>
          <w:i w:val="0"/>
          <w:iCs w:val="0"/>
          <w:caps w:val="0"/>
          <w:spacing w:val="0"/>
          <w:sz w:val="27"/>
          <w:szCs w:val="27"/>
        </w:rPr>
        <w:t>八、凡对本次招标提出询问，请按以下方式联系</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sz w:val="27"/>
          <w:szCs w:val="27"/>
          <w:lang w:val="en-US" w:eastAsia="zh-CN"/>
        </w:rPr>
        <w:t>阿瓦提县农业农村局</w:t>
      </w:r>
      <w:r>
        <w:rPr>
          <w:rFonts w:hint="eastAsia" w:ascii="仿宋" w:hAnsi="仿宋" w:eastAsia="仿宋" w:cs="仿宋"/>
          <w:i w:val="0"/>
          <w:iCs w:val="0"/>
          <w:caps w:val="0"/>
          <w:spacing w:val="0"/>
          <w:sz w:val="27"/>
          <w:szCs w:val="27"/>
        </w:rPr>
        <w:t xml:space="preserve">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7"/>
          <w:szCs w:val="27"/>
        </w:rPr>
        <w:t>地 址：阿克苏地区阿瓦提县团结西路7号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联系方式：13999677706</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sz w:val="27"/>
          <w:szCs w:val="27"/>
          <w:lang w:eastAsia="zh-CN"/>
        </w:rPr>
        <w:t>新疆</w:t>
      </w:r>
      <w:r>
        <w:rPr>
          <w:rFonts w:hint="eastAsia" w:ascii="仿宋" w:hAnsi="仿宋" w:eastAsia="仿宋" w:cs="仿宋"/>
          <w:i w:val="0"/>
          <w:iCs w:val="0"/>
          <w:caps w:val="0"/>
          <w:spacing w:val="0"/>
          <w:sz w:val="27"/>
          <w:szCs w:val="27"/>
          <w:lang w:val="en-US" w:eastAsia="zh-CN"/>
        </w:rPr>
        <w:t>孚悦工程咨询有限公司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地 址：</w:t>
      </w:r>
      <w:r>
        <w:rPr>
          <w:rFonts w:hint="eastAsia" w:ascii="仿宋" w:hAnsi="仿宋" w:eastAsia="仿宋" w:cs="仿宋"/>
          <w:i w:val="0"/>
          <w:iCs w:val="0"/>
          <w:caps w:val="0"/>
          <w:spacing w:val="0"/>
          <w:sz w:val="27"/>
          <w:szCs w:val="27"/>
          <w:lang w:eastAsia="zh-CN"/>
        </w:rPr>
        <w:t>阿克苏市</w:t>
      </w:r>
      <w:r>
        <w:rPr>
          <w:rFonts w:hint="eastAsia" w:ascii="仿宋" w:hAnsi="仿宋" w:eastAsia="仿宋" w:cs="仿宋"/>
          <w:i w:val="0"/>
          <w:iCs w:val="0"/>
          <w:caps w:val="0"/>
          <w:spacing w:val="0"/>
          <w:sz w:val="27"/>
          <w:szCs w:val="27"/>
          <w:lang w:val="en-US" w:eastAsia="zh-CN"/>
        </w:rPr>
        <w:t>英阿瓦提路怡和丽园小区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仿宋" w:hAnsi="仿宋" w:eastAsia="仿宋" w:cs="仿宋"/>
          <w:i w:val="0"/>
          <w:iCs w:val="0"/>
          <w:caps w:val="0"/>
          <w:spacing w:val="0"/>
          <w:sz w:val="27"/>
          <w:szCs w:val="27"/>
          <w:lang w:val="en-US"/>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17602812473  15770013117</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项目联系人：</w:t>
      </w:r>
      <w:r>
        <w:rPr>
          <w:rFonts w:hint="eastAsia" w:ascii="仿宋" w:hAnsi="仿宋" w:eastAsia="仿宋" w:cs="仿宋"/>
          <w:i w:val="0"/>
          <w:iCs w:val="0"/>
          <w:caps w:val="0"/>
          <w:spacing w:val="0"/>
          <w:sz w:val="27"/>
          <w:szCs w:val="27"/>
          <w:lang w:val="en-US" w:eastAsia="zh-CN"/>
        </w:rPr>
        <w:t>田国盛</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电 话：</w:t>
      </w:r>
      <w:r>
        <w:rPr>
          <w:rFonts w:hint="eastAsia" w:ascii="仿宋" w:hAnsi="仿宋" w:eastAsia="仿宋" w:cs="仿宋"/>
          <w:i w:val="0"/>
          <w:iCs w:val="0"/>
          <w:caps w:val="0"/>
          <w:spacing w:val="0"/>
          <w:sz w:val="27"/>
          <w:szCs w:val="27"/>
          <w:lang w:val="en-US" w:eastAsia="zh-CN"/>
        </w:rPr>
        <w:t>17602812473</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仿宋" w:hAnsi="仿宋" w:eastAsia="仿宋" w:cs="仿宋"/>
          <w:i w:val="0"/>
          <w:iCs w:val="0"/>
          <w:caps w:val="0"/>
          <w:spacing w:val="0"/>
          <w:sz w:val="27"/>
          <w:szCs w:val="27"/>
        </w:rPr>
      </w:pPr>
    </w:p>
    <w:p>
      <w:pPr>
        <w:pStyle w:val="23"/>
        <w:ind w:left="0" w:leftChars="0" w:firstLine="0" w:firstLineChars="0"/>
        <w:rPr>
          <w:rFonts w:hint="eastAsia"/>
          <w:lang w:eastAsia="zh-CN"/>
        </w:rPr>
        <w:sectPr>
          <w:footerReference r:id="rId5" w:type="default"/>
          <w:pgSz w:w="11906" w:h="16838"/>
          <w:pgMar w:top="1440" w:right="1531" w:bottom="1440" w:left="1531" w:header="851" w:footer="992" w:gutter="0"/>
          <w:pgNumType w:fmt="decimal" w:start="1"/>
          <w:cols w:space="720" w:num="1"/>
          <w:docGrid w:type="lines" w:linePitch="312" w:charSpace="0"/>
        </w:sectPr>
      </w:pPr>
    </w:p>
    <w:p>
      <w:pPr>
        <w:pStyle w:val="3"/>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sz w:val="28"/>
          <w:szCs w:val="28"/>
        </w:rPr>
      </w:pPr>
      <w:bookmarkStart w:id="7" w:name="_Toc1913"/>
      <w:r>
        <w:rPr>
          <w:rFonts w:hint="eastAsia" w:ascii="宋体" w:hAnsi="宋体" w:eastAsia="宋体" w:cs="宋体"/>
          <w:sz w:val="28"/>
          <w:szCs w:val="28"/>
        </w:rPr>
        <w:t xml:space="preserve">第二章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磋商须知</w:t>
      </w:r>
      <w:bookmarkEnd w:id="5"/>
      <w:bookmarkEnd w:id="6"/>
      <w:bookmarkEnd w:id="7"/>
    </w:p>
    <w:p>
      <w:pPr>
        <w:pStyle w:val="4"/>
        <w:spacing w:before="0" w:after="0"/>
        <w:jc w:val="center"/>
        <w:rPr>
          <w:rFonts w:hint="eastAsia" w:ascii="宋体" w:hAnsi="宋体" w:cs="宋体"/>
          <w:b w:val="0"/>
          <w:bCs w:val="0"/>
          <w:sz w:val="28"/>
          <w:szCs w:val="28"/>
        </w:rPr>
      </w:pPr>
      <w:bookmarkStart w:id="8" w:name="_Toc17069"/>
      <w:r>
        <w:rPr>
          <w:rFonts w:hint="eastAsia" w:ascii="宋体" w:hAnsi="宋体" w:cs="宋体"/>
          <w:b w:val="0"/>
          <w:bCs w:val="0"/>
          <w:sz w:val="28"/>
          <w:szCs w:val="28"/>
        </w:rPr>
        <w:t>磋商须知前附表1</w:t>
      </w:r>
      <w:bookmarkEnd w:id="8"/>
    </w:p>
    <w:p>
      <w:pPr>
        <w:rPr>
          <w:rFonts w:hint="eastAsia"/>
          <w:sz w:val="24"/>
        </w:rPr>
      </w:pPr>
      <w:r>
        <w:rPr>
          <w:rFonts w:hint="eastAsia"/>
          <w:sz w:val="24"/>
        </w:rPr>
        <w:t>本须知前附表的条款号是与《磋商须知正文部分》中条款的项号相对应的。如果有矛盾的话，应以本附表为准。</w:t>
      </w:r>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950"/>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18" w:type="dxa"/>
            <w:noWrap w:val="0"/>
            <w:vAlign w:val="center"/>
          </w:tcPr>
          <w:p>
            <w:pPr>
              <w:spacing w:line="360" w:lineRule="auto"/>
              <w:jc w:val="center"/>
              <w:rPr>
                <w:rFonts w:hint="eastAsia" w:ascii="宋体" w:hAnsi="宋体" w:cs="宋体"/>
                <w:b/>
                <w:sz w:val="28"/>
                <w:szCs w:val="28"/>
                <w:u w:val="none"/>
              </w:rPr>
            </w:pPr>
            <w:r>
              <w:rPr>
                <w:rFonts w:hint="eastAsia" w:ascii="宋体" w:hAnsi="宋体" w:cs="宋体"/>
                <w:b/>
                <w:sz w:val="28"/>
                <w:szCs w:val="28"/>
                <w:u w:val="none"/>
              </w:rPr>
              <w:t>序号</w:t>
            </w:r>
          </w:p>
        </w:tc>
        <w:tc>
          <w:tcPr>
            <w:tcW w:w="1950" w:type="dxa"/>
            <w:noWrap w:val="0"/>
            <w:vAlign w:val="center"/>
          </w:tcPr>
          <w:p>
            <w:pPr>
              <w:keepNext/>
              <w:spacing w:line="360" w:lineRule="auto"/>
              <w:jc w:val="center"/>
              <w:rPr>
                <w:rFonts w:hint="eastAsia" w:ascii="宋体" w:hAnsi="宋体" w:cs="宋体"/>
                <w:b/>
                <w:sz w:val="28"/>
                <w:szCs w:val="28"/>
                <w:u w:val="none"/>
              </w:rPr>
            </w:pPr>
            <w:r>
              <w:rPr>
                <w:rFonts w:hint="eastAsia" w:ascii="宋体" w:hAnsi="宋体" w:cs="宋体"/>
                <w:b/>
                <w:bCs/>
                <w:color w:val="000000"/>
                <w:sz w:val="28"/>
                <w:szCs w:val="28"/>
                <w:u w:val="none"/>
              </w:rPr>
              <w:t>采购人</w:t>
            </w:r>
          </w:p>
        </w:tc>
        <w:tc>
          <w:tcPr>
            <w:tcW w:w="6330" w:type="dxa"/>
            <w:noWrap w:val="0"/>
            <w:vAlign w:val="center"/>
          </w:tcPr>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名称：</w:t>
            </w:r>
            <w:r>
              <w:rPr>
                <w:rFonts w:hint="eastAsia" w:ascii="宋体" w:hAnsi="宋体" w:cs="宋体"/>
                <w:sz w:val="28"/>
                <w:szCs w:val="28"/>
                <w:u w:val="none"/>
                <w:lang w:val="en-US" w:eastAsia="zh-CN"/>
              </w:rPr>
              <w:t>阿瓦提县农业农村局</w:t>
            </w:r>
            <w:r>
              <w:rPr>
                <w:rFonts w:hint="eastAsia" w:ascii="宋体" w:hAnsi="宋体" w:cs="宋体"/>
                <w:sz w:val="28"/>
                <w:szCs w:val="28"/>
                <w:highlight w:val="none"/>
                <w:u w:val="none"/>
              </w:rPr>
              <w:t xml:space="preserve"> </w:t>
            </w:r>
            <w:r>
              <w:rPr>
                <w:rFonts w:hint="eastAsia" w:ascii="宋体" w:hAnsi="宋体" w:cs="宋体"/>
                <w:sz w:val="28"/>
                <w:szCs w:val="28"/>
                <w:u w:val="none"/>
              </w:rPr>
              <w:t xml:space="preserve">                 </w:t>
            </w:r>
          </w:p>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 xml:space="preserve">地址：阿克苏地区阿瓦提县团结西路7号    </w:t>
            </w:r>
          </w:p>
          <w:p>
            <w:pPr>
              <w:keepNext/>
              <w:spacing w:line="360" w:lineRule="auto"/>
              <w:jc w:val="both"/>
              <w:rPr>
                <w:rFonts w:hint="eastAsia"/>
                <w:color w:val="auto"/>
                <w:sz w:val="28"/>
                <w:szCs w:val="28"/>
              </w:rPr>
            </w:pPr>
            <w:r>
              <w:rPr>
                <w:rFonts w:hint="eastAsia"/>
                <w:color w:val="auto"/>
                <w:sz w:val="28"/>
                <w:szCs w:val="28"/>
              </w:rPr>
              <w:t>联系</w:t>
            </w:r>
            <w:r>
              <w:rPr>
                <w:rFonts w:hint="eastAsia"/>
                <w:color w:val="auto"/>
                <w:sz w:val="28"/>
                <w:szCs w:val="28"/>
                <w:highlight w:val="none"/>
              </w:rPr>
              <w:t>人：王宏</w:t>
            </w:r>
            <w:r>
              <w:rPr>
                <w:rFonts w:hint="eastAsia"/>
                <w:color w:val="000000"/>
                <w:sz w:val="28"/>
                <w:szCs w:val="28"/>
                <w:highlight w:val="none"/>
                <w:lang w:val="en-US" w:eastAsia="zh-CN"/>
              </w:rPr>
              <w:t xml:space="preserve">   </w:t>
            </w:r>
            <w:r>
              <w:rPr>
                <w:rFonts w:hint="eastAsia"/>
                <w:color w:val="000000"/>
                <w:sz w:val="28"/>
                <w:szCs w:val="28"/>
                <w:highlight w:val="none"/>
              </w:rPr>
              <w:t> </w:t>
            </w:r>
          </w:p>
          <w:p>
            <w:pPr>
              <w:keepNext/>
              <w:spacing w:line="360" w:lineRule="auto"/>
              <w:jc w:val="both"/>
              <w:rPr>
                <w:rFonts w:hint="eastAsia" w:ascii="宋体" w:hAnsi="宋体" w:cs="宋体"/>
                <w:b/>
                <w:sz w:val="28"/>
                <w:szCs w:val="28"/>
                <w:u w:val="none"/>
              </w:rPr>
            </w:pPr>
            <w:r>
              <w:rPr>
                <w:rFonts w:hint="eastAsia"/>
                <w:color w:val="auto"/>
                <w:sz w:val="28"/>
                <w:szCs w:val="28"/>
              </w:rPr>
              <w:t>电话： 13999677706</w:t>
            </w:r>
            <w:r>
              <w:rPr>
                <w:rFonts w:hint="eastAsia"/>
                <w:color w:val="auto"/>
                <w:sz w:val="28"/>
                <w:szCs w:val="28"/>
                <w:highlight w:val="none"/>
                <w:lang w:val="en-US" w:eastAsia="zh-CN"/>
              </w:rPr>
              <w:t xml:space="preserve">  </w:t>
            </w:r>
            <w:r>
              <w:rPr>
                <w:rFonts w:hint="eastAsia" w:ascii="宋体" w:hAnsi="宋体" w:cs="宋体"/>
                <w:sz w:val="28"/>
                <w:szCs w:val="28"/>
                <w:highlight w:val="none"/>
                <w:u w:val="none"/>
              </w:rPr>
              <w:t xml:space="preserve">    </w:t>
            </w:r>
            <w:r>
              <w:rPr>
                <w:rFonts w:hint="eastAsia" w:ascii="宋体" w:hAnsi="宋体" w:cs="宋体"/>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18" w:type="dxa"/>
            <w:noWrap w:val="0"/>
            <w:vAlign w:val="center"/>
          </w:tcPr>
          <w:p>
            <w:pPr>
              <w:tabs>
                <w:tab w:val="left" w:pos="266"/>
              </w:tabs>
              <w:spacing w:line="360" w:lineRule="auto"/>
              <w:jc w:val="left"/>
              <w:rPr>
                <w:rFonts w:hint="default" w:ascii="宋体" w:hAnsi="宋体" w:eastAsia="宋体" w:cs="宋体"/>
                <w:b/>
                <w:sz w:val="28"/>
                <w:szCs w:val="28"/>
                <w:u w:val="none"/>
                <w:lang w:val="en-US" w:eastAsia="zh-CN"/>
              </w:rPr>
            </w:pPr>
            <w:r>
              <w:rPr>
                <w:rFonts w:hint="eastAsia" w:ascii="宋体" w:hAnsi="宋体" w:cs="宋体"/>
                <w:b/>
                <w:sz w:val="28"/>
                <w:szCs w:val="28"/>
                <w:u w:val="none"/>
                <w:lang w:val="en-US" w:eastAsia="zh-CN"/>
              </w:rPr>
              <w:t>1.1.1</w:t>
            </w:r>
          </w:p>
        </w:tc>
        <w:tc>
          <w:tcPr>
            <w:tcW w:w="1950" w:type="dxa"/>
            <w:noWrap w:val="0"/>
            <w:vAlign w:val="center"/>
          </w:tcPr>
          <w:p>
            <w:pPr>
              <w:keepNext/>
              <w:tabs>
                <w:tab w:val="left" w:pos="333"/>
              </w:tabs>
              <w:spacing w:line="360" w:lineRule="auto"/>
              <w:jc w:val="left"/>
              <w:rPr>
                <w:rFonts w:hint="default"/>
                <w:lang w:val="en-US" w:eastAsia="zh-CN"/>
              </w:rPr>
            </w:pPr>
            <w:r>
              <w:rPr>
                <w:rFonts w:hint="eastAsia"/>
                <w:lang w:eastAsia="zh-CN"/>
              </w:rPr>
              <w:tab/>
            </w:r>
            <w:r>
              <w:rPr>
                <w:rFonts w:hint="eastAsia" w:ascii="宋体" w:hAnsi="宋体" w:eastAsia="宋体" w:cs="宋体"/>
                <w:b/>
                <w:bCs/>
                <w:sz w:val="28"/>
                <w:szCs w:val="28"/>
                <w:u w:val="none"/>
                <w:lang w:val="en-US" w:eastAsia="zh-CN"/>
              </w:rPr>
              <w:t>采购内容</w:t>
            </w:r>
          </w:p>
        </w:tc>
        <w:tc>
          <w:tcPr>
            <w:tcW w:w="6330" w:type="dxa"/>
            <w:noWrap w:val="0"/>
            <w:vAlign w:val="center"/>
          </w:tcPr>
          <w:p>
            <w:pPr>
              <w:keepNext/>
              <w:spacing w:line="360" w:lineRule="auto"/>
              <w:jc w:val="both"/>
              <w:rPr>
                <w:rFonts w:hint="eastAsia"/>
                <w:color w:val="auto"/>
                <w:sz w:val="28"/>
                <w:szCs w:val="28"/>
              </w:rPr>
            </w:pPr>
            <w:r>
              <w:rPr>
                <w:rFonts w:hint="eastAsia"/>
                <w:color w:val="auto"/>
                <w:sz w:val="28"/>
                <w:szCs w:val="28"/>
                <w:lang w:val="en-US" w:eastAsia="zh-CN"/>
              </w:rPr>
              <w:t>详见采购文件及工程量清单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18" w:type="dxa"/>
            <w:noWrap w:val="0"/>
            <w:vAlign w:val="center"/>
          </w:tcPr>
          <w:p>
            <w:pPr>
              <w:spacing w:line="360" w:lineRule="auto"/>
              <w:jc w:val="both"/>
              <w:rPr>
                <w:rFonts w:hint="eastAsia" w:ascii="宋体" w:hAnsi="宋体" w:cs="宋体"/>
                <w:b/>
                <w:bCs/>
                <w:sz w:val="28"/>
                <w:szCs w:val="28"/>
                <w:u w:val="none"/>
              </w:rPr>
            </w:pPr>
            <w:r>
              <w:rPr>
                <w:rFonts w:hint="eastAsia" w:ascii="宋体" w:hAnsi="宋体" w:cs="宋体"/>
                <w:b/>
                <w:bCs/>
                <w:sz w:val="28"/>
                <w:szCs w:val="28"/>
                <w:u w:val="none"/>
              </w:rPr>
              <w:t>1.2.1</w:t>
            </w:r>
          </w:p>
        </w:tc>
        <w:tc>
          <w:tcPr>
            <w:tcW w:w="1950" w:type="dxa"/>
            <w:noWrap w:val="0"/>
            <w:vAlign w:val="center"/>
          </w:tcPr>
          <w:p>
            <w:pPr>
              <w:spacing w:line="360" w:lineRule="auto"/>
              <w:jc w:val="center"/>
              <w:rPr>
                <w:rFonts w:hint="eastAsia" w:ascii="宋体" w:hAnsi="宋体" w:cs="宋体"/>
                <w:b/>
                <w:bCs/>
                <w:color w:val="000000"/>
                <w:sz w:val="28"/>
                <w:szCs w:val="28"/>
                <w:u w:val="none"/>
              </w:rPr>
            </w:pPr>
            <w:r>
              <w:rPr>
                <w:rFonts w:hint="eastAsia" w:ascii="宋体" w:hAnsi="宋体" w:cs="宋体"/>
                <w:b/>
                <w:bCs/>
                <w:sz w:val="28"/>
                <w:szCs w:val="28"/>
                <w:u w:val="none"/>
              </w:rPr>
              <w:t>采购代理机构</w:t>
            </w:r>
          </w:p>
        </w:tc>
        <w:tc>
          <w:tcPr>
            <w:tcW w:w="6330" w:type="dxa"/>
            <w:noWrap w:val="0"/>
            <w:vAlign w:val="center"/>
          </w:tcPr>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名称：</w:t>
            </w:r>
            <w:r>
              <w:rPr>
                <w:rFonts w:hint="eastAsia" w:ascii="宋体" w:hAnsi="宋体" w:eastAsia="宋体" w:cs="宋体"/>
                <w:color w:val="auto"/>
                <w:sz w:val="28"/>
                <w:szCs w:val="28"/>
                <w:highlight w:val="none"/>
                <w:lang w:eastAsia="zh-CN"/>
              </w:rPr>
              <w:t>新疆</w:t>
            </w:r>
            <w:r>
              <w:rPr>
                <w:rFonts w:hint="eastAsia" w:ascii="宋体" w:hAnsi="宋体" w:eastAsia="宋体" w:cs="宋体"/>
                <w:color w:val="auto"/>
                <w:sz w:val="28"/>
                <w:szCs w:val="28"/>
                <w:highlight w:val="none"/>
                <w:lang w:val="en-US" w:eastAsia="zh-CN"/>
              </w:rPr>
              <w:t>孚悦工程咨询有限公司</w:t>
            </w:r>
            <w:r>
              <w:rPr>
                <w:rFonts w:hint="eastAsia" w:ascii="宋体" w:hAnsi="宋体" w:cs="宋体"/>
                <w:sz w:val="28"/>
                <w:szCs w:val="28"/>
                <w:u w:val="none"/>
              </w:rPr>
              <w:t>　</w:t>
            </w:r>
            <w:r>
              <w:rPr>
                <w:rFonts w:hint="eastAsia" w:ascii="宋体" w:hAnsi="宋体" w:cs="宋体"/>
                <w:sz w:val="28"/>
                <w:szCs w:val="28"/>
                <w:u w:val="none"/>
                <w:lang w:val="en-US" w:eastAsia="zh-CN"/>
              </w:rPr>
              <w:t xml:space="preserve">  </w:t>
            </w:r>
            <w:r>
              <w:rPr>
                <w:rFonts w:hint="eastAsia" w:ascii="宋体" w:hAnsi="宋体" w:cs="宋体"/>
                <w:sz w:val="28"/>
                <w:szCs w:val="28"/>
                <w:u w:val="none"/>
              </w:rPr>
              <w:t xml:space="preserve">                        </w:t>
            </w:r>
          </w:p>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地址：</w:t>
            </w:r>
            <w:r>
              <w:rPr>
                <w:rFonts w:hint="eastAsia" w:ascii="宋体" w:hAnsi="宋体" w:cs="宋体"/>
                <w:sz w:val="28"/>
                <w:szCs w:val="28"/>
                <w:u w:val="none"/>
                <w:lang w:eastAsia="zh-CN"/>
              </w:rPr>
              <w:t>阿克苏市</w:t>
            </w:r>
            <w:r>
              <w:rPr>
                <w:rFonts w:hint="eastAsia" w:ascii="宋体" w:hAnsi="宋体" w:cs="宋体"/>
                <w:sz w:val="28"/>
                <w:szCs w:val="28"/>
                <w:u w:val="none"/>
                <w:lang w:val="en-US" w:eastAsia="zh-CN"/>
              </w:rPr>
              <w:t>英阿瓦提路怡和丽园小区</w:t>
            </w:r>
            <w:r>
              <w:rPr>
                <w:rFonts w:hint="eastAsia" w:ascii="宋体" w:hAnsi="宋体" w:cs="宋体"/>
                <w:sz w:val="28"/>
                <w:szCs w:val="28"/>
                <w:u w:val="none"/>
              </w:rPr>
              <w:t xml:space="preserve">                      </w:t>
            </w:r>
          </w:p>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联系人：</w:t>
            </w:r>
            <w:r>
              <w:rPr>
                <w:rFonts w:hint="eastAsia" w:ascii="宋体" w:hAnsi="宋体" w:cs="宋体"/>
                <w:sz w:val="28"/>
                <w:szCs w:val="28"/>
                <w:u w:val="none"/>
                <w:lang w:val="en-US" w:eastAsia="zh-CN"/>
              </w:rPr>
              <w:t>田国盛</w:t>
            </w:r>
            <w:r>
              <w:rPr>
                <w:rFonts w:hint="eastAsia" w:ascii="宋体" w:hAnsi="宋体" w:cs="宋体"/>
                <w:sz w:val="28"/>
                <w:szCs w:val="28"/>
                <w:u w:val="none"/>
              </w:rPr>
              <w:t xml:space="preserve">               </w:t>
            </w:r>
          </w:p>
          <w:p>
            <w:pPr>
              <w:keepNext/>
              <w:spacing w:line="360" w:lineRule="auto"/>
              <w:jc w:val="both"/>
              <w:rPr>
                <w:rFonts w:hint="eastAsia" w:ascii="宋体" w:hAnsi="宋体" w:cs="宋体"/>
                <w:color w:val="000000"/>
                <w:sz w:val="28"/>
                <w:szCs w:val="28"/>
                <w:u w:val="none"/>
              </w:rPr>
            </w:pPr>
            <w:r>
              <w:rPr>
                <w:rFonts w:hint="eastAsia" w:ascii="宋体" w:hAnsi="宋体" w:cs="宋体"/>
                <w:sz w:val="28"/>
                <w:szCs w:val="28"/>
                <w:u w:val="none"/>
              </w:rPr>
              <w:t>电话：</w:t>
            </w:r>
            <w:r>
              <w:rPr>
                <w:rFonts w:hint="eastAsia" w:ascii="宋体" w:hAnsi="宋体" w:cs="宋体"/>
                <w:sz w:val="28"/>
                <w:szCs w:val="28"/>
                <w:u w:val="none"/>
                <w:lang w:val="en-US" w:eastAsia="zh-CN"/>
              </w:rPr>
              <w:t xml:space="preserve">17602812473 </w:t>
            </w:r>
            <w:r>
              <w:rPr>
                <w:rFonts w:hint="eastAsia" w:ascii="宋体" w:hAnsi="宋体" w:cs="宋体"/>
                <w:sz w:val="28"/>
                <w:szCs w:val="28"/>
                <w:u w:val="none"/>
              </w:rPr>
              <w:t xml:space="preserve"> </w:t>
            </w:r>
            <w:r>
              <w:rPr>
                <w:rFonts w:hint="eastAsia" w:ascii="宋体" w:hAnsi="宋体" w:cs="宋体"/>
                <w:sz w:val="28"/>
                <w:szCs w:val="28"/>
                <w:u w:val="none"/>
                <w:lang w:val="en-US" w:eastAsia="zh-CN"/>
              </w:rPr>
              <w:t>15770013117</w:t>
            </w:r>
            <w:r>
              <w:rPr>
                <w:rFonts w:hint="eastAsia" w:ascii="宋体" w:hAnsi="宋体" w:cs="宋体"/>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118" w:type="dxa"/>
            <w:noWrap w:val="0"/>
            <w:vAlign w:val="center"/>
          </w:tcPr>
          <w:p>
            <w:pPr>
              <w:spacing w:line="360" w:lineRule="auto"/>
              <w:jc w:val="both"/>
              <w:rPr>
                <w:rFonts w:hint="eastAsia" w:ascii="宋体" w:hAnsi="宋体" w:cs="宋体"/>
                <w:b/>
                <w:bCs/>
                <w:sz w:val="28"/>
                <w:szCs w:val="28"/>
                <w:u w:val="none"/>
              </w:rPr>
            </w:pPr>
            <w:r>
              <w:rPr>
                <w:rFonts w:hint="eastAsia" w:ascii="宋体" w:hAnsi="宋体" w:cs="宋体"/>
                <w:b/>
                <w:bCs/>
                <w:sz w:val="28"/>
                <w:szCs w:val="28"/>
                <w:u w:val="none"/>
              </w:rPr>
              <w:t>1.2.2</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项目名称</w:t>
            </w:r>
          </w:p>
        </w:tc>
        <w:tc>
          <w:tcPr>
            <w:tcW w:w="6330" w:type="dxa"/>
            <w:noWrap w:val="0"/>
            <w:vAlign w:val="center"/>
          </w:tcPr>
          <w:p>
            <w:pPr>
              <w:spacing w:line="360" w:lineRule="auto"/>
              <w:jc w:val="both"/>
              <w:rPr>
                <w:rFonts w:hint="eastAsia" w:ascii="宋体" w:hAnsi="宋体" w:cs="宋体"/>
                <w:color w:val="FF0000"/>
                <w:kern w:val="0"/>
                <w:sz w:val="28"/>
                <w:szCs w:val="28"/>
                <w:u w:val="none"/>
              </w:rPr>
            </w:pPr>
            <w:r>
              <w:rPr>
                <w:rFonts w:hint="eastAsia" w:asciiTheme="minorEastAsia" w:hAnsiTheme="minorEastAsia" w:eastAsiaTheme="minorEastAsia" w:cstheme="minorEastAsia"/>
                <w:i w:val="0"/>
                <w:iCs w:val="0"/>
                <w:caps w:val="0"/>
                <w:spacing w:val="0"/>
                <w:sz w:val="28"/>
                <w:szCs w:val="28"/>
                <w:lang w:val="en-US" w:eastAsia="zh-CN"/>
              </w:rPr>
              <w:t>阿瓦提县乡村振兴项目塔木托格拉克镇吐格贝希村庭院整治项目</w:t>
            </w:r>
            <w:r>
              <w:rPr>
                <w:rFonts w:hint="eastAsia" w:ascii="宋体" w:hAnsi="宋体" w:cs="宋体"/>
                <w:color w:val="000000"/>
                <w:kern w:val="0"/>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1.2.3</w:t>
            </w:r>
          </w:p>
        </w:tc>
        <w:tc>
          <w:tcPr>
            <w:tcW w:w="1950" w:type="dxa"/>
            <w:noWrap w:val="0"/>
            <w:vAlign w:val="center"/>
          </w:tcPr>
          <w:p>
            <w:pPr>
              <w:spacing w:line="360" w:lineRule="auto"/>
              <w:jc w:val="center"/>
              <w:rPr>
                <w:rFonts w:hint="eastAsia" w:ascii="宋体" w:hAnsi="宋体" w:cs="宋体"/>
                <w:b/>
                <w:bCs/>
                <w:sz w:val="28"/>
                <w:szCs w:val="28"/>
                <w:highlight w:val="none"/>
                <w:u w:val="none"/>
              </w:rPr>
            </w:pPr>
            <w:r>
              <w:rPr>
                <w:rFonts w:hint="eastAsia" w:ascii="宋体" w:hAnsi="宋体" w:cs="宋体"/>
                <w:b/>
                <w:bCs/>
                <w:sz w:val="28"/>
                <w:szCs w:val="28"/>
                <w:highlight w:val="none"/>
                <w:u w:val="none"/>
              </w:rPr>
              <w:t>项目实施地点</w:t>
            </w:r>
          </w:p>
        </w:tc>
        <w:tc>
          <w:tcPr>
            <w:tcW w:w="6330" w:type="dxa"/>
            <w:noWrap w:val="0"/>
            <w:vAlign w:val="center"/>
          </w:tcPr>
          <w:p>
            <w:pPr>
              <w:spacing w:line="360" w:lineRule="auto"/>
              <w:jc w:val="both"/>
              <w:rPr>
                <w:rFonts w:hint="eastAsia" w:ascii="宋体" w:hAnsi="宋体" w:cs="宋体"/>
                <w:color w:val="000000"/>
                <w:kern w:val="0"/>
                <w:sz w:val="28"/>
                <w:szCs w:val="28"/>
                <w:highlight w:val="none"/>
                <w:u w:val="none"/>
              </w:rPr>
            </w:pPr>
            <w:r>
              <w:rPr>
                <w:rFonts w:hint="eastAsia" w:ascii="宋体" w:hAnsi="宋体" w:cs="宋体"/>
                <w:color w:val="000000"/>
                <w:kern w:val="0"/>
                <w:sz w:val="28"/>
                <w:szCs w:val="28"/>
                <w:u w:val="none"/>
                <w:lang w:val="en-US" w:eastAsia="zh-CN"/>
              </w:rPr>
              <w:t xml:space="preserve">阿瓦提县塔木托格拉克镇     </w:t>
            </w:r>
            <w:r>
              <w:rPr>
                <w:rFonts w:hint="eastAsia" w:ascii="宋体" w:hAnsi="宋体" w:cs="宋体"/>
                <w:color w:val="000000"/>
                <w:sz w:val="28"/>
                <w:szCs w:val="28"/>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1.2.4</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资金来源</w:t>
            </w:r>
            <w:r>
              <w:rPr>
                <w:rFonts w:hint="eastAsia" w:ascii="宋体" w:hAnsi="宋体" w:cs="宋体"/>
                <w:b/>
                <w:bCs/>
                <w:sz w:val="28"/>
                <w:szCs w:val="28"/>
                <w:u w:val="none"/>
                <w:lang w:eastAsia="zh-CN"/>
              </w:rPr>
              <w:t>及</w:t>
            </w:r>
            <w:r>
              <w:rPr>
                <w:rFonts w:hint="eastAsia" w:ascii="宋体" w:hAnsi="宋体" w:cs="宋体"/>
                <w:b/>
                <w:bCs/>
                <w:sz w:val="28"/>
                <w:szCs w:val="28"/>
                <w:u w:val="none"/>
              </w:rPr>
              <w:t>落实情况</w:t>
            </w:r>
          </w:p>
        </w:tc>
        <w:tc>
          <w:tcPr>
            <w:tcW w:w="6330" w:type="dxa"/>
            <w:noWrap w:val="0"/>
            <w:vAlign w:val="center"/>
          </w:tcPr>
          <w:p>
            <w:pPr>
              <w:spacing w:line="360" w:lineRule="auto"/>
              <w:jc w:val="both"/>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1.2.5</w:t>
            </w:r>
          </w:p>
        </w:tc>
        <w:tc>
          <w:tcPr>
            <w:tcW w:w="1950" w:type="dxa"/>
            <w:noWrap w:val="0"/>
            <w:vAlign w:val="center"/>
          </w:tcPr>
          <w:p>
            <w:pPr>
              <w:keepNext/>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工期</w:t>
            </w:r>
          </w:p>
        </w:tc>
        <w:tc>
          <w:tcPr>
            <w:tcW w:w="6330" w:type="dxa"/>
            <w:noWrap w:val="0"/>
            <w:vAlign w:val="center"/>
          </w:tcPr>
          <w:p>
            <w:pPr>
              <w:spacing w:line="360" w:lineRule="auto"/>
              <w:jc w:val="both"/>
              <w:rPr>
                <w:rFonts w:hint="eastAsia" w:ascii="宋体" w:hAnsi="宋体" w:cs="宋体"/>
                <w:color w:val="000000"/>
                <w:sz w:val="28"/>
                <w:szCs w:val="28"/>
                <w:u w:val="none"/>
                <w:lang w:val="en-US" w:eastAsia="zh-CN"/>
              </w:rPr>
            </w:pPr>
            <w:r>
              <w:rPr>
                <w:rFonts w:hint="eastAsia" w:ascii="宋体" w:hAnsi="宋体" w:cs="宋体"/>
                <w:color w:val="000000"/>
                <w:sz w:val="28"/>
                <w:szCs w:val="28"/>
                <w:u w:val="none"/>
                <w:lang w:val="en-US" w:eastAsia="zh-CN"/>
              </w:rPr>
              <w:t>工期：</w:t>
            </w:r>
            <w:r>
              <w:rPr>
                <w:rFonts w:hint="eastAsia" w:ascii="宋体" w:hAnsi="宋体" w:cs="宋体"/>
                <w:color w:val="000000"/>
                <w:sz w:val="28"/>
                <w:szCs w:val="28"/>
                <w:highlight w:val="none"/>
                <w:u w:val="none"/>
                <w:lang w:val="en-US" w:eastAsia="zh-CN"/>
              </w:rPr>
              <w:t>32</w:t>
            </w:r>
            <w:r>
              <w:rPr>
                <w:rFonts w:hint="eastAsia" w:ascii="宋体" w:hAnsi="宋体" w:cs="宋体"/>
                <w:color w:val="000000"/>
                <w:sz w:val="28"/>
                <w:szCs w:val="28"/>
                <w:u w:val="none"/>
                <w:lang w:val="en-US" w:eastAsia="zh-CN"/>
              </w:rPr>
              <w:t>天（2022年6月30日-2022年7月31日）</w:t>
            </w:r>
          </w:p>
          <w:p>
            <w:pPr>
              <w:spacing w:line="360" w:lineRule="auto"/>
              <w:jc w:val="both"/>
              <w:rPr>
                <w:rFonts w:hint="eastAsia" w:ascii="宋体" w:hAnsi="宋体" w:cs="宋体"/>
                <w:color w:val="000000"/>
                <w:sz w:val="28"/>
                <w:szCs w:val="28"/>
                <w:u w:val="none"/>
                <w:lang w:eastAsia="zh-CN"/>
              </w:rPr>
            </w:pPr>
            <w:r>
              <w:rPr>
                <w:rFonts w:hint="eastAsia" w:ascii="宋体" w:hAnsi="宋体" w:cs="宋体"/>
                <w:color w:val="000000"/>
                <w:sz w:val="28"/>
                <w:szCs w:val="28"/>
                <w:u w:val="none"/>
                <w:lang w:val="en-US" w:eastAsia="zh-CN"/>
              </w:rPr>
              <w:t>质量要求：合格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1.2.6</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供应商的资格要求</w:t>
            </w:r>
          </w:p>
        </w:tc>
        <w:tc>
          <w:tcPr>
            <w:tcW w:w="6330" w:type="dxa"/>
            <w:noWrap w:val="0"/>
            <w:vAlign w:val="center"/>
          </w:tcPr>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rPr>
              <w:t xml:space="preserve"> </w:t>
            </w:r>
            <w:r>
              <w:rPr>
                <w:rFonts w:hint="eastAsia" w:ascii="宋体" w:hAnsi="宋体" w:cs="宋体"/>
                <w:sz w:val="28"/>
                <w:szCs w:val="28"/>
                <w:u w:val="none"/>
                <w:lang w:val="en-US" w:eastAsia="zh-CN"/>
              </w:rPr>
              <w:t>（1）财政部、国家发展改革委、生态环境部、市场监管总局《关于调整优化节能产品、环境标志产品政府采购执行机制的通知》（财库[2019]9号文）；</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（2）财政部、生态环境部《关于印发环境标志产品政府采购品目清单的通知》（财库[2019]18号文）；</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（3）财政部、发展改革委《关于印发节能产品政府采购品目清单的通知》（财库[2019]19号文）；</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（4）市场监管总局《市场监管总局关于发布参与实施政府采购节能产品、环境标志产品认证机构名录的公告》（2019年第16号）；</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（5）财政部、工业和信息化部《关于印发《政府采购促进中小企业发展管理办法》的通知》（财库[2020]46号文）；</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（6）财政部、民政部、中国残疾人联合会《关于促进残疾人就业政府采购政策的通知》（财库[2017]141号）；</w:t>
            </w:r>
          </w:p>
          <w:p>
            <w:pPr>
              <w:pStyle w:val="53"/>
              <w:numPr>
                <w:ilvl w:val="0"/>
                <w:numId w:val="0"/>
              </w:numPr>
              <w:rPr>
                <w:rFonts w:hint="eastAsia" w:ascii="宋体" w:hAnsi="宋体" w:cs="宋体"/>
                <w:sz w:val="28"/>
                <w:szCs w:val="28"/>
                <w:highlight w:val="yellow"/>
                <w:u w:val="none"/>
              </w:rPr>
            </w:pPr>
            <w:r>
              <w:rPr>
                <w:rFonts w:hint="eastAsia" w:ascii="宋体" w:hAnsi="宋体" w:cs="宋体"/>
                <w:sz w:val="28"/>
                <w:szCs w:val="28"/>
                <w:u w:val="none"/>
                <w:lang w:val="en-US" w:eastAsia="zh-CN"/>
              </w:rPr>
              <w:t>（7）财政部、司法部《关于政府采购支持监狱企业发展有关问题的通知》（财库[2014]68号文）</w:t>
            </w:r>
            <w:r>
              <w:rPr>
                <w:rFonts w:hint="eastAsia" w:ascii="宋体" w:hAnsi="宋体" w:cs="宋体"/>
                <w:sz w:val="28"/>
                <w:szCs w:val="28"/>
                <w:highlight w:val="none"/>
                <w:u w:val="none"/>
              </w:rPr>
              <w:t>。</w:t>
            </w:r>
          </w:p>
          <w:p>
            <w:pPr>
              <w:pStyle w:val="53"/>
              <w:numPr>
                <w:ilvl w:val="0"/>
                <w:numId w:val="0"/>
              </w:numPr>
              <w:rPr>
                <w:rFonts w:hint="eastAsia" w:ascii="宋体" w:hAnsi="宋体" w:cs="宋体"/>
                <w:sz w:val="28"/>
                <w:szCs w:val="28"/>
                <w:u w:val="none"/>
              </w:rPr>
            </w:pPr>
            <w:r>
              <w:rPr>
                <w:rFonts w:hint="eastAsia" w:ascii="宋体" w:hAnsi="宋体" w:cs="宋体"/>
                <w:sz w:val="28"/>
                <w:szCs w:val="28"/>
                <w:u w:val="none"/>
              </w:rPr>
              <w:t>3.本项目的特定资格要求：</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（1）有效经年检的营业执照；</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（2）法人代表或其委托代理人应提交本人身份证原件，委托代理人还应提交《法人代表授权委托书》原件；</w:t>
            </w:r>
          </w:p>
          <w:p>
            <w:pPr>
              <w:pStyle w:val="53"/>
              <w:numPr>
                <w:ilvl w:val="0"/>
                <w:numId w:val="0"/>
              </w:numPr>
              <w:rPr>
                <w:rFonts w:hint="eastAsia" w:ascii="宋体" w:hAnsi="宋体" w:cs="宋体"/>
                <w:sz w:val="28"/>
                <w:szCs w:val="28"/>
                <w:u w:val="none"/>
                <w:lang w:eastAsia="zh-CN"/>
              </w:rPr>
            </w:pPr>
            <w:r>
              <w:rPr>
                <w:rFonts w:hint="eastAsia" w:ascii="宋体" w:hAnsi="宋体" w:cs="宋体"/>
                <w:sz w:val="28"/>
                <w:szCs w:val="28"/>
                <w:u w:val="none"/>
              </w:rPr>
              <w:t>（3）</w:t>
            </w:r>
            <w:r>
              <w:rPr>
                <w:rFonts w:hint="eastAsia" w:ascii="宋体" w:hAnsi="宋体" w:cs="宋体"/>
                <w:sz w:val="28"/>
                <w:szCs w:val="28"/>
                <w:highlight w:val="none"/>
                <w:u w:val="none"/>
              </w:rPr>
              <w:t>具备【</w:t>
            </w:r>
            <w:r>
              <w:rPr>
                <w:rFonts w:hint="eastAsia" w:ascii="宋体" w:hAnsi="宋体" w:cs="宋体"/>
                <w:sz w:val="28"/>
                <w:szCs w:val="28"/>
                <w:highlight w:val="none"/>
                <w:u w:val="none"/>
                <w:lang w:val="en-US" w:eastAsia="zh-CN"/>
              </w:rPr>
              <w:t>市政公用工程施工总承包资质三级</w:t>
            </w:r>
            <w:r>
              <w:rPr>
                <w:rFonts w:hint="eastAsia" w:ascii="宋体" w:hAnsi="宋体" w:cs="宋体"/>
                <w:sz w:val="28"/>
                <w:szCs w:val="28"/>
                <w:highlight w:val="none"/>
                <w:u w:val="none"/>
              </w:rPr>
              <w:t>】(含)以上资质；有效的安全生产许可证；外省投标企业须提供《新疆维吾尔自治区区外建设工程企业信息登记册》或新疆工程建设云下载审核通过的信息报送册；项目负责人需满足【</w:t>
            </w:r>
            <w:r>
              <w:rPr>
                <w:rFonts w:hint="eastAsia" w:ascii="宋体" w:hAnsi="宋体" w:cs="宋体"/>
                <w:sz w:val="28"/>
                <w:szCs w:val="28"/>
                <w:highlight w:val="none"/>
                <w:u w:val="none"/>
                <w:lang w:val="en-US" w:eastAsia="zh-CN"/>
              </w:rPr>
              <w:t>市政</w:t>
            </w:r>
            <w:r>
              <w:rPr>
                <w:rFonts w:hint="eastAsia" w:ascii="宋体" w:hAnsi="宋体" w:cs="宋体"/>
                <w:sz w:val="28"/>
                <w:szCs w:val="28"/>
                <w:highlight w:val="none"/>
                <w:u w:val="none"/>
              </w:rPr>
              <w:t>工程专业注册建造师二级】（含）以上注册建造师执业资格</w:t>
            </w:r>
            <w:r>
              <w:rPr>
                <w:rFonts w:hint="eastAsia" w:ascii="宋体" w:hAnsi="宋体" w:cs="宋体"/>
                <w:sz w:val="28"/>
                <w:szCs w:val="28"/>
                <w:highlight w:val="none"/>
                <w:u w:val="none"/>
                <w:lang w:eastAsia="zh-CN"/>
              </w:rPr>
              <w:t>，</w:t>
            </w:r>
            <w:r>
              <w:rPr>
                <w:rFonts w:hint="eastAsia" w:ascii="宋体" w:hAnsi="宋体" w:cs="宋体"/>
                <w:sz w:val="28"/>
                <w:szCs w:val="28"/>
                <w:highlight w:val="none"/>
                <w:u w:val="none"/>
                <w:lang w:val="en-US" w:eastAsia="zh-CN"/>
              </w:rPr>
              <w:t>具备安全生产考核合格证书</w:t>
            </w:r>
            <w:r>
              <w:rPr>
                <w:rFonts w:hint="eastAsia" w:ascii="宋体" w:hAnsi="宋体" w:cs="宋体"/>
                <w:sz w:val="28"/>
                <w:szCs w:val="28"/>
                <w:highlight w:val="none"/>
                <w:u w:val="none"/>
                <w:lang w:eastAsia="zh-CN"/>
              </w:rPr>
              <w:t>;</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4）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（5）提供投标截止前 6 个月社保局出具的社保缴纳明细（含委托代理人、建造师），入职不足6个月的按实际缴纳时间计算（盖有社保部门印章）；</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（6）提供2019-2021年的财务审计报告或财务报表〔成立不足一年提供成立至今财务报表）；</w:t>
            </w:r>
          </w:p>
          <w:p>
            <w:pPr>
              <w:pStyle w:val="53"/>
              <w:numPr>
                <w:ilvl w:val="0"/>
                <w:numId w:val="0"/>
              </w:numPr>
              <w:rPr>
                <w:rFonts w:hint="eastAsia" w:ascii="宋体" w:hAnsi="宋体" w:cs="宋体"/>
                <w:sz w:val="28"/>
                <w:szCs w:val="28"/>
                <w:u w:val="none"/>
                <w:lang w:val="en-US" w:eastAsia="zh-CN"/>
              </w:rPr>
            </w:pPr>
            <w:r>
              <w:rPr>
                <w:rFonts w:hint="eastAsia" w:ascii="宋体" w:hAnsi="宋体" w:cs="宋体"/>
                <w:sz w:val="28"/>
                <w:szCs w:val="28"/>
                <w:u w:val="none"/>
                <w:lang w:val="en-US" w:eastAsia="zh-CN"/>
              </w:rPr>
              <w:t>（7）完税证明；</w:t>
            </w:r>
          </w:p>
          <w:p>
            <w:pPr>
              <w:pStyle w:val="53"/>
              <w:numPr>
                <w:ilvl w:val="0"/>
                <w:numId w:val="0"/>
              </w:numPr>
              <w:rPr>
                <w:rFonts w:hint="eastAsia" w:ascii="宋体" w:hAnsi="宋体" w:cs="宋体"/>
                <w:sz w:val="28"/>
                <w:szCs w:val="28"/>
                <w:u w:val="none"/>
              </w:rPr>
            </w:pPr>
            <w:r>
              <w:rPr>
                <w:rFonts w:hint="eastAsia" w:ascii="宋体" w:hAnsi="宋体" w:cs="宋体"/>
                <w:sz w:val="28"/>
                <w:szCs w:val="28"/>
                <w:u w:val="none"/>
                <w:lang w:val="en-US" w:eastAsia="zh-CN"/>
              </w:rPr>
              <w:t>（8）相互关联存在实际控制、管理关系的两个企业，不得参加同一项目的政府采购活动。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1.3.1</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sz w:val="28"/>
                <w:szCs w:val="28"/>
                <w:u w:val="none"/>
              </w:rPr>
              <w:t>是否允许联合体投标</w:t>
            </w:r>
          </w:p>
        </w:tc>
        <w:tc>
          <w:tcPr>
            <w:tcW w:w="6330" w:type="dxa"/>
            <w:noWrap w:val="0"/>
            <w:vAlign w:val="center"/>
          </w:tcPr>
          <w:p>
            <w:pPr>
              <w:spacing w:line="360" w:lineRule="auto"/>
              <w:rPr>
                <w:rFonts w:hint="eastAsia" w:ascii="宋体" w:hAnsi="宋体" w:cs="宋体"/>
                <w:color w:val="000000"/>
                <w:kern w:val="0"/>
                <w:sz w:val="28"/>
                <w:szCs w:val="28"/>
                <w:highlight w:val="none"/>
                <w:u w:val="none"/>
                <w:lang w:val="en-US" w:eastAsia="zh-CN"/>
              </w:rPr>
            </w:pPr>
            <w:r>
              <w:rPr>
                <w:rFonts w:hint="eastAsia" w:ascii="宋体" w:hAnsi="宋体" w:cs="宋体"/>
                <w:color w:val="000000"/>
                <w:kern w:val="0"/>
                <w:sz w:val="28"/>
                <w:szCs w:val="28"/>
                <w:highlight w:val="none"/>
                <w:u w:val="none"/>
                <w:lang w:val="en-US" w:eastAsia="zh-CN"/>
              </w:rPr>
              <w:t>□是 ☑否</w:t>
            </w:r>
          </w:p>
          <w:p>
            <w:pPr>
              <w:spacing w:line="360" w:lineRule="auto"/>
              <w:rPr>
                <w:rFonts w:hint="eastAsia" w:ascii="宋体" w:hAnsi="宋体" w:cs="宋体"/>
                <w:color w:val="000000"/>
                <w:kern w:val="0"/>
                <w:sz w:val="28"/>
                <w:szCs w:val="28"/>
                <w:highlight w:val="none"/>
                <w:u w:val="none"/>
                <w:lang w:val="en-US" w:eastAsia="zh-CN"/>
              </w:rPr>
            </w:pPr>
            <w:r>
              <w:rPr>
                <w:rFonts w:hint="eastAsia" w:ascii="宋体" w:hAnsi="宋体" w:cs="宋体"/>
                <w:color w:val="000000"/>
                <w:kern w:val="0"/>
                <w:sz w:val="28"/>
                <w:szCs w:val="28"/>
                <w:highlight w:val="none"/>
                <w:u w:val="none"/>
                <w:lang w:val="en-US" w:eastAsia="zh-CN"/>
              </w:rPr>
              <w:t xml:space="preserve">应满足要求：/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118" w:type="dxa"/>
            <w:noWrap w:val="0"/>
            <w:vAlign w:val="center"/>
          </w:tcPr>
          <w:p>
            <w:pPr>
              <w:tabs>
                <w:tab w:val="left" w:pos="431"/>
              </w:tabs>
              <w:spacing w:line="360" w:lineRule="auto"/>
              <w:jc w:val="left"/>
              <w:rPr>
                <w:rFonts w:hint="default" w:ascii="宋体" w:hAnsi="宋体" w:eastAsia="宋体" w:cs="宋体"/>
                <w:b/>
                <w:bCs/>
                <w:sz w:val="28"/>
                <w:szCs w:val="28"/>
                <w:u w:val="none"/>
                <w:lang w:val="en-US" w:eastAsia="zh-CN"/>
              </w:rPr>
            </w:pPr>
            <w:r>
              <w:rPr>
                <w:rFonts w:hint="eastAsia" w:ascii="宋体" w:hAnsi="宋体" w:cs="宋体"/>
                <w:b/>
                <w:bCs/>
                <w:sz w:val="28"/>
                <w:szCs w:val="28"/>
                <w:u w:val="none"/>
                <w:lang w:val="en-US" w:eastAsia="zh-CN"/>
              </w:rPr>
              <w:t>1.3.2</w:t>
            </w:r>
          </w:p>
        </w:tc>
        <w:tc>
          <w:tcPr>
            <w:tcW w:w="1950" w:type="dxa"/>
            <w:noWrap w:val="0"/>
            <w:vAlign w:val="center"/>
          </w:tcPr>
          <w:p>
            <w:pPr>
              <w:spacing w:line="360" w:lineRule="auto"/>
              <w:jc w:val="center"/>
              <w:rPr>
                <w:rFonts w:hint="eastAsia" w:ascii="宋体" w:hAnsi="宋体" w:eastAsia="宋体" w:cs="宋体"/>
                <w:b/>
                <w:sz w:val="28"/>
                <w:szCs w:val="28"/>
                <w:u w:val="none"/>
                <w:lang w:val="en-US" w:eastAsia="zh-CN"/>
              </w:rPr>
            </w:pPr>
            <w:r>
              <w:rPr>
                <w:rFonts w:hint="eastAsia" w:ascii="宋体" w:hAnsi="宋体" w:cs="宋体"/>
                <w:b/>
                <w:sz w:val="28"/>
                <w:szCs w:val="28"/>
                <w:u w:val="none"/>
                <w:lang w:val="en-US" w:eastAsia="zh-CN"/>
              </w:rPr>
              <w:t>采购方式</w:t>
            </w:r>
          </w:p>
        </w:tc>
        <w:tc>
          <w:tcPr>
            <w:tcW w:w="6330" w:type="dxa"/>
            <w:noWrap w:val="0"/>
            <w:vAlign w:val="center"/>
          </w:tcPr>
          <w:p>
            <w:pPr>
              <w:spacing w:line="360" w:lineRule="auto"/>
              <w:rPr>
                <w:rFonts w:hint="default" w:ascii="宋体" w:hAnsi="宋体" w:cs="宋体"/>
                <w:color w:val="000000"/>
                <w:kern w:val="0"/>
                <w:sz w:val="28"/>
                <w:szCs w:val="28"/>
                <w:highlight w:val="none"/>
                <w:u w:val="none"/>
                <w:lang w:val="en-US" w:eastAsia="zh-CN"/>
              </w:rPr>
            </w:pPr>
            <w:r>
              <w:rPr>
                <w:rFonts w:hint="eastAsia" w:ascii="宋体" w:hAnsi="宋体" w:eastAsia="宋体" w:cs="宋体"/>
                <w:color w:val="000000"/>
                <w:kern w:val="0"/>
                <w:sz w:val="28"/>
                <w:szCs w:val="28"/>
                <w:highlight w:val="none"/>
                <w:u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2.1.1</w:t>
            </w:r>
          </w:p>
        </w:tc>
        <w:tc>
          <w:tcPr>
            <w:tcW w:w="1950" w:type="dxa"/>
            <w:noWrap w:val="0"/>
            <w:vAlign w:val="center"/>
          </w:tcPr>
          <w:p>
            <w:pPr>
              <w:spacing w:line="360" w:lineRule="auto"/>
              <w:jc w:val="center"/>
              <w:rPr>
                <w:rFonts w:hint="eastAsia" w:ascii="宋体" w:hAnsi="宋体" w:eastAsia="宋体" w:cs="宋体"/>
                <w:b/>
                <w:bCs/>
                <w:sz w:val="28"/>
                <w:szCs w:val="28"/>
                <w:u w:val="none"/>
                <w:lang w:val="en-US" w:eastAsia="zh-CN"/>
              </w:rPr>
            </w:pPr>
            <w:r>
              <w:rPr>
                <w:rFonts w:hint="eastAsia" w:ascii="宋体" w:hAnsi="宋体" w:cs="宋体"/>
                <w:b/>
                <w:bCs/>
                <w:sz w:val="28"/>
                <w:szCs w:val="28"/>
                <w:u w:val="none"/>
                <w:lang w:val="en-US" w:eastAsia="zh-CN"/>
              </w:rPr>
              <w:t>招标</w:t>
            </w:r>
            <w:bookmarkStart w:id="761" w:name="_GoBack"/>
            <w:bookmarkEnd w:id="761"/>
            <w:r>
              <w:rPr>
                <w:rFonts w:hint="eastAsia" w:ascii="宋体" w:hAnsi="宋体" w:cs="宋体"/>
                <w:b/>
                <w:bCs/>
                <w:sz w:val="28"/>
                <w:szCs w:val="28"/>
                <w:u w:val="none"/>
                <w:lang w:val="en-US" w:eastAsia="zh-CN"/>
              </w:rPr>
              <w:t>控制价</w:t>
            </w:r>
          </w:p>
        </w:tc>
        <w:tc>
          <w:tcPr>
            <w:tcW w:w="6330" w:type="dxa"/>
            <w:noWrap w:val="0"/>
            <w:vAlign w:val="top"/>
          </w:tcPr>
          <w:p>
            <w:pPr>
              <w:spacing w:line="360" w:lineRule="auto"/>
              <w:rPr>
                <w:rFonts w:hint="eastAsia" w:ascii="宋体" w:hAnsi="宋体" w:eastAsia="宋体" w:cs="宋体"/>
                <w:color w:val="000000"/>
                <w:kern w:val="0"/>
                <w:sz w:val="28"/>
                <w:szCs w:val="28"/>
                <w:highlight w:val="none"/>
                <w:u w:val="none"/>
                <w:lang w:val="en-US" w:eastAsia="zh-CN"/>
              </w:rPr>
            </w:pPr>
            <w:r>
              <w:rPr>
                <w:rFonts w:hint="eastAsia" w:ascii="宋体" w:hAnsi="宋体" w:cs="宋体"/>
                <w:color w:val="000000"/>
                <w:kern w:val="0"/>
                <w:sz w:val="28"/>
                <w:szCs w:val="28"/>
                <w:highlight w:val="none"/>
                <w:u w:val="none"/>
                <w:lang w:val="en-US" w:eastAsia="zh-CN"/>
              </w:rPr>
              <w:t>992154.82元（大写:玖拾玖万贰仟壹佰伍拾肆元捌角贰分）。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8" w:type="dxa"/>
            <w:noWrap w:val="0"/>
            <w:vAlign w:val="center"/>
          </w:tcPr>
          <w:p>
            <w:pPr>
              <w:spacing w:line="360" w:lineRule="auto"/>
              <w:jc w:val="center"/>
              <w:rPr>
                <w:rFonts w:hint="eastAsia" w:ascii="宋体" w:hAnsi="宋体" w:eastAsia="宋体" w:cs="宋体"/>
                <w:b/>
                <w:bCs/>
                <w:sz w:val="28"/>
                <w:szCs w:val="28"/>
                <w:u w:val="none"/>
                <w:lang w:eastAsia="zh-CN"/>
              </w:rPr>
            </w:pPr>
            <w:r>
              <w:rPr>
                <w:rFonts w:hint="eastAsia" w:ascii="宋体" w:hAnsi="宋体" w:cs="宋体"/>
                <w:b/>
                <w:bCs/>
                <w:sz w:val="28"/>
                <w:szCs w:val="28"/>
                <w:u w:val="none"/>
                <w:lang w:val="en-US" w:eastAsia="zh-CN"/>
              </w:rPr>
              <w:t>2</w:t>
            </w:r>
            <w:r>
              <w:rPr>
                <w:rFonts w:hint="eastAsia" w:ascii="宋体" w:hAnsi="宋体" w:cs="宋体"/>
                <w:b/>
                <w:bCs/>
                <w:sz w:val="28"/>
                <w:szCs w:val="28"/>
                <w:u w:val="none"/>
              </w:rPr>
              <w:t>.</w:t>
            </w:r>
            <w:r>
              <w:rPr>
                <w:rFonts w:hint="eastAsia" w:ascii="宋体" w:hAnsi="宋体" w:cs="宋体"/>
                <w:b/>
                <w:bCs/>
                <w:sz w:val="28"/>
                <w:szCs w:val="28"/>
                <w:u w:val="none"/>
                <w:lang w:val="en-US" w:eastAsia="zh-CN"/>
              </w:rPr>
              <w:t>1</w:t>
            </w:r>
            <w:r>
              <w:rPr>
                <w:rFonts w:hint="eastAsia" w:ascii="宋体" w:hAnsi="宋体" w:cs="宋体"/>
                <w:b/>
                <w:bCs/>
                <w:sz w:val="28"/>
                <w:szCs w:val="28"/>
                <w:u w:val="none"/>
              </w:rPr>
              <w:t>.</w:t>
            </w:r>
            <w:r>
              <w:rPr>
                <w:rFonts w:hint="eastAsia" w:ascii="宋体" w:hAnsi="宋体" w:cs="宋体"/>
                <w:b/>
                <w:bCs/>
                <w:sz w:val="28"/>
                <w:szCs w:val="28"/>
                <w:u w:val="none"/>
                <w:lang w:val="en-US" w:eastAsia="zh-CN"/>
              </w:rPr>
              <w:t>2</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磋商保证金</w:t>
            </w:r>
          </w:p>
        </w:tc>
        <w:tc>
          <w:tcPr>
            <w:tcW w:w="6330" w:type="dxa"/>
            <w:noWrap w:val="0"/>
            <w:vAlign w:val="center"/>
          </w:tcPr>
          <w:p>
            <w:pPr>
              <w:suppressAutoHyphens w:val="0"/>
              <w:spacing w:line="500" w:lineRule="exact"/>
              <w:rPr>
                <w:rFonts w:hint="eastAsia" w:ascii="宋体" w:hAnsi="宋体" w:eastAsia="宋体" w:cs="宋体"/>
                <w:b/>
                <w:bCs/>
                <w:sz w:val="28"/>
                <w:szCs w:val="28"/>
                <w:highlight w:val="none"/>
                <w:u w:val="none"/>
                <w:lang w:eastAsia="zh-CN"/>
              </w:rPr>
            </w:pPr>
            <w:r>
              <w:rPr>
                <w:rFonts w:hint="eastAsia" w:ascii="宋体" w:hAnsi="宋体" w:cs="宋体"/>
                <w:b/>
                <w:bCs/>
                <w:sz w:val="28"/>
                <w:szCs w:val="28"/>
                <w:highlight w:val="none"/>
                <w:u w:val="none"/>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18" w:type="dxa"/>
            <w:noWrap w:val="0"/>
            <w:vAlign w:val="center"/>
          </w:tcPr>
          <w:p>
            <w:pPr>
              <w:spacing w:line="360" w:lineRule="auto"/>
              <w:jc w:val="center"/>
              <w:rPr>
                <w:rFonts w:hint="eastAsia" w:ascii="宋体" w:hAnsi="宋体" w:eastAsia="宋体" w:cs="宋体"/>
                <w:b/>
                <w:bCs/>
                <w:sz w:val="28"/>
                <w:szCs w:val="28"/>
                <w:u w:val="none"/>
                <w:lang w:eastAsia="zh-CN"/>
              </w:rPr>
            </w:pPr>
            <w:r>
              <w:rPr>
                <w:rFonts w:hint="eastAsia" w:ascii="宋体" w:hAnsi="宋体" w:cs="宋体"/>
                <w:b/>
                <w:bCs/>
                <w:sz w:val="28"/>
                <w:szCs w:val="28"/>
                <w:u w:val="none"/>
                <w:lang w:val="en-US" w:eastAsia="zh-CN"/>
              </w:rPr>
              <w:t>2</w:t>
            </w:r>
            <w:r>
              <w:rPr>
                <w:rFonts w:hint="eastAsia" w:ascii="宋体" w:hAnsi="宋体" w:cs="宋体"/>
                <w:b/>
                <w:bCs/>
                <w:sz w:val="28"/>
                <w:szCs w:val="28"/>
                <w:u w:val="none"/>
              </w:rPr>
              <w:t>.</w:t>
            </w:r>
            <w:r>
              <w:rPr>
                <w:rFonts w:hint="eastAsia" w:ascii="宋体" w:hAnsi="宋体" w:cs="宋体"/>
                <w:b/>
                <w:bCs/>
                <w:sz w:val="28"/>
                <w:szCs w:val="28"/>
                <w:u w:val="none"/>
                <w:lang w:val="en-US" w:eastAsia="zh-CN"/>
              </w:rPr>
              <w:t>1</w:t>
            </w:r>
            <w:r>
              <w:rPr>
                <w:rFonts w:hint="eastAsia" w:ascii="宋体" w:hAnsi="宋体" w:cs="宋体"/>
                <w:b/>
                <w:bCs/>
                <w:sz w:val="28"/>
                <w:szCs w:val="28"/>
                <w:u w:val="none"/>
              </w:rPr>
              <w:t>.</w:t>
            </w:r>
            <w:r>
              <w:rPr>
                <w:rFonts w:hint="eastAsia" w:ascii="宋体" w:hAnsi="宋体" w:cs="宋体"/>
                <w:b/>
                <w:bCs/>
                <w:sz w:val="28"/>
                <w:szCs w:val="28"/>
                <w:u w:val="none"/>
                <w:lang w:val="en-US" w:eastAsia="zh-CN"/>
              </w:rPr>
              <w:t>3</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响应文件有效期</w:t>
            </w:r>
          </w:p>
        </w:tc>
        <w:tc>
          <w:tcPr>
            <w:tcW w:w="6330" w:type="dxa"/>
            <w:noWrap w:val="0"/>
            <w:vAlign w:val="center"/>
          </w:tcPr>
          <w:p>
            <w:pPr>
              <w:spacing w:line="360" w:lineRule="auto"/>
              <w:jc w:val="both"/>
              <w:rPr>
                <w:rFonts w:hint="eastAsia" w:ascii="宋体" w:hAnsi="宋体" w:cs="宋体"/>
                <w:bCs/>
                <w:kern w:val="0"/>
                <w:sz w:val="28"/>
                <w:szCs w:val="28"/>
                <w:u w:val="none"/>
              </w:rPr>
            </w:pPr>
            <w:r>
              <w:rPr>
                <w:rFonts w:hint="eastAsia" w:ascii="宋体" w:hAnsi="宋体" w:cs="宋体"/>
                <w:sz w:val="28"/>
                <w:szCs w:val="28"/>
                <w:u w:val="none"/>
              </w:rPr>
              <w:t>自首次递交响应文件截止时间起</w:t>
            </w:r>
            <w:r>
              <w:rPr>
                <w:rFonts w:hint="eastAsia" w:ascii="宋体" w:hAnsi="宋体" w:cs="宋体"/>
                <w:sz w:val="28"/>
                <w:szCs w:val="28"/>
                <w:u w:val="none"/>
                <w:lang w:val="en-US" w:eastAsia="zh-CN"/>
              </w:rPr>
              <w:t>60</w:t>
            </w:r>
            <w:r>
              <w:rPr>
                <w:rFonts w:hint="eastAsia" w:ascii="宋体" w:hAnsi="宋体" w:cs="宋体"/>
                <w:sz w:val="28"/>
                <w:szCs w:val="28"/>
                <w:u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18" w:type="dxa"/>
            <w:noWrap w:val="0"/>
            <w:vAlign w:val="center"/>
          </w:tcPr>
          <w:p>
            <w:pPr>
              <w:spacing w:line="360" w:lineRule="auto"/>
              <w:jc w:val="center"/>
              <w:rPr>
                <w:rFonts w:hint="eastAsia" w:ascii="宋体" w:hAnsi="宋体" w:eastAsia="宋体" w:cs="宋体"/>
                <w:b/>
                <w:bCs/>
                <w:sz w:val="28"/>
                <w:szCs w:val="28"/>
                <w:u w:val="none"/>
                <w:lang w:eastAsia="zh-CN"/>
              </w:rPr>
            </w:pPr>
            <w:r>
              <w:rPr>
                <w:rFonts w:hint="eastAsia" w:ascii="宋体" w:hAnsi="宋体" w:cs="宋体"/>
                <w:b/>
                <w:bCs/>
                <w:sz w:val="28"/>
                <w:szCs w:val="28"/>
                <w:u w:val="none"/>
                <w:lang w:val="en-US" w:eastAsia="zh-CN"/>
              </w:rPr>
              <w:t>2</w:t>
            </w:r>
            <w:r>
              <w:rPr>
                <w:rFonts w:hint="eastAsia" w:ascii="宋体" w:hAnsi="宋体" w:cs="宋体"/>
                <w:b/>
                <w:bCs/>
                <w:sz w:val="28"/>
                <w:szCs w:val="28"/>
                <w:u w:val="none"/>
              </w:rPr>
              <w:t>.</w:t>
            </w:r>
            <w:r>
              <w:rPr>
                <w:rFonts w:hint="eastAsia" w:ascii="宋体" w:hAnsi="宋体" w:cs="宋体"/>
                <w:b/>
                <w:bCs/>
                <w:sz w:val="28"/>
                <w:szCs w:val="28"/>
                <w:u w:val="none"/>
                <w:lang w:val="en-US" w:eastAsia="zh-CN"/>
              </w:rPr>
              <w:t>1</w:t>
            </w:r>
            <w:r>
              <w:rPr>
                <w:rFonts w:hint="eastAsia" w:ascii="宋体" w:hAnsi="宋体" w:cs="宋体"/>
                <w:b/>
                <w:bCs/>
                <w:sz w:val="28"/>
                <w:szCs w:val="28"/>
                <w:u w:val="none"/>
              </w:rPr>
              <w:t>.</w:t>
            </w:r>
            <w:r>
              <w:rPr>
                <w:rFonts w:hint="eastAsia" w:ascii="宋体" w:hAnsi="宋体" w:cs="宋体"/>
                <w:b/>
                <w:bCs/>
                <w:sz w:val="28"/>
                <w:szCs w:val="28"/>
                <w:u w:val="none"/>
                <w:lang w:val="en-US" w:eastAsia="zh-CN"/>
              </w:rPr>
              <w:t>4</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响应文件份数</w:t>
            </w:r>
          </w:p>
        </w:tc>
        <w:tc>
          <w:tcPr>
            <w:tcW w:w="6330" w:type="dxa"/>
            <w:noWrap w:val="0"/>
            <w:vAlign w:val="center"/>
          </w:tcPr>
          <w:p>
            <w:pPr>
              <w:spacing w:line="360" w:lineRule="auto"/>
              <w:jc w:val="left"/>
              <w:rPr>
                <w:rFonts w:hint="default" w:ascii="宋体" w:hAnsi="宋体" w:eastAsia="宋体" w:cs="宋体"/>
                <w:sz w:val="28"/>
                <w:szCs w:val="28"/>
                <w:u w:val="none"/>
                <w:lang w:val="en-US" w:eastAsia="zh-CN"/>
              </w:rPr>
            </w:pPr>
            <w:r>
              <w:rPr>
                <w:rFonts w:hint="default" w:ascii="宋体" w:hAnsi="宋体" w:eastAsia="宋体" w:cs="宋体"/>
                <w:sz w:val="28"/>
                <w:szCs w:val="28"/>
                <w:u w:val="none"/>
                <w:lang w:val="en-US" w:eastAsia="zh-CN"/>
              </w:rPr>
              <w:t>投标结束后投标供应商在5天内将纸质版投标文件（一正贰副）须与电子版响应文件内容一致，提供一份正本签章齐全的PDF版U盘或光盘一份，响应文件需留存备案将一律不予退还，递交至阿克苏市</w:t>
            </w:r>
            <w:r>
              <w:rPr>
                <w:rFonts w:hint="eastAsia" w:ascii="宋体" w:hAnsi="宋体" w:eastAsia="宋体" w:cs="宋体"/>
                <w:sz w:val="28"/>
                <w:szCs w:val="28"/>
                <w:u w:val="none"/>
                <w:lang w:val="en-US" w:eastAsia="zh-CN"/>
              </w:rPr>
              <w:t>英阿瓦提路怡和丽园小区</w:t>
            </w:r>
            <w:r>
              <w:rPr>
                <w:rFonts w:hint="default" w:ascii="宋体" w:hAnsi="宋体" w:eastAsia="宋体" w:cs="宋体"/>
                <w:sz w:val="28"/>
                <w:szCs w:val="28"/>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18" w:type="dxa"/>
            <w:noWrap w:val="0"/>
            <w:vAlign w:val="center"/>
          </w:tcPr>
          <w:p>
            <w:pPr>
              <w:spacing w:line="360" w:lineRule="auto"/>
              <w:jc w:val="center"/>
              <w:rPr>
                <w:rFonts w:hint="eastAsia" w:ascii="宋体" w:hAnsi="宋体" w:eastAsia="宋体" w:cs="宋体"/>
                <w:b/>
                <w:bCs/>
                <w:sz w:val="28"/>
                <w:szCs w:val="28"/>
                <w:u w:val="none"/>
                <w:lang w:eastAsia="zh-CN"/>
              </w:rPr>
            </w:pPr>
            <w:r>
              <w:rPr>
                <w:rFonts w:hint="eastAsia" w:ascii="宋体" w:hAnsi="宋体" w:cs="宋体"/>
                <w:b/>
                <w:bCs/>
                <w:sz w:val="28"/>
                <w:szCs w:val="28"/>
                <w:u w:val="none"/>
                <w:lang w:val="en-US" w:eastAsia="zh-CN"/>
              </w:rPr>
              <w:t>2</w:t>
            </w:r>
            <w:r>
              <w:rPr>
                <w:rFonts w:hint="eastAsia" w:ascii="宋体" w:hAnsi="宋体" w:cs="宋体"/>
                <w:b/>
                <w:bCs/>
                <w:sz w:val="28"/>
                <w:szCs w:val="28"/>
                <w:u w:val="none"/>
              </w:rPr>
              <w:t>.</w:t>
            </w:r>
            <w:r>
              <w:rPr>
                <w:rFonts w:hint="eastAsia" w:ascii="宋体" w:hAnsi="宋体" w:cs="宋体"/>
                <w:b/>
                <w:bCs/>
                <w:sz w:val="28"/>
                <w:szCs w:val="28"/>
                <w:u w:val="none"/>
                <w:lang w:val="en-US" w:eastAsia="zh-CN"/>
              </w:rPr>
              <w:t>1</w:t>
            </w:r>
            <w:r>
              <w:rPr>
                <w:rFonts w:hint="eastAsia" w:ascii="宋体" w:hAnsi="宋体" w:cs="宋体"/>
                <w:b/>
                <w:bCs/>
                <w:sz w:val="28"/>
                <w:szCs w:val="28"/>
                <w:u w:val="none"/>
              </w:rPr>
              <w:t>.</w:t>
            </w:r>
            <w:r>
              <w:rPr>
                <w:rFonts w:hint="eastAsia" w:ascii="宋体" w:hAnsi="宋体" w:cs="宋体"/>
                <w:b/>
                <w:bCs/>
                <w:sz w:val="28"/>
                <w:szCs w:val="28"/>
                <w:u w:val="none"/>
                <w:lang w:val="en-US" w:eastAsia="zh-CN"/>
              </w:rPr>
              <w:t>5</w:t>
            </w:r>
          </w:p>
        </w:tc>
        <w:tc>
          <w:tcPr>
            <w:tcW w:w="1950" w:type="dxa"/>
            <w:noWrap w:val="0"/>
            <w:vAlign w:val="center"/>
          </w:tcPr>
          <w:p>
            <w:pPr>
              <w:spacing w:line="360" w:lineRule="auto"/>
              <w:jc w:val="both"/>
              <w:rPr>
                <w:rFonts w:hint="eastAsia" w:ascii="宋体" w:hAnsi="宋体" w:cs="宋体"/>
                <w:b/>
                <w:bCs/>
                <w:sz w:val="28"/>
                <w:szCs w:val="28"/>
                <w:u w:val="none"/>
              </w:rPr>
            </w:pPr>
            <w:r>
              <w:rPr>
                <w:rFonts w:hint="eastAsia" w:ascii="宋体" w:hAnsi="宋体" w:cs="宋体"/>
                <w:b/>
                <w:bCs/>
                <w:sz w:val="28"/>
                <w:szCs w:val="28"/>
                <w:u w:val="none"/>
              </w:rPr>
              <w:t>签字或盖章要求</w:t>
            </w:r>
          </w:p>
        </w:tc>
        <w:tc>
          <w:tcPr>
            <w:tcW w:w="6330" w:type="dxa"/>
            <w:noWrap w:val="0"/>
            <w:vAlign w:val="top"/>
          </w:tcPr>
          <w:p>
            <w:pPr>
              <w:keepNext/>
              <w:spacing w:line="360" w:lineRule="auto"/>
              <w:rPr>
                <w:rFonts w:hint="eastAsia" w:ascii="宋体" w:hAnsi="宋体" w:cs="宋体"/>
                <w:sz w:val="28"/>
                <w:szCs w:val="28"/>
                <w:u w:val="none"/>
              </w:rPr>
            </w:pPr>
            <w:r>
              <w:rPr>
                <w:rFonts w:hint="eastAsia" w:ascii="宋体" w:hAnsi="宋体" w:cs="宋体"/>
                <w:kern w:val="0"/>
                <w:sz w:val="28"/>
                <w:szCs w:val="28"/>
                <w:u w:val="none"/>
              </w:rPr>
              <w:t>(1)磋商申请及附录、供应商资格声明、</w:t>
            </w:r>
            <w:r>
              <w:rPr>
                <w:rFonts w:hint="eastAsia" w:ascii="宋体" w:hAnsi="宋体" w:cs="宋体"/>
                <w:sz w:val="28"/>
                <w:szCs w:val="28"/>
                <w:u w:val="none"/>
              </w:rPr>
              <w:t>法定代表人身份证明或授权书应由</w:t>
            </w:r>
            <w:r>
              <w:rPr>
                <w:rFonts w:hint="eastAsia" w:ascii="宋体" w:hAnsi="宋体" w:cs="宋体"/>
                <w:bCs/>
                <w:sz w:val="28"/>
                <w:szCs w:val="28"/>
                <w:u w:val="none"/>
              </w:rPr>
              <w:t>法定代表人或其授权代表签字（或盖章），并加盖单位章；</w:t>
            </w:r>
          </w:p>
          <w:p>
            <w:pPr>
              <w:keepNext/>
              <w:spacing w:line="360" w:lineRule="auto"/>
              <w:rPr>
                <w:rFonts w:hint="eastAsia" w:ascii="宋体" w:hAnsi="宋体" w:cs="宋体"/>
                <w:sz w:val="28"/>
                <w:szCs w:val="28"/>
                <w:u w:val="none"/>
              </w:rPr>
            </w:pPr>
            <w:r>
              <w:rPr>
                <w:rFonts w:hint="eastAsia" w:ascii="宋体" w:hAnsi="宋体" w:cs="宋体"/>
                <w:sz w:val="28"/>
                <w:szCs w:val="28"/>
                <w:u w:val="none"/>
              </w:rPr>
              <w:t>(2)其他证明供应商资格的文件或证明材料应为加盖出具单位章的有效文件，样式可参照“响应文件格式”编制；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noWrap w:val="0"/>
            <w:vAlign w:val="top"/>
          </w:tcPr>
          <w:p>
            <w:pPr>
              <w:spacing w:line="360" w:lineRule="auto"/>
              <w:jc w:val="both"/>
              <w:rPr>
                <w:rFonts w:hint="eastAsia" w:ascii="宋体" w:hAnsi="宋体" w:cs="宋体"/>
                <w:b/>
                <w:bCs/>
                <w:sz w:val="28"/>
                <w:szCs w:val="28"/>
                <w:u w:val="none"/>
              </w:rPr>
            </w:pPr>
          </w:p>
          <w:p>
            <w:pPr>
              <w:pStyle w:val="23"/>
              <w:rPr>
                <w:rFonts w:hint="eastAsia"/>
                <w:sz w:val="22"/>
                <w:szCs w:val="21"/>
              </w:rPr>
            </w:pPr>
          </w:p>
          <w:p>
            <w:pPr>
              <w:spacing w:line="360" w:lineRule="auto"/>
              <w:jc w:val="center"/>
              <w:rPr>
                <w:rFonts w:hint="eastAsia" w:ascii="宋体" w:hAnsi="宋体" w:eastAsia="宋体" w:cs="宋体"/>
                <w:b/>
                <w:bCs/>
                <w:sz w:val="28"/>
                <w:szCs w:val="28"/>
                <w:u w:val="none"/>
                <w:lang w:eastAsia="zh-CN"/>
              </w:rPr>
            </w:pPr>
            <w:r>
              <w:rPr>
                <w:rFonts w:hint="eastAsia" w:ascii="宋体" w:hAnsi="宋体" w:cs="宋体"/>
                <w:b/>
                <w:bCs/>
                <w:sz w:val="28"/>
                <w:szCs w:val="28"/>
                <w:u w:val="none"/>
                <w:lang w:val="en-US" w:eastAsia="zh-CN"/>
              </w:rPr>
              <w:t>2</w:t>
            </w:r>
            <w:r>
              <w:rPr>
                <w:rFonts w:hint="eastAsia" w:ascii="宋体" w:hAnsi="宋体" w:cs="宋体"/>
                <w:b/>
                <w:bCs/>
                <w:sz w:val="28"/>
                <w:szCs w:val="28"/>
                <w:u w:val="none"/>
              </w:rPr>
              <w:t>.</w:t>
            </w:r>
            <w:r>
              <w:rPr>
                <w:rFonts w:hint="eastAsia" w:ascii="宋体" w:hAnsi="宋体" w:cs="宋体"/>
                <w:b/>
                <w:bCs/>
                <w:sz w:val="28"/>
                <w:szCs w:val="28"/>
                <w:u w:val="none"/>
                <w:lang w:val="en-US" w:eastAsia="zh-CN"/>
              </w:rPr>
              <w:t>1</w:t>
            </w:r>
            <w:r>
              <w:rPr>
                <w:rFonts w:hint="eastAsia" w:ascii="宋体" w:hAnsi="宋体" w:cs="宋体"/>
                <w:b/>
                <w:bCs/>
                <w:sz w:val="28"/>
                <w:szCs w:val="28"/>
                <w:u w:val="none"/>
              </w:rPr>
              <w:t>.</w:t>
            </w:r>
            <w:r>
              <w:rPr>
                <w:rFonts w:hint="eastAsia" w:ascii="宋体" w:hAnsi="宋体" w:cs="宋体"/>
                <w:b/>
                <w:bCs/>
                <w:sz w:val="28"/>
                <w:szCs w:val="28"/>
                <w:u w:val="none"/>
                <w:lang w:val="en-US" w:eastAsia="zh-CN"/>
              </w:rPr>
              <w:t>6</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lang w:val="en-US" w:eastAsia="zh-CN"/>
              </w:rPr>
              <w:t>标前准备：</w:t>
            </w:r>
          </w:p>
        </w:tc>
        <w:tc>
          <w:tcPr>
            <w:tcW w:w="6330" w:type="dxa"/>
            <w:noWrap w:val="0"/>
            <w:vAlign w:val="center"/>
          </w:tcPr>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1、本项目实行网上投标，采用电子投标文件。若供应商参与投标，自行承担投标一切费用。</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rPr>
                <w:rFonts w:hint="eastAsia" w:ascii="宋体" w:hAnsi="宋体" w:cs="宋体"/>
                <w:sz w:val="28"/>
                <w:szCs w:val="28"/>
                <w:highlight w:val="none"/>
                <w:u w:val="none"/>
              </w:rPr>
            </w:pPr>
            <w:r>
              <w:rPr>
                <w:rFonts w:hint="eastAsia" w:ascii="宋体" w:hAnsi="宋体" w:cs="宋体"/>
                <w:sz w:val="28"/>
                <w:szCs w:val="28"/>
                <w:highlight w:val="none"/>
                <w:u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8"/>
                <w:szCs w:val="28"/>
                <w:highlight w:val="none"/>
                <w:u w:val="none"/>
                <w:lang w:val="en-US" w:eastAsia="zh-CN"/>
              </w:rPr>
              <w:fldChar w:fldCharType="begin"/>
            </w:r>
            <w:r>
              <w:rPr>
                <w:rFonts w:hint="eastAsia" w:ascii="宋体" w:hAnsi="宋体" w:cs="宋体"/>
                <w:sz w:val="28"/>
                <w:szCs w:val="28"/>
                <w:highlight w:val="none"/>
                <w:u w:val="none"/>
                <w:lang w:val="en-US" w:eastAsia="zh-CN"/>
              </w:rPr>
              <w:instrText xml:space="preserve"> HYPERLINK "http://www.ccgp-xinjiang.gov.cn/" </w:instrText>
            </w:r>
            <w:r>
              <w:rPr>
                <w:rFonts w:hint="eastAsia" w:ascii="宋体" w:hAnsi="宋体" w:cs="宋体"/>
                <w:sz w:val="28"/>
                <w:szCs w:val="28"/>
                <w:highlight w:val="none"/>
                <w:u w:val="none"/>
                <w:lang w:val="en-US" w:eastAsia="zh-CN"/>
              </w:rPr>
              <w:fldChar w:fldCharType="separate"/>
            </w:r>
            <w:r>
              <w:rPr>
                <w:rFonts w:hint="eastAsia" w:ascii="宋体" w:hAnsi="宋体" w:cs="宋体"/>
                <w:sz w:val="28"/>
                <w:szCs w:val="28"/>
                <w:highlight w:val="none"/>
                <w:u w:val="none"/>
                <w:lang w:val="en-US" w:eastAsia="zh-CN"/>
              </w:rPr>
              <w:t>http://www.ccgp-xinjiang.gov.cn/</w:t>
            </w:r>
            <w:r>
              <w:rPr>
                <w:rFonts w:hint="eastAsia" w:ascii="宋体" w:hAnsi="宋体" w:cs="宋体"/>
                <w:sz w:val="28"/>
                <w:szCs w:val="28"/>
                <w:highlight w:val="none"/>
                <w:u w:val="none"/>
                <w:lang w:val="en-US" w:eastAsia="zh-CN"/>
              </w:rPr>
              <w:fldChar w:fldCharType="end"/>
            </w:r>
            <w:r>
              <w:rPr>
                <w:rFonts w:hint="eastAsia" w:ascii="宋体" w:hAnsi="宋体" w:cs="宋体"/>
                <w:sz w:val="28"/>
                <w:szCs w:val="28"/>
                <w:highlight w:val="none"/>
                <w:u w:val="none"/>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4" w:hRule="atLeast"/>
        </w:trPr>
        <w:tc>
          <w:tcPr>
            <w:tcW w:w="1118" w:type="dxa"/>
            <w:noWrap w:val="0"/>
            <w:vAlign w:val="top"/>
          </w:tcPr>
          <w:p>
            <w:pPr>
              <w:spacing w:line="360" w:lineRule="auto"/>
              <w:jc w:val="center"/>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36" w:firstLineChars="0"/>
              <w:jc w:val="left"/>
              <w:rPr>
                <w:rFonts w:hint="default"/>
                <w:lang w:val="en-US" w:eastAsia="zh-CN"/>
              </w:rPr>
            </w:pPr>
            <w:r>
              <w:rPr>
                <w:rFonts w:hint="eastAsia"/>
                <w:lang w:val="en-US" w:eastAsia="zh-CN"/>
              </w:rPr>
              <w:t>3.1.1</w:t>
            </w:r>
          </w:p>
        </w:tc>
        <w:tc>
          <w:tcPr>
            <w:tcW w:w="1950" w:type="dxa"/>
            <w:noWrap w:val="0"/>
            <w:vAlign w:val="center"/>
          </w:tcPr>
          <w:p>
            <w:pPr>
              <w:spacing w:line="360" w:lineRule="auto"/>
              <w:jc w:val="center"/>
              <w:rPr>
                <w:rFonts w:hint="eastAsia" w:ascii="宋体" w:hAnsi="宋体" w:cs="宋体"/>
                <w:b/>
                <w:bCs/>
                <w:sz w:val="28"/>
                <w:szCs w:val="28"/>
                <w:u w:val="none"/>
                <w:lang w:val="en-US" w:eastAsia="zh-CN"/>
              </w:rPr>
            </w:pPr>
            <w:r>
              <w:rPr>
                <w:rFonts w:hint="eastAsia" w:ascii="宋体" w:hAnsi="宋体" w:cs="宋体"/>
                <w:b/>
                <w:bCs/>
                <w:sz w:val="28"/>
                <w:szCs w:val="28"/>
                <w:u w:val="none"/>
                <w:lang w:val="en-US" w:eastAsia="zh-CN"/>
              </w:rPr>
              <w:t>封套内容</w:t>
            </w:r>
          </w:p>
        </w:tc>
        <w:tc>
          <w:tcPr>
            <w:tcW w:w="6330" w:type="dxa"/>
            <w:noWrap w:val="0"/>
            <w:vAlign w:val="center"/>
          </w:tcPr>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项目名称：</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项目编码：</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招标人名称：</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法定代表人：</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投标人地址：</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邮政编码：</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联系人：</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联系电话：</w:t>
            </w:r>
          </w:p>
          <w:p>
            <w:pPr>
              <w:spacing w:line="360" w:lineRule="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响应文件在2022年6月27日16:30前不得开启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9" w:hRule="atLeast"/>
        </w:trPr>
        <w:tc>
          <w:tcPr>
            <w:tcW w:w="1118" w:type="dxa"/>
            <w:noWrap w:val="0"/>
            <w:vAlign w:val="center"/>
          </w:tcPr>
          <w:p>
            <w:pPr>
              <w:spacing w:line="360" w:lineRule="auto"/>
              <w:jc w:val="center"/>
              <w:rPr>
                <w:rFonts w:hint="eastAsia" w:ascii="宋体" w:hAnsi="宋体" w:eastAsia="宋体" w:cs="宋体"/>
                <w:b/>
                <w:bCs/>
                <w:sz w:val="36"/>
                <w:szCs w:val="36"/>
                <w:u w:val="none"/>
                <w:lang w:eastAsia="zh-CN"/>
              </w:rPr>
            </w:pPr>
            <w:r>
              <w:rPr>
                <w:rFonts w:hint="eastAsia" w:ascii="宋体" w:hAnsi="宋体" w:cs="宋体"/>
                <w:b/>
                <w:bCs/>
                <w:sz w:val="36"/>
                <w:szCs w:val="36"/>
                <w:u w:val="none"/>
              </w:rPr>
              <w:t>4.1.</w:t>
            </w:r>
            <w:r>
              <w:rPr>
                <w:rFonts w:hint="eastAsia" w:ascii="宋体" w:hAnsi="宋体" w:cs="宋体"/>
                <w:b/>
                <w:bCs/>
                <w:sz w:val="36"/>
                <w:szCs w:val="36"/>
                <w:u w:val="none"/>
                <w:lang w:val="en-US" w:eastAsia="zh-CN"/>
              </w:rPr>
              <w:t>1</w:t>
            </w:r>
          </w:p>
        </w:tc>
        <w:tc>
          <w:tcPr>
            <w:tcW w:w="1950" w:type="dxa"/>
            <w:noWrap w:val="0"/>
            <w:vAlign w:val="center"/>
          </w:tcPr>
          <w:p>
            <w:pPr>
              <w:spacing w:line="360" w:lineRule="auto"/>
              <w:jc w:val="center"/>
              <w:rPr>
                <w:rFonts w:hint="eastAsia" w:ascii="宋体" w:hAnsi="宋体" w:cs="宋体"/>
                <w:b/>
                <w:bCs/>
                <w:sz w:val="36"/>
                <w:szCs w:val="36"/>
                <w:u w:val="none"/>
              </w:rPr>
            </w:pPr>
            <w:r>
              <w:rPr>
                <w:rFonts w:hint="eastAsia" w:ascii="宋体" w:hAnsi="宋体" w:cs="宋体"/>
                <w:b/>
                <w:bCs/>
                <w:sz w:val="36"/>
                <w:szCs w:val="36"/>
                <w:u w:val="none"/>
              </w:rPr>
              <w:t>时间、地点等要求</w:t>
            </w:r>
          </w:p>
        </w:tc>
        <w:tc>
          <w:tcPr>
            <w:tcW w:w="6330" w:type="dxa"/>
            <w:noWrap w:val="0"/>
            <w:vAlign w:val="center"/>
          </w:tcPr>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Times New Roman" w:hAnsi="Times New Roman" w:eastAsia="宋体" w:cs="Times New Roman"/>
                <w:b w:val="0"/>
                <w:bCs w:val="0"/>
                <w:color w:val="auto"/>
                <w:kern w:val="2"/>
                <w:sz w:val="28"/>
                <w:szCs w:val="36"/>
                <w:highlight w:val="none"/>
                <w:lang w:val="en-US" w:eastAsia="zh-CN" w:bidi="ar-SA"/>
              </w:rPr>
            </w:pPr>
            <w:r>
              <w:rPr>
                <w:rFonts w:hint="eastAsia"/>
                <w:color w:val="auto"/>
                <w:sz w:val="28"/>
                <w:szCs w:val="36"/>
                <w:highlight w:val="none"/>
                <w:lang w:val="en-US" w:eastAsia="zh-CN"/>
              </w:rPr>
              <w:t>开标时间：2022年06月27日 16:30时（北京时间）</w:t>
            </w:r>
          </w:p>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default"/>
                <w:color w:val="auto"/>
                <w:sz w:val="28"/>
                <w:szCs w:val="36"/>
                <w:highlight w:val="none"/>
                <w:lang w:val="en-US" w:eastAsia="zh-CN"/>
              </w:rPr>
            </w:pPr>
            <w:r>
              <w:rPr>
                <w:rFonts w:hint="eastAsia" w:ascii="Times New Roman" w:hAnsi="Times New Roman" w:eastAsia="宋体" w:cs="Times New Roman"/>
                <w:b w:val="0"/>
                <w:bCs w:val="0"/>
                <w:color w:val="auto"/>
                <w:kern w:val="2"/>
                <w:sz w:val="28"/>
                <w:szCs w:val="36"/>
                <w:highlight w:val="none"/>
                <w:lang w:val="en-US" w:eastAsia="zh-CN" w:bidi="ar-SA"/>
              </w:rPr>
              <w:t>开标地点：政采云开标大厅</w:t>
            </w:r>
            <w:r>
              <w:rPr>
                <w:rFonts w:hint="eastAsia"/>
                <w:color w:val="auto"/>
                <w:sz w:val="28"/>
                <w:szCs w:val="36"/>
                <w:highlight w:val="none"/>
                <w:lang w:val="en-US" w:eastAsia="zh-CN"/>
              </w:rPr>
              <w:t>投标文件提交截止时间：2022年06月27日 16:30时前，逾期代表自动放弃。</w:t>
            </w:r>
          </w:p>
          <w:p>
            <w:pPr>
              <w:keepNext w:val="0"/>
              <w:keepLines w:val="0"/>
              <w:pageBreakBefore w:val="0"/>
              <w:widowControl w:val="0"/>
              <w:numPr>
                <w:ilvl w:val="0"/>
                <w:numId w:val="3"/>
              </w:numPr>
              <w:kinsoku/>
              <w:wordWrap/>
              <w:overflowPunct/>
              <w:topLinePunct w:val="0"/>
              <w:autoSpaceDE/>
              <w:autoSpaceDN/>
              <w:bidi w:val="0"/>
              <w:spacing w:line="400" w:lineRule="exact"/>
              <w:ind w:left="0" w:leftChars="0" w:firstLine="0" w:firstLineChars="0"/>
              <w:textAlignment w:val="auto"/>
              <w:rPr>
                <w:rFonts w:hint="eastAsia"/>
                <w:sz w:val="28"/>
                <w:szCs w:val="36"/>
                <w:highlight w:val="none"/>
                <w:lang w:val="en-US" w:eastAsia="zh-CN"/>
              </w:rPr>
            </w:pPr>
            <w:r>
              <w:rPr>
                <w:rFonts w:hint="eastAsia"/>
                <w:sz w:val="28"/>
                <w:szCs w:val="36"/>
                <w:highlight w:val="none"/>
                <w:lang w:val="en-US" w:eastAsia="zh-CN"/>
              </w:rPr>
              <w:t>投标文件提交地点：政采云线上开（www.zcygov.com）</w:t>
            </w:r>
          </w:p>
          <w:p>
            <w:pPr>
              <w:pStyle w:val="4"/>
              <w:numPr>
                <w:ilvl w:val="0"/>
                <w:numId w:val="3"/>
              </w:numPr>
              <w:ind w:left="0" w:leftChars="0" w:firstLine="0" w:firstLineChars="0"/>
              <w:rPr>
                <w:rFonts w:hint="eastAsia" w:ascii="Times New Roman" w:hAnsi="Times New Roman" w:eastAsia="宋体" w:cs="Times New Roman"/>
                <w:b w:val="0"/>
                <w:bCs w:val="0"/>
                <w:kern w:val="2"/>
                <w:sz w:val="28"/>
                <w:szCs w:val="36"/>
                <w:highlight w:val="none"/>
                <w:lang w:val="en-US" w:eastAsia="zh-CN" w:bidi="ar-SA"/>
              </w:rPr>
            </w:pPr>
            <w:r>
              <w:rPr>
                <w:rFonts w:hint="eastAsia" w:ascii="Times New Roman" w:hAnsi="Times New Roman" w:eastAsia="宋体" w:cs="Times New Roman"/>
                <w:b w:val="0"/>
                <w:bCs w:val="0"/>
                <w:kern w:val="2"/>
                <w:sz w:val="28"/>
                <w:szCs w:val="36"/>
                <w:highlight w:val="none"/>
                <w:lang w:val="en-US" w:eastAsia="zh-CN" w:bidi="ar-SA"/>
              </w:rPr>
              <w:t>投标文件的解密：供应商应当在响应文件提交截止时间前，将生成的“电子加密响应文件”上传递交至“政府采购云平台”。响应文件提交截止时间以后上传提交的响应文件将被“政府采购云平台”拒收。</w:t>
            </w:r>
          </w:p>
          <w:p>
            <w:pPr>
              <w:pStyle w:val="4"/>
              <w:numPr>
                <w:ilvl w:val="0"/>
                <w:numId w:val="3"/>
              </w:numPr>
              <w:ind w:left="0" w:leftChars="0" w:firstLine="0" w:firstLineChars="0"/>
              <w:rPr>
                <w:rFonts w:hint="eastAsia" w:ascii="Times New Roman" w:hAnsi="Times New Roman" w:eastAsia="宋体" w:cs="Times New Roman"/>
                <w:b w:val="0"/>
                <w:bCs w:val="0"/>
                <w:kern w:val="2"/>
                <w:sz w:val="28"/>
                <w:szCs w:val="36"/>
                <w:highlight w:val="none"/>
                <w:lang w:val="en-US" w:eastAsia="zh-CN" w:bidi="ar-SA"/>
              </w:rPr>
            </w:pPr>
            <w:r>
              <w:rPr>
                <w:rFonts w:hint="eastAsia" w:ascii="Times New Roman" w:hAnsi="Times New Roman" w:eastAsia="宋体" w:cs="Times New Roman"/>
                <w:b w:val="0"/>
                <w:bCs w:val="0"/>
                <w:kern w:val="2"/>
                <w:sz w:val="28"/>
                <w:szCs w:val="36"/>
                <w:highlight w:val="none"/>
                <w:lang w:val="en-US" w:eastAsia="zh-CN" w:bidi="ar-SA"/>
              </w:rPr>
              <w:t>响应文件开启时间后30分钟内供应商可以登录“政采云”平台，用“项目采购-开标评标”功能进行解密响应文件。若供应商在规定时间内未按时解密的，视为响应文件撤回。</w:t>
            </w:r>
          </w:p>
          <w:p>
            <w:pPr>
              <w:pStyle w:val="4"/>
              <w:numPr>
                <w:ilvl w:val="0"/>
                <w:numId w:val="3"/>
              </w:numPr>
              <w:ind w:left="0" w:leftChars="0" w:firstLine="0" w:firstLineChars="0"/>
              <w:rPr>
                <w:rFonts w:hint="eastAsia" w:ascii="Times New Roman" w:hAnsi="Times New Roman" w:eastAsia="宋体" w:cs="Times New Roman"/>
                <w:b w:val="0"/>
                <w:bCs w:val="0"/>
                <w:kern w:val="2"/>
                <w:sz w:val="28"/>
                <w:szCs w:val="36"/>
                <w:highlight w:val="none"/>
                <w:lang w:val="en-US" w:eastAsia="zh-CN" w:bidi="ar-SA"/>
              </w:rPr>
            </w:pPr>
            <w:r>
              <w:rPr>
                <w:rFonts w:hint="eastAsia" w:ascii="Times New Roman" w:hAnsi="Times New Roman" w:eastAsia="宋体" w:cs="Times New Roman"/>
                <w:b w:val="0"/>
                <w:bCs w:val="0"/>
                <w:kern w:val="2"/>
                <w:sz w:val="28"/>
                <w:szCs w:val="36"/>
                <w:highlight w:val="none"/>
                <w:lang w:val="en-US" w:eastAsia="zh-CN" w:bidi="ar-SA"/>
              </w:rPr>
              <w:t>注意事项：</w:t>
            </w:r>
          </w:p>
          <w:p>
            <w:pPr>
              <w:pStyle w:val="4"/>
              <w:numPr>
                <w:ilvl w:val="0"/>
                <w:numId w:val="0"/>
              </w:numPr>
              <w:ind w:leftChars="0"/>
              <w:rPr>
                <w:rFonts w:hint="eastAsia" w:ascii="Times New Roman" w:hAnsi="Times New Roman" w:eastAsia="宋体" w:cs="Times New Roman"/>
                <w:b w:val="0"/>
                <w:bCs w:val="0"/>
                <w:kern w:val="2"/>
                <w:sz w:val="28"/>
                <w:szCs w:val="36"/>
                <w:highlight w:val="none"/>
                <w:lang w:val="en-US" w:eastAsia="zh-CN" w:bidi="ar-SA"/>
              </w:rPr>
            </w:pPr>
            <w:r>
              <w:rPr>
                <w:rFonts w:hint="eastAsia" w:ascii="Times New Roman" w:hAnsi="Times New Roman" w:eastAsia="宋体" w:cs="Times New Roman"/>
                <w:b w:val="0"/>
                <w:bCs w:val="0"/>
                <w:kern w:val="2"/>
                <w:sz w:val="28"/>
                <w:szCs w:val="36"/>
                <w:highlight w:val="none"/>
                <w:lang w:val="en-US" w:eastAsia="zh-CN" w:bidi="ar-SA"/>
              </w:rPr>
              <w:t>1、请务必确保投标文件制作客户端为最新版本，旧版本可能导致投标文件解密失败。</w:t>
            </w:r>
          </w:p>
          <w:p>
            <w:pPr>
              <w:pStyle w:val="4"/>
              <w:numPr>
                <w:ilvl w:val="0"/>
                <w:numId w:val="0"/>
              </w:numPr>
              <w:ind w:leftChars="0"/>
              <w:rPr>
                <w:rFonts w:hint="eastAsia"/>
                <w:sz w:val="28"/>
                <w:szCs w:val="24"/>
                <w:highlight w:val="none"/>
                <w:lang w:eastAsia="zh-CN"/>
              </w:rPr>
            </w:pPr>
            <w:r>
              <w:rPr>
                <w:rFonts w:hint="eastAsia" w:ascii="Times New Roman" w:hAnsi="Times New Roman" w:eastAsia="宋体" w:cs="Times New Roman"/>
                <w:b w:val="0"/>
                <w:bCs w:val="0"/>
                <w:kern w:val="2"/>
                <w:sz w:val="28"/>
                <w:szCs w:val="36"/>
                <w:highlight w:val="none"/>
                <w:lang w:val="en-US" w:eastAsia="zh-CN" w:bidi="ar-SA"/>
              </w:rPr>
              <w:t>2、请务必确保投标文件制作时所用的CA锁与投标文件解密时的CA锁为同一把，否则可能导致投标文件解密失败。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118"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5.1.1</w:t>
            </w:r>
          </w:p>
        </w:tc>
        <w:tc>
          <w:tcPr>
            <w:tcW w:w="1950" w:type="dxa"/>
            <w:noWrap w:val="0"/>
            <w:vAlign w:val="center"/>
          </w:tcPr>
          <w:p>
            <w:pPr>
              <w:keepNext/>
              <w:spacing w:line="360" w:lineRule="auto"/>
              <w:jc w:val="center"/>
              <w:rPr>
                <w:rFonts w:hint="eastAsia" w:ascii="宋体" w:hAnsi="宋体" w:cs="宋体"/>
                <w:b/>
                <w:bCs/>
                <w:sz w:val="28"/>
                <w:szCs w:val="28"/>
                <w:u w:val="none"/>
              </w:rPr>
            </w:pPr>
            <w:r>
              <w:rPr>
                <w:rFonts w:hint="eastAsia" w:ascii="宋体" w:hAnsi="宋体" w:cs="宋体"/>
                <w:b/>
                <w:bCs/>
                <w:color w:val="000000"/>
                <w:sz w:val="28"/>
                <w:szCs w:val="28"/>
                <w:u w:val="none"/>
              </w:rPr>
              <w:t>采购人</w:t>
            </w:r>
          </w:p>
        </w:tc>
        <w:tc>
          <w:tcPr>
            <w:tcW w:w="6330" w:type="dxa"/>
            <w:noWrap w:val="0"/>
            <w:vAlign w:val="center"/>
          </w:tcPr>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名称：</w:t>
            </w:r>
            <w:r>
              <w:rPr>
                <w:rFonts w:hint="eastAsia" w:ascii="宋体" w:hAnsi="宋体" w:cs="宋体"/>
                <w:sz w:val="28"/>
                <w:szCs w:val="28"/>
                <w:u w:val="none"/>
                <w:lang w:val="en-US" w:eastAsia="zh-CN"/>
              </w:rPr>
              <w:t xml:space="preserve">阿瓦提县农业农村局   </w:t>
            </w:r>
            <w:r>
              <w:rPr>
                <w:rFonts w:hint="eastAsia" w:ascii="宋体" w:hAnsi="宋体" w:cs="宋体"/>
                <w:sz w:val="28"/>
                <w:szCs w:val="28"/>
                <w:u w:val="none"/>
              </w:rPr>
              <w:t xml:space="preserve">                    </w:t>
            </w:r>
          </w:p>
          <w:p>
            <w:pPr>
              <w:keepNext/>
              <w:spacing w:line="360" w:lineRule="auto"/>
              <w:jc w:val="both"/>
              <w:rPr>
                <w:rFonts w:hint="eastAsia" w:ascii="宋体" w:hAnsi="宋体" w:cs="宋体"/>
                <w:sz w:val="28"/>
                <w:szCs w:val="28"/>
                <w:u w:val="none"/>
              </w:rPr>
            </w:pPr>
            <w:r>
              <w:rPr>
                <w:rFonts w:hint="eastAsia" w:ascii="宋体" w:hAnsi="宋体" w:cs="宋体"/>
                <w:sz w:val="28"/>
                <w:szCs w:val="28"/>
                <w:u w:val="none"/>
              </w:rPr>
              <w:t xml:space="preserve">地址：阿克苏地区阿瓦提县团结西路7号  </w:t>
            </w:r>
          </w:p>
          <w:p>
            <w:pPr>
              <w:keepNext/>
              <w:spacing w:line="360" w:lineRule="auto"/>
              <w:jc w:val="both"/>
              <w:rPr>
                <w:rFonts w:hint="eastAsia"/>
                <w:color w:val="auto"/>
                <w:sz w:val="28"/>
                <w:szCs w:val="28"/>
              </w:rPr>
            </w:pPr>
            <w:r>
              <w:rPr>
                <w:rFonts w:hint="eastAsia"/>
                <w:color w:val="auto"/>
                <w:sz w:val="28"/>
                <w:szCs w:val="28"/>
              </w:rPr>
              <w:t>联系人：王宏</w:t>
            </w:r>
            <w:r>
              <w:rPr>
                <w:rFonts w:hint="eastAsia"/>
                <w:color w:val="000000"/>
                <w:sz w:val="28"/>
                <w:szCs w:val="28"/>
                <w:highlight w:val="none"/>
                <w:lang w:val="en-US" w:eastAsia="zh-CN"/>
              </w:rPr>
              <w:t xml:space="preserve">   </w:t>
            </w:r>
            <w:r>
              <w:rPr>
                <w:rFonts w:hint="eastAsia"/>
                <w:color w:val="000000"/>
                <w:sz w:val="28"/>
                <w:szCs w:val="28"/>
                <w:highlight w:val="none"/>
              </w:rPr>
              <w:t> </w:t>
            </w:r>
          </w:p>
          <w:p>
            <w:pPr>
              <w:keepNext/>
              <w:spacing w:line="360" w:lineRule="auto"/>
              <w:jc w:val="both"/>
              <w:rPr>
                <w:rFonts w:hint="default" w:ascii="宋体" w:hAnsi="宋体" w:cs="宋体"/>
                <w:sz w:val="28"/>
                <w:szCs w:val="28"/>
                <w:u w:val="none"/>
                <w:lang w:val="en-US"/>
              </w:rPr>
            </w:pPr>
            <w:r>
              <w:rPr>
                <w:rFonts w:hint="eastAsia"/>
                <w:color w:val="auto"/>
                <w:sz w:val="28"/>
                <w:szCs w:val="28"/>
              </w:rPr>
              <w:t>电话：13999677706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118" w:type="dxa"/>
            <w:noWrap w:val="0"/>
            <w:vAlign w:val="center"/>
          </w:tcPr>
          <w:p>
            <w:pPr>
              <w:spacing w:line="360" w:lineRule="auto"/>
              <w:jc w:val="center"/>
              <w:rPr>
                <w:rFonts w:hint="eastAsia" w:ascii="宋体" w:hAnsi="宋体" w:eastAsia="宋体" w:cs="宋体"/>
                <w:b/>
                <w:bCs/>
                <w:sz w:val="28"/>
                <w:szCs w:val="28"/>
                <w:highlight w:val="yellow"/>
                <w:u w:val="none"/>
                <w:lang w:val="en-US" w:eastAsia="zh-CN"/>
              </w:rPr>
            </w:pPr>
            <w:r>
              <w:rPr>
                <w:rFonts w:hint="eastAsia" w:ascii="宋体" w:hAnsi="宋体" w:cs="宋体"/>
                <w:b/>
                <w:bCs/>
                <w:sz w:val="28"/>
                <w:szCs w:val="28"/>
                <w:u w:val="none"/>
              </w:rPr>
              <w:t>5.</w:t>
            </w:r>
            <w:r>
              <w:rPr>
                <w:rFonts w:hint="eastAsia" w:ascii="宋体" w:hAnsi="宋体" w:cs="宋体"/>
                <w:b/>
                <w:bCs/>
                <w:sz w:val="28"/>
                <w:szCs w:val="28"/>
                <w:u w:val="none"/>
                <w:lang w:val="en-US" w:eastAsia="zh-CN"/>
              </w:rPr>
              <w:t>2</w:t>
            </w:r>
          </w:p>
        </w:tc>
        <w:tc>
          <w:tcPr>
            <w:tcW w:w="1950" w:type="dxa"/>
            <w:noWrap w:val="0"/>
            <w:vAlign w:val="center"/>
          </w:tcPr>
          <w:p>
            <w:pPr>
              <w:spacing w:line="360" w:lineRule="auto"/>
              <w:jc w:val="center"/>
              <w:rPr>
                <w:rFonts w:hint="eastAsia" w:ascii="宋体" w:hAnsi="宋体" w:cs="宋体"/>
                <w:b/>
                <w:bCs/>
                <w:sz w:val="28"/>
                <w:szCs w:val="28"/>
                <w:u w:val="none"/>
              </w:rPr>
            </w:pPr>
            <w:r>
              <w:rPr>
                <w:rFonts w:hint="eastAsia" w:ascii="宋体" w:hAnsi="宋体" w:cs="宋体"/>
                <w:b/>
                <w:bCs/>
                <w:sz w:val="28"/>
                <w:szCs w:val="28"/>
                <w:u w:val="none"/>
              </w:rPr>
              <w:t>磋商小组的组成</w:t>
            </w:r>
          </w:p>
        </w:tc>
        <w:tc>
          <w:tcPr>
            <w:tcW w:w="6330" w:type="dxa"/>
            <w:noWrap w:val="0"/>
            <w:vAlign w:val="center"/>
          </w:tcPr>
          <w:p>
            <w:pPr>
              <w:spacing w:line="360" w:lineRule="auto"/>
              <w:rPr>
                <w:rFonts w:hint="eastAsia" w:ascii="宋体" w:hAnsi="宋体" w:cs="宋体"/>
                <w:color w:val="000000"/>
                <w:sz w:val="28"/>
                <w:szCs w:val="28"/>
                <w:highlight w:val="none"/>
                <w:u w:val="none"/>
              </w:rPr>
            </w:pPr>
            <w:r>
              <w:rPr>
                <w:rFonts w:hint="eastAsia" w:ascii="宋体" w:hAnsi="宋体" w:cs="宋体"/>
                <w:color w:val="000000"/>
                <w:sz w:val="28"/>
                <w:szCs w:val="28"/>
                <w:highlight w:val="none"/>
                <w:u w:val="none"/>
              </w:rPr>
              <w:t>评审专家人数：</w:t>
            </w:r>
            <w:r>
              <w:rPr>
                <w:rFonts w:hint="eastAsia" w:ascii="宋体" w:hAnsi="宋体" w:cs="宋体"/>
                <w:color w:val="000000"/>
                <w:sz w:val="28"/>
                <w:szCs w:val="28"/>
                <w:highlight w:val="none"/>
                <w:u w:val="none"/>
                <w:lang w:val="en-US" w:eastAsia="zh-CN"/>
              </w:rPr>
              <w:t>3</w:t>
            </w:r>
            <w:r>
              <w:rPr>
                <w:rFonts w:hint="eastAsia" w:ascii="宋体" w:hAnsi="宋体" w:cs="宋体"/>
                <w:color w:val="000000"/>
                <w:sz w:val="28"/>
                <w:szCs w:val="28"/>
                <w:highlight w:val="none"/>
                <w:u w:val="none"/>
              </w:rPr>
              <w:t>人，其中采购人代表</w:t>
            </w:r>
            <w:r>
              <w:rPr>
                <w:rFonts w:hint="eastAsia" w:ascii="宋体" w:hAnsi="宋体" w:cs="宋体"/>
                <w:color w:val="000000"/>
                <w:sz w:val="28"/>
                <w:szCs w:val="28"/>
                <w:highlight w:val="none"/>
                <w:u w:val="none"/>
                <w:lang w:val="en-US" w:eastAsia="zh-CN"/>
              </w:rPr>
              <w:t>0</w:t>
            </w:r>
            <w:r>
              <w:rPr>
                <w:rFonts w:hint="eastAsia" w:ascii="宋体" w:hAnsi="宋体" w:cs="宋体"/>
                <w:color w:val="000000"/>
                <w:sz w:val="28"/>
                <w:szCs w:val="28"/>
                <w:highlight w:val="none"/>
                <w:u w:val="none"/>
              </w:rPr>
              <w:t>人，专家</w:t>
            </w:r>
            <w:r>
              <w:rPr>
                <w:rFonts w:hint="eastAsia" w:ascii="宋体" w:hAnsi="宋体" w:cs="宋体"/>
                <w:color w:val="000000"/>
                <w:sz w:val="28"/>
                <w:szCs w:val="28"/>
                <w:highlight w:val="none"/>
                <w:u w:val="none"/>
                <w:lang w:val="en-US" w:eastAsia="zh-CN"/>
              </w:rPr>
              <w:t>3</w:t>
            </w:r>
            <w:r>
              <w:rPr>
                <w:rFonts w:hint="eastAsia" w:ascii="宋体" w:hAnsi="宋体" w:cs="宋体"/>
                <w:color w:val="000000"/>
                <w:sz w:val="28"/>
                <w:szCs w:val="28"/>
                <w:highlight w:val="none"/>
                <w:u w:val="none"/>
              </w:rPr>
              <w:t>人。</w:t>
            </w:r>
          </w:p>
          <w:p>
            <w:pPr>
              <w:spacing w:line="360" w:lineRule="auto"/>
              <w:rPr>
                <w:rFonts w:hint="eastAsia" w:ascii="宋体" w:hAnsi="宋体" w:cs="宋体"/>
                <w:sz w:val="28"/>
                <w:szCs w:val="28"/>
                <w:u w:val="none"/>
              </w:rPr>
            </w:pPr>
            <w:r>
              <w:rPr>
                <w:rFonts w:hint="eastAsia" w:ascii="宋体" w:hAnsi="宋体" w:cs="宋体"/>
                <w:color w:val="000000"/>
                <w:sz w:val="28"/>
                <w:szCs w:val="28"/>
                <w:highlight w:val="none"/>
                <w:u w:val="none"/>
              </w:rPr>
              <w:t>评审专家确定方式：从</w:t>
            </w:r>
            <w:r>
              <w:rPr>
                <w:rFonts w:hint="eastAsia" w:ascii="宋体" w:hAnsi="宋体" w:cs="宋体"/>
                <w:color w:val="000000"/>
                <w:sz w:val="28"/>
                <w:szCs w:val="28"/>
                <w:highlight w:val="none"/>
                <w:u w:val="none"/>
                <w:lang w:eastAsia="zh-CN"/>
              </w:rPr>
              <w:t>阿克苏地区评标</w:t>
            </w:r>
            <w:r>
              <w:rPr>
                <w:rFonts w:hint="eastAsia" w:ascii="宋体" w:hAnsi="宋体" w:cs="宋体"/>
                <w:color w:val="000000"/>
                <w:sz w:val="28"/>
                <w:szCs w:val="28"/>
                <w:highlight w:val="none"/>
                <w:u w:val="none"/>
              </w:rPr>
              <w:t>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8"/>
                <w:szCs w:val="28"/>
                <w:highlight w:val="yellow"/>
                <w:u w:val="none"/>
                <w:lang w:eastAsia="zh-CN"/>
              </w:rPr>
            </w:pPr>
            <w:r>
              <w:rPr>
                <w:rFonts w:hint="eastAsia" w:ascii="宋体" w:hAnsi="宋体" w:cs="宋体"/>
                <w:b/>
                <w:bCs/>
                <w:sz w:val="28"/>
                <w:szCs w:val="28"/>
                <w:u w:val="none"/>
              </w:rPr>
              <w:t>5.</w:t>
            </w:r>
            <w:r>
              <w:rPr>
                <w:rFonts w:hint="eastAsia" w:ascii="宋体" w:hAnsi="宋体" w:cs="宋体"/>
                <w:b/>
                <w:bCs/>
                <w:sz w:val="28"/>
                <w:szCs w:val="28"/>
                <w:u w:val="none"/>
                <w:lang w:val="en-US" w:eastAsia="zh-CN"/>
              </w:rPr>
              <w:t>3</w:t>
            </w:r>
          </w:p>
        </w:tc>
        <w:tc>
          <w:tcPr>
            <w:tcW w:w="1950"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u w:val="none"/>
              </w:rPr>
            </w:pPr>
            <w:r>
              <w:rPr>
                <w:rFonts w:hint="eastAsia" w:ascii="宋体" w:hAnsi="宋体" w:cs="宋体"/>
                <w:b/>
                <w:bCs/>
                <w:sz w:val="28"/>
                <w:szCs w:val="28"/>
                <w:u w:val="none"/>
              </w:rPr>
              <w:t>磋商轮数和最后报价的其他要求</w:t>
            </w:r>
          </w:p>
        </w:tc>
        <w:tc>
          <w:tcPr>
            <w:tcW w:w="63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8"/>
                <w:szCs w:val="28"/>
                <w:u w:val="none"/>
                <w:lang w:val="zh-CN"/>
              </w:rPr>
            </w:pPr>
            <w:r>
              <w:rPr>
                <w:rFonts w:hint="eastAsia" w:ascii="宋体" w:hAnsi="宋体" w:cs="宋体"/>
                <w:kern w:val="0"/>
                <w:sz w:val="28"/>
                <w:szCs w:val="28"/>
                <w:u w:val="none"/>
                <w:lang w:val="zh-CN"/>
              </w:rPr>
              <w:t>1、磋商轮数:二轮（第一轮为响应文件报价，第二轮为磋商过程中的最终报价）</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kern w:val="0"/>
                <w:sz w:val="28"/>
                <w:szCs w:val="28"/>
                <w:u w:val="none"/>
                <w:lang w:val="zh-CN"/>
              </w:rPr>
              <w:t>2、最后报价，并在所有参加磋商的供应商</w:t>
            </w:r>
            <w:r>
              <w:rPr>
                <w:rFonts w:hint="eastAsia" w:ascii="宋体" w:hAnsi="宋体" w:cs="宋体"/>
                <w:bCs/>
                <w:sz w:val="28"/>
                <w:szCs w:val="28"/>
                <w:u w:val="none"/>
              </w:rPr>
              <w:t>并由供应商代表签字</w:t>
            </w:r>
            <w:r>
              <w:rPr>
                <w:rFonts w:hint="eastAsia" w:ascii="宋体" w:hAnsi="宋体" w:cs="宋体"/>
                <w:bCs/>
                <w:sz w:val="28"/>
                <w:szCs w:val="28"/>
                <w:u w:val="none"/>
                <w:lang w:eastAsia="zh-CN"/>
              </w:rPr>
              <w:t>或盖章</w:t>
            </w:r>
            <w:r>
              <w:rPr>
                <w:rFonts w:hint="eastAsia" w:ascii="宋体" w:hAnsi="宋体" w:cs="宋体"/>
                <w:bCs/>
                <w:sz w:val="28"/>
                <w:szCs w:val="28"/>
                <w:u w:val="none"/>
              </w:rPr>
              <w:t>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28"/>
                <w:szCs w:val="28"/>
                <w:u w:val="none"/>
                <w:lang w:val="en-US" w:eastAsia="zh-CN"/>
              </w:rPr>
            </w:pPr>
            <w:r>
              <w:rPr>
                <w:rFonts w:hint="eastAsia" w:ascii="宋体" w:hAnsi="宋体" w:cs="宋体"/>
                <w:b/>
                <w:bCs/>
                <w:sz w:val="28"/>
                <w:szCs w:val="28"/>
                <w:u w:val="none"/>
              </w:rPr>
              <w:t>5.</w:t>
            </w:r>
            <w:r>
              <w:rPr>
                <w:rFonts w:hint="eastAsia" w:ascii="宋体" w:hAnsi="宋体" w:cs="宋体"/>
                <w:b/>
                <w:bCs/>
                <w:sz w:val="28"/>
                <w:szCs w:val="28"/>
                <w:u w:val="none"/>
                <w:lang w:val="en-US" w:eastAsia="zh-CN"/>
              </w:rPr>
              <w:t>4</w:t>
            </w:r>
          </w:p>
        </w:tc>
        <w:tc>
          <w:tcPr>
            <w:tcW w:w="1950"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u w:val="none"/>
              </w:rPr>
            </w:pPr>
            <w:r>
              <w:rPr>
                <w:rFonts w:hint="eastAsia" w:ascii="宋体" w:hAnsi="宋体" w:cs="宋体"/>
                <w:b/>
                <w:bCs/>
                <w:sz w:val="28"/>
                <w:szCs w:val="28"/>
                <w:u w:val="none"/>
              </w:rPr>
              <w:t>推荐成交候选供应商的数量</w:t>
            </w:r>
          </w:p>
        </w:tc>
        <w:tc>
          <w:tcPr>
            <w:tcW w:w="6330" w:type="dxa"/>
            <w:noWrap w:val="0"/>
            <w:vAlign w:val="center"/>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lang w:eastAsia="zh-CN"/>
              </w:rPr>
              <w:t>三</w:t>
            </w:r>
            <w:r>
              <w:rPr>
                <w:rFonts w:hint="eastAsia" w:ascii="宋体" w:hAnsi="宋体" w:cs="宋体"/>
                <w:sz w:val="28"/>
                <w:szCs w:val="28"/>
                <w:u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highlight w:val="yellow"/>
                <w:u w:val="none"/>
              </w:rPr>
            </w:pPr>
            <w:r>
              <w:rPr>
                <w:rFonts w:hint="eastAsia" w:ascii="宋体" w:hAnsi="宋体" w:cs="宋体"/>
                <w:b/>
                <w:bCs/>
                <w:sz w:val="28"/>
                <w:szCs w:val="28"/>
                <w:u w:val="none"/>
              </w:rPr>
              <w:t>6.1</w:t>
            </w:r>
          </w:p>
        </w:tc>
        <w:tc>
          <w:tcPr>
            <w:tcW w:w="1950"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u w:val="none"/>
              </w:rPr>
            </w:pPr>
            <w:r>
              <w:rPr>
                <w:rFonts w:hint="eastAsia" w:ascii="宋体" w:hAnsi="宋体" w:cs="宋体"/>
                <w:b/>
                <w:bCs/>
                <w:sz w:val="28"/>
                <w:szCs w:val="28"/>
                <w:u w:val="none"/>
              </w:rPr>
              <w:t>成交结果公示媒体</w:t>
            </w:r>
          </w:p>
        </w:tc>
        <w:tc>
          <w:tcPr>
            <w:tcW w:w="6330" w:type="dxa"/>
            <w:noWrap w:val="0"/>
            <w:vAlign w:val="center"/>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FF0000"/>
                <w:sz w:val="28"/>
                <w:szCs w:val="28"/>
                <w:u w:val="none"/>
                <w:lang w:eastAsia="zh-CN"/>
              </w:rPr>
            </w:pPr>
            <w:r>
              <w:rPr>
                <w:rFonts w:hint="eastAsia"/>
                <w:color w:val="auto"/>
                <w:sz w:val="28"/>
                <w:szCs w:val="28"/>
                <w:lang w:eastAsia="zh-CN"/>
              </w:rPr>
              <w:t>新疆政府采购网、阿瓦提</w:t>
            </w:r>
            <w:r>
              <w:rPr>
                <w:rFonts w:hint="eastAsia"/>
                <w:color w:val="auto"/>
                <w:sz w:val="28"/>
                <w:szCs w:val="28"/>
              </w:rPr>
              <w:t>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sz w:val="28"/>
                <w:szCs w:val="28"/>
                <w:u w:val="none"/>
                <w:lang w:val="en-US" w:eastAsia="zh-CN"/>
              </w:rPr>
            </w:pPr>
          </w:p>
        </w:tc>
        <w:tc>
          <w:tcPr>
            <w:tcW w:w="8280" w:type="dxa"/>
            <w:gridSpan w:val="2"/>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118" w:type="dxa"/>
            <w:noWrap w:val="0"/>
            <w:vAlign w:val="top"/>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u w:val="none"/>
              </w:rPr>
            </w:pPr>
            <w:r>
              <w:rPr>
                <w:rFonts w:hint="eastAsia" w:ascii="宋体" w:hAnsi="宋体" w:cs="宋体"/>
                <w:b/>
                <w:bCs/>
                <w:sz w:val="28"/>
                <w:szCs w:val="28"/>
                <w:u w:val="none"/>
                <w:lang w:val="en-US" w:eastAsia="zh-CN"/>
              </w:rPr>
              <w:t>7</w:t>
            </w:r>
            <w:r>
              <w:rPr>
                <w:rFonts w:hint="eastAsia" w:ascii="宋体" w:hAnsi="宋体" w:cs="宋体"/>
                <w:b/>
                <w:bCs/>
                <w:sz w:val="28"/>
                <w:szCs w:val="28"/>
                <w:u w:val="none"/>
              </w:rPr>
              <w:t>.1</w:t>
            </w:r>
          </w:p>
        </w:tc>
        <w:tc>
          <w:tcPr>
            <w:tcW w:w="8280" w:type="dxa"/>
            <w:gridSpan w:val="2"/>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rPr>
              <w:t>磋商代理服务费：</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18" w:type="dxa"/>
            <w:noWrap w:val="0"/>
            <w:vAlign w:val="top"/>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8"/>
                <w:szCs w:val="28"/>
                <w:u w:val="none"/>
              </w:rPr>
            </w:pPr>
            <w:r>
              <w:rPr>
                <w:rFonts w:hint="eastAsia" w:ascii="宋体" w:hAnsi="宋体" w:cs="宋体"/>
                <w:b/>
                <w:bCs/>
                <w:sz w:val="28"/>
                <w:szCs w:val="28"/>
                <w:u w:val="none"/>
                <w:lang w:val="en-US" w:eastAsia="zh-CN"/>
              </w:rPr>
              <w:t>7</w:t>
            </w:r>
            <w:r>
              <w:rPr>
                <w:rFonts w:hint="eastAsia" w:ascii="宋体" w:hAnsi="宋体" w:cs="宋体"/>
                <w:b/>
                <w:bCs/>
                <w:sz w:val="28"/>
                <w:szCs w:val="28"/>
                <w:u w:val="none"/>
              </w:rPr>
              <w:t>.2</w:t>
            </w:r>
          </w:p>
        </w:tc>
        <w:tc>
          <w:tcPr>
            <w:tcW w:w="8280" w:type="dxa"/>
            <w:gridSpan w:val="2"/>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sz w:val="28"/>
                <w:szCs w:val="28"/>
                <w:u w:val="none"/>
              </w:rPr>
            </w:pPr>
            <w:r>
              <w:rPr>
                <w:rFonts w:hint="eastAsia" w:ascii="宋体" w:hAnsi="宋体" w:cs="宋体"/>
                <w:b/>
                <w:sz w:val="28"/>
                <w:szCs w:val="28"/>
                <w:u w:val="none"/>
              </w:rPr>
              <w:t>解释权:</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rPr>
              <w:t>构成磋商文件的各个组成文件应互为解释，互为说明；除磋商文件中有特别规定外，按磋商邀请、磋商须知、响应文件格式的先后顺序解释；同一组成文件中就同一事项的规定或约定不一致的，以编排顺序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b/>
                <w:bCs/>
                <w:sz w:val="28"/>
                <w:szCs w:val="28"/>
                <w:u w:val="none"/>
                <w:lang w:val="en-US" w:eastAsia="zh-CN"/>
              </w:rPr>
            </w:pPr>
            <w:r>
              <w:rPr>
                <w:rFonts w:hint="eastAsia" w:ascii="宋体" w:hAnsi="宋体" w:cs="宋体"/>
                <w:b/>
                <w:bCs/>
                <w:sz w:val="28"/>
                <w:szCs w:val="28"/>
                <w:u w:val="none"/>
                <w:lang w:val="en-US" w:eastAsia="zh-CN"/>
              </w:rPr>
              <w:t>7.3</w:t>
            </w:r>
          </w:p>
        </w:tc>
        <w:tc>
          <w:tcPr>
            <w:tcW w:w="8280" w:type="dxa"/>
            <w:gridSpan w:val="2"/>
            <w:noWrap w:val="0"/>
            <w:vAlign w:val="top"/>
          </w:tcPr>
          <w:p>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sz w:val="28"/>
                <w:szCs w:val="28"/>
                <w:u w:val="none"/>
                <w:lang w:val="en-US" w:eastAsia="zh-CN"/>
              </w:rPr>
            </w:pPr>
            <w:r>
              <w:rPr>
                <w:rFonts w:hint="eastAsia" w:ascii="宋体" w:hAnsi="宋体" w:cs="宋体"/>
                <w:sz w:val="28"/>
                <w:szCs w:val="28"/>
                <w:u w:val="none"/>
              </w:rPr>
              <w:t>重大违法记录：</w:t>
            </w:r>
            <w:r>
              <w:rPr>
                <w:rFonts w:hint="eastAsia" w:ascii="宋体" w:hAnsi="宋体" w:cs="宋体"/>
                <w:sz w:val="28"/>
                <w:szCs w:val="28"/>
                <w:u w:val="none"/>
                <w:lang w:val="en-US" w:eastAsia="zh-CN"/>
              </w:rPr>
              <w:t>1、</w:t>
            </w:r>
            <w:r>
              <w:rPr>
                <w:rFonts w:hint="eastAsia" w:ascii="宋体" w:hAnsi="宋体" w:cs="宋体"/>
                <w:sz w:val="28"/>
                <w:szCs w:val="28"/>
                <w:u w:val="none"/>
              </w:rPr>
              <w:t>供应商因违法经营受到刑事处罚或者责令停产停业、吊销许可证或者执照、较大数额罚款等行政处罚</w:t>
            </w:r>
            <w:r>
              <w:rPr>
                <w:rFonts w:hint="eastAsia" w:ascii="宋体" w:hAnsi="宋体" w:cs="宋体"/>
                <w:sz w:val="28"/>
                <w:szCs w:val="28"/>
                <w:u w:val="none"/>
                <w:lang w:eastAsia="zh-CN"/>
              </w:rPr>
              <w:t>；</w:t>
            </w:r>
            <w:r>
              <w:rPr>
                <w:rFonts w:hint="eastAsia" w:ascii="宋体" w:hAnsi="宋体" w:cs="宋体"/>
                <w:sz w:val="28"/>
                <w:szCs w:val="28"/>
                <w:u w:val="none"/>
                <w:lang w:val="en-US" w:eastAsia="zh-CN"/>
              </w:rPr>
              <w:t>2、</w:t>
            </w:r>
            <w:r>
              <w:rPr>
                <w:rFonts w:hint="eastAsia" w:ascii="宋体" w:hAnsi="宋体" w:cs="宋体"/>
                <w:sz w:val="28"/>
                <w:szCs w:val="28"/>
              </w:rPr>
              <w:t>在“信用中国”（www.creditchina.gov.cn）、中国政府采购网（www.ccgp.gov.cn）上被列入失信被执行人、重大税收违法案件当事人名单、政府采购严重违法失信行为记录名单的（尚在处罚期内的）、经营异常名录的</w:t>
            </w:r>
            <w:r>
              <w:rPr>
                <w:rFonts w:hint="eastAsia" w:ascii="宋体" w:hAnsi="宋体" w:cs="宋体"/>
                <w:sz w:val="28"/>
                <w:szCs w:val="28"/>
                <w:lang w:eastAsia="zh-CN"/>
              </w:rPr>
              <w:t>；</w:t>
            </w:r>
            <w:r>
              <w:rPr>
                <w:rFonts w:hint="eastAsia" w:ascii="宋体" w:hAnsi="宋体" w:cs="宋体"/>
                <w:sz w:val="28"/>
                <w:szCs w:val="28"/>
                <w:lang w:val="en-US" w:eastAsia="zh-CN"/>
              </w:rPr>
              <w:t>3、</w:t>
            </w:r>
            <w:r>
              <w:rPr>
                <w:rFonts w:ascii="宋体" w:hAnsi="宋体" w:eastAsia="宋体" w:cs="宋体"/>
                <w:sz w:val="28"/>
                <w:szCs w:val="28"/>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18"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
                <w:bCs/>
                <w:sz w:val="28"/>
                <w:szCs w:val="28"/>
                <w:u w:val="none"/>
                <w:lang w:val="en-US" w:eastAsia="zh-CN"/>
              </w:rPr>
            </w:pPr>
            <w:r>
              <w:rPr>
                <w:rFonts w:hint="eastAsia" w:ascii="宋体" w:hAnsi="宋体" w:cs="宋体"/>
                <w:b/>
                <w:bCs/>
                <w:sz w:val="28"/>
                <w:szCs w:val="28"/>
                <w:u w:val="none"/>
                <w:lang w:val="en-US" w:eastAsia="zh-CN"/>
              </w:rPr>
              <w:t>7.4</w:t>
            </w:r>
          </w:p>
        </w:tc>
        <w:tc>
          <w:tcPr>
            <w:tcW w:w="8280" w:type="dxa"/>
            <w:gridSpan w:val="2"/>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rPr>
              <w:t>中小微型企业有关政策：</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sz w:val="28"/>
                <w:szCs w:val="28"/>
                <w:u w:val="none"/>
              </w:rPr>
            </w:pPr>
            <w:r>
              <w:rPr>
                <w:rFonts w:hint="eastAsia" w:ascii="宋体" w:hAnsi="宋体" w:cs="宋体"/>
                <w:sz w:val="28"/>
                <w:szCs w:val="28"/>
                <w:u w:val="none"/>
                <w:lang w:eastAsia="zh-CN"/>
              </w:rPr>
              <w:t xml:space="preserve">采购人、采购代理机构应当对符合本办法规定的小微企业报价给予 </w:t>
            </w:r>
            <w:r>
              <w:rPr>
                <w:rFonts w:hint="eastAsia" w:ascii="宋体" w:hAnsi="宋体" w:cs="宋体"/>
                <w:sz w:val="28"/>
                <w:szCs w:val="28"/>
                <w:u w:val="none"/>
                <w:lang w:val="en-US" w:eastAsia="zh-CN"/>
              </w:rPr>
              <w:t>3</w:t>
            </w:r>
            <w:r>
              <w:rPr>
                <w:rFonts w:hint="eastAsia" w:ascii="宋体" w:hAnsi="宋体" w:cs="宋体"/>
                <w:sz w:val="28"/>
                <w:szCs w:val="28"/>
                <w:u w:val="none"/>
                <w:lang w:eastAsia="zh-CN"/>
              </w:rPr>
              <w:t>%—</w:t>
            </w:r>
            <w:r>
              <w:rPr>
                <w:rFonts w:hint="eastAsia" w:ascii="宋体" w:hAnsi="宋体" w:cs="宋体"/>
                <w:sz w:val="28"/>
                <w:szCs w:val="28"/>
                <w:u w:val="none"/>
                <w:lang w:val="en-US" w:eastAsia="zh-CN"/>
              </w:rPr>
              <w:t>5</w:t>
            </w:r>
            <w:r>
              <w:rPr>
                <w:rFonts w:hint="eastAsia" w:ascii="宋体" w:hAnsi="宋体" w:cs="宋体"/>
                <w:sz w:val="28"/>
                <w:szCs w:val="28"/>
                <w:u w:val="none"/>
                <w:lang w:eastAsia="zh-CN"/>
              </w:rPr>
              <w:t>%的扣除，用扣除后的价格参加评审。本项目扣除比例为</w:t>
            </w:r>
            <w:r>
              <w:rPr>
                <w:rFonts w:hint="eastAsia" w:ascii="宋体" w:hAnsi="宋体" w:cs="宋体"/>
                <w:sz w:val="28"/>
                <w:szCs w:val="28"/>
                <w:u w:val="none"/>
                <w:lang w:val="en-US" w:eastAsia="zh-CN"/>
              </w:rPr>
              <w:t>3</w:t>
            </w:r>
            <w:r>
              <w:rPr>
                <w:rFonts w:hint="eastAsia" w:ascii="宋体" w:hAnsi="宋体" w:cs="宋体"/>
                <w:sz w:val="28"/>
                <w:szCs w:val="28"/>
                <w:u w:val="none"/>
                <w:lang w:eastAsia="zh-CN"/>
              </w:rPr>
              <w:t>%。</w:t>
            </w:r>
          </w:p>
        </w:tc>
      </w:tr>
    </w:tbl>
    <w:p>
      <w:pPr>
        <w:keepNext w:val="0"/>
        <w:keepLines w:val="0"/>
        <w:pageBreakBefore w:val="0"/>
        <w:widowControl w:val="0"/>
        <w:kinsoku/>
        <w:wordWrap/>
        <w:overflowPunct/>
        <w:topLinePunct w:val="0"/>
        <w:bidi w:val="0"/>
        <w:snapToGrid/>
        <w:spacing w:line="440" w:lineRule="exact"/>
        <w:textAlignment w:val="auto"/>
        <w:rPr>
          <w:rStyle w:val="30"/>
          <w:rFonts w:hint="eastAsia" w:ascii="宋体" w:hAnsi="宋体" w:eastAsia="宋体" w:cs="宋体"/>
          <w:sz w:val="28"/>
          <w:szCs w:val="28"/>
        </w:rPr>
      </w:pPr>
      <w:r>
        <w:rPr>
          <w:rFonts w:hint="eastAsia" w:ascii="宋体" w:hAnsi="宋体" w:cs="宋体"/>
          <w:kern w:val="0"/>
          <w:sz w:val="24"/>
        </w:rPr>
        <w:t>注：本表内容与招标文件其它内容不一致的，应当以本表内容为准。</w:t>
      </w:r>
    </w:p>
    <w:p>
      <w:pPr>
        <w:spacing w:line="300" w:lineRule="auto"/>
        <w:jc w:val="center"/>
        <w:rPr>
          <w:rFonts w:ascii="宋体"/>
          <w:b/>
          <w:bCs/>
          <w:color w:val="000000" w:themeColor="text1"/>
          <w:sz w:val="28"/>
          <w:szCs w:val="28"/>
          <w:highlight w:val="none"/>
          <w14:textFill>
            <w14:solidFill>
              <w14:schemeClr w14:val="tx1"/>
            </w14:solidFill>
          </w14:textFill>
        </w:rPr>
      </w:pPr>
    </w:p>
    <w:p>
      <w:pPr>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br w:type="page"/>
      </w:r>
    </w:p>
    <w:p>
      <w:pPr>
        <w:ind w:firstLine="2530" w:firstLineChars="700"/>
        <w:outlineLvl w:val="0"/>
        <w:rPr>
          <w:rFonts w:ascii="宋体"/>
          <w:b/>
          <w:bCs/>
          <w:color w:val="000000" w:themeColor="text1"/>
          <w:sz w:val="36"/>
          <w:szCs w:val="36"/>
          <w:highlight w:val="none"/>
          <w14:textFill>
            <w14:solidFill>
              <w14:schemeClr w14:val="tx1"/>
            </w14:solidFill>
          </w14:textFill>
        </w:rPr>
      </w:pPr>
      <w:bookmarkStart w:id="9" w:name="_Toc16173"/>
      <w:r>
        <w:rPr>
          <w:rFonts w:hint="eastAsia" w:ascii="宋体" w:hAnsi="宋体"/>
          <w:b/>
          <w:bCs/>
          <w:color w:val="000000" w:themeColor="text1"/>
          <w:sz w:val="36"/>
          <w:szCs w:val="36"/>
          <w:highlight w:val="none"/>
          <w14:textFill>
            <w14:solidFill>
              <w14:schemeClr w14:val="tx1"/>
            </w14:solidFill>
          </w14:textFill>
        </w:rPr>
        <w:t xml:space="preserve">第三章   </w:t>
      </w:r>
      <w:r>
        <w:rPr>
          <w:rFonts w:hint="eastAsia" w:ascii="宋体" w:hAnsi="宋体"/>
          <w:b/>
          <w:bCs/>
          <w:color w:val="000000" w:themeColor="text1"/>
          <w:sz w:val="36"/>
          <w:szCs w:val="36"/>
          <w:highlight w:val="none"/>
          <w:lang w:val="en-US" w:eastAsia="zh-CN"/>
          <w14:textFill>
            <w14:solidFill>
              <w14:schemeClr w14:val="tx1"/>
            </w14:solidFill>
          </w14:textFill>
        </w:rPr>
        <w:t>磋商</w:t>
      </w:r>
      <w:r>
        <w:rPr>
          <w:rFonts w:hint="eastAsia" w:ascii="宋体" w:hAnsi="宋体"/>
          <w:b/>
          <w:bCs/>
          <w:color w:val="000000" w:themeColor="text1"/>
          <w:sz w:val="36"/>
          <w:szCs w:val="36"/>
          <w:highlight w:val="none"/>
          <w14:textFill>
            <w14:solidFill>
              <w14:schemeClr w14:val="tx1"/>
            </w14:solidFill>
          </w14:textFill>
        </w:rPr>
        <w:t>须知</w:t>
      </w:r>
      <w:bookmarkEnd w:id="9"/>
    </w:p>
    <w:p>
      <w:pPr>
        <w:spacing w:line="360" w:lineRule="auto"/>
        <w:jc w:val="center"/>
        <w:rPr>
          <w:rFonts w:ascii="宋体"/>
          <w:b/>
          <w:bCs/>
          <w:color w:val="000000" w:themeColor="text1"/>
          <w:sz w:val="28"/>
          <w:szCs w:val="28"/>
          <w:highlight w:val="none"/>
          <w14:textFill>
            <w14:solidFill>
              <w14:schemeClr w14:val="tx1"/>
            </w14:solidFill>
          </w14:textFill>
        </w:rPr>
      </w:pPr>
      <w:bookmarkStart w:id="10" w:name="_Toc509"/>
      <w:r>
        <w:rPr>
          <w:rFonts w:hint="eastAsia" w:ascii="宋体" w:hAnsi="宋体"/>
          <w:b/>
          <w:bCs/>
          <w:color w:val="000000" w:themeColor="text1"/>
          <w:sz w:val="28"/>
          <w:szCs w:val="28"/>
          <w:highlight w:val="none"/>
          <w14:textFill>
            <w14:solidFill>
              <w14:schemeClr w14:val="tx1"/>
            </w14:solidFill>
          </w14:textFill>
        </w:rPr>
        <w:t>1</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kern w:val="0"/>
          <w:sz w:val="28"/>
          <w:szCs w:val="28"/>
          <w:highlight w:val="none"/>
          <w14:textFill>
            <w14:solidFill>
              <w14:schemeClr w14:val="tx1"/>
            </w14:solidFill>
          </w14:textFill>
        </w:rPr>
        <w:t>总则</w:t>
      </w:r>
      <w:bookmarkEnd w:id="10"/>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1.1工程概况</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1.1.1本工程的工程概况已在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须知前附表中</w:t>
      </w:r>
      <w:r>
        <w:rPr>
          <w:rFonts w:hint="eastAsia" w:ascii="宋体" w:hAnsi="宋体"/>
          <w:color w:val="000000" w:themeColor="text1"/>
          <w:sz w:val="28"/>
          <w:szCs w:val="28"/>
          <w:highlight w:val="none"/>
          <w:lang w:val="en-US" w:eastAsia="zh-CN"/>
          <w14:textFill>
            <w14:solidFill>
              <w14:schemeClr w14:val="tx1"/>
            </w14:solidFill>
          </w14:textFill>
        </w:rPr>
        <w:t>第1.1.1项</w:t>
      </w:r>
      <w:r>
        <w:rPr>
          <w:rFonts w:hint="eastAsia" w:ascii="宋体" w:hAnsi="宋体"/>
          <w:color w:val="000000" w:themeColor="text1"/>
          <w:sz w:val="28"/>
          <w:szCs w:val="28"/>
          <w:highlight w:val="none"/>
          <w14:textFill>
            <w14:solidFill>
              <w14:schemeClr w14:val="tx1"/>
            </w14:solidFill>
          </w14:textFill>
        </w:rPr>
        <w:t>列清。</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11" w:name="_Toc23631"/>
      <w:r>
        <w:rPr>
          <w:rFonts w:hint="eastAsia" w:ascii="宋体" w:hAnsi="宋体"/>
          <w:color w:val="000000" w:themeColor="text1"/>
          <w:sz w:val="28"/>
          <w:szCs w:val="28"/>
          <w:highlight w:val="none"/>
          <w14:textFill>
            <w14:solidFill>
              <w14:schemeClr w14:val="tx1"/>
            </w14:solidFill>
          </w14:textFill>
        </w:rPr>
        <w:t>1.2</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范围</w:t>
      </w:r>
      <w:bookmarkEnd w:id="11"/>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1.2.1本工程</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范围已在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须知前附表中</w:t>
      </w:r>
      <w:r>
        <w:rPr>
          <w:rFonts w:hint="eastAsia" w:ascii="宋体" w:hAnsi="宋体"/>
          <w:color w:val="000000" w:themeColor="text1"/>
          <w:sz w:val="28"/>
          <w:szCs w:val="28"/>
          <w:highlight w:val="none"/>
          <w:lang w:val="en-US" w:eastAsia="zh-CN"/>
          <w14:textFill>
            <w14:solidFill>
              <w14:schemeClr w14:val="tx1"/>
            </w14:solidFill>
          </w14:textFill>
        </w:rPr>
        <w:t>第1.1.1项</w:t>
      </w:r>
      <w:r>
        <w:rPr>
          <w:rFonts w:hint="eastAsia" w:ascii="宋体" w:hAnsi="宋体"/>
          <w:color w:val="000000" w:themeColor="text1"/>
          <w:sz w:val="28"/>
          <w:szCs w:val="28"/>
          <w:highlight w:val="none"/>
          <w14:textFill>
            <w14:solidFill>
              <w14:schemeClr w14:val="tx1"/>
            </w14:solidFill>
          </w14:textFill>
        </w:rPr>
        <w:t>列清，</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除非接到</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人发布的《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文件补充》，否则不得擅自增加或减少工程</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范围。</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1.2.2本工程计划工期已在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w:t>
      </w:r>
      <w:r>
        <w:rPr>
          <w:rFonts w:hint="eastAsia" w:ascii="宋体" w:hAnsi="宋体"/>
          <w:color w:val="000000" w:themeColor="text1"/>
          <w:sz w:val="28"/>
          <w:szCs w:val="28"/>
          <w:highlight w:val="none"/>
          <w:lang w:val="en-US" w:eastAsia="zh-CN"/>
          <w14:textFill>
            <w14:solidFill>
              <w14:schemeClr w14:val="tx1"/>
            </w14:solidFill>
          </w14:textFill>
        </w:rPr>
        <w:t>第1.2.5项</w:t>
      </w:r>
      <w:r>
        <w:rPr>
          <w:rFonts w:hint="eastAsia" w:ascii="宋体" w:hAnsi="宋体"/>
          <w:color w:val="000000" w:themeColor="text1"/>
          <w:sz w:val="28"/>
          <w:szCs w:val="28"/>
          <w:highlight w:val="none"/>
          <w14:textFill>
            <w14:solidFill>
              <w14:schemeClr w14:val="tx1"/>
            </w14:solidFill>
          </w14:textFill>
        </w:rPr>
        <w:t>中列清。</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12" w:name="_Toc9399"/>
      <w:r>
        <w:rPr>
          <w:rFonts w:hint="eastAsia" w:ascii="宋体" w:hAnsi="宋体"/>
          <w:color w:val="000000" w:themeColor="text1"/>
          <w:sz w:val="28"/>
          <w:szCs w:val="28"/>
          <w:highlight w:val="none"/>
          <w14:textFill>
            <w14:solidFill>
              <w14:schemeClr w14:val="tx1"/>
            </w14:solidFill>
          </w14:textFill>
        </w:rPr>
        <w:t>1.3工程资金</w:t>
      </w:r>
      <w:bookmarkEnd w:id="12"/>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1.3.1本工程的资金来源已在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w:t>
      </w:r>
      <w:r>
        <w:rPr>
          <w:rFonts w:hint="eastAsia" w:ascii="宋体" w:hAnsi="宋体"/>
          <w:color w:val="000000" w:themeColor="text1"/>
          <w:sz w:val="28"/>
          <w:szCs w:val="28"/>
          <w:highlight w:val="none"/>
          <w:lang w:val="en-US" w:eastAsia="zh-CN"/>
          <w14:textFill>
            <w14:solidFill>
              <w14:schemeClr w14:val="tx1"/>
            </w14:solidFill>
          </w14:textFill>
        </w:rPr>
        <w:t>第1.2.4项</w:t>
      </w:r>
      <w:r>
        <w:rPr>
          <w:rFonts w:hint="eastAsia" w:ascii="宋体" w:hAnsi="宋体"/>
          <w:color w:val="000000" w:themeColor="text1"/>
          <w:sz w:val="28"/>
          <w:szCs w:val="28"/>
          <w:highlight w:val="none"/>
          <w14:textFill>
            <w14:solidFill>
              <w14:schemeClr w14:val="tx1"/>
            </w14:solidFill>
          </w14:textFill>
        </w:rPr>
        <w:t>列清。</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1.3.</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本工程的部分资金用于合同范围内合格下的支付。</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1.4</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方式</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1.4.1本工程</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方式已在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w:t>
      </w:r>
      <w:r>
        <w:rPr>
          <w:rFonts w:hint="eastAsia" w:ascii="宋体" w:hAnsi="宋体"/>
          <w:color w:val="000000" w:themeColor="text1"/>
          <w:sz w:val="28"/>
          <w:szCs w:val="28"/>
          <w:highlight w:val="none"/>
          <w:lang w:val="en-US" w:eastAsia="zh-CN"/>
          <w14:textFill>
            <w14:solidFill>
              <w14:schemeClr w14:val="tx1"/>
            </w14:solidFill>
          </w14:textFill>
        </w:rPr>
        <w:t>第1.3.2项</w:t>
      </w:r>
      <w:r>
        <w:rPr>
          <w:rFonts w:hint="eastAsia" w:ascii="宋体" w:hAnsi="宋体"/>
          <w:color w:val="000000" w:themeColor="text1"/>
          <w:sz w:val="28"/>
          <w:szCs w:val="28"/>
          <w:highlight w:val="none"/>
          <w14:textFill>
            <w14:solidFill>
              <w14:schemeClr w14:val="tx1"/>
            </w14:solidFill>
          </w14:textFill>
        </w:rPr>
        <w:t>列清。</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1.5合格</w:t>
      </w:r>
      <w:r>
        <w:rPr>
          <w:rFonts w:hint="eastAsia" w:ascii="宋体" w:hAnsi="宋体"/>
          <w:color w:val="000000" w:themeColor="text1"/>
          <w:sz w:val="28"/>
          <w:szCs w:val="28"/>
          <w:highlight w:val="none"/>
          <w:lang w:val="en-US" w:eastAsia="zh-CN"/>
          <w14:textFill>
            <w14:solidFill>
              <w14:schemeClr w14:val="tx1"/>
            </w14:solidFill>
          </w14:textFill>
        </w:rPr>
        <w:t>供应商</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1.5.1</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最低资质要求已在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w:t>
      </w:r>
      <w:r>
        <w:rPr>
          <w:rFonts w:hint="eastAsia" w:ascii="宋体" w:hAnsi="宋体"/>
          <w:color w:val="000000" w:themeColor="text1"/>
          <w:sz w:val="28"/>
          <w:szCs w:val="28"/>
          <w:highlight w:val="none"/>
          <w:lang w:val="en-US" w:eastAsia="zh-CN"/>
          <w14:textFill>
            <w14:solidFill>
              <w14:schemeClr w14:val="tx1"/>
            </w14:solidFill>
          </w14:textFill>
        </w:rPr>
        <w:t>第1.2.6项</w:t>
      </w:r>
      <w:r>
        <w:rPr>
          <w:rFonts w:hint="eastAsia" w:ascii="宋体" w:hAnsi="宋体"/>
          <w:color w:val="000000" w:themeColor="text1"/>
          <w:sz w:val="28"/>
          <w:szCs w:val="28"/>
          <w:highlight w:val="none"/>
          <w14:textFill>
            <w14:solidFill>
              <w14:schemeClr w14:val="tx1"/>
            </w14:solidFill>
          </w14:textFill>
        </w:rPr>
        <w:t>列清。</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w:t>
      </w:r>
      <w:r>
        <w:rPr>
          <w:rFonts w:hint="eastAsia" w:ascii="宋体" w:hAnsi="宋体"/>
          <w:color w:val="000000" w:themeColor="text1"/>
          <w:sz w:val="28"/>
          <w:szCs w:val="28"/>
          <w:highlight w:val="none"/>
          <w:lang w:val="en-US" w:eastAsia="zh-CN"/>
          <w14:textFill>
            <w14:solidFill>
              <w14:schemeClr w14:val="tx1"/>
            </w14:solidFill>
          </w14:textFill>
        </w:rPr>
        <w:t>2采购</w:t>
      </w:r>
      <w:r>
        <w:rPr>
          <w:rFonts w:hint="eastAsia" w:ascii="宋体" w:hAnsi="宋体"/>
          <w:color w:val="000000" w:themeColor="text1"/>
          <w:sz w:val="28"/>
          <w:szCs w:val="28"/>
          <w:highlight w:val="none"/>
          <w14:textFill>
            <w14:solidFill>
              <w14:schemeClr w14:val="tx1"/>
            </w14:solidFill>
          </w14:textFill>
        </w:rPr>
        <w:t>人有权要求各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提供更为完整、更详细的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资料，以便资格审查。</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w:t>
      </w:r>
      <w:r>
        <w:rPr>
          <w:rFonts w:hint="eastAsia" w:ascii="宋体" w:hAnsi="宋体"/>
          <w:color w:val="000000" w:themeColor="text1"/>
          <w:sz w:val="28"/>
          <w:szCs w:val="28"/>
          <w:highlight w:val="none"/>
          <w:lang w:val="en-US" w:eastAsia="zh-CN"/>
          <w14:textFill>
            <w14:solidFill>
              <w14:schemeClr w14:val="tx1"/>
            </w14:solidFill>
          </w14:textFill>
        </w:rPr>
        <w:t>3</w:t>
      </w:r>
      <w:r>
        <w:rPr>
          <w:rFonts w:hint="eastAsia" w:ascii="宋体" w:hAnsi="宋体"/>
          <w:color w:val="000000" w:themeColor="text1"/>
          <w:sz w:val="28"/>
          <w:szCs w:val="28"/>
          <w:highlight w:val="none"/>
          <w14:textFill>
            <w14:solidFill>
              <w14:schemeClr w14:val="tx1"/>
            </w14:solidFill>
          </w14:textFill>
        </w:rPr>
        <w:t>开标前，请各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随身携带下列有效证件以备随时查验：</w:t>
      </w:r>
    </w:p>
    <w:p>
      <w:pPr>
        <w:spacing w:line="360" w:lineRule="auto"/>
        <w:ind w:firstLine="1120" w:firstLineChars="4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1.5.4.1法定代表人身份证（驾驶执照正本、护照或公安部门的相关证明）或法定代表人授权委托书和委托代理人的身份证（驾驶执照正本、护照或公安部门的相关证明）。法定代表人授权委托书应当单独提供，并与响应文件中所提供的相一致。以上证件均应当为原件；</w:t>
      </w:r>
    </w:p>
    <w:p>
      <w:pPr>
        <w:spacing w:line="360" w:lineRule="exact"/>
        <w:ind w:firstLine="1120" w:firstLineChars="4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1.5.4.2企业有效营业执照副本原件</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eastAsia="宋体" w:cs="Times New Roman"/>
          <w:color w:val="000000" w:themeColor="text1"/>
          <w:sz w:val="28"/>
          <w:szCs w:val="28"/>
          <w:highlight w:val="none"/>
          <w14:textFill>
            <w14:solidFill>
              <w14:schemeClr w14:val="tx1"/>
            </w14:solidFill>
          </w14:textFill>
        </w:rPr>
        <w:t>有效企业资质证书副本原件和有效安全生产许可证原件；</w:t>
      </w:r>
    </w:p>
    <w:p>
      <w:pPr>
        <w:spacing w:line="360" w:lineRule="auto"/>
        <w:ind w:firstLine="1120" w:firstLineChars="4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1.5.4.3</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本工程拟派市政工程专业二级（含以上级）注册建造师及以上执业资格注册证书原件、安全生产考核证原件，疆外企业须提供企业进疆施工备案登记手续；</w:t>
      </w:r>
    </w:p>
    <w:p>
      <w:pPr>
        <w:spacing w:line="360" w:lineRule="auto"/>
        <w:ind w:firstLine="1120" w:firstLineChars="4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1.5.4.4</w:t>
      </w:r>
      <w:r>
        <w:rPr>
          <w:rFonts w:ascii="宋体" w:hAnsi="宋体"/>
          <w:color w:val="000000" w:themeColor="text1"/>
          <w:sz w:val="28"/>
          <w:szCs w:val="28"/>
          <w:highlight w:val="none"/>
          <w14:textFill>
            <w14:solidFill>
              <w14:schemeClr w14:val="tx1"/>
            </w14:solidFill>
          </w14:textFill>
        </w:rPr>
        <w:t>“信用中国”</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“中国政府采购网”网站</w:t>
      </w:r>
      <w:r>
        <w:rPr>
          <w:rFonts w:hint="eastAsia" w:ascii="宋体" w:hAnsi="宋体"/>
          <w:color w:val="000000" w:themeColor="text1"/>
          <w:sz w:val="28"/>
          <w:szCs w:val="28"/>
          <w:highlight w:val="none"/>
          <w14:textFill>
            <w14:solidFill>
              <w14:schemeClr w14:val="tx1"/>
            </w14:solidFill>
          </w14:textFill>
        </w:rPr>
        <w:t>查询截图加盖公章；</w:t>
      </w:r>
    </w:p>
    <w:p>
      <w:pPr>
        <w:spacing w:line="360" w:lineRule="auto"/>
        <w:ind w:firstLine="1120" w:firstLineChars="4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1.5.4.5</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保证金缴纳凭证。</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以上证件均为原件，证件齐全、满足要求的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为有效</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，上述证件的公证件，本次</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不予认可。</w:t>
      </w:r>
    </w:p>
    <w:p>
      <w:pPr>
        <w:spacing w:line="360" w:lineRule="auto"/>
        <w:ind w:firstLine="560" w:firstLineChars="200"/>
        <w:rPr>
          <w:rFonts w:ascii="宋体"/>
          <w:b/>
          <w:bCs/>
          <w:color w:val="000000" w:themeColor="text1"/>
          <w:sz w:val="28"/>
          <w:szCs w:val="28"/>
          <w:highlight w:val="none"/>
          <w14:textFill>
            <w14:solidFill>
              <w14:schemeClr w14:val="tx1"/>
            </w14:solidFill>
          </w14:textFill>
        </w:rPr>
      </w:pPr>
      <w:bookmarkStart w:id="13" w:name="_Toc27092"/>
      <w:r>
        <w:rPr>
          <w:rFonts w:hint="eastAsia" w:ascii="宋体" w:hAnsi="宋体"/>
          <w:color w:val="000000" w:themeColor="text1"/>
          <w:sz w:val="28"/>
          <w:szCs w:val="28"/>
          <w:highlight w:val="none"/>
          <w14:textFill>
            <w14:solidFill>
              <w14:schemeClr w14:val="tx1"/>
            </w14:solidFill>
          </w14:textFill>
        </w:rPr>
        <w:t>1.6</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费用</w:t>
      </w:r>
      <w:bookmarkEnd w:id="13"/>
    </w:p>
    <w:p>
      <w:pPr>
        <w:pStyle w:val="20"/>
        <w:spacing w:line="360" w:lineRule="auto"/>
        <w:ind w:left="0" w:leftChars="0" w:firstLine="840" w:firstLineChars="300"/>
        <w:rPr>
          <w:b/>
          <w:bCs/>
          <w:color w:val="000000" w:themeColor="text1"/>
          <w:kern w:val="2"/>
          <w:sz w:val="28"/>
          <w:szCs w:val="28"/>
          <w:highlight w:val="none"/>
          <w14:textFill>
            <w14:solidFill>
              <w14:schemeClr w14:val="tx1"/>
            </w14:solidFill>
          </w14:textFill>
        </w:rPr>
      </w:pPr>
      <w:r>
        <w:rPr>
          <w:rFonts w:hint="eastAsia"/>
          <w:color w:val="000000" w:themeColor="text1"/>
          <w:kern w:val="2"/>
          <w:sz w:val="28"/>
          <w:szCs w:val="28"/>
          <w:highlight w:val="none"/>
          <w14:textFill>
            <w14:solidFill>
              <w14:schemeClr w14:val="tx1"/>
            </w14:solidFill>
          </w14:textFill>
        </w:rPr>
        <w:t>1.6.1</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color w:val="000000" w:themeColor="text1"/>
          <w:kern w:val="2"/>
          <w:sz w:val="28"/>
          <w:szCs w:val="28"/>
          <w:highlight w:val="none"/>
          <w14:textFill>
            <w14:solidFill>
              <w14:schemeClr w14:val="tx1"/>
            </w14:solidFill>
          </w14:textFill>
        </w:rPr>
        <w:t>应承担其编制响应文件与递交响应文件所涉及的一切费用，不论</w:t>
      </w:r>
      <w:r>
        <w:rPr>
          <w:rFonts w:hint="eastAsia"/>
          <w:color w:val="000000" w:themeColor="text1"/>
          <w:kern w:val="2"/>
          <w:sz w:val="28"/>
          <w:szCs w:val="28"/>
          <w:highlight w:val="none"/>
          <w:lang w:val="en-US" w:eastAsia="zh-CN"/>
          <w14:textFill>
            <w14:solidFill>
              <w14:schemeClr w14:val="tx1"/>
            </w14:solidFill>
          </w14:textFill>
        </w:rPr>
        <w:t>磋商</w:t>
      </w:r>
      <w:r>
        <w:rPr>
          <w:rFonts w:hint="eastAsia"/>
          <w:color w:val="000000" w:themeColor="text1"/>
          <w:kern w:val="2"/>
          <w:sz w:val="28"/>
          <w:szCs w:val="28"/>
          <w:highlight w:val="none"/>
          <w14:textFill>
            <w14:solidFill>
              <w14:schemeClr w14:val="tx1"/>
            </w14:solidFill>
          </w14:textFill>
        </w:rPr>
        <w:t>结果如何，</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color w:val="000000" w:themeColor="text1"/>
          <w:kern w:val="2"/>
          <w:sz w:val="28"/>
          <w:szCs w:val="28"/>
          <w:highlight w:val="none"/>
          <w14:textFill>
            <w14:solidFill>
              <w14:schemeClr w14:val="tx1"/>
            </w14:solidFill>
          </w14:textFill>
        </w:rPr>
        <w:t>人对上述费用不做任何补偿。</w:t>
      </w:r>
      <w:bookmarkStart w:id="14" w:name="_Toc4653"/>
    </w:p>
    <w:p>
      <w:pPr>
        <w:pStyle w:val="12"/>
        <w:spacing w:line="360" w:lineRule="auto"/>
        <w:ind w:left="0" w:leftChars="0" w:firstLine="0" w:firstLineChars="0"/>
        <w:jc w:val="center"/>
        <w:rPr>
          <w:rFonts w:ascii="宋体" w:hAnsi="宋体" w:eastAsia="宋体"/>
          <w:b/>
          <w:bCs/>
          <w:color w:val="000000" w:themeColor="text1"/>
          <w:kern w:val="2"/>
          <w:sz w:val="28"/>
          <w:szCs w:val="28"/>
          <w:highlight w:val="none"/>
          <w14:textFill>
            <w14:solidFill>
              <w14:schemeClr w14:val="tx1"/>
            </w14:solidFill>
          </w14:textFill>
        </w:rPr>
      </w:pPr>
      <w:r>
        <w:rPr>
          <w:rFonts w:hint="eastAsia" w:ascii="宋体" w:hAnsi="宋体" w:eastAsia="宋体"/>
          <w:b/>
          <w:bCs/>
          <w:color w:val="000000" w:themeColor="text1"/>
          <w:kern w:val="2"/>
          <w:sz w:val="28"/>
          <w:szCs w:val="28"/>
          <w:highlight w:val="none"/>
          <w14:textFill>
            <w14:solidFill>
              <w14:schemeClr w14:val="tx1"/>
            </w14:solidFill>
          </w14:textFill>
        </w:rPr>
        <w:t>2</w:t>
      </w:r>
      <w:r>
        <w:rPr>
          <w:rFonts w:hint="eastAsia" w:ascii="宋体" w:hAnsi="宋体" w:eastAsia="宋体"/>
          <w:b/>
          <w:bCs/>
          <w:color w:val="000000" w:themeColor="text1"/>
          <w:kern w:val="2"/>
          <w:sz w:val="28"/>
          <w:szCs w:val="28"/>
          <w:highlight w:val="none"/>
          <w:lang w:val="en-US" w:eastAsia="zh-CN"/>
          <w14:textFill>
            <w14:solidFill>
              <w14:schemeClr w14:val="tx1"/>
            </w14:solidFill>
          </w14:textFill>
        </w:rPr>
        <w:t>.</w:t>
      </w:r>
      <w:r>
        <w:rPr>
          <w:rFonts w:hint="eastAsia" w:ascii="宋体" w:hAnsi="宋体" w:eastAsia="宋体"/>
          <w:b/>
          <w:bCs/>
          <w:color w:val="000000" w:themeColor="text1"/>
          <w:sz w:val="28"/>
          <w:szCs w:val="28"/>
          <w:highlight w:val="none"/>
          <w:lang w:val="en-US" w:eastAsia="zh-CN"/>
          <w14:textFill>
            <w14:solidFill>
              <w14:schemeClr w14:val="tx1"/>
            </w14:solidFill>
          </w14:textFill>
        </w:rPr>
        <w:t>磋商</w:t>
      </w:r>
      <w:r>
        <w:rPr>
          <w:rFonts w:hint="eastAsia" w:ascii="宋体" w:hAnsi="宋体" w:eastAsia="宋体"/>
          <w:b/>
          <w:bCs/>
          <w:color w:val="000000" w:themeColor="text1"/>
          <w:sz w:val="28"/>
          <w:szCs w:val="28"/>
          <w:highlight w:val="none"/>
          <w14:textFill>
            <w14:solidFill>
              <w14:schemeClr w14:val="tx1"/>
            </w14:solidFill>
          </w14:textFill>
        </w:rPr>
        <w:t>文件</w:t>
      </w:r>
      <w:bookmarkEnd w:id="14"/>
    </w:p>
    <w:p>
      <w:pPr>
        <w:spacing w:line="360"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2.1</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文件组成</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2.1.1</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文件由</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人按</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文件有关规定发出的</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文件补充构成。</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2.1.2</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文件的澄清、修改、</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答疑会纪要等书面材料在本</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工程中均称</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2.1.3</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文件补充作为</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文件的组成部分，对</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起同等约束作用。如果</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文件补充内容与在此</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文件补充发出之前的</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文件等书面材料中相关内容相冲突，请</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执行</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文件补充的相关内容，先前发出的</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文件等书面材料中相关内容自动废止。</w:t>
      </w:r>
    </w:p>
    <w:p>
      <w:pPr>
        <w:pStyle w:val="20"/>
        <w:spacing w:line="360" w:lineRule="auto"/>
        <w:ind w:firstLine="840" w:firstLineChars="300"/>
        <w:rPr>
          <w:color w:val="000000" w:themeColor="text1"/>
          <w:kern w:val="2"/>
          <w:sz w:val="28"/>
          <w:szCs w:val="28"/>
          <w:highlight w:val="none"/>
          <w14:textFill>
            <w14:solidFill>
              <w14:schemeClr w14:val="tx1"/>
            </w14:solidFill>
          </w14:textFill>
        </w:rPr>
      </w:pPr>
      <w:r>
        <w:rPr>
          <w:rFonts w:hint="eastAsia"/>
          <w:color w:val="000000" w:themeColor="text1"/>
          <w:kern w:val="2"/>
          <w:sz w:val="28"/>
          <w:szCs w:val="28"/>
          <w:highlight w:val="none"/>
          <w14:textFill>
            <w14:solidFill>
              <w14:schemeClr w14:val="tx1"/>
            </w14:solidFill>
          </w14:textFill>
        </w:rPr>
        <w:t>2.1.4</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color w:val="000000" w:themeColor="text1"/>
          <w:kern w:val="2"/>
          <w:sz w:val="28"/>
          <w:szCs w:val="28"/>
          <w:highlight w:val="none"/>
          <w14:textFill>
            <w14:solidFill>
              <w14:schemeClr w14:val="tx1"/>
            </w14:solidFill>
          </w14:textFill>
        </w:rPr>
        <w:t>应认真审阅和理解</w:t>
      </w:r>
      <w:r>
        <w:rPr>
          <w:rFonts w:hint="eastAsia"/>
          <w:color w:val="000000" w:themeColor="text1"/>
          <w:kern w:val="2"/>
          <w:sz w:val="28"/>
          <w:szCs w:val="28"/>
          <w:highlight w:val="none"/>
          <w:lang w:val="en-US" w:eastAsia="zh-CN"/>
          <w14:textFill>
            <w14:solidFill>
              <w14:schemeClr w14:val="tx1"/>
            </w14:solidFill>
          </w14:textFill>
        </w:rPr>
        <w:t>磋商</w:t>
      </w:r>
      <w:r>
        <w:rPr>
          <w:rFonts w:hint="eastAsia"/>
          <w:color w:val="000000" w:themeColor="text1"/>
          <w:kern w:val="2"/>
          <w:sz w:val="28"/>
          <w:szCs w:val="28"/>
          <w:highlight w:val="none"/>
          <w14:textFill>
            <w14:solidFill>
              <w14:schemeClr w14:val="tx1"/>
            </w14:solidFill>
          </w14:textFill>
        </w:rPr>
        <w:t>文件所有内容，尤其应注意有“</w:t>
      </w:r>
      <w:r>
        <w:rPr>
          <w:rFonts w:hint="eastAsia"/>
          <w:b/>
          <w:bCs/>
          <w:color w:val="000000" w:themeColor="text1"/>
          <w:kern w:val="2"/>
          <w:sz w:val="28"/>
          <w:szCs w:val="28"/>
          <w:highlight w:val="none"/>
          <w14:textFill>
            <w14:solidFill>
              <w14:schemeClr w14:val="tx1"/>
            </w14:solidFill>
          </w14:textFill>
        </w:rPr>
        <w:t>废标”、“拒绝评审”</w:t>
      </w:r>
      <w:r>
        <w:rPr>
          <w:rFonts w:hint="eastAsia"/>
          <w:color w:val="000000" w:themeColor="text1"/>
          <w:kern w:val="2"/>
          <w:sz w:val="28"/>
          <w:szCs w:val="28"/>
          <w:highlight w:val="none"/>
          <w14:textFill>
            <w14:solidFill>
              <w14:schemeClr w14:val="tx1"/>
            </w14:solidFill>
          </w14:textFill>
        </w:rPr>
        <w:t>字样的条款，否则引起的后果由</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color w:val="000000" w:themeColor="text1"/>
          <w:kern w:val="2"/>
          <w:sz w:val="28"/>
          <w:szCs w:val="28"/>
          <w:highlight w:val="none"/>
          <w14:textFill>
            <w14:solidFill>
              <w14:schemeClr w14:val="tx1"/>
            </w14:solidFill>
          </w14:textFill>
        </w:rPr>
        <w:t>自负。</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15" w:name="_Toc31231"/>
      <w:r>
        <w:rPr>
          <w:rFonts w:hint="eastAsia" w:ascii="宋体" w:hAnsi="宋体"/>
          <w:color w:val="000000" w:themeColor="text1"/>
          <w:sz w:val="28"/>
          <w:szCs w:val="28"/>
          <w:highlight w:val="none"/>
          <w14:textFill>
            <w14:solidFill>
              <w14:schemeClr w14:val="tx1"/>
            </w14:solidFill>
          </w14:textFill>
        </w:rPr>
        <w:t>2.2</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文件澄清</w:t>
      </w:r>
      <w:bookmarkEnd w:id="15"/>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2.2.1</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领取</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文件后，若有疑问需要澄清的，请在</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截止3个工作日前以纸质形式递交至</w:t>
      </w:r>
      <w:r>
        <w:rPr>
          <w:rFonts w:hint="eastAsia" w:ascii="宋体" w:hAnsi="宋体"/>
          <w:color w:val="000000" w:themeColor="text1"/>
          <w:sz w:val="28"/>
          <w:szCs w:val="28"/>
          <w:highlight w:val="none"/>
          <w:lang w:eastAsia="zh-CN"/>
          <w14:textFill>
            <w14:solidFill>
              <w14:schemeClr w14:val="tx1"/>
            </w14:solidFill>
          </w14:textFill>
        </w:rPr>
        <w:t>新疆</w:t>
      </w:r>
      <w:r>
        <w:rPr>
          <w:rFonts w:hint="eastAsia" w:ascii="宋体" w:hAnsi="宋体"/>
          <w:color w:val="000000" w:themeColor="text1"/>
          <w:sz w:val="28"/>
          <w:szCs w:val="28"/>
          <w:highlight w:val="none"/>
          <w:lang w:val="en-US" w:eastAsia="zh-CN"/>
          <w14:textFill>
            <w14:solidFill>
              <w14:schemeClr w14:val="tx1"/>
            </w14:solidFill>
          </w14:textFill>
        </w:rPr>
        <w:t>孚悦工程咨询有限公司</w:t>
      </w:r>
      <w:r>
        <w:rPr>
          <w:rFonts w:hint="eastAsia" w:ascii="宋体" w:hAnsi="宋体"/>
          <w:color w:val="000000" w:themeColor="text1"/>
          <w:sz w:val="28"/>
          <w:szCs w:val="28"/>
          <w:highlight w:val="none"/>
          <w14:textFill>
            <w14:solidFill>
              <w14:schemeClr w14:val="tx1"/>
            </w14:solidFill>
          </w14:textFill>
        </w:rPr>
        <w:t>，否则</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人不作任何解释。</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人应当在收到</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的书面质疑后3个工作日内对</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的疑问做出统一的解答以</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文件补充形式通知各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16" w:name="_Toc2086"/>
      <w:r>
        <w:rPr>
          <w:rFonts w:hint="eastAsia" w:ascii="宋体" w:hAnsi="宋体"/>
          <w:color w:val="000000" w:themeColor="text1"/>
          <w:sz w:val="28"/>
          <w:szCs w:val="28"/>
          <w:highlight w:val="none"/>
          <w14:textFill>
            <w14:solidFill>
              <w14:schemeClr w14:val="tx1"/>
            </w14:solidFill>
          </w14:textFill>
        </w:rPr>
        <w:t>2.3</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文件修改</w:t>
      </w:r>
      <w:bookmarkEnd w:id="16"/>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2.3.1</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截止日期5日前，</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人都可能会以</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文件补充形式修改</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2.3.2为使</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在编制响应文件时把</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文件补充内容考虑进去，</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人应延长递交响应文件的截止时间，具体时间将在</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文件补充中写明。</w:t>
      </w:r>
    </w:p>
    <w:p>
      <w:pPr>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3</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开标</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3.1本次磋商按磋商文件中规定的时间和地点进行公开开标，允许</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的法定代表人或其授权人参加开标会。</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3.2开标时将检查所有</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文件的密封情况，并在确认无误后拆封</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文件进行唱标。唱标以</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提交的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文件正本中“</w:t>
      </w:r>
      <w:r>
        <w:rPr>
          <w:rFonts w:hint="eastAsia" w:ascii="宋体" w:hAnsi="宋体"/>
          <w:color w:val="000000" w:themeColor="text1"/>
          <w:sz w:val="28"/>
          <w:szCs w:val="28"/>
          <w:highlight w:val="none"/>
          <w:lang w:eastAsia="zh-CN"/>
          <w14:textFill>
            <w14:solidFill>
              <w14:schemeClr w14:val="tx1"/>
            </w14:solidFill>
          </w14:textFill>
        </w:rPr>
        <w:t>磋商报价</w:t>
      </w:r>
      <w:r>
        <w:rPr>
          <w:rFonts w:hint="eastAsia" w:ascii="宋体" w:hAnsi="宋体"/>
          <w:color w:val="000000" w:themeColor="text1"/>
          <w:sz w:val="28"/>
          <w:szCs w:val="28"/>
          <w:highlight w:val="none"/>
          <w14:textFill>
            <w14:solidFill>
              <w14:schemeClr w14:val="tx1"/>
            </w14:solidFill>
          </w14:textFill>
        </w:rPr>
        <w:t>一览表”的内容为准，并对唱标内容作以记录。</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3.3开标和唱标的顺序，按照递交</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文件的正顺序依次进行。</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3.4</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时间截止后，提交</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文件的</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不足三家时，按照政府采购的相关法规处理。</w:t>
      </w:r>
    </w:p>
    <w:p>
      <w:pPr>
        <w:numPr>
          <w:ilvl w:val="0"/>
          <w:numId w:val="0"/>
        </w:numPr>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4.</w:t>
      </w:r>
      <w:r>
        <w:rPr>
          <w:rFonts w:hint="eastAsia" w:ascii="宋体" w:hAnsi="宋体"/>
          <w:b/>
          <w:bCs/>
          <w:color w:val="000000" w:themeColor="text1"/>
          <w:sz w:val="28"/>
          <w:szCs w:val="28"/>
          <w:highlight w:val="none"/>
          <w14:textFill>
            <w14:solidFill>
              <w14:schemeClr w14:val="tx1"/>
            </w14:solidFill>
          </w14:textFill>
        </w:rPr>
        <w:t>磋商依据</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磋商的依据为磋商文件（包括</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方的竞争性磋商文件和</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4.1磋商</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4.1.1磋商小组</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4.1.2</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方将根据《中华人民共和国政府采购法》的规定，依法组建本次</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的磋商小组，负责本次</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的磋商活动。磋商小组负责向</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方推荐中标候选人，由</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方确定中标</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4.1.3磋商小组人选于开标前确定。磋商小组成员名单在中标结果确定前保密。</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4.1.4磋商小组有关技术、经济等方面的专家和采购人熟悉相关业务的代表人员组成，成员为</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人以上（含</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人）的单数，其中技术、经济等方面的成员人数不少于成员总数的三分之二。</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4.1.5按前款规定，磋商小组的成员，由</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人、监督人从专家库中采取随机抽取的方式确定。对于技术复杂、专业性要求较高或者国家有特殊要求的</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项目，采取随机抽取的方式抽取的专家不能满足磋商工作需要时，将采取直接确定的方式选定磋商小组的人选。</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4.1.6磋商小组成员遵循法定的回避规定。</w:t>
      </w:r>
    </w:p>
    <w:p>
      <w:pPr>
        <w:spacing w:line="360" w:lineRule="auto"/>
        <w:jc w:val="center"/>
        <w:rPr>
          <w:rFonts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5</w:t>
      </w:r>
      <w:r>
        <w:rPr>
          <w:rFonts w:hint="eastAsia" w:ascii="宋体" w:hAnsi="宋体"/>
          <w:b/>
          <w:bCs/>
          <w:color w:val="000000" w:themeColor="text1"/>
          <w:kern w:val="0"/>
          <w:sz w:val="28"/>
          <w:szCs w:val="28"/>
          <w:highlight w:val="none"/>
          <w:lang w:val="en-US" w:eastAsia="zh-CN"/>
          <w14:textFill>
            <w14:solidFill>
              <w14:schemeClr w14:val="tx1"/>
            </w14:solidFill>
          </w14:textFill>
        </w:rPr>
        <w:t>.</w:t>
      </w:r>
      <w:r>
        <w:rPr>
          <w:rFonts w:hint="eastAsia" w:ascii="宋体" w:hAnsi="宋体"/>
          <w:b/>
          <w:bCs/>
          <w:color w:val="000000" w:themeColor="text1"/>
          <w:kern w:val="0"/>
          <w:sz w:val="28"/>
          <w:szCs w:val="28"/>
          <w:highlight w:val="none"/>
          <w14:textFill>
            <w14:solidFill>
              <w14:schemeClr w14:val="tx1"/>
            </w14:solidFill>
          </w14:textFill>
        </w:rPr>
        <w:t>磋商程序和评审过程的保密性</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5.1所有与本次</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color w:val="000000" w:themeColor="text1"/>
          <w:sz w:val="28"/>
          <w:szCs w:val="28"/>
          <w:highlight w:val="none"/>
          <w14:textFill>
            <w14:solidFill>
              <w14:schemeClr w14:val="tx1"/>
            </w14:solidFill>
          </w14:textFill>
        </w:rPr>
        <w:t>及磋商有关的人员，均不得向</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及与磋商项目无关的其他人员，透露与磋商有关的资料以及授予合同的意见等。</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5.2在磋商过程中，</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试图在</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文件审查、澄清、比较及授予合同方面</w:t>
      </w:r>
      <w:r>
        <w:rPr>
          <w:rFonts w:hint="eastAsia"/>
          <w:color w:val="000000" w:themeColor="text1"/>
          <w:sz w:val="28"/>
          <w:szCs w:val="28"/>
          <w:highlight w:val="none"/>
          <w:lang w:val="en-US" w:eastAsia="zh-CN"/>
          <w14:textFill>
            <w14:solidFill>
              <w14:schemeClr w14:val="tx1"/>
            </w14:solidFill>
          </w14:textFill>
        </w:rPr>
        <w:t>对</w:t>
      </w:r>
      <w:r>
        <w:rPr>
          <w:rFonts w:hint="eastAsia"/>
          <w:color w:val="000000" w:themeColor="text1"/>
          <w:sz w:val="28"/>
          <w:szCs w:val="28"/>
          <w:highlight w:val="none"/>
          <w14:textFill>
            <w14:solidFill>
              <w14:schemeClr w14:val="tx1"/>
            </w14:solidFill>
          </w14:textFill>
        </w:rPr>
        <w:t>采购人员施加影响的任何行为都可能导致其</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文件被拒绝。</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5.3磋商小组根据磋商文件的规定，集体与资格审查合格的</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分别进行磋商。</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在磋商过程中，在</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介绍</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方案后（如果需要），进行磋商。</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2</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在首轮磋商的基础上，磋商小组讨论、分析、综合各种因素后，定是否与各方再次进行磋商。</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进行第二轮报价。</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4</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磋商小组应当从质量和服务均能满足</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文件实质性响应要求的</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中，按照最后</w:t>
      </w:r>
      <w:r>
        <w:rPr>
          <w:rFonts w:hint="eastAsia"/>
          <w:color w:val="000000" w:themeColor="text1"/>
          <w:sz w:val="28"/>
          <w:szCs w:val="28"/>
          <w:highlight w:val="none"/>
          <w:lang w:val="en-US" w:eastAsia="zh-CN"/>
          <w14:textFill>
            <w14:solidFill>
              <w14:schemeClr w14:val="tx1"/>
            </w14:solidFill>
          </w14:textFill>
        </w:rPr>
        <w:t>得分</w:t>
      </w:r>
      <w:r>
        <w:rPr>
          <w:rFonts w:hint="eastAsia"/>
          <w:color w:val="000000" w:themeColor="text1"/>
          <w:sz w:val="28"/>
          <w:szCs w:val="28"/>
          <w:highlight w:val="none"/>
          <w14:textFill>
            <w14:solidFill>
              <w14:schemeClr w14:val="tx1"/>
            </w14:solidFill>
          </w14:textFill>
        </w:rPr>
        <w:t>由高到低的顺序提出3名以上成交候选人，并编写评审报告。</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5.4对第二次报价是否均超过采购预算的审查和确认：根据《中华人民共和国政府采购法》的规定，所有</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的报价均超过采购预算，采购人不能支付时，应予废标。出现此种情况时，磋商小组有权决定拒绝所有</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5.5磋商小组对</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文件进行符合性审查时，对属于下列情况之一的</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文件，将作无效报价处理：</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存在下列情况之一的，</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无效:</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（1）未按照</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文件的规定提交</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保证金的；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（2）响应文件未按</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文件要求签署、盖章的；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（3）不具备</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文件中规定的资格要求的；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（4）报价超过</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文件中规定的预算金额或者最高限价的；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（5）响应文件含有采购人不能接受的附加条件的；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（6）法律、法规和</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文件规定的其他无效情形。</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二、有下列情形之一的，视为</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串通</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，其</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无效：</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的响应文件由同一单位或者个人编制；</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委托同一单位或者个人办理</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事宜；</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的响应文件载明的项目管理成员或者联系人员为同一人；</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的响应文件异常一致或者</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报价呈规律性差异；</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的响应文件相互混装；</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（6）不同</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保证金从同一单位或者个人的账户转出。</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三、有下列情形之一的，</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保证金不予退还：</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在提交响应文件截止时间后撤回响应文件的；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在响应文件中提供虚假材料的；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（3）除因不可抗力或</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文件认可的情形以外，成交</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不与采购人签订合同的；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与采购人、其他</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或者采购代理机构恶意串通的；</w:t>
      </w:r>
    </w:p>
    <w:p>
      <w:pPr>
        <w:pStyle w:val="11"/>
        <w:tabs>
          <w:tab w:val="clear" w:pos="567"/>
        </w:tabs>
        <w:spacing w:before="0" w:line="360" w:lineRule="auto"/>
        <w:ind w:firstLine="630" w:firstLineChars="22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（5）不符合磋商文件规定的其他实质性要求的。</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5.6对</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报价的审查：磋商小组将对确定为实质上响应磋商文件要求的</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文件的价格进行审核，看其是否有计算和累加上的错误。</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修正错误的原则如下：大写金额与小写金额不一致的，以大写金额为准；总价金额与按单价汇总金额不一致的，以单价金额计算结果为准；单价金额小数点有明显错位的，以总价为准，并修改单价；对不同文字文本</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文件的解释发生异议的，以中文文本为准。按上述原则调整后的价格为评标价，对</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具有约束力。如果</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不接受修正后的</w:t>
      </w:r>
      <w:r>
        <w:rPr>
          <w:rFonts w:hint="eastAsia"/>
          <w:color w:val="000000" w:themeColor="text1"/>
          <w:sz w:val="28"/>
          <w:szCs w:val="28"/>
          <w:highlight w:val="none"/>
          <w:lang w:eastAsia="zh-CN"/>
          <w14:textFill>
            <w14:solidFill>
              <w14:schemeClr w14:val="tx1"/>
            </w14:solidFill>
          </w14:textFill>
        </w:rPr>
        <w:t>价</w:t>
      </w:r>
      <w:r>
        <w:rPr>
          <w:rFonts w:hint="eastAsia"/>
          <w:color w:val="000000" w:themeColor="text1"/>
          <w:sz w:val="28"/>
          <w:szCs w:val="28"/>
          <w:highlight w:val="none"/>
          <w14:textFill>
            <w14:solidFill>
              <w14:schemeClr w14:val="tx1"/>
            </w14:solidFill>
          </w14:textFill>
        </w:rPr>
        <w:t>格，则其报价将被拒绝，其磋商保证金将被没收。</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5.7澄清：磋商小组对于</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文件中个别地方含义不明确、同类问题表述不一致或者有明显文字和计算错误的内容，可以书面形式（内容由磋商小组专家确认）要求</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在规定的时间内（评审结束前）作出必要的澄清、说明或者补正。</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的澄清、说明或者补正应当采用书面形式，由其法定代表人或授权代理人签字，并不得超出</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文件的范围或者改变</w:t>
      </w:r>
      <w:r>
        <w:rPr>
          <w:rFonts w:hint="eastAsia"/>
          <w:color w:val="000000" w:themeColor="text1"/>
          <w:sz w:val="28"/>
          <w:szCs w:val="28"/>
          <w:highlight w:val="none"/>
          <w:lang w:val="en-US" w:eastAsia="zh-CN"/>
          <w14:textFill>
            <w14:solidFill>
              <w14:schemeClr w14:val="tx1"/>
            </w14:solidFill>
          </w14:textFill>
        </w:rPr>
        <w:t>响应</w:t>
      </w:r>
      <w:r>
        <w:rPr>
          <w:rFonts w:hint="eastAsia"/>
          <w:color w:val="000000" w:themeColor="text1"/>
          <w:sz w:val="28"/>
          <w:szCs w:val="28"/>
          <w:highlight w:val="none"/>
          <w14:textFill>
            <w14:solidFill>
              <w14:schemeClr w14:val="tx1"/>
            </w14:solidFill>
          </w14:textFill>
        </w:rPr>
        <w:t>文件的实质性内容。</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拒不进行澄清、说明、补正的，或者不能在规定时间内做出书面澄清、说明、补正的，磋商小组将取消其继续参加磋商的资格。</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5.8中标原则：磋商小组应当从质量和服务均能满足</w:t>
      </w: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文件实质性响应要求的</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中，按照最后</w:t>
      </w:r>
      <w:r>
        <w:rPr>
          <w:rFonts w:hint="eastAsia"/>
          <w:color w:val="000000" w:themeColor="text1"/>
          <w:sz w:val="28"/>
          <w:szCs w:val="28"/>
          <w:highlight w:val="none"/>
          <w:lang w:val="en-US" w:eastAsia="zh-CN"/>
          <w14:textFill>
            <w14:solidFill>
              <w14:schemeClr w14:val="tx1"/>
            </w14:solidFill>
          </w14:textFill>
        </w:rPr>
        <w:t>得分</w:t>
      </w:r>
      <w:r>
        <w:rPr>
          <w:rFonts w:hint="eastAsia"/>
          <w:color w:val="000000" w:themeColor="text1"/>
          <w:sz w:val="28"/>
          <w:szCs w:val="28"/>
          <w:highlight w:val="none"/>
          <w14:textFill>
            <w14:solidFill>
              <w14:schemeClr w14:val="tx1"/>
            </w14:solidFill>
          </w14:textFill>
        </w:rPr>
        <w:t>由高到低的顺序提出3名</w:t>
      </w:r>
      <w:r>
        <w:rPr>
          <w:rFonts w:hint="eastAsia"/>
          <w:color w:val="000000" w:themeColor="text1"/>
          <w:sz w:val="28"/>
          <w:szCs w:val="28"/>
          <w:highlight w:val="none"/>
          <w:lang w:eastAsia="zh-CN"/>
          <w14:textFill>
            <w14:solidFill>
              <w14:schemeClr w14:val="tx1"/>
            </w14:solidFill>
          </w14:textFill>
        </w:rPr>
        <w:t>（含</w:t>
      </w:r>
      <w:r>
        <w:rPr>
          <w:rFonts w:hint="eastAsia"/>
          <w:color w:val="000000" w:themeColor="text1"/>
          <w:sz w:val="28"/>
          <w:szCs w:val="28"/>
          <w:highlight w:val="none"/>
          <w:lang w:val="en-US" w:eastAsia="zh-CN"/>
          <w14:textFill>
            <w14:solidFill>
              <w14:schemeClr w14:val="tx1"/>
            </w14:solidFill>
          </w14:textFill>
        </w:rPr>
        <w:t>3名</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以上成交候选人，并编写评审报告。</w:t>
      </w:r>
    </w:p>
    <w:p>
      <w:pPr>
        <w:pStyle w:val="11"/>
        <w:tabs>
          <w:tab w:val="clear" w:pos="567"/>
        </w:tabs>
        <w:spacing w:before="0"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5.9磋商小组成员按照磋商文件的规定，根据各</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的商务和技术响应情况等分别进行比较和评标。</w:t>
      </w:r>
    </w:p>
    <w:p>
      <w:pPr>
        <w:pStyle w:val="11"/>
        <w:tabs>
          <w:tab w:val="clear" w:pos="567"/>
        </w:tabs>
        <w:spacing w:before="0" w:line="360" w:lineRule="auto"/>
        <w:jc w:val="center"/>
        <w:rPr>
          <w:color w:val="000000" w:themeColor="text1"/>
          <w:sz w:val="28"/>
          <w:szCs w:val="28"/>
          <w:highlight w:val="none"/>
          <w14:textFill>
            <w14:solidFill>
              <w14:schemeClr w14:val="tx1"/>
            </w14:solidFill>
          </w14:textFill>
        </w:rPr>
      </w:pPr>
      <w:bookmarkStart w:id="17" w:name="_Toc5197"/>
      <w:r>
        <w:rPr>
          <w:rFonts w:hint="eastAsia"/>
          <w:b/>
          <w:bCs/>
          <w:color w:val="000000" w:themeColor="text1"/>
          <w:sz w:val="28"/>
          <w:szCs w:val="28"/>
          <w:highlight w:val="none"/>
          <w14:textFill>
            <w14:solidFill>
              <w14:schemeClr w14:val="tx1"/>
            </w14:solidFill>
          </w14:textFill>
        </w:rPr>
        <w:t>6</w:t>
      </w:r>
      <w:r>
        <w:rPr>
          <w:rFonts w:hint="eastAsia"/>
          <w:b/>
          <w:bCs/>
          <w:color w:val="000000" w:themeColor="text1"/>
          <w:sz w:val="28"/>
          <w:szCs w:val="28"/>
          <w:highlight w:val="none"/>
          <w:lang w:val="en-US" w:eastAsia="zh-CN"/>
          <w14:textFill>
            <w14:solidFill>
              <w14:schemeClr w14:val="tx1"/>
            </w14:solidFill>
          </w14:textFill>
        </w:rPr>
        <w:t>.</w:t>
      </w:r>
      <w:r>
        <w:rPr>
          <w:rFonts w:hint="eastAsia"/>
          <w:b/>
          <w:bCs/>
          <w:color w:val="000000" w:themeColor="text1"/>
          <w:kern w:val="0"/>
          <w:sz w:val="28"/>
          <w:szCs w:val="28"/>
          <w:highlight w:val="none"/>
          <w:lang w:val="en-US" w:eastAsia="zh-CN"/>
          <w14:textFill>
            <w14:solidFill>
              <w14:schemeClr w14:val="tx1"/>
            </w14:solidFill>
          </w14:textFill>
        </w:rPr>
        <w:t>磋商</w:t>
      </w:r>
      <w:r>
        <w:rPr>
          <w:rFonts w:hint="eastAsia"/>
          <w:b/>
          <w:bCs/>
          <w:color w:val="000000" w:themeColor="text1"/>
          <w:kern w:val="0"/>
          <w:sz w:val="28"/>
          <w:szCs w:val="28"/>
          <w:highlight w:val="none"/>
          <w14:textFill>
            <w14:solidFill>
              <w14:schemeClr w14:val="tx1"/>
            </w14:solidFill>
          </w14:textFill>
        </w:rPr>
        <w:t>报价</w:t>
      </w:r>
      <w:bookmarkEnd w:id="17"/>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6.1本工程</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计价方式已在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须知前附表第</w:t>
      </w:r>
      <w:r>
        <w:rPr>
          <w:rFonts w:hint="eastAsia"/>
          <w:color w:val="000000" w:themeColor="text1"/>
          <w:sz w:val="28"/>
          <w:szCs w:val="28"/>
          <w:highlight w:val="none"/>
          <w:lang w:val="en-US" w:eastAsia="zh-CN"/>
          <w14:textFill>
            <w14:solidFill>
              <w14:schemeClr w14:val="tx1"/>
            </w14:solidFill>
          </w14:textFill>
        </w:rPr>
        <w:t>7.1</w:t>
      </w:r>
      <w:r>
        <w:rPr>
          <w:rFonts w:hint="eastAsia" w:ascii="宋体" w:hAnsi="宋体"/>
          <w:color w:val="000000" w:themeColor="text1"/>
          <w:sz w:val="28"/>
          <w:szCs w:val="28"/>
          <w:highlight w:val="none"/>
          <w14:textFill>
            <w14:solidFill>
              <w14:schemeClr w14:val="tx1"/>
            </w14:solidFill>
          </w14:textFill>
        </w:rPr>
        <w:t>项列清。</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6.2竞争性磋商的报价方式</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6.2.1采用两次报价的方式。</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6.2.2</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在提交的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文件中报价，在开标现场不公布。</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.3</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可根据磋商情况，进行第二次报价，该报价为磋商的最终报价。</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.4第二次报价磋商由磋商小组进行，采取现场磋商的方式进行二次报价时，报价应用大写书写，写明</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名称，并由</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被授权人签字后，以现场监督人及磋商小组签字认可。</w:t>
      </w: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所有</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的二次报价收集齐全后，</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代理公司在监标人员的现场监督下，现场宣读二次报价，为磋商的最终报价。</w:t>
      </w:r>
    </w:p>
    <w:p>
      <w:pPr>
        <w:spacing w:line="360" w:lineRule="auto"/>
        <w:jc w:val="center"/>
        <w:rPr>
          <w:rFonts w:ascii="宋体"/>
          <w:b/>
          <w:bCs/>
          <w:color w:val="000000" w:themeColor="text1"/>
          <w:sz w:val="28"/>
          <w:szCs w:val="28"/>
          <w:highlight w:val="none"/>
          <w14:textFill>
            <w14:solidFill>
              <w14:schemeClr w14:val="tx1"/>
            </w14:solidFill>
          </w14:textFill>
        </w:rPr>
      </w:pPr>
      <w:bookmarkStart w:id="18" w:name="_Toc30124"/>
      <w:r>
        <w:rPr>
          <w:rFonts w:hint="eastAsia" w:ascii="宋体" w:hAnsi="宋体"/>
          <w:b/>
          <w:bCs/>
          <w:color w:val="000000" w:themeColor="text1"/>
          <w:sz w:val="28"/>
          <w:szCs w:val="28"/>
          <w:highlight w:val="none"/>
          <w14:textFill>
            <w14:solidFill>
              <w14:schemeClr w14:val="tx1"/>
            </w14:solidFill>
          </w14:textFill>
        </w:rPr>
        <w:t>7</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kern w:val="0"/>
          <w:sz w:val="28"/>
          <w:szCs w:val="28"/>
          <w:highlight w:val="none"/>
          <w:lang w:val="en-US" w:eastAsia="zh-CN"/>
          <w14:textFill>
            <w14:solidFill>
              <w14:schemeClr w14:val="tx1"/>
            </w14:solidFill>
          </w14:textFill>
        </w:rPr>
        <w:t>磋商</w:t>
      </w:r>
      <w:r>
        <w:rPr>
          <w:rFonts w:hint="eastAsia" w:ascii="宋体" w:hAnsi="宋体"/>
          <w:b/>
          <w:bCs/>
          <w:color w:val="000000" w:themeColor="text1"/>
          <w:kern w:val="0"/>
          <w:sz w:val="28"/>
          <w:szCs w:val="28"/>
          <w:highlight w:val="none"/>
          <w14:textFill>
            <w14:solidFill>
              <w14:schemeClr w14:val="tx1"/>
            </w14:solidFill>
          </w14:textFill>
        </w:rPr>
        <w:t>保证金</w:t>
      </w:r>
      <w:bookmarkEnd w:id="18"/>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7.1</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应提供不少于</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w:t>
      </w:r>
      <w:r>
        <w:rPr>
          <w:rFonts w:hint="eastAsia" w:ascii="宋体" w:hAnsi="宋体"/>
          <w:color w:val="000000" w:themeColor="text1"/>
          <w:sz w:val="28"/>
          <w:szCs w:val="28"/>
          <w:highlight w:val="none"/>
          <w:lang w:val="en-US" w:eastAsia="zh-CN"/>
          <w14:textFill>
            <w14:solidFill>
              <w14:schemeClr w14:val="tx1"/>
            </w14:solidFill>
          </w14:textFill>
        </w:rPr>
        <w:t>2.1.2项</w:t>
      </w:r>
      <w:r>
        <w:rPr>
          <w:rFonts w:hint="eastAsia" w:ascii="宋体" w:hAnsi="宋体"/>
          <w:color w:val="000000" w:themeColor="text1"/>
          <w:sz w:val="28"/>
          <w:szCs w:val="28"/>
          <w:highlight w:val="none"/>
          <w14:textFill>
            <w14:solidFill>
              <w14:schemeClr w14:val="tx1"/>
            </w14:solidFill>
          </w14:textFill>
        </w:rPr>
        <w:t>规定数额的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7.2</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有下列情形之一者，</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保证金将被没收：</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7.2.1中标人拒绝按照</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文件、响应文件及中标通知书要求与</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人签订合同；</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7.2.2中标人或</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要求修改、补充和撤销响应文件实质性内容或要求更改</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文件和中标通知书的实质性内容；</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7.2.3中标人拒绝按</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文件规定时间、金额、形式提交履约保证金。</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7.3自中标通知书发出之日起5个工作日内退还未中标人的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保证金。因违反规定被没收的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保证金不予退回。</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7.4自采购合同签订之日起5个工作日内退还中标人的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保证金或者转为中标人的履约保证金。因违反规定被没收的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保证金不予退回。</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7.5</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保证金有效期与</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有效期一致。</w:t>
      </w:r>
    </w:p>
    <w:p>
      <w:pPr>
        <w:pStyle w:val="12"/>
        <w:spacing w:line="300" w:lineRule="auto"/>
        <w:ind w:left="0" w:leftChars="0" w:firstLine="0" w:firstLineChars="0"/>
        <w:jc w:val="center"/>
        <w:rPr>
          <w:rFonts w:ascii="宋体" w:hAnsi="宋体" w:eastAsia="宋体"/>
          <w:b/>
          <w:bCs/>
          <w:color w:val="000000" w:themeColor="text1"/>
          <w:kern w:val="2"/>
          <w:sz w:val="28"/>
          <w:szCs w:val="28"/>
          <w:highlight w:val="none"/>
          <w14:textFill>
            <w14:solidFill>
              <w14:schemeClr w14:val="tx1"/>
            </w14:solidFill>
          </w14:textFill>
        </w:rPr>
      </w:pPr>
      <w:bookmarkStart w:id="19" w:name="_Toc772"/>
      <w:r>
        <w:rPr>
          <w:rFonts w:hint="eastAsia" w:ascii="宋体" w:hAnsi="宋体" w:eastAsia="宋体"/>
          <w:b/>
          <w:bCs/>
          <w:color w:val="000000" w:themeColor="text1"/>
          <w:spacing w:val="15"/>
          <w:sz w:val="28"/>
          <w:szCs w:val="28"/>
          <w:highlight w:val="none"/>
          <w14:textFill>
            <w14:solidFill>
              <w14:schemeClr w14:val="tx1"/>
            </w14:solidFill>
          </w14:textFill>
        </w:rPr>
        <w:t>8</w:t>
      </w:r>
      <w:r>
        <w:rPr>
          <w:rFonts w:hint="eastAsia" w:ascii="宋体" w:hAnsi="宋体" w:eastAsia="宋体"/>
          <w:b/>
          <w:bCs/>
          <w:color w:val="000000" w:themeColor="text1"/>
          <w:spacing w:val="15"/>
          <w:sz w:val="28"/>
          <w:szCs w:val="28"/>
          <w:highlight w:val="none"/>
          <w:lang w:val="en-US" w:eastAsia="zh-CN"/>
          <w14:textFill>
            <w14:solidFill>
              <w14:schemeClr w14:val="tx1"/>
            </w14:solidFill>
          </w14:textFill>
        </w:rPr>
        <w:t>.</w:t>
      </w:r>
      <w:r>
        <w:rPr>
          <w:rFonts w:hint="eastAsia" w:ascii="宋体" w:hAnsi="宋体" w:eastAsia="宋体"/>
          <w:b/>
          <w:bCs/>
          <w:color w:val="000000" w:themeColor="text1"/>
          <w:sz w:val="28"/>
          <w:szCs w:val="28"/>
          <w:highlight w:val="none"/>
          <w14:textFill>
            <w14:solidFill>
              <w14:schemeClr w14:val="tx1"/>
            </w14:solidFill>
          </w14:textFill>
        </w:rPr>
        <w:t>响应文件的组成</w:t>
      </w:r>
      <w:bookmarkEnd w:id="19"/>
    </w:p>
    <w:p>
      <w:pPr>
        <w:spacing w:line="300"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8.1响应文件主要包括下列内容：</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bookmarkStart w:id="20" w:name="_Hlt131417893"/>
      <w:bookmarkEnd w:id="20"/>
      <w:r>
        <w:rPr>
          <w:rFonts w:hint="eastAsia" w:ascii="宋体" w:hAnsi="宋体"/>
          <w:color w:val="000000" w:themeColor="text1"/>
          <w:sz w:val="28"/>
          <w:szCs w:val="28"/>
          <w:highlight w:val="none"/>
          <w14:textFill>
            <w14:solidFill>
              <w14:schemeClr w14:val="tx1"/>
            </w14:solidFill>
          </w14:textFill>
        </w:rPr>
        <w:t>（1）投标函及投标函附录；</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（4）已标价工程量清单；</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（4.1）总说明；</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（4.2）投标报价汇总表；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（4.3）单项工程投标报价汇总表；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（4.4）单位工程投标报价汇总表；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（4.6）总价措施项目清单与计价表；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（4.7）其他项目清单与计价汇总表；</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（4.7.1）暂列金额明细表；</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（4.7.2）材料（工程设备）暂估单价及调整表；</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（4.7.3）专业工程暂估价及结算价表；</w:t>
      </w:r>
    </w:p>
    <w:p>
      <w:pPr>
        <w:spacing w:line="360" w:lineRule="auto"/>
        <w:ind w:firstLine="1120" w:firstLineChars="400"/>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（4.7.4）计日工表；</w:t>
      </w:r>
    </w:p>
    <w:p>
      <w:pPr>
        <w:spacing w:line="360" w:lineRule="auto"/>
        <w:ind w:firstLine="1120" w:firstLineChars="400"/>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（4.7.5）总承包服务费计价表；</w:t>
      </w:r>
    </w:p>
    <w:p>
      <w:pPr>
        <w:spacing w:line="360" w:lineRule="auto"/>
        <w:ind w:firstLine="840" w:firstLineChars="300"/>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4.8</w:t>
      </w:r>
      <w:r>
        <w:rPr>
          <w:rFonts w:hint="eastAsia" w:ascii="宋体" w:hAnsi="宋体"/>
          <w:color w:val="000000" w:themeColor="text1"/>
          <w:sz w:val="28"/>
          <w:szCs w:val="28"/>
          <w:highlight w:val="none"/>
          <w14:textFill>
            <w14:solidFill>
              <w14:schemeClr w14:val="tx1"/>
            </w14:solidFill>
          </w14:textFill>
        </w:rPr>
        <w:t>）规费、税金项目计价表；</w:t>
      </w:r>
    </w:p>
    <w:p>
      <w:pPr>
        <w:spacing w:line="360" w:lineRule="auto"/>
        <w:ind w:firstLine="840" w:firstLineChars="300"/>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4.9</w:t>
      </w:r>
      <w:r>
        <w:rPr>
          <w:rFonts w:hint="eastAsia" w:ascii="宋体" w:hAnsi="宋体"/>
          <w:color w:val="000000" w:themeColor="text1"/>
          <w:sz w:val="28"/>
          <w:szCs w:val="28"/>
          <w:highlight w:val="none"/>
          <w14:textFill>
            <w14:solidFill>
              <w14:schemeClr w14:val="tx1"/>
            </w14:solidFill>
          </w14:textFill>
        </w:rPr>
        <w:t>）综合单价分析表；</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5</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报价需要的其他资料；</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6</w:t>
      </w:r>
      <w:r>
        <w:rPr>
          <w:rFonts w:hint="eastAsia" w:ascii="宋体" w:hAnsi="宋体"/>
          <w:color w:val="000000" w:themeColor="text1"/>
          <w:sz w:val="28"/>
          <w:szCs w:val="28"/>
          <w:highlight w:val="none"/>
          <w14:textFill>
            <w14:solidFill>
              <w14:schemeClr w14:val="tx1"/>
            </w14:solidFill>
          </w14:textFill>
        </w:rPr>
        <w:t>）项目管理机构；</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7</w:t>
      </w:r>
      <w:r>
        <w:rPr>
          <w:rFonts w:hint="eastAsia" w:ascii="宋体" w:hAnsi="宋体"/>
          <w:color w:val="000000" w:themeColor="text1"/>
          <w:sz w:val="28"/>
          <w:szCs w:val="28"/>
          <w:highlight w:val="none"/>
          <w14:textFill>
            <w14:solidFill>
              <w14:schemeClr w14:val="tx1"/>
            </w14:solidFill>
          </w14:textFill>
        </w:rPr>
        <w:t>）资格审查资料；</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8</w:t>
      </w:r>
      <w:r>
        <w:rPr>
          <w:rFonts w:hint="eastAsia" w:ascii="宋体" w:hAnsi="宋体"/>
          <w:color w:val="000000" w:themeColor="text1"/>
          <w:sz w:val="28"/>
          <w:szCs w:val="28"/>
          <w:highlight w:val="none"/>
          <w14:textFill>
            <w14:solidFill>
              <w14:schemeClr w14:val="tx1"/>
            </w14:solidFill>
          </w14:textFill>
        </w:rPr>
        <w:t>）工程投标廉政承诺书（详见附表）；</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）技术标；</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.1）施工方案与技术措施</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.2）质量保证措施和创优计划</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.3）施工总进度计划及保证措施</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.4）施工安全措施计划</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.5）文明施工措施计划</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.6）施工场地治安保卫管理计划</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.7）施工环保措施计划</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.8）施工现场总平面布置（附图）</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.9）项目组织管理机构</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.10）成品保护和工程保修工作的管理和承诺</w:t>
      </w:r>
    </w:p>
    <w:p>
      <w:pPr>
        <w:spacing w:line="360" w:lineRule="auto"/>
        <w:ind w:firstLine="840" w:firstLineChars="300"/>
        <w:rPr>
          <w:rFonts w:hint="eastAsia" w:ascii="宋体" w:hAnsi="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.11）任何可能的紧急情况的处理措施、预案以及抵抗风险的措施</w:t>
      </w:r>
      <w:r>
        <w:rPr>
          <w:rFonts w:hint="eastAsia" w:ascii="宋体" w:hAnsi="宋体"/>
          <w:color w:val="000000" w:themeColor="text1"/>
          <w:sz w:val="28"/>
          <w:szCs w:val="28"/>
          <w:highlight w:val="none"/>
          <w:lang w:eastAsia="zh-CN"/>
          <w14:textFill>
            <w14:solidFill>
              <w14:schemeClr w14:val="tx1"/>
            </w14:solidFill>
          </w14:textFill>
        </w:rPr>
        <w:t>。</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.12）对总包管理的认识以及对专业分包工程的配合、协调、管理、服务方案</w:t>
      </w:r>
      <w:r>
        <w:rPr>
          <w:rFonts w:hint="eastAsia" w:ascii="宋体"/>
          <w:color w:val="000000" w:themeColor="text1"/>
          <w:sz w:val="28"/>
          <w:szCs w:val="28"/>
          <w:highlight w:val="none"/>
          <w14:textFill>
            <w14:solidFill>
              <w14:schemeClr w14:val="tx1"/>
            </w14:solidFill>
          </w14:textFill>
        </w:rPr>
        <w:t>仅限于（但不包括）以上内容，</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color w:val="000000" w:themeColor="text1"/>
          <w:sz w:val="28"/>
          <w:szCs w:val="28"/>
          <w:highlight w:val="none"/>
          <w14:textFill>
            <w14:solidFill>
              <w14:schemeClr w14:val="tx1"/>
            </w14:solidFill>
          </w14:textFill>
        </w:rPr>
        <w:t>认为需要提供的其他资料也可提供。</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8.2响应文件纸张要求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8.2.1响应文件应采用A4打印纸，提倡环保双面打印。</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8.3响应文件书写要求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8.3.1响应文件必须采用打印方式书写。</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8.4响应文件装订要求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8.4.1响应文件必须胶装，装订成一册。</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8.4.2响应文件应按封面、目录、正文顺序装订</w:t>
      </w:r>
      <w:r>
        <w:rPr>
          <w:rFonts w:hint="eastAsia" w:ascii="宋体" w:hAnsi="宋体"/>
          <w:color w:val="000000" w:themeColor="text1"/>
          <w:sz w:val="28"/>
          <w:szCs w:val="28"/>
          <w:highlight w:val="none"/>
          <w:lang w:eastAsia="zh-CN"/>
          <w14:textFill>
            <w14:solidFill>
              <w14:schemeClr w14:val="tx1"/>
            </w14:solidFill>
          </w14:textFill>
        </w:rPr>
        <w:t>，为方便评审，内文顺序不得漏项、颠倒</w:t>
      </w:r>
      <w:r>
        <w:rPr>
          <w:rFonts w:hint="eastAsia" w:ascii="宋体" w:hAnsi="宋体"/>
          <w:color w:val="000000" w:themeColor="text1"/>
          <w:sz w:val="28"/>
          <w:szCs w:val="28"/>
          <w:highlight w:val="none"/>
          <w14:textFill>
            <w14:solidFill>
              <w14:schemeClr w14:val="tx1"/>
            </w14:solidFill>
          </w14:textFill>
        </w:rPr>
        <w:t>。</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8.5响应文件字体要求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8.5.1响应文件所采用的字体，以能够供评委识别看清为准。</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8.6响应文件封面要求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8.6.1响应文件封面宜按</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文件规定格式编制。</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8.7响应文件目录要求</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8.7.1为便于评审，响应文件目录宜按本</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文件相关内容先后顺序编排。</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21" w:name="_Toc15825"/>
      <w:r>
        <w:rPr>
          <w:rFonts w:hint="eastAsia" w:ascii="宋体" w:hAnsi="宋体"/>
          <w:color w:val="000000" w:themeColor="text1"/>
          <w:sz w:val="28"/>
          <w:szCs w:val="28"/>
          <w:highlight w:val="none"/>
          <w14:textFill>
            <w14:solidFill>
              <w14:schemeClr w14:val="tx1"/>
            </w14:solidFill>
          </w14:textFill>
        </w:rPr>
        <w:t>8.8响应文件的份数和签署</w:t>
      </w:r>
      <w:bookmarkEnd w:id="21"/>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8.8.1</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应按</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须知前附表第</w:t>
      </w:r>
      <w:r>
        <w:rPr>
          <w:rFonts w:hint="eastAsia" w:ascii="宋体" w:hAnsi="宋体"/>
          <w:color w:val="000000" w:themeColor="text1"/>
          <w:sz w:val="28"/>
          <w:szCs w:val="28"/>
          <w:highlight w:val="none"/>
          <w:lang w:val="en-US" w:eastAsia="zh-CN"/>
          <w14:textFill>
            <w14:solidFill>
              <w14:schemeClr w14:val="tx1"/>
            </w14:solidFill>
          </w14:textFill>
        </w:rPr>
        <w:t>2.1.4</w:t>
      </w:r>
      <w:r>
        <w:rPr>
          <w:rFonts w:hint="eastAsia" w:ascii="宋体" w:hAnsi="宋体"/>
          <w:color w:val="000000" w:themeColor="text1"/>
          <w:sz w:val="28"/>
          <w:szCs w:val="28"/>
          <w:highlight w:val="none"/>
          <w14:textFill>
            <w14:solidFill>
              <w14:schemeClr w14:val="tx1"/>
            </w14:solidFill>
          </w14:textFill>
        </w:rPr>
        <w:t>项规定，编制响应文件“正本”和“副本”份数。</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8.8.2响应文件封面右上角必须注明“正本”或“副本”字样。</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8.8.3响应文件凡是要求</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盖章处需加盖公章或经验证的电子印章、法定代表人或委托代理人签字或盖章。</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8.9响应文件正本和副本如有不一致之处，以正本为准。</w:t>
      </w:r>
    </w:p>
    <w:p>
      <w:pPr>
        <w:spacing w:line="360"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8.10全套响应文件应无涂改和行间插字，除非这些删改是根据</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人的指示进行的，或者是</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造成的必须修改的错误。修改处应加盖法定代表人或委托代理人章。</w:t>
      </w:r>
    </w:p>
    <w:p>
      <w:pPr>
        <w:spacing w:line="360"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8.11响应文件的密封。</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8.11.1</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必须将响应文件密封装袋并在封袋上标明“响应文件”字样，即“响应文件”封袋，</w:t>
      </w:r>
      <w:r>
        <w:rPr>
          <w:rFonts w:hint="eastAsia" w:ascii="宋体" w:hAnsi="宋体"/>
          <w:b/>
          <w:bCs/>
          <w:color w:val="000000" w:themeColor="text1"/>
          <w:sz w:val="28"/>
          <w:szCs w:val="28"/>
          <w:highlight w:val="none"/>
          <w14:textFill>
            <w14:solidFill>
              <w14:schemeClr w14:val="tx1"/>
            </w14:solidFill>
          </w14:textFill>
        </w:rPr>
        <w:t>响应文件电子版，必须与响应文件密封在一起。</w:t>
      </w:r>
      <w:r>
        <w:rPr>
          <w:rFonts w:hint="eastAsia" w:ascii="宋体" w:hAnsi="宋体"/>
          <w:color w:val="000000" w:themeColor="text1"/>
          <w:sz w:val="28"/>
          <w:szCs w:val="28"/>
          <w:highlight w:val="none"/>
          <w14:textFill>
            <w14:solidFill>
              <w14:schemeClr w14:val="tx1"/>
            </w14:solidFill>
          </w14:textFill>
        </w:rPr>
        <w:t>否则整个响应文件将被视为不响应</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文件，而予以拒绝评审。</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8.11.2响应文件封袋必须在开启处密封，并加盖</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公章或经验证的电子印章及法人章。</w:t>
      </w:r>
    </w:p>
    <w:p>
      <w:pPr>
        <w:spacing w:line="360"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8.11.</w:t>
      </w:r>
      <w:r>
        <w:rPr>
          <w:rFonts w:hint="eastAsia" w:ascii="宋体" w:hAnsi="宋体"/>
          <w:color w:val="000000" w:themeColor="text1"/>
          <w:sz w:val="28"/>
          <w:szCs w:val="28"/>
          <w:highlight w:val="none"/>
          <w:lang w:val="en-US" w:eastAsia="zh-CN"/>
          <w14:textFill>
            <w14:solidFill>
              <w14:schemeClr w14:val="tx1"/>
            </w14:solidFill>
          </w14:textFill>
        </w:rPr>
        <w:t>3</w:t>
      </w:r>
      <w:r>
        <w:rPr>
          <w:rFonts w:hint="eastAsia" w:ascii="宋体" w:hAnsi="宋体"/>
          <w:color w:val="000000" w:themeColor="text1"/>
          <w:sz w:val="28"/>
          <w:szCs w:val="28"/>
          <w:highlight w:val="none"/>
          <w14:textFill>
            <w14:solidFill>
              <w14:schemeClr w14:val="tx1"/>
            </w14:solidFill>
          </w14:textFill>
        </w:rPr>
        <w:t>响应文件封面要求详见</w:t>
      </w:r>
      <w:r>
        <w:rPr>
          <w:rFonts w:hint="eastAsia" w:ascii="宋体" w:hAnsi="宋体"/>
          <w:color w:val="000000" w:themeColor="text1"/>
          <w:sz w:val="28"/>
          <w:szCs w:val="28"/>
          <w:highlight w:val="none"/>
          <w:lang w:val="en-US" w:eastAsia="zh-CN"/>
          <w14:textFill>
            <w14:solidFill>
              <w14:schemeClr w14:val="tx1"/>
            </w14:solidFill>
          </w14:textFill>
        </w:rPr>
        <w:t>磋商须知</w:t>
      </w:r>
      <w:r>
        <w:rPr>
          <w:rFonts w:hint="eastAsia" w:ascii="宋体" w:hAnsi="宋体"/>
          <w:color w:val="000000" w:themeColor="text1"/>
          <w:sz w:val="28"/>
          <w:szCs w:val="28"/>
          <w:highlight w:val="none"/>
          <w14:textFill>
            <w14:solidFill>
              <w14:schemeClr w14:val="tx1"/>
            </w14:solidFill>
          </w14:textFill>
        </w:rPr>
        <w:t>前附表</w:t>
      </w:r>
      <w:r>
        <w:rPr>
          <w:rFonts w:hint="eastAsia" w:ascii="宋体" w:hAnsi="宋体"/>
          <w:color w:val="000000" w:themeColor="text1"/>
          <w:sz w:val="28"/>
          <w:szCs w:val="28"/>
          <w:highlight w:val="none"/>
          <w:lang w:val="en-US" w:eastAsia="zh-CN"/>
          <w14:textFill>
            <w14:solidFill>
              <w14:schemeClr w14:val="tx1"/>
            </w14:solidFill>
          </w14:textFill>
        </w:rPr>
        <w:t>第3.1.1项列清</w:t>
      </w:r>
      <w:r>
        <w:rPr>
          <w:rFonts w:hint="eastAsia" w:ascii="宋体" w:hAnsi="宋体"/>
          <w:color w:val="000000" w:themeColor="text1"/>
          <w:sz w:val="28"/>
          <w:szCs w:val="28"/>
          <w:highlight w:val="none"/>
          <w14:textFill>
            <w14:solidFill>
              <w14:schemeClr w14:val="tx1"/>
            </w14:solidFill>
          </w14:textFill>
        </w:rPr>
        <w:t>。</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bookmarkStart w:id="22" w:name="_Toc16222"/>
      <w:r>
        <w:rPr>
          <w:rFonts w:hint="eastAsia" w:ascii="宋体" w:hAnsi="宋体"/>
          <w:color w:val="000000" w:themeColor="text1"/>
          <w:sz w:val="28"/>
          <w:szCs w:val="28"/>
          <w:highlight w:val="none"/>
          <w14:textFill>
            <w14:solidFill>
              <w14:schemeClr w14:val="tx1"/>
            </w14:solidFill>
          </w14:textFill>
        </w:rPr>
        <w:t>8.12响应文件递交</w:t>
      </w:r>
      <w:bookmarkEnd w:id="22"/>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8.12.1</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必须按</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须知前附表规定，将响应文件送达指定地点后，递交给</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人。超过规定时间送达的响应文件，整个响应文件将被视为不响应</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文件，予以拒绝评审。</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8.12.2</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人事先约定延长</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截止时间的，</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人与</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以前的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截止期方面的全部权利、责任和义务，将适用延长至新的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截止期。</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23" w:name="_Toc21898"/>
      <w:r>
        <w:rPr>
          <w:rFonts w:hint="eastAsia" w:ascii="宋体" w:hAnsi="宋体"/>
          <w:color w:val="000000" w:themeColor="text1"/>
          <w:sz w:val="28"/>
          <w:szCs w:val="28"/>
          <w:highlight w:val="none"/>
          <w14:textFill>
            <w14:solidFill>
              <w14:schemeClr w14:val="tx1"/>
            </w14:solidFill>
          </w14:textFill>
        </w:rPr>
        <w:t>8.13响应文件修改与撤回</w:t>
      </w:r>
      <w:bookmarkEnd w:id="23"/>
    </w:p>
    <w:p>
      <w:pPr>
        <w:pStyle w:val="20"/>
        <w:spacing w:line="360" w:lineRule="auto"/>
        <w:ind w:firstLine="840" w:firstLineChars="300"/>
        <w:rPr>
          <w:color w:val="000000" w:themeColor="text1"/>
          <w:kern w:val="2"/>
          <w:sz w:val="28"/>
          <w:szCs w:val="28"/>
          <w:highlight w:val="none"/>
          <w14:textFill>
            <w14:solidFill>
              <w14:schemeClr w14:val="tx1"/>
            </w14:solidFill>
          </w14:textFill>
        </w:rPr>
      </w:pPr>
      <w:r>
        <w:rPr>
          <w:rFonts w:hint="eastAsia"/>
          <w:color w:val="000000" w:themeColor="text1"/>
          <w:kern w:val="2"/>
          <w:sz w:val="28"/>
          <w:szCs w:val="28"/>
          <w:highlight w:val="none"/>
          <w14:textFill>
            <w14:solidFill>
              <w14:schemeClr w14:val="tx1"/>
            </w14:solidFill>
          </w14:textFill>
        </w:rPr>
        <w:t>8.13.1</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kern w:val="2"/>
          <w:sz w:val="28"/>
          <w:szCs w:val="28"/>
          <w:highlight w:val="none"/>
          <w14:textFill>
            <w14:solidFill>
              <w14:schemeClr w14:val="tx1"/>
            </w14:solidFill>
          </w14:textFill>
        </w:rPr>
        <w:t>可以在递交响应文件以后，在规定</w:t>
      </w:r>
      <w:r>
        <w:rPr>
          <w:rFonts w:hint="eastAsia"/>
          <w:color w:val="000000" w:themeColor="text1"/>
          <w:kern w:val="2"/>
          <w:sz w:val="28"/>
          <w:szCs w:val="28"/>
          <w:highlight w:val="none"/>
          <w:lang w:val="en-US" w:eastAsia="zh-CN"/>
          <w14:textFill>
            <w14:solidFill>
              <w14:schemeClr w14:val="tx1"/>
            </w14:solidFill>
          </w14:textFill>
        </w:rPr>
        <w:t>响应</w:t>
      </w:r>
      <w:r>
        <w:rPr>
          <w:rFonts w:hint="eastAsia"/>
          <w:color w:val="000000" w:themeColor="text1"/>
          <w:kern w:val="2"/>
          <w:sz w:val="28"/>
          <w:szCs w:val="28"/>
          <w:highlight w:val="none"/>
          <w14:textFill>
            <w14:solidFill>
              <w14:schemeClr w14:val="tx1"/>
            </w14:solidFill>
          </w14:textFill>
        </w:rPr>
        <w:t>截止时间前，以书面形式向</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color w:val="000000" w:themeColor="text1"/>
          <w:kern w:val="2"/>
          <w:sz w:val="28"/>
          <w:szCs w:val="28"/>
          <w:highlight w:val="none"/>
          <w14:textFill>
            <w14:solidFill>
              <w14:schemeClr w14:val="tx1"/>
            </w14:solidFill>
          </w14:textFill>
        </w:rPr>
        <w:t>人递交修改或撤回其响应文件的通知，并将此通知备案。</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8.13.2响应文件的修改或撤回，同样应按本</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文件有关规定进行编制、密封、标志、盖章和递交，并且密封袋上应表明“修改”或“撤回”字样。</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8.13.3</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截止时间后，</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不得撤回或修改响应文件。</w:t>
      </w:r>
    </w:p>
    <w:p>
      <w:pPr>
        <w:spacing w:line="360" w:lineRule="auto"/>
        <w:ind w:firstLine="560" w:firstLineChars="200"/>
        <w:rPr>
          <w:rFonts w:ascii="宋体"/>
          <w:color w:val="000000" w:themeColor="text1"/>
          <w:sz w:val="28"/>
          <w:szCs w:val="28"/>
          <w:highlight w:val="none"/>
          <w14:textFill>
            <w14:solidFill>
              <w14:schemeClr w14:val="tx1"/>
            </w14:solidFill>
          </w14:textFill>
        </w:rPr>
      </w:pPr>
      <w:bookmarkStart w:id="24" w:name="_Toc28797"/>
      <w:r>
        <w:rPr>
          <w:rFonts w:hint="eastAsia" w:ascii="宋体" w:hAnsi="宋体"/>
          <w:color w:val="000000" w:themeColor="text1"/>
          <w:sz w:val="28"/>
          <w:szCs w:val="28"/>
          <w:highlight w:val="none"/>
          <w14:textFill>
            <w14:solidFill>
              <w14:schemeClr w14:val="tx1"/>
            </w14:solidFill>
          </w14:textFill>
        </w:rPr>
        <w:t>8.14响应文件澄清</w:t>
      </w:r>
      <w:bookmarkEnd w:id="24"/>
    </w:p>
    <w:p>
      <w:pPr>
        <w:pStyle w:val="20"/>
        <w:spacing w:line="360" w:lineRule="auto"/>
        <w:ind w:firstLine="840" w:firstLineChars="300"/>
        <w:rPr>
          <w:b/>
          <w:bCs/>
          <w:color w:val="000000" w:themeColor="text1"/>
          <w:kern w:val="2"/>
          <w:sz w:val="28"/>
          <w:szCs w:val="28"/>
          <w:highlight w:val="none"/>
          <w14:textFill>
            <w14:solidFill>
              <w14:schemeClr w14:val="tx1"/>
            </w14:solidFill>
          </w14:textFill>
        </w:rPr>
      </w:pPr>
      <w:r>
        <w:rPr>
          <w:rFonts w:hint="eastAsia"/>
          <w:color w:val="000000" w:themeColor="text1"/>
          <w:kern w:val="2"/>
          <w:sz w:val="28"/>
          <w:szCs w:val="28"/>
          <w:highlight w:val="none"/>
          <w14:textFill>
            <w14:solidFill>
              <w14:schemeClr w14:val="tx1"/>
            </w14:solidFill>
          </w14:textFill>
        </w:rPr>
        <w:t>8.14.1评标过程中，评标委员会为了有助于响应文件的评审，可以要求</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kern w:val="2"/>
          <w:sz w:val="28"/>
          <w:szCs w:val="28"/>
          <w:highlight w:val="none"/>
          <w14:textFill>
            <w14:solidFill>
              <w14:schemeClr w14:val="tx1"/>
            </w14:solidFill>
          </w14:textFill>
        </w:rPr>
        <w:t>就响应文件中非改变实质性内容的部分，做出书面说明并提供相关材料进行澄清，但改变响应文件实质性内容的澄清评标委员会将不予接受。</w:t>
      </w:r>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8.15响应文件格式</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8.15.1响应文件格式见第四章。</w:t>
      </w:r>
    </w:p>
    <w:p>
      <w:pPr>
        <w:spacing w:line="360"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8.15.2</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应使用本</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文件后面提供的响应文件格式填写，如不够用时，</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可按同样格式自行编制和填补，如果本</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文件未提供格式的，</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可自行编制。</w:t>
      </w:r>
    </w:p>
    <w:p>
      <w:pPr>
        <w:spacing w:line="360" w:lineRule="auto"/>
        <w:jc w:val="center"/>
        <w:rPr>
          <w:rFonts w:ascii="宋体"/>
          <w:color w:val="000000" w:themeColor="text1"/>
          <w:sz w:val="28"/>
          <w:szCs w:val="28"/>
          <w:highlight w:val="none"/>
          <w14:textFill>
            <w14:solidFill>
              <w14:schemeClr w14:val="tx1"/>
            </w14:solidFill>
          </w14:textFill>
        </w:rPr>
      </w:pPr>
      <w:bookmarkStart w:id="25" w:name="_Toc15726"/>
      <w:r>
        <w:rPr>
          <w:rFonts w:hint="eastAsia" w:ascii="宋体" w:hAnsi="宋体"/>
          <w:b/>
          <w:bCs/>
          <w:color w:val="000000" w:themeColor="text1"/>
          <w:sz w:val="28"/>
          <w:szCs w:val="28"/>
          <w:highlight w:val="none"/>
          <w14:textFill>
            <w14:solidFill>
              <w14:schemeClr w14:val="tx1"/>
            </w14:solidFill>
          </w14:textFill>
        </w:rPr>
        <w:t>9</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kern w:val="0"/>
          <w:sz w:val="28"/>
          <w:szCs w:val="28"/>
          <w:highlight w:val="none"/>
          <w14:textFill>
            <w14:solidFill>
              <w14:schemeClr w14:val="tx1"/>
            </w14:solidFill>
          </w14:textFill>
        </w:rPr>
        <w:t>开标时间及地点</w:t>
      </w:r>
      <w:bookmarkEnd w:id="25"/>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9.1开标的时间、地点已在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须知前附表第</w:t>
      </w:r>
      <w:r>
        <w:rPr>
          <w:rFonts w:hint="eastAsia"/>
          <w:color w:val="000000" w:themeColor="text1"/>
          <w:sz w:val="28"/>
          <w:szCs w:val="28"/>
          <w:highlight w:val="none"/>
          <w:lang w:val="en-US" w:eastAsia="zh-CN"/>
          <w14:textFill>
            <w14:solidFill>
              <w14:schemeClr w14:val="tx1"/>
            </w14:solidFill>
          </w14:textFill>
        </w:rPr>
        <w:t>4.1.1</w:t>
      </w:r>
      <w:r>
        <w:rPr>
          <w:rFonts w:hint="eastAsia" w:ascii="宋体" w:hAnsi="宋体"/>
          <w:color w:val="000000" w:themeColor="text1"/>
          <w:sz w:val="28"/>
          <w:szCs w:val="28"/>
          <w:highlight w:val="none"/>
          <w14:textFill>
            <w14:solidFill>
              <w14:schemeClr w14:val="tx1"/>
            </w14:solidFill>
          </w14:textFill>
        </w:rPr>
        <w:t>项列清。</w:t>
      </w:r>
    </w:p>
    <w:p>
      <w:pPr>
        <w:spacing w:line="360"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9.2</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人将邀请所有</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派代表参加开标会。</w:t>
      </w:r>
    </w:p>
    <w:p>
      <w:pPr>
        <w:spacing w:line="360" w:lineRule="auto"/>
        <w:jc w:val="center"/>
        <w:rPr>
          <w:rFonts w:ascii="宋体"/>
          <w:b/>
          <w:bCs/>
          <w:color w:val="000000" w:themeColor="text1"/>
          <w:kern w:val="0"/>
          <w:sz w:val="28"/>
          <w:szCs w:val="28"/>
          <w:highlight w:val="none"/>
          <w14:textFill>
            <w14:solidFill>
              <w14:schemeClr w14:val="tx1"/>
            </w14:solidFill>
          </w14:textFill>
        </w:rPr>
      </w:pPr>
      <w:bookmarkStart w:id="26" w:name="_Toc6831"/>
      <w:r>
        <w:rPr>
          <w:rFonts w:hint="eastAsia" w:ascii="宋体" w:hAnsi="宋体"/>
          <w:b/>
          <w:bCs/>
          <w:color w:val="000000" w:themeColor="text1"/>
          <w:sz w:val="28"/>
          <w:szCs w:val="28"/>
          <w:highlight w:val="none"/>
          <w14:textFill>
            <w14:solidFill>
              <w14:schemeClr w14:val="tx1"/>
            </w14:solidFill>
          </w14:textFill>
        </w:rPr>
        <w:t>10</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kern w:val="0"/>
          <w:sz w:val="28"/>
          <w:szCs w:val="28"/>
          <w:highlight w:val="none"/>
          <w14:textFill>
            <w14:solidFill>
              <w14:schemeClr w14:val="tx1"/>
            </w14:solidFill>
          </w14:textFill>
        </w:rPr>
        <w:t>评标方法</w:t>
      </w:r>
      <w:bookmarkEnd w:id="26"/>
    </w:p>
    <w:p>
      <w:pPr>
        <w:spacing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评标中各评委若发生意见分歧，通过书面表决形式，以少数服从多数为原则决定。</w:t>
      </w:r>
    </w:p>
    <w:p>
      <w:pPr>
        <w:pStyle w:val="3"/>
        <w:numPr>
          <w:ilvl w:val="0"/>
          <w:numId w:val="0"/>
        </w:numPr>
        <w:spacing w:before="0" w:after="0" w:line="240" w:lineRule="auto"/>
        <w:jc w:val="center"/>
        <w:rPr>
          <w:rFonts w:hint="eastAsia"/>
        </w:rPr>
      </w:pPr>
      <w:bookmarkStart w:id="27" w:name="_Toc18506"/>
      <w:r>
        <w:rPr>
          <w:rFonts w:hint="eastAsia"/>
        </w:rPr>
        <w:t>评审方法</w:t>
      </w:r>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spacing w:line="500" w:lineRule="exact"/>
        <w:outlineLvl w:val="1"/>
        <w:rPr>
          <w:rFonts w:hint="eastAsia" w:ascii="宋体" w:hAnsi="宋体"/>
          <w:b/>
          <w:sz w:val="28"/>
          <w:szCs w:val="24"/>
          <w:highlight w:val="white"/>
          <w:lang w:val="en-US" w:eastAsia="zh-CN"/>
        </w:rPr>
      </w:pPr>
      <w:bookmarkStart w:id="28" w:name="_Toc16809"/>
      <w:bookmarkStart w:id="29"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28"/>
      <w:bookmarkEnd w:id="29"/>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vAlign w:val="center"/>
          </w:tcPr>
          <w:p>
            <w:pPr>
              <w:spacing w:line="440" w:lineRule="exact"/>
              <w:jc w:val="left"/>
              <w:rPr>
                <w:rFonts w:hint="eastAsia" w:ascii="宋体" w:hAnsi="宋体" w:eastAsia="宋体" w:cs="宋体"/>
                <w:sz w:val="22"/>
                <w:szCs w:val="22"/>
              </w:rPr>
            </w:pPr>
          </w:p>
        </w:tc>
        <w:tc>
          <w:tcPr>
            <w:tcW w:w="1235" w:type="dxa"/>
            <w:vMerge w:val="continue"/>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不再进入</w:t>
            </w:r>
            <w:r>
              <w:rPr>
                <w:rFonts w:hint="eastAsia" w:ascii="宋体" w:hAnsi="宋体" w:eastAsia="宋体" w:cs="宋体"/>
                <w:color w:val="auto"/>
                <w:sz w:val="22"/>
                <w:szCs w:val="22"/>
                <w:lang w:val="en-US" w:eastAsia="zh-CN"/>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5845" w:type="dxa"/>
            <w:vAlign w:val="center"/>
          </w:tcPr>
          <w:p>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p>
            <w:pPr>
              <w:pStyle w:val="23"/>
              <w:ind w:left="0" w:leftChars="0" w:firstLine="0" w:firstLineChars="0"/>
              <w:rPr>
                <w:rFonts w:hint="eastAsia" w:ascii="宋体" w:hAnsi="宋体" w:eastAsia="宋体" w:cs="宋体"/>
                <w:color w:val="auto"/>
                <w:sz w:val="28"/>
                <w:szCs w:val="18"/>
                <w:highlight w:val="none"/>
                <w:lang w:eastAsia="zh-CN"/>
              </w:rPr>
            </w:pPr>
            <w:r>
              <w:rPr>
                <w:rFonts w:hint="eastAsia" w:ascii="宋体" w:hAnsi="宋体" w:eastAsia="宋体" w:cs="宋体"/>
                <w:color w:val="auto"/>
                <w:sz w:val="22"/>
                <w:szCs w:val="22"/>
                <w:highlight w:val="none"/>
                <w:lang w:eastAsia="zh-CN"/>
              </w:rPr>
              <w:t>注：小微企业产品价格扣除后的投标人报价=投标人总报价-中小微企业产品报价*扣除幅度。（以价格扣除后的投标人报价作为评审依据）</w:t>
            </w:r>
          </w:p>
        </w:tc>
        <w:tc>
          <w:tcPr>
            <w:tcW w:w="1235" w:type="dxa"/>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70</w:t>
            </w:r>
            <w:r>
              <w:rPr>
                <w:rFonts w:hint="eastAsia" w:ascii="宋体" w:hAnsi="宋体" w:eastAsia="宋体" w:cs="宋体"/>
                <w:sz w:val="22"/>
                <w:szCs w:val="22"/>
              </w:rPr>
              <w:t>分）</w:t>
            </w:r>
          </w:p>
        </w:tc>
        <w:tc>
          <w:tcPr>
            <w:tcW w:w="5845" w:type="dxa"/>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二</w:t>
            </w:r>
          </w:p>
        </w:tc>
        <w:tc>
          <w:tcPr>
            <w:tcW w:w="1235" w:type="dxa"/>
            <w:vAlign w:val="center"/>
          </w:tcPr>
          <w:p>
            <w:pPr>
              <w:spacing w:line="360" w:lineRule="auto"/>
              <w:jc w:val="center"/>
              <w:rPr>
                <w:rFonts w:hint="default"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70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vAlign w:val="center"/>
          </w:tcPr>
          <w:p>
            <w:pPr>
              <w:spacing w:line="360" w:lineRule="auto"/>
              <w:jc w:val="center"/>
              <w:rPr>
                <w:rFonts w:hint="eastAsia" w:ascii="宋体" w:hAnsi="宋体" w:eastAsia="宋体" w:cs="宋体"/>
                <w:sz w:val="22"/>
                <w:szCs w:val="22"/>
              </w:rPr>
            </w:pP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3"/>
        <w:ind w:left="0" w:leftChars="0" w:firstLine="0" w:firstLineChars="0"/>
        <w:rPr>
          <w:rFonts w:hint="eastAsia" w:ascii="宋体" w:hAnsi="宋体" w:eastAsia="宋体" w:cs="Times New Roman"/>
          <w:kern w:val="2"/>
          <w:sz w:val="28"/>
          <w:szCs w:val="24"/>
          <w:highlight w:val="whit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采购政策功能落实：</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1、小微型企业价格扣除</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（1）本项目对小型和微型企业产品给予3%的扣除价格，用扣除后的价格参与评审。</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（2）供应商需按照采购文件的要求提供相应的《企业声明函》。</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（3）企业标准请参照《关于印发中小企业划型标准规定的通知》（工信部联企业[2011]300号）文件规定自行填写。</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2、残疾人福利单位价格扣除</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（1）本项目对残疾人福利性单位视同小型、微型企业，给予6%的价格扣除，用扣除后的价格参与评审。</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（2）残疾人福利单位需按照采购文件的要求提供《残疾人福利性单位声明函》。</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（3）残疾人福利单位标准请参照《关于促进残疾人就业政府采购政策的通知》（财库〔2017〕141号）。</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3、残疾人福利单位、监狱企业属于小型、微型企业的，不重复享受政策。</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54"/>
        <w:shd w:val="clear" w:color="auto" w:fil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p>
      <w:pPr>
        <w:pStyle w:val="54"/>
        <w:shd w:val="clear" w:color="auto" w:fill="auto"/>
        <w:rPr>
          <w:rFonts w:hint="eastAsia" w:ascii="宋体" w:hAnsi="宋体" w:eastAsia="宋体" w:cs="宋体"/>
          <w:b/>
          <w:bCs/>
          <w:sz w:val="28"/>
          <w:szCs w:val="3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val="en-US" w:eastAsia="zh-CN"/>
        </w:rPr>
        <w:t>一</w:t>
      </w:r>
      <w:r>
        <w:rPr>
          <w:rFonts w:hint="eastAsia" w:ascii="宋体" w:hAnsi="宋体" w:eastAsia="宋体" w:cs="宋体"/>
          <w:sz w:val="22"/>
          <w:szCs w:val="22"/>
          <w:highlight w:val="none"/>
          <w:lang w:val="en-US" w:eastAsia="zh-CN"/>
        </w:rPr>
        <w:t>：</w:t>
      </w:r>
    </w:p>
    <w:p>
      <w:pPr>
        <w:pStyle w:val="54"/>
        <w:shd w:val="clear" w:color="auto" w:fill="auto"/>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none"/>
          <w:lang w:eastAsia="zh-CN"/>
        </w:rPr>
        <w:t>初步评审－资格、符合性审查表</w:t>
      </w:r>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因素</w:t>
            </w:r>
          </w:p>
        </w:tc>
        <w:tc>
          <w:tcPr>
            <w:tcW w:w="3016" w:type="dxa"/>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cs="宋体"/>
                <w:b/>
                <w:sz w:val="21"/>
                <w:szCs w:val="21"/>
                <w:lang w:eastAsia="zh-CN"/>
              </w:rPr>
              <w:t>审内容</w:t>
            </w:r>
          </w:p>
        </w:tc>
        <w:tc>
          <w:tcPr>
            <w:tcW w:w="4946" w:type="dxa"/>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标准</w:t>
            </w:r>
          </w:p>
        </w:tc>
        <w:tc>
          <w:tcPr>
            <w:tcW w:w="933" w:type="dxa"/>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9" w:type="dxa"/>
            <w:vMerge w:val="restart"/>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具有独立承担民事责任的能力</w:t>
            </w:r>
          </w:p>
        </w:tc>
        <w:tc>
          <w:tcPr>
            <w:tcW w:w="49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有效的</w:t>
            </w:r>
            <w:r>
              <w:rPr>
                <w:rFonts w:hint="eastAsia" w:ascii="宋体" w:hAnsi="宋体" w:eastAsia="宋体" w:cs="宋体"/>
                <w:color w:val="auto"/>
                <w:sz w:val="21"/>
                <w:szCs w:val="21"/>
                <w:lang w:val="zh-CN" w:eastAsia="zh-CN"/>
              </w:rPr>
              <w:t>经年检的三证合一营业执照复印件；</w:t>
            </w:r>
            <w:r>
              <w:rPr>
                <w:rFonts w:hint="eastAsia" w:ascii="宋体" w:hAnsi="宋体" w:eastAsia="宋体" w:cs="宋体"/>
                <w:color w:val="auto"/>
                <w:sz w:val="21"/>
                <w:szCs w:val="21"/>
                <w:lang w:val="en-US" w:eastAsia="zh-CN"/>
              </w:rPr>
              <w:t>提供营业执照等证明文件，【市政公用工程三级】(含)以上资质；有效的安全生产许可证；外省投标企业须提供《新疆维吾尔自治区区外建设工程企业信息登记册》或新疆工程建设云下载审核通过的信息报送册；</w:t>
            </w:r>
            <w:r>
              <w:rPr>
                <w:rFonts w:hint="eastAsia" w:ascii="宋体" w:hAnsi="宋体" w:eastAsia="宋体" w:cs="宋体"/>
                <w:color w:val="auto"/>
                <w:sz w:val="21"/>
                <w:szCs w:val="21"/>
                <w:lang w:val="zh-CN" w:eastAsia="zh-CN"/>
              </w:rPr>
              <w:t>法人代表或其委托代理人应携带本人身份证原件及复印件，委托代理人还应携带</w:t>
            </w:r>
            <w:r>
              <w:rPr>
                <w:rFonts w:hint="eastAsia" w:ascii="宋体" w:hAnsi="宋体" w:eastAsia="宋体" w:cs="宋体"/>
                <w:color w:val="auto"/>
                <w:sz w:val="21"/>
                <w:szCs w:val="21"/>
                <w:lang w:val="en-US" w:eastAsia="zh-CN"/>
              </w:rPr>
              <w:t>法人身份证明、</w:t>
            </w:r>
            <w:r>
              <w:rPr>
                <w:rFonts w:hint="eastAsia" w:ascii="宋体" w:hAnsi="宋体" w:eastAsia="宋体" w:cs="宋体"/>
                <w:color w:val="auto"/>
                <w:sz w:val="21"/>
                <w:szCs w:val="21"/>
                <w:lang w:val="zh-CN" w:eastAsia="zh-CN"/>
              </w:rPr>
              <w:t>法人代表授权委托书原件</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具备良好的商业信誉和健全的财务会计制度</w:t>
            </w:r>
          </w:p>
        </w:tc>
        <w:tc>
          <w:tcPr>
            <w:tcW w:w="49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提供提供近三年（</w:t>
            </w:r>
            <w:r>
              <w:rPr>
                <w:rFonts w:hint="eastAsia" w:ascii="宋体" w:hAnsi="宋体" w:cs="宋体"/>
                <w:color w:val="auto"/>
                <w:sz w:val="21"/>
                <w:szCs w:val="21"/>
                <w:highlight w:val="none"/>
                <w:lang w:val="en-US" w:eastAsia="zh-CN"/>
              </w:rPr>
              <w:t>2019年-2021年</w:t>
            </w:r>
            <w:r>
              <w:rPr>
                <w:rFonts w:hint="eastAsia" w:ascii="宋体" w:hAnsi="宋体" w:cs="宋体"/>
                <w:color w:val="auto"/>
                <w:sz w:val="21"/>
                <w:szCs w:val="21"/>
                <w:highlight w:val="none"/>
                <w:lang w:eastAsia="zh-CN"/>
              </w:rPr>
              <w:t>）财务审计报告或财务报表，包括资产负债表、利润表、现金流量表或开户银行出具的资信证明（企业成立不足</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年提供成立至今的）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完税证明</w:t>
            </w:r>
            <w:r>
              <w:rPr>
                <w:rFonts w:hint="eastAsia" w:ascii="宋体" w:hAnsi="宋体" w:eastAsia="宋体" w:cs="宋体"/>
                <w:color w:val="auto"/>
                <w:sz w:val="21"/>
                <w:szCs w:val="21"/>
                <w:lang w:eastAsia="zh-CN"/>
              </w:rPr>
              <w:t>和社会保障资金的良好记录</w:t>
            </w:r>
          </w:p>
        </w:tc>
        <w:tc>
          <w:tcPr>
            <w:tcW w:w="49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2021年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月至今任意时段的</w:t>
            </w:r>
            <w:r>
              <w:rPr>
                <w:rFonts w:hint="eastAsia" w:ascii="宋体" w:hAnsi="宋体" w:eastAsia="宋体" w:cs="宋体"/>
                <w:color w:val="auto"/>
                <w:sz w:val="21"/>
                <w:szCs w:val="21"/>
                <w:highlight w:val="none"/>
                <w:lang w:eastAsia="zh-CN"/>
              </w:rPr>
              <w:t>的缴纳税收的电子回单或税务部门出具的纳税证明或完税证明或有效的证明材料；</w:t>
            </w:r>
            <w:r>
              <w:rPr>
                <w:rFonts w:hint="eastAsia" w:ascii="宋体" w:hAnsi="宋体" w:eastAsia="宋体" w:cs="宋体"/>
                <w:color w:val="auto"/>
                <w:sz w:val="21"/>
                <w:szCs w:val="21"/>
                <w:highlight w:val="none"/>
                <w:lang w:val="en-US" w:eastAsia="zh-CN"/>
              </w:rPr>
              <w:t>提供投标截止前6个月社保局出具的社保缴纳明细盖有社保部门印章（</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代理人、项目负责人明细），入职不足6个月的按实际缴纳时间计算。（复印件加盖公章）</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信用记录</w:t>
            </w:r>
          </w:p>
        </w:tc>
        <w:tc>
          <w:tcPr>
            <w:tcW w:w="494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p>
            <w:pPr>
              <w:pStyle w:val="23"/>
              <w:spacing w:line="240" w:lineRule="auto"/>
              <w:rPr>
                <w:rFonts w:hint="eastAsia" w:ascii="宋体" w:hAnsi="宋体" w:eastAsia="宋体" w:cs="宋体"/>
                <w:sz w:val="21"/>
                <w:szCs w:val="21"/>
              </w:rPr>
            </w:pPr>
          </w:p>
        </w:tc>
        <w:tc>
          <w:tcPr>
            <w:tcW w:w="539"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合</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性</w:t>
            </w:r>
          </w:p>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查</w:t>
            </w: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供应商名称与购买文件时一致且</w:t>
            </w:r>
            <w:r>
              <w:rPr>
                <w:rFonts w:hint="eastAsia" w:ascii="宋体" w:hAnsi="宋体" w:cs="宋体"/>
                <w:sz w:val="21"/>
                <w:szCs w:val="21"/>
                <w:lang w:eastAsia="zh-CN"/>
              </w:rPr>
              <w:t>有</w:t>
            </w:r>
            <w:r>
              <w:rPr>
                <w:rFonts w:hint="eastAsia" w:ascii="宋体" w:hAnsi="宋体" w:eastAsia="宋体" w:cs="宋体"/>
                <w:sz w:val="21"/>
                <w:szCs w:val="21"/>
                <w:lang w:eastAsia="zh-CN"/>
              </w:rPr>
              <w:t>有效变更证明的；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响应文件</w:t>
            </w:r>
            <w:r>
              <w:rPr>
                <w:rFonts w:hint="eastAsia" w:ascii="宋体" w:hAnsi="宋体" w:eastAsia="宋体" w:cs="宋体"/>
                <w:sz w:val="21"/>
                <w:szCs w:val="21"/>
              </w:rPr>
              <w:t>按照</w:t>
            </w:r>
            <w:r>
              <w:rPr>
                <w:rFonts w:hint="eastAsia" w:ascii="宋体" w:hAnsi="宋体" w:cs="宋体"/>
                <w:sz w:val="21"/>
                <w:szCs w:val="21"/>
                <w:lang w:eastAsia="zh-CN"/>
              </w:rPr>
              <w:t>磋商</w:t>
            </w:r>
            <w:r>
              <w:rPr>
                <w:rFonts w:hint="eastAsia" w:ascii="宋体" w:hAnsi="宋体" w:eastAsia="宋体" w:cs="宋体"/>
                <w:sz w:val="21"/>
                <w:szCs w:val="21"/>
              </w:rPr>
              <w:t>文件规定要求密封、签署、盖章的；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供应商报价</w:t>
            </w:r>
            <w:r>
              <w:rPr>
                <w:rFonts w:hint="eastAsia" w:ascii="宋体" w:hAnsi="宋体" w:cs="宋体"/>
                <w:sz w:val="21"/>
                <w:szCs w:val="21"/>
                <w:lang w:eastAsia="zh-CN"/>
              </w:rPr>
              <w:t>低于磋商</w:t>
            </w:r>
            <w:r>
              <w:rPr>
                <w:rFonts w:hint="eastAsia" w:ascii="宋体" w:hAnsi="宋体" w:eastAsia="宋体" w:cs="宋体"/>
                <w:sz w:val="21"/>
                <w:szCs w:val="21"/>
                <w:lang w:eastAsia="zh-CN"/>
              </w:rPr>
              <w:t>文件规定的</w:t>
            </w:r>
            <w:r>
              <w:rPr>
                <w:rFonts w:hint="eastAsia" w:ascii="宋体" w:hAnsi="宋体" w:cs="宋体"/>
                <w:sz w:val="21"/>
                <w:szCs w:val="21"/>
                <w:lang w:eastAsia="zh-CN"/>
              </w:rPr>
              <w:t>预算金额（</w:t>
            </w:r>
            <w:r>
              <w:rPr>
                <w:rFonts w:hint="eastAsia" w:ascii="宋体" w:hAnsi="宋体" w:eastAsia="宋体" w:cs="宋体"/>
                <w:sz w:val="21"/>
                <w:szCs w:val="21"/>
                <w:lang w:eastAsia="zh-CN"/>
              </w:rPr>
              <w:t>最高限价</w:t>
            </w:r>
            <w:r>
              <w:rPr>
                <w:rFonts w:hint="eastAsia" w:ascii="宋体" w:hAnsi="宋体" w:cs="宋体"/>
                <w:sz w:val="21"/>
                <w:szCs w:val="21"/>
                <w:lang w:eastAsia="zh-CN"/>
              </w:rPr>
              <w:t>）</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磋商</w:t>
            </w:r>
            <w:r>
              <w:rPr>
                <w:rFonts w:hint="eastAsia" w:ascii="宋体" w:hAnsi="宋体" w:eastAsia="宋体" w:cs="宋体"/>
                <w:sz w:val="21"/>
                <w:szCs w:val="21"/>
                <w:lang w:eastAsia="zh-CN"/>
              </w:rPr>
              <w:t>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文件中规定的实质性要求和条件的</w:t>
            </w:r>
            <w:r>
              <w:rPr>
                <w:rFonts w:hint="eastAsia" w:ascii="宋体" w:hAnsi="宋体" w:eastAsia="宋体" w:cs="宋体"/>
                <w:sz w:val="21"/>
                <w:szCs w:val="21"/>
                <w:lang w:eastAsia="zh-CN"/>
              </w:rPr>
              <w:t>（</w:t>
            </w:r>
            <w:r>
              <w:rPr>
                <w:rFonts w:hint="eastAsia" w:ascii="宋体" w:hAnsi="宋体" w:cs="宋体"/>
                <w:sz w:val="21"/>
                <w:szCs w:val="21"/>
                <w:lang w:eastAsia="zh-CN"/>
              </w:rPr>
              <w:t>磋商</w:t>
            </w:r>
            <w:r>
              <w:rPr>
                <w:rFonts w:hint="eastAsia" w:ascii="宋体" w:hAnsi="宋体" w:eastAsia="宋体" w:cs="宋体"/>
                <w:sz w:val="21"/>
                <w:szCs w:val="21"/>
                <w:lang w:eastAsia="zh-CN"/>
              </w:rPr>
              <w:t>文件中标注“★”符号的条款）</w:t>
            </w:r>
            <w:r>
              <w:rPr>
                <w:rFonts w:hint="eastAsia" w:ascii="宋体" w:hAnsi="宋体" w:eastAsia="宋体" w:cs="宋体"/>
                <w:sz w:val="21"/>
                <w:szCs w:val="21"/>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没有</w:t>
            </w:r>
            <w:r>
              <w:rPr>
                <w:rFonts w:hint="eastAsia" w:ascii="宋体" w:hAnsi="宋体" w:eastAsia="宋体" w:cs="宋体"/>
                <w:sz w:val="21"/>
                <w:szCs w:val="21"/>
                <w:lang w:eastAsia="zh-CN"/>
              </w:rPr>
              <w:t>串通投标或弄虚作假或有其他违法行为的；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响应文件中</w:t>
            </w:r>
            <w:r>
              <w:rPr>
                <w:rFonts w:hint="eastAsia" w:ascii="宋体" w:hAnsi="宋体" w:cs="宋体"/>
                <w:sz w:val="21"/>
                <w:szCs w:val="21"/>
                <w:lang w:eastAsia="zh-CN"/>
              </w:rPr>
              <w:t>没</w:t>
            </w:r>
            <w:r>
              <w:rPr>
                <w:rFonts w:hint="eastAsia" w:ascii="宋体" w:hAnsi="宋体" w:eastAsia="宋体" w:cs="宋体"/>
                <w:sz w:val="21"/>
                <w:szCs w:val="21"/>
              </w:rPr>
              <w:t>有采购人不能接受的附加条件的；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w:t>
            </w:r>
            <w:r>
              <w:rPr>
                <w:rFonts w:hint="eastAsia" w:ascii="宋体" w:hAnsi="宋体" w:eastAsia="宋体" w:cs="宋体"/>
                <w:sz w:val="21"/>
                <w:szCs w:val="21"/>
                <w:lang w:eastAsia="zh-CN"/>
              </w:rPr>
              <w:t>和</w:t>
            </w:r>
            <w:r>
              <w:rPr>
                <w:rFonts w:hint="eastAsia" w:ascii="宋体" w:hAnsi="宋体" w:cs="宋体"/>
                <w:sz w:val="21"/>
                <w:szCs w:val="21"/>
                <w:lang w:eastAsia="zh-CN"/>
              </w:rPr>
              <w:t>磋商</w:t>
            </w:r>
            <w:r>
              <w:rPr>
                <w:rFonts w:hint="eastAsia" w:ascii="宋体" w:hAnsi="宋体" w:eastAsia="宋体" w:cs="宋体"/>
                <w:sz w:val="21"/>
                <w:szCs w:val="21"/>
              </w:rPr>
              <w:t>文件</w:t>
            </w:r>
            <w:r>
              <w:rPr>
                <w:rFonts w:hint="eastAsia" w:ascii="宋体" w:hAnsi="宋体" w:eastAsia="宋体" w:cs="宋体"/>
                <w:sz w:val="21"/>
                <w:szCs w:val="21"/>
                <w:lang w:eastAsia="zh-CN"/>
              </w:rPr>
              <w:t>中</w:t>
            </w:r>
            <w:r>
              <w:rPr>
                <w:rFonts w:hint="eastAsia" w:ascii="宋体" w:hAnsi="宋体" w:eastAsia="宋体" w:cs="宋体"/>
                <w:sz w:val="21"/>
                <w:szCs w:val="21"/>
              </w:rPr>
              <w:t>规定的</w:t>
            </w:r>
            <w:r>
              <w:rPr>
                <w:rFonts w:hint="eastAsia" w:ascii="宋体" w:hAnsi="宋体" w:eastAsia="宋体" w:cs="宋体"/>
                <w:sz w:val="21"/>
                <w:szCs w:val="21"/>
                <w:lang w:eastAsia="zh-CN"/>
              </w:rPr>
              <w:t>其他</w:t>
            </w:r>
            <w:r>
              <w:rPr>
                <w:rFonts w:hint="eastAsia" w:ascii="宋体" w:hAnsi="宋体" w:eastAsia="宋体" w:cs="宋体"/>
                <w:sz w:val="21"/>
                <w:szCs w:val="21"/>
              </w:rPr>
              <w:t>实质性</w:t>
            </w:r>
            <w:r>
              <w:rPr>
                <w:rFonts w:hint="eastAsia" w:ascii="宋体" w:hAnsi="宋体" w:eastAsia="宋体" w:cs="宋体"/>
                <w:sz w:val="21"/>
                <w:szCs w:val="21"/>
                <w:lang w:eastAsia="zh-CN"/>
              </w:rPr>
              <w:t>要求的；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cs="宋体"/>
                <w:b/>
                <w:sz w:val="21"/>
                <w:szCs w:val="21"/>
                <w:lang w:eastAsia="zh-CN"/>
              </w:rPr>
              <w:t>视</w:t>
            </w:r>
            <w:r>
              <w:rPr>
                <w:rFonts w:hint="eastAsia" w:ascii="宋体" w:hAnsi="宋体" w:eastAsia="宋体" w:cs="宋体"/>
                <w:b/>
                <w:sz w:val="21"/>
                <w:szCs w:val="21"/>
              </w:rPr>
              <w:t>为无效</w:t>
            </w:r>
            <w:r>
              <w:rPr>
                <w:rFonts w:hint="eastAsia" w:ascii="宋体" w:hAnsi="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54"/>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eastAsia="zh-CN"/>
        </w:rPr>
        <w:t>二</w:t>
      </w:r>
      <w:r>
        <w:rPr>
          <w:rFonts w:hint="eastAsia" w:ascii="宋体" w:hAnsi="宋体" w:eastAsia="宋体" w:cs="宋体"/>
          <w:sz w:val="22"/>
          <w:szCs w:val="22"/>
          <w:highlight w:val="none"/>
          <w:lang w:val="en-US" w:eastAsia="zh-CN"/>
        </w:rPr>
        <w:t>：</w:t>
      </w:r>
    </w:p>
    <w:p>
      <w:pPr>
        <w:spacing w:line="440" w:lineRule="exact"/>
        <w:ind w:firstLine="4216" w:firstLineChars="1500"/>
        <w:jc w:val="both"/>
        <w:rPr>
          <w:rStyle w:val="55"/>
          <w:rFonts w:ascii="宋体" w:hAnsi="宋体"/>
          <w:b/>
          <w:color w:val="000000"/>
          <w:sz w:val="28"/>
          <w:szCs w:val="28"/>
        </w:rPr>
      </w:pPr>
      <w:r>
        <w:rPr>
          <w:rStyle w:val="55"/>
          <w:rFonts w:hint="eastAsia" w:ascii="宋体" w:hAnsi="宋体"/>
          <w:b/>
          <w:color w:val="000000"/>
          <w:sz w:val="28"/>
          <w:szCs w:val="28"/>
        </w:rPr>
        <w:t>详细评审表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b/>
                <w:color w:val="auto"/>
                <w:szCs w:val="21"/>
              </w:rPr>
            </w:pPr>
            <w:r>
              <w:rPr>
                <w:rFonts w:hint="eastAsia" w:ascii="宋体" w:hAnsi="宋体"/>
                <w:b/>
                <w:color w:val="auto"/>
                <w:szCs w:val="21"/>
              </w:rPr>
              <w:t>项目分值</w:t>
            </w:r>
          </w:p>
        </w:tc>
        <w:tc>
          <w:tcPr>
            <w:tcW w:w="2204" w:type="dxa"/>
            <w:gridSpan w:val="2"/>
            <w:noWrap w:val="0"/>
            <w:vAlign w:val="center"/>
          </w:tcPr>
          <w:p>
            <w:pPr>
              <w:widowControl/>
              <w:spacing w:line="340" w:lineRule="exact"/>
              <w:jc w:val="center"/>
              <w:rPr>
                <w:rFonts w:hint="eastAsia" w:ascii="宋体" w:hAnsi="宋体"/>
                <w:color w:val="auto"/>
                <w:szCs w:val="21"/>
              </w:rPr>
            </w:pPr>
            <w:r>
              <w:rPr>
                <w:rFonts w:hint="eastAsia" w:ascii="宋体" w:hAnsi="宋体"/>
                <w:b/>
                <w:color w:val="auto"/>
                <w:szCs w:val="21"/>
              </w:rPr>
              <w:t>评分内容</w:t>
            </w:r>
          </w:p>
        </w:tc>
        <w:tc>
          <w:tcPr>
            <w:tcW w:w="6336"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技术标</w:t>
            </w:r>
          </w:p>
          <w:p>
            <w:pPr>
              <w:widowControl/>
              <w:spacing w:line="340" w:lineRule="exact"/>
              <w:jc w:val="center"/>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0分</w:t>
            </w:r>
          </w:p>
          <w:p>
            <w:pPr>
              <w:widowControl/>
              <w:spacing w:line="340" w:lineRule="exact"/>
              <w:jc w:val="center"/>
              <w:rPr>
                <w:rFonts w:hint="eastAsia" w:ascii="宋体" w:hAnsi="宋体"/>
                <w:color w:val="auto"/>
                <w:szCs w:val="21"/>
              </w:rPr>
            </w:pPr>
          </w:p>
        </w:tc>
        <w:tc>
          <w:tcPr>
            <w:tcW w:w="1160"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全面性</w:t>
            </w:r>
          </w:p>
          <w:p>
            <w:pPr>
              <w:widowControl/>
              <w:spacing w:line="340" w:lineRule="exact"/>
              <w:jc w:val="center"/>
              <w:rPr>
                <w:rFonts w:hint="eastAsia"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pStyle w:val="56"/>
              <w:spacing w:line="340" w:lineRule="exact"/>
              <w:textAlignment w:val="center"/>
              <w:rPr>
                <w:rFonts w:hint="eastAsia" w:ascii="宋体" w:hAnsi="宋体"/>
                <w:color w:val="auto"/>
                <w:sz w:val="21"/>
                <w:szCs w:val="21"/>
              </w:rPr>
            </w:pPr>
            <w:r>
              <w:rPr>
                <w:rFonts w:hint="eastAsia" w:ascii="宋体" w:hAnsi="宋体"/>
                <w:color w:val="auto"/>
                <w:sz w:val="21"/>
                <w:szCs w:val="21"/>
              </w:rPr>
              <w:t>施工方法先进得</w:t>
            </w:r>
            <w:r>
              <w:rPr>
                <w:rFonts w:hint="eastAsia" w:ascii="宋体" w:hAnsi="宋体"/>
                <w:color w:val="auto"/>
                <w:sz w:val="21"/>
                <w:szCs w:val="21"/>
                <w:lang w:val="en-US" w:eastAsia="zh-CN"/>
              </w:rPr>
              <w:t>3</w:t>
            </w:r>
            <w:r>
              <w:rPr>
                <w:rFonts w:hint="eastAsia" w:ascii="宋体" w:hAnsi="宋体"/>
                <w:color w:val="auto"/>
                <w:sz w:val="21"/>
                <w:szCs w:val="21"/>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施工设备、劳动力计划合理得</w:t>
            </w:r>
            <w:r>
              <w:rPr>
                <w:rFonts w:hint="eastAsia" w:ascii="宋体" w:hAnsi="宋体"/>
                <w:color w:val="auto"/>
                <w:szCs w:val="21"/>
                <w:lang w:val="en-US" w:eastAsia="zh-CN"/>
              </w:rPr>
              <w:t>3</w:t>
            </w:r>
            <w:r>
              <w:rPr>
                <w:rFonts w:hint="eastAsia" w:ascii="宋体" w:hAnsi="宋体"/>
                <w:color w:val="auto"/>
                <w:szCs w:val="21"/>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确保工程质量、工期、安全措施得力得</w:t>
            </w:r>
            <w:r>
              <w:rPr>
                <w:rFonts w:hint="eastAsia" w:ascii="宋体" w:hAnsi="宋体"/>
                <w:color w:val="auto"/>
                <w:szCs w:val="21"/>
                <w:lang w:val="en-US" w:eastAsia="zh-CN"/>
              </w:rPr>
              <w:t>2</w:t>
            </w:r>
            <w:r>
              <w:rPr>
                <w:rFonts w:hint="eastAsia" w:ascii="宋体" w:hAnsi="宋体"/>
                <w:color w:val="auto"/>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文明施工措施可信度高得</w:t>
            </w:r>
            <w:r>
              <w:rPr>
                <w:rFonts w:hint="eastAsia" w:ascii="宋体" w:hAnsi="宋体"/>
                <w:color w:val="auto"/>
                <w:szCs w:val="21"/>
                <w:lang w:val="en-US" w:eastAsia="zh-CN"/>
              </w:rPr>
              <w:t>2</w:t>
            </w:r>
            <w:r>
              <w:rPr>
                <w:rFonts w:hint="eastAsia" w:ascii="宋体" w:hAnsi="宋体"/>
                <w:color w:val="auto"/>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施工总进度计划合理得</w:t>
            </w:r>
            <w:r>
              <w:rPr>
                <w:rFonts w:hint="eastAsia" w:ascii="宋体" w:hAnsi="宋体"/>
                <w:color w:val="auto"/>
                <w:szCs w:val="21"/>
                <w:lang w:val="en-US" w:eastAsia="zh-CN"/>
              </w:rPr>
              <w:t>2</w:t>
            </w:r>
            <w:r>
              <w:rPr>
                <w:rFonts w:hint="eastAsia" w:ascii="宋体" w:hAnsi="宋体"/>
                <w:color w:val="auto"/>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0～3</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可行性</w:t>
            </w:r>
          </w:p>
          <w:p>
            <w:pPr>
              <w:widowControl/>
              <w:spacing w:line="340" w:lineRule="exact"/>
              <w:jc w:val="center"/>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分</w:t>
            </w: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56"/>
              <w:spacing w:line="340" w:lineRule="exact"/>
              <w:textAlignment w:val="center"/>
              <w:rPr>
                <w:rFonts w:hint="eastAsia" w:ascii="宋体" w:hAnsi="宋体"/>
                <w:color w:val="auto"/>
                <w:sz w:val="21"/>
                <w:szCs w:val="21"/>
              </w:rPr>
            </w:pPr>
            <w:r>
              <w:rPr>
                <w:rFonts w:hint="eastAsia" w:ascii="宋体" w:hAnsi="宋体"/>
                <w:color w:val="auto"/>
                <w:sz w:val="21"/>
                <w:szCs w:val="21"/>
              </w:rPr>
              <w:t>涉及主要内容齐全措施计划详尽得</w:t>
            </w:r>
            <w:r>
              <w:rPr>
                <w:rFonts w:hint="eastAsia" w:ascii="宋体" w:hAnsi="宋体"/>
                <w:color w:val="auto"/>
                <w:sz w:val="21"/>
                <w:szCs w:val="21"/>
                <w:lang w:val="en-US" w:eastAsia="zh-CN"/>
              </w:rPr>
              <w:t>2</w:t>
            </w:r>
            <w:r>
              <w:rPr>
                <w:rFonts w:hint="eastAsia" w:ascii="宋体" w:hAnsi="宋体"/>
                <w:color w:val="auto"/>
                <w:sz w:val="21"/>
                <w:szCs w:val="21"/>
              </w:rPr>
              <w:t>分，一般得</w:t>
            </w:r>
            <w:r>
              <w:rPr>
                <w:rFonts w:hint="eastAsia" w:ascii="宋体" w:hAnsi="宋体"/>
                <w:color w:val="auto"/>
                <w:sz w:val="21"/>
                <w:szCs w:val="21"/>
                <w:lang w:val="en-US" w:eastAsia="zh-CN"/>
              </w:rPr>
              <w:t>1</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jc w:val="both"/>
              <w:rPr>
                <w:rFonts w:hint="eastAsia" w:ascii="宋体" w:hAnsi="宋体"/>
                <w:color w:val="auto"/>
                <w:sz w:val="21"/>
                <w:szCs w:val="21"/>
              </w:rPr>
            </w:pPr>
            <w:r>
              <w:rPr>
                <w:rFonts w:hint="eastAsia" w:ascii="宋体" w:hAnsi="宋体"/>
                <w:color w:val="auto"/>
                <w:sz w:val="21"/>
                <w:szCs w:val="21"/>
              </w:rPr>
              <w:t>流水段的划分合理得</w:t>
            </w:r>
            <w:r>
              <w:rPr>
                <w:rFonts w:hint="eastAsia" w:ascii="宋体" w:hAnsi="宋体"/>
                <w:color w:val="auto"/>
                <w:sz w:val="21"/>
                <w:szCs w:val="21"/>
                <w:lang w:val="en-US" w:eastAsia="zh-CN"/>
              </w:rPr>
              <w:t>2</w:t>
            </w:r>
            <w:r>
              <w:rPr>
                <w:rFonts w:hint="eastAsia" w:ascii="宋体" w:hAnsi="宋体"/>
                <w:color w:val="auto"/>
                <w:sz w:val="21"/>
                <w:szCs w:val="21"/>
              </w:rPr>
              <w:t>分，一般得</w:t>
            </w:r>
            <w:r>
              <w:rPr>
                <w:rFonts w:hint="eastAsia" w:ascii="宋体" w:hAnsi="宋体"/>
                <w:color w:val="auto"/>
                <w:sz w:val="21"/>
                <w:szCs w:val="21"/>
                <w:lang w:val="en-US" w:eastAsia="zh-CN"/>
              </w:rPr>
              <w:t>1</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jc w:val="both"/>
              <w:rPr>
                <w:rFonts w:hint="eastAsia" w:ascii="宋体" w:hAnsi="宋体"/>
                <w:color w:val="auto"/>
                <w:sz w:val="21"/>
                <w:szCs w:val="21"/>
              </w:rPr>
            </w:pPr>
            <w:r>
              <w:rPr>
                <w:rFonts w:hint="eastAsia" w:ascii="宋体" w:hAnsi="宋体"/>
                <w:color w:val="auto"/>
                <w:sz w:val="21"/>
                <w:szCs w:val="21"/>
              </w:rPr>
              <w:t>流水作业的合理性得</w:t>
            </w:r>
            <w:r>
              <w:rPr>
                <w:rFonts w:hint="eastAsia" w:ascii="宋体" w:hAnsi="宋体"/>
                <w:color w:val="auto"/>
                <w:sz w:val="21"/>
                <w:szCs w:val="21"/>
                <w:lang w:val="en-US" w:eastAsia="zh-CN"/>
              </w:rPr>
              <w:t>2</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jc w:val="both"/>
              <w:rPr>
                <w:rFonts w:hint="eastAsia" w:ascii="宋体" w:hAnsi="宋体"/>
                <w:color w:val="auto"/>
                <w:sz w:val="21"/>
                <w:szCs w:val="21"/>
              </w:rPr>
            </w:pPr>
            <w:r>
              <w:rPr>
                <w:rFonts w:hint="eastAsia" w:ascii="宋体" w:hAnsi="宋体"/>
                <w:color w:val="auto"/>
                <w:sz w:val="21"/>
                <w:szCs w:val="21"/>
              </w:rPr>
              <w:t>各项交叉作业切合实际得</w:t>
            </w:r>
            <w:r>
              <w:rPr>
                <w:rFonts w:hint="eastAsia" w:ascii="宋体" w:hAnsi="宋体"/>
                <w:color w:val="auto"/>
                <w:sz w:val="21"/>
                <w:szCs w:val="21"/>
                <w:lang w:val="en-US" w:eastAsia="zh-CN"/>
              </w:rPr>
              <w:t>2</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0～2</w:t>
            </w:r>
          </w:p>
        </w:tc>
        <w:tc>
          <w:tcPr>
            <w:tcW w:w="6336" w:type="dxa"/>
            <w:noWrap w:val="0"/>
            <w:vAlign w:val="center"/>
          </w:tcPr>
          <w:p>
            <w:pPr>
              <w:pStyle w:val="16"/>
              <w:widowControl/>
              <w:tabs>
                <w:tab w:val="center" w:pos="4153"/>
                <w:tab w:val="right" w:pos="8306"/>
              </w:tabs>
              <w:snapToGrid/>
              <w:spacing w:line="340" w:lineRule="exact"/>
              <w:jc w:val="both"/>
              <w:rPr>
                <w:rFonts w:hint="eastAsia" w:ascii="宋体" w:hAnsi="宋体"/>
                <w:color w:val="auto"/>
                <w:sz w:val="21"/>
                <w:szCs w:val="21"/>
              </w:rPr>
            </w:pPr>
            <w:r>
              <w:rPr>
                <w:rFonts w:hint="eastAsia" w:ascii="宋体" w:hAnsi="宋体"/>
                <w:color w:val="auto"/>
                <w:sz w:val="21"/>
                <w:szCs w:val="21"/>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针对性</w:t>
            </w:r>
          </w:p>
          <w:p>
            <w:pPr>
              <w:widowControl/>
              <w:spacing w:line="340" w:lineRule="exact"/>
              <w:jc w:val="center"/>
              <w:rPr>
                <w:rFonts w:hint="eastAsia"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pStyle w:val="56"/>
              <w:spacing w:line="340" w:lineRule="exact"/>
              <w:textAlignment w:val="center"/>
              <w:rPr>
                <w:rFonts w:hint="eastAsia" w:ascii="宋体" w:hAnsi="宋体"/>
                <w:color w:val="auto"/>
                <w:sz w:val="21"/>
                <w:szCs w:val="21"/>
              </w:rPr>
            </w:pPr>
            <w:r>
              <w:rPr>
                <w:rFonts w:hint="eastAsia" w:ascii="宋体" w:hAnsi="宋体"/>
                <w:color w:val="auto"/>
                <w:sz w:val="21"/>
                <w:szCs w:val="21"/>
              </w:rPr>
              <w:t>涉及重点内容突出得</w:t>
            </w:r>
            <w:r>
              <w:rPr>
                <w:rFonts w:hint="eastAsia" w:ascii="宋体" w:hAnsi="宋体"/>
                <w:color w:val="auto"/>
                <w:sz w:val="21"/>
                <w:szCs w:val="21"/>
                <w:lang w:val="en-US" w:eastAsia="zh-CN"/>
              </w:rPr>
              <w:t>3</w:t>
            </w:r>
            <w:r>
              <w:rPr>
                <w:rFonts w:hint="eastAsia" w:ascii="宋体" w:hAnsi="宋体"/>
                <w:color w:val="auto"/>
                <w:sz w:val="21"/>
                <w:szCs w:val="21"/>
              </w:rPr>
              <w:t>分、尚可得</w:t>
            </w:r>
            <w:r>
              <w:rPr>
                <w:rFonts w:hint="eastAsia" w:ascii="宋体" w:hAnsi="宋体"/>
                <w:color w:val="auto"/>
                <w:sz w:val="21"/>
                <w:szCs w:val="21"/>
                <w:lang w:val="en-US" w:eastAsia="zh-CN"/>
              </w:rPr>
              <w:t>2</w:t>
            </w:r>
            <w:r>
              <w:rPr>
                <w:rFonts w:hint="eastAsia" w:ascii="宋体" w:hAnsi="宋体"/>
                <w:color w:val="auto"/>
                <w:sz w:val="21"/>
                <w:szCs w:val="21"/>
              </w:rPr>
              <w:t>分，一般得</w:t>
            </w:r>
            <w:r>
              <w:rPr>
                <w:rFonts w:hint="eastAsia" w:ascii="宋体" w:hAnsi="宋体"/>
                <w:color w:val="auto"/>
                <w:sz w:val="21"/>
                <w:szCs w:val="21"/>
                <w:lang w:val="en-US" w:eastAsia="zh-CN"/>
              </w:rPr>
              <w:t>1</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pStyle w:val="16"/>
              <w:widowControl/>
              <w:tabs>
                <w:tab w:val="center" w:pos="4153"/>
                <w:tab w:val="right" w:pos="8306"/>
              </w:tabs>
              <w:snapToGrid/>
              <w:spacing w:line="340" w:lineRule="exact"/>
              <w:rPr>
                <w:rFonts w:hint="eastAsia" w:ascii="宋体" w:hAnsi="宋体"/>
                <w:color w:val="auto"/>
                <w:sz w:val="21"/>
                <w:szCs w:val="21"/>
              </w:rPr>
            </w:pPr>
            <w:r>
              <w:rPr>
                <w:rFonts w:hint="eastAsia" w:ascii="宋体" w:hAnsi="宋体"/>
                <w:color w:val="auto"/>
                <w:sz w:val="21"/>
                <w:szCs w:val="21"/>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rPr>
                <w:rFonts w:hint="eastAsia" w:ascii="宋体" w:hAnsi="宋体"/>
                <w:color w:val="auto"/>
                <w:sz w:val="21"/>
                <w:szCs w:val="21"/>
              </w:rPr>
            </w:pPr>
            <w:r>
              <w:rPr>
                <w:rFonts w:hint="eastAsia" w:ascii="宋体" w:hAnsi="宋体"/>
                <w:color w:val="auto"/>
                <w:sz w:val="21"/>
                <w:szCs w:val="21"/>
              </w:rPr>
              <w:t>安保体系健全有效得</w:t>
            </w:r>
            <w:r>
              <w:rPr>
                <w:rFonts w:hint="eastAsia" w:ascii="宋体" w:hAnsi="宋体"/>
                <w:color w:val="auto"/>
                <w:sz w:val="21"/>
                <w:szCs w:val="21"/>
                <w:lang w:val="en-US" w:eastAsia="zh-CN"/>
              </w:rPr>
              <w:t>2</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pStyle w:val="16"/>
              <w:widowControl/>
              <w:tabs>
                <w:tab w:val="center" w:pos="4153"/>
                <w:tab w:val="right" w:pos="8306"/>
              </w:tabs>
              <w:snapToGrid/>
              <w:spacing w:line="340" w:lineRule="exact"/>
              <w:rPr>
                <w:rFonts w:hint="eastAsia" w:ascii="宋体" w:hAnsi="宋体"/>
                <w:color w:val="auto"/>
                <w:sz w:val="21"/>
                <w:szCs w:val="21"/>
              </w:rPr>
            </w:pPr>
            <w:r>
              <w:rPr>
                <w:rFonts w:hint="eastAsia" w:ascii="宋体" w:hAnsi="宋体"/>
                <w:color w:val="auto"/>
                <w:sz w:val="21"/>
                <w:szCs w:val="21"/>
              </w:rPr>
              <w:t>创优措施切实可行得</w:t>
            </w:r>
            <w:r>
              <w:rPr>
                <w:rFonts w:hint="eastAsia" w:ascii="宋体" w:hAnsi="宋体"/>
                <w:color w:val="auto"/>
                <w:sz w:val="21"/>
                <w:szCs w:val="21"/>
                <w:lang w:val="en-US" w:eastAsia="zh-CN"/>
              </w:rPr>
              <w:t>3</w:t>
            </w:r>
            <w:r>
              <w:rPr>
                <w:rFonts w:hint="eastAsia" w:ascii="宋体" w:hAnsi="宋体"/>
                <w:color w:val="auto"/>
                <w:sz w:val="21"/>
                <w:szCs w:val="21"/>
              </w:rPr>
              <w:t>分，尚可得</w:t>
            </w:r>
            <w:r>
              <w:rPr>
                <w:rFonts w:hint="eastAsia" w:ascii="宋体" w:hAnsi="宋体"/>
                <w:color w:val="auto"/>
                <w:sz w:val="21"/>
                <w:szCs w:val="21"/>
                <w:lang w:val="en-US" w:eastAsia="zh-CN"/>
              </w:rPr>
              <w:t>2</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rPr>
                <w:rFonts w:hint="eastAsia" w:ascii="宋体" w:hAnsi="宋体"/>
                <w:color w:val="auto"/>
                <w:sz w:val="21"/>
                <w:szCs w:val="21"/>
              </w:rPr>
            </w:pPr>
            <w:r>
              <w:rPr>
                <w:rFonts w:hint="eastAsia" w:ascii="宋体" w:hAnsi="宋体"/>
                <w:color w:val="auto"/>
                <w:sz w:val="21"/>
                <w:szCs w:val="21"/>
              </w:rPr>
              <w:t>工程的安全措施得力</w:t>
            </w:r>
            <w:r>
              <w:rPr>
                <w:rFonts w:hint="eastAsia" w:ascii="宋体" w:hAnsi="宋体"/>
                <w:color w:val="auto"/>
                <w:sz w:val="21"/>
                <w:szCs w:val="21"/>
                <w:lang w:val="en-US" w:eastAsia="zh-CN"/>
              </w:rPr>
              <w:t>2</w:t>
            </w:r>
            <w:r>
              <w:rPr>
                <w:rFonts w:hint="eastAsia" w:ascii="宋体" w:hAnsi="宋体"/>
                <w:color w:val="auto"/>
                <w:sz w:val="21"/>
                <w:szCs w:val="21"/>
              </w:rPr>
              <w:t>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2</w:t>
            </w:r>
          </w:p>
        </w:tc>
        <w:tc>
          <w:tcPr>
            <w:tcW w:w="6336" w:type="dxa"/>
            <w:noWrap w:val="0"/>
            <w:vAlign w:val="center"/>
          </w:tcPr>
          <w:p>
            <w:pPr>
              <w:pStyle w:val="16"/>
              <w:widowControl/>
              <w:tabs>
                <w:tab w:val="center" w:pos="4153"/>
                <w:tab w:val="right" w:pos="8306"/>
              </w:tabs>
              <w:snapToGrid/>
              <w:spacing w:line="340" w:lineRule="exact"/>
              <w:rPr>
                <w:rFonts w:hint="eastAsia" w:ascii="宋体" w:hAnsi="宋体"/>
                <w:color w:val="auto"/>
                <w:sz w:val="21"/>
                <w:szCs w:val="21"/>
              </w:rPr>
            </w:pPr>
            <w:r>
              <w:rPr>
                <w:rFonts w:hint="eastAsia" w:ascii="宋体" w:hAnsi="宋体"/>
                <w:color w:val="auto"/>
                <w:sz w:val="21"/>
                <w:szCs w:val="21"/>
              </w:rPr>
              <w:t>文明施工措施得力得</w:t>
            </w:r>
            <w:r>
              <w:rPr>
                <w:rFonts w:hint="eastAsia" w:ascii="宋体" w:hAnsi="宋体"/>
                <w:color w:val="auto"/>
                <w:sz w:val="21"/>
                <w:szCs w:val="21"/>
                <w:lang w:val="en-US" w:eastAsia="zh-CN"/>
              </w:rPr>
              <w:t>2</w:t>
            </w:r>
            <w:r>
              <w:rPr>
                <w:rFonts w:hint="eastAsia" w:ascii="宋体" w:hAnsi="宋体"/>
                <w:color w:val="auto"/>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restart"/>
            <w:noWrap w:val="0"/>
            <w:vAlign w:val="center"/>
          </w:tcPr>
          <w:p>
            <w:pPr>
              <w:pStyle w:val="56"/>
              <w:spacing w:line="340" w:lineRule="exact"/>
              <w:jc w:val="center"/>
              <w:textAlignment w:val="center"/>
              <w:rPr>
                <w:rFonts w:hint="eastAsia" w:ascii="宋体" w:hAnsi="宋体"/>
                <w:color w:val="auto"/>
                <w:sz w:val="21"/>
                <w:szCs w:val="21"/>
              </w:rPr>
            </w:pPr>
            <w:r>
              <w:rPr>
                <w:rFonts w:hint="eastAsia" w:ascii="宋体" w:hAnsi="宋体"/>
                <w:color w:val="auto"/>
                <w:sz w:val="21"/>
                <w:szCs w:val="21"/>
              </w:rPr>
              <w:t>先进性</w:t>
            </w:r>
          </w:p>
          <w:p>
            <w:pPr>
              <w:widowControl/>
              <w:spacing w:line="340" w:lineRule="exact"/>
              <w:jc w:val="center"/>
              <w:rPr>
                <w:rFonts w:hint="eastAsia"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c>
          <w:tcPr>
            <w:tcW w:w="1044" w:type="dxa"/>
            <w:noWrap w:val="0"/>
            <w:vAlign w:val="center"/>
          </w:tcPr>
          <w:p>
            <w:pPr>
              <w:widowControl/>
              <w:spacing w:line="340" w:lineRule="exact"/>
              <w:jc w:val="center"/>
              <w:rPr>
                <w:rFonts w:hint="eastAsia" w:ascii="宋体" w:hAnsi="宋体" w:eastAsia="宋体"/>
                <w:color w:val="auto"/>
                <w:szCs w:val="21"/>
                <w:lang w:eastAsia="zh-CN"/>
              </w:rPr>
            </w:pPr>
            <w:r>
              <w:rPr>
                <w:rFonts w:hint="eastAsia" w:ascii="宋体" w:hAnsi="宋体"/>
                <w:color w:val="auto"/>
                <w:szCs w:val="21"/>
              </w:rPr>
              <w:t>0～</w:t>
            </w:r>
            <w:r>
              <w:rPr>
                <w:rFonts w:hint="eastAsia" w:ascii="宋体" w:hAnsi="宋体"/>
                <w:color w:val="auto"/>
                <w:szCs w:val="21"/>
                <w:lang w:val="en-US" w:eastAsia="zh-CN"/>
              </w:rPr>
              <w:t>3</w:t>
            </w:r>
          </w:p>
        </w:tc>
        <w:tc>
          <w:tcPr>
            <w:tcW w:w="6336" w:type="dxa"/>
            <w:noWrap w:val="0"/>
            <w:vAlign w:val="center"/>
          </w:tcPr>
          <w:p>
            <w:pPr>
              <w:pStyle w:val="56"/>
              <w:spacing w:line="340" w:lineRule="exact"/>
              <w:textAlignment w:val="center"/>
              <w:rPr>
                <w:rFonts w:hint="eastAsia" w:ascii="宋体" w:hAnsi="宋体"/>
                <w:color w:val="auto"/>
                <w:sz w:val="21"/>
                <w:szCs w:val="21"/>
              </w:rPr>
            </w:pPr>
            <w:r>
              <w:rPr>
                <w:rFonts w:hint="eastAsia" w:ascii="宋体" w:hAnsi="宋体"/>
                <w:color w:val="auto"/>
                <w:sz w:val="21"/>
                <w:szCs w:val="21"/>
              </w:rPr>
              <w:t>采用新工艺、新技术、新设备各得</w:t>
            </w:r>
            <w:r>
              <w:rPr>
                <w:rFonts w:hint="eastAsia" w:ascii="宋体" w:hAnsi="宋体"/>
                <w:color w:val="auto"/>
                <w:sz w:val="21"/>
                <w:szCs w:val="21"/>
                <w:lang w:val="en-US" w:eastAsia="zh-CN"/>
              </w:rPr>
              <w:t>1</w:t>
            </w:r>
            <w:r>
              <w:rPr>
                <w:rFonts w:hint="eastAsia" w:ascii="宋体" w:hAnsi="宋体"/>
                <w:color w:val="auto"/>
                <w:sz w:val="21"/>
                <w:szCs w:val="21"/>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eastAsia="宋体"/>
                <w:lang w:val="en-US" w:eastAsia="zh-CN"/>
              </w:rPr>
            </w:pPr>
            <w:r>
              <w:rPr>
                <w:rFonts w:hint="eastAsia"/>
              </w:rPr>
              <w:t>0～</w:t>
            </w:r>
            <w:r>
              <w:rPr>
                <w:rFonts w:hint="eastAsia"/>
                <w:lang w:val="en-US" w:eastAsia="zh-CN"/>
              </w:rPr>
              <w:t>6</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在确保工程质量前提下，有降低成本、缩短工期、减轻劳动强度提高进度提案者得</w:t>
            </w:r>
            <w:r>
              <w:rPr>
                <w:rFonts w:hint="eastAsia" w:ascii="宋体" w:hAnsi="宋体"/>
                <w:color w:val="auto"/>
                <w:szCs w:val="21"/>
                <w:lang w:val="en-US" w:eastAsia="zh-CN"/>
              </w:rPr>
              <w:t>6</w:t>
            </w:r>
            <w:r>
              <w:rPr>
                <w:rFonts w:hint="eastAsia" w:ascii="宋体" w:hAnsi="宋体"/>
                <w:color w:val="auto"/>
                <w:szCs w:val="21"/>
              </w:rPr>
              <w:t>分，方案尚可得</w:t>
            </w:r>
            <w:r>
              <w:rPr>
                <w:rFonts w:hint="eastAsia" w:ascii="宋体" w:hAnsi="宋体"/>
                <w:color w:val="auto"/>
                <w:szCs w:val="21"/>
                <w:lang w:val="en-US" w:eastAsia="zh-CN"/>
              </w:rPr>
              <w:t>4</w:t>
            </w:r>
            <w:r>
              <w:rPr>
                <w:rFonts w:hint="eastAsia" w:ascii="宋体" w:hAnsi="宋体"/>
                <w:color w:val="auto"/>
                <w:szCs w:val="21"/>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eastAsia="宋体"/>
                <w:color w:val="auto"/>
                <w:szCs w:val="21"/>
                <w:lang w:val="en-US" w:eastAsia="zh-CN"/>
              </w:rPr>
            </w:pPr>
            <w:r>
              <w:rPr>
                <w:rFonts w:hint="eastAsia" w:ascii="宋体" w:hAnsi="宋体"/>
                <w:color w:val="auto"/>
                <w:szCs w:val="21"/>
              </w:rPr>
              <w:t>0～</w:t>
            </w:r>
            <w:r>
              <w:rPr>
                <w:rFonts w:hint="eastAsia" w:ascii="宋体" w:hAnsi="宋体"/>
                <w:color w:val="auto"/>
                <w:szCs w:val="21"/>
                <w:lang w:val="en-US" w:eastAsia="zh-CN"/>
              </w:rPr>
              <w:t>6</w:t>
            </w:r>
          </w:p>
        </w:tc>
        <w:tc>
          <w:tcPr>
            <w:tcW w:w="6336" w:type="dxa"/>
            <w:noWrap w:val="0"/>
            <w:vAlign w:val="center"/>
          </w:tcPr>
          <w:p>
            <w:pPr>
              <w:widowControl/>
              <w:spacing w:line="340" w:lineRule="exact"/>
              <w:rPr>
                <w:rFonts w:hint="eastAsia" w:ascii="宋体" w:hAnsi="宋体"/>
                <w:color w:val="auto"/>
                <w:szCs w:val="21"/>
              </w:rPr>
            </w:pPr>
            <w:r>
              <w:rPr>
                <w:rFonts w:hint="eastAsia" w:ascii="宋体" w:hAnsi="宋体"/>
                <w:color w:val="auto"/>
                <w:szCs w:val="21"/>
              </w:rPr>
              <w:t>执行国家强制性条文得3分、有切实可行的保证措施各得</w:t>
            </w:r>
            <w:r>
              <w:rPr>
                <w:rFonts w:hint="eastAsia" w:ascii="宋体" w:hAnsi="宋体"/>
                <w:color w:val="auto"/>
                <w:szCs w:val="21"/>
                <w:lang w:val="en-US" w:eastAsia="zh-CN"/>
              </w:rPr>
              <w:t>3</w:t>
            </w:r>
            <w:r>
              <w:rPr>
                <w:rFonts w:hint="eastAsia" w:ascii="宋体" w:hAnsi="宋体"/>
                <w:color w:val="auto"/>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强制性</w:t>
            </w:r>
          </w:p>
          <w:p>
            <w:pPr>
              <w:widowControl/>
              <w:spacing w:line="340" w:lineRule="exact"/>
              <w:jc w:val="center"/>
              <w:rPr>
                <w:rFonts w:hint="eastAsia" w:ascii="宋体" w:hAnsi="宋体"/>
                <w:color w:val="auto"/>
                <w:szCs w:val="21"/>
              </w:rPr>
            </w:pPr>
            <w:r>
              <w:rPr>
                <w:rFonts w:hint="eastAsia" w:ascii="宋体" w:hAnsi="宋体"/>
                <w:color w:val="auto"/>
                <w:szCs w:val="21"/>
              </w:rPr>
              <w:t>7分</w:t>
            </w: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0～4</w:t>
            </w:r>
          </w:p>
        </w:tc>
        <w:tc>
          <w:tcPr>
            <w:tcW w:w="6336" w:type="dxa"/>
            <w:noWrap w:val="0"/>
            <w:vAlign w:val="center"/>
          </w:tcPr>
          <w:p>
            <w:pPr>
              <w:pStyle w:val="56"/>
              <w:spacing w:line="340" w:lineRule="exact"/>
              <w:textAlignment w:val="center"/>
              <w:rPr>
                <w:rFonts w:hint="eastAsia" w:ascii="宋体" w:hAnsi="宋体"/>
                <w:color w:val="auto"/>
                <w:sz w:val="21"/>
                <w:szCs w:val="21"/>
              </w:rPr>
            </w:pPr>
            <w:r>
              <w:rPr>
                <w:rFonts w:hint="eastAsia" w:ascii="宋体" w:hAnsi="宋体"/>
                <w:color w:val="auto"/>
                <w:sz w:val="21"/>
                <w:szCs w:val="21"/>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0～3</w:t>
            </w:r>
          </w:p>
        </w:tc>
        <w:tc>
          <w:tcPr>
            <w:tcW w:w="6336" w:type="dxa"/>
            <w:noWrap w:val="0"/>
            <w:vAlign w:val="center"/>
          </w:tcPr>
          <w:p>
            <w:pPr>
              <w:widowControl/>
              <w:spacing w:line="340" w:lineRule="exact"/>
              <w:jc w:val="left"/>
              <w:rPr>
                <w:rFonts w:hint="eastAsia" w:ascii="宋体" w:hAnsi="宋体"/>
                <w:color w:val="auto"/>
                <w:szCs w:val="21"/>
              </w:rPr>
            </w:pPr>
            <w:r>
              <w:rPr>
                <w:rFonts w:hint="eastAsia" w:ascii="宋体" w:hAnsi="宋体"/>
                <w:color w:val="auto"/>
                <w:szCs w:val="21"/>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restart"/>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承诺</w:t>
            </w:r>
          </w:p>
          <w:p>
            <w:pPr>
              <w:widowControl/>
              <w:spacing w:line="340" w:lineRule="exact"/>
              <w:jc w:val="center"/>
              <w:rPr>
                <w:rFonts w:hint="eastAsia" w:ascii="宋体" w:hAnsi="宋体"/>
                <w:color w:val="auto"/>
                <w:szCs w:val="21"/>
              </w:rPr>
            </w:pPr>
            <w:r>
              <w:rPr>
                <w:rFonts w:hint="eastAsia" w:ascii="宋体" w:hAnsi="宋体"/>
                <w:color w:val="auto"/>
                <w:szCs w:val="21"/>
              </w:rPr>
              <w:t>8分</w:t>
            </w: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0～4</w:t>
            </w:r>
          </w:p>
        </w:tc>
        <w:tc>
          <w:tcPr>
            <w:tcW w:w="6336" w:type="dxa"/>
            <w:noWrap w:val="0"/>
            <w:vAlign w:val="center"/>
          </w:tcPr>
          <w:p>
            <w:pPr>
              <w:widowControl/>
              <w:spacing w:line="340" w:lineRule="exact"/>
              <w:textAlignment w:val="center"/>
              <w:rPr>
                <w:rFonts w:hint="eastAsia" w:ascii="宋体" w:hAnsi="宋体"/>
                <w:color w:val="auto"/>
                <w:szCs w:val="21"/>
              </w:rPr>
            </w:pPr>
            <w:r>
              <w:rPr>
                <w:rFonts w:hint="eastAsia" w:ascii="宋体" w:hAnsi="宋体"/>
                <w:color w:val="auto"/>
                <w:szCs w:val="21"/>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color w:val="auto"/>
                <w:szCs w:val="21"/>
              </w:rPr>
            </w:pPr>
          </w:p>
        </w:tc>
        <w:tc>
          <w:tcPr>
            <w:tcW w:w="1160" w:type="dxa"/>
            <w:vMerge w:val="continue"/>
            <w:noWrap w:val="0"/>
            <w:vAlign w:val="center"/>
          </w:tcPr>
          <w:p>
            <w:pPr>
              <w:widowControl/>
              <w:spacing w:line="340" w:lineRule="exact"/>
              <w:jc w:val="center"/>
              <w:rPr>
                <w:rFonts w:hint="eastAsia" w:ascii="宋体" w:hAnsi="宋体"/>
                <w:color w:val="auto"/>
                <w:szCs w:val="21"/>
              </w:rPr>
            </w:pPr>
          </w:p>
        </w:tc>
        <w:tc>
          <w:tcPr>
            <w:tcW w:w="1044" w:type="dxa"/>
            <w:noWrap w:val="0"/>
            <w:vAlign w:val="center"/>
          </w:tcPr>
          <w:p>
            <w:pPr>
              <w:widowControl/>
              <w:spacing w:line="340" w:lineRule="exact"/>
              <w:jc w:val="center"/>
              <w:rPr>
                <w:rFonts w:hint="eastAsia" w:ascii="宋体" w:hAnsi="宋体"/>
                <w:color w:val="auto"/>
                <w:szCs w:val="21"/>
              </w:rPr>
            </w:pPr>
            <w:r>
              <w:rPr>
                <w:rFonts w:hint="eastAsia" w:ascii="宋体" w:hAnsi="宋体"/>
                <w:color w:val="auto"/>
                <w:szCs w:val="21"/>
              </w:rPr>
              <w:t>0～4</w:t>
            </w:r>
          </w:p>
        </w:tc>
        <w:tc>
          <w:tcPr>
            <w:tcW w:w="6336" w:type="dxa"/>
            <w:noWrap w:val="0"/>
            <w:vAlign w:val="center"/>
          </w:tcPr>
          <w:p>
            <w:pPr>
              <w:widowControl/>
              <w:spacing w:line="340" w:lineRule="exact"/>
              <w:jc w:val="left"/>
              <w:rPr>
                <w:rFonts w:hint="eastAsia" w:ascii="宋体" w:hAnsi="宋体"/>
                <w:color w:val="auto"/>
                <w:szCs w:val="21"/>
              </w:rPr>
            </w:pPr>
            <w:r>
              <w:rPr>
                <w:rFonts w:hint="eastAsia" w:ascii="宋体" w:hAnsi="宋体"/>
                <w:color w:val="auto"/>
                <w:szCs w:val="21"/>
              </w:rPr>
              <w:t>承诺达到优质质量标准、并有切实可行质量保证措施得3分，否则酌情扣分；达不到有违约经济处罚的得1分，否则不得分</w:t>
            </w:r>
          </w:p>
        </w:tc>
      </w:tr>
    </w:tbl>
    <w:p>
      <w:pPr>
        <w:rPr>
          <w:rFonts w:hint="eastAsia"/>
          <w:lang w:val="en-US" w:eastAsia="zh-CN"/>
        </w:rPr>
      </w:pPr>
    </w:p>
    <w:p>
      <w:pPr>
        <w:spacing w:line="320" w:lineRule="exact"/>
        <w:rPr>
          <w:rFonts w:ascii="宋体" w:hAnsi="宋体"/>
          <w:b/>
          <w:color w:val="000000"/>
          <w:sz w:val="28"/>
          <w:szCs w:val="28"/>
          <w:shd w:val="clear" w:color="auto" w:fill="FFFFFF"/>
        </w:rPr>
      </w:pPr>
      <w:r>
        <w:rPr>
          <w:rFonts w:hint="eastAsia" w:ascii="宋体" w:hAnsi="宋体"/>
          <w:szCs w:val="21"/>
        </w:rPr>
        <w:t>提示评委：1、评委应在认真理解本竞争性磋商文件有关情况后，做出自己负责的按上述内容对投标人进行评审。2、评分分值精确到小数点后两位数。3、响应文件与竞争性磋商文件有重大偏差时，评委在评审时需写明原因。4、以上打分项目中相关资质、从业人员以及业绩等必须提供相关的证明文件。</w:t>
      </w:r>
    </w:p>
    <w:p>
      <w:pPr>
        <w:pStyle w:val="23"/>
        <w:ind w:left="0" w:leftChars="0" w:firstLine="0" w:firstLineChars="0"/>
        <w:rPr>
          <w:rFonts w:hint="eastAsia"/>
          <w:lang w:val="en-US" w:eastAsia="zh-CN"/>
        </w:rPr>
      </w:pPr>
    </w:p>
    <w:p>
      <w:pPr>
        <w:rPr>
          <w:rFonts w:hint="eastAsia" w:ascii="宋体" w:hAnsi="宋体" w:eastAsia="宋体" w:cs="宋体"/>
          <w:b/>
          <w:sz w:val="28"/>
          <w:szCs w:val="28"/>
          <w:lang w:eastAsia="zh-CN"/>
        </w:rPr>
      </w:pPr>
      <w:bookmarkStart w:id="30" w:name="_Toc25362"/>
      <w:bookmarkStart w:id="31" w:name="_Toc14001"/>
    </w:p>
    <w:p>
      <w:pPr>
        <w:spacing w:line="500" w:lineRule="exact"/>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30"/>
      <w:bookmarkEnd w:id="31"/>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7"/>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（3）供应商在递交响应文件的同时，应逐项对照上述资格审查要求提交相应的原件和资格证明文件供磋商小组核查，否则评委将不予采信。</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（4）磋商小组在评审中必要时可按供应商提供的联系方式就有关问题进行查询核实，或要求供应商做出书面澄清，查询及澄清结果将作为审查的依据。</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（5）通过全部资格审查条件合格的供应商才能通过资格审查，其响应文件方可进入下一个检查阶段。</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7"/>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磋商报价表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eastAsia="宋体" w:cs="宋体"/>
          <w:sz w:val="24"/>
          <w:szCs w:val="24"/>
          <w:lang w:eastAsia="zh-CN"/>
        </w:rPr>
        <w:t>磋商报价表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eastAsia="宋体" w:cs="宋体"/>
          <w:sz w:val="24"/>
          <w:szCs w:val="24"/>
          <w:lang w:eastAsia="zh-CN"/>
        </w:rPr>
        <w:t>磋商报价表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2.2.6</w:t>
      </w:r>
      <w:r>
        <w:rPr>
          <w:rFonts w:hint="eastAsia" w:ascii="宋体" w:hAnsi="宋体" w:eastAsia="宋体" w:cs="宋体"/>
          <w:sz w:val="24"/>
          <w:szCs w:val="24"/>
        </w:rPr>
        <w:t>提供相同品牌产品的不同投标人参加同一合同项下投标的，以其中通过资格审查、符合性审查且报价最低的参加评标；报价相同的，由采购人或者采购人委托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文件规定的方式（采取随机抽取）确定一个参加评标的投标人，其他投标无效。</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非单一产品采购项目，</w:t>
      </w:r>
      <w:r>
        <w:rPr>
          <w:rFonts w:hint="eastAsia" w:ascii="宋体" w:hAnsi="宋体" w:eastAsia="宋体" w:cs="宋体"/>
          <w:sz w:val="24"/>
          <w:szCs w:val="24"/>
          <w:lang w:eastAsia="zh-CN"/>
        </w:rPr>
        <w:t>磋商</w:t>
      </w:r>
      <w:r>
        <w:rPr>
          <w:rFonts w:hint="eastAsia" w:ascii="宋体" w:hAnsi="宋体" w:eastAsia="宋体" w:cs="宋体"/>
          <w:sz w:val="24"/>
          <w:szCs w:val="24"/>
        </w:rPr>
        <w:t>文件中将载明其中的核心产品。多家投标人提供的核心产品品牌相同的，按前款规定处理。</w:t>
      </w:r>
    </w:p>
    <w:p>
      <w:pPr>
        <w:pStyle w:val="7"/>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磋商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.10采购结果确认</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7"/>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2.5推荐成交供应商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7"/>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2.6确定成交供应商</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2.6.1</w:t>
      </w:r>
      <w:r>
        <w:rPr>
          <w:rFonts w:hint="eastAsia" w:ascii="宋体" w:hAnsi="宋体" w:eastAsia="宋体" w:cs="宋体"/>
          <w:sz w:val="24"/>
          <w:szCs w:val="24"/>
        </w:rPr>
        <w:t>采购代理机构应当在评审结束后2个工作日内将评审报告送采购人确认。</w:t>
      </w:r>
    </w:p>
    <w:p>
      <w:pPr>
        <w:pStyle w:val="7"/>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outlineLvl w:val="1"/>
        <w:rPr>
          <w:rFonts w:hint="eastAsia" w:ascii="宋体" w:hAnsi="宋体" w:eastAsia="宋体" w:cs="宋体"/>
          <w:b/>
          <w:sz w:val="28"/>
          <w:szCs w:val="28"/>
          <w:lang w:val="en-US" w:eastAsia="zh-CN"/>
        </w:rPr>
      </w:pPr>
      <w:bookmarkStart w:id="32" w:name="_Toc19418"/>
      <w:r>
        <w:rPr>
          <w:rFonts w:hint="eastAsia" w:ascii="宋体" w:hAnsi="宋体" w:eastAsia="宋体" w:cs="宋体"/>
          <w:b/>
          <w:sz w:val="28"/>
          <w:szCs w:val="28"/>
          <w:lang w:val="en-US" w:eastAsia="zh-CN"/>
        </w:rPr>
        <w:t>三、串通投标的情况</w:t>
      </w:r>
      <w:bookmarkEnd w:id="32"/>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pPr>
        <w:pStyle w:val="7"/>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6、不同投标人的投标保证金从同一单位或者个人的账户转出。</w:t>
      </w:r>
    </w:p>
    <w:p>
      <w:pPr>
        <w:pStyle w:val="7"/>
        <w:spacing w:line="500" w:lineRule="exact"/>
        <w:ind w:firstLine="565" w:firstLineChars="202"/>
        <w:jc w:val="left"/>
        <w:rPr>
          <w:rFonts w:hint="eastAsia" w:ascii="宋体" w:hAnsi="宋体" w:eastAsia="宋体" w:cs="Times New Roman"/>
          <w:sz w:val="28"/>
          <w:szCs w:val="28"/>
        </w:rPr>
      </w:pPr>
    </w:p>
    <w:p>
      <w:pPr>
        <w:pStyle w:val="7"/>
        <w:spacing w:line="500" w:lineRule="exact"/>
        <w:ind w:firstLine="565" w:firstLineChars="202"/>
        <w:jc w:val="left"/>
        <w:rPr>
          <w:rFonts w:hint="eastAsia" w:ascii="宋体" w:hAnsi="宋体" w:eastAsia="宋体" w:cs="Times New Roman"/>
          <w:sz w:val="28"/>
          <w:szCs w:val="28"/>
        </w:rPr>
      </w:pPr>
    </w:p>
    <w:p>
      <w:pPr>
        <w:rPr>
          <w:rFonts w:hint="eastAsia"/>
          <w:sz w:val="28"/>
          <w:highlight w:val="white"/>
        </w:rPr>
      </w:pPr>
      <w:r>
        <w:rPr>
          <w:rFonts w:hint="eastAsia"/>
          <w:sz w:val="28"/>
          <w:highlight w:val="white"/>
        </w:rPr>
        <w:br w:type="page"/>
      </w:r>
    </w:p>
    <w:p>
      <w:pPr>
        <w:spacing w:line="348" w:lineRule="auto"/>
        <w:jc w:val="center"/>
        <w:rPr>
          <w:rFonts w:hint="eastAsia" w:ascii="宋体" w:hAnsi="宋体"/>
          <w:b/>
          <w:bCs/>
          <w:color w:val="000000" w:themeColor="text1"/>
          <w:sz w:val="28"/>
          <w:szCs w:val="28"/>
          <w:highlight w:val="none"/>
          <w14:textFill>
            <w14:solidFill>
              <w14:schemeClr w14:val="tx1"/>
            </w14:solidFill>
          </w14:textFill>
        </w:rPr>
      </w:pPr>
    </w:p>
    <w:p>
      <w:pPr>
        <w:spacing w:line="348" w:lineRule="auto"/>
        <w:jc w:val="center"/>
        <w:rPr>
          <w:rFonts w:asci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12</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开标会程序</w:t>
      </w:r>
      <w:bookmarkEnd w:id="27"/>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12.1标前会</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12.1.1标前会由</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代理机构主持，</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代理机构、监督人参加。</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12.1.2</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人在标前会上确定开标会主持人、唱标人、记录人。</w:t>
      </w:r>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开标会主持人负责按本</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文件规定的开标会程序主持招标会。</w:t>
      </w:r>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招标会记录人负责对整个招标会情况进行记录。</w:t>
      </w:r>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唱标人负责宣读响应文件的建设周期以及</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报价等内容。</w:t>
      </w:r>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12.2送达时间、密封与标志查验及开标。</w:t>
      </w:r>
    </w:p>
    <w:p>
      <w:pPr>
        <w:spacing w:line="348"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12.2.1请参加开标的</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代表签名报到，并递交响应文件。</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12.2.2开标会主持人介绍参加会议的人员和开标纪律。</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12.2.3</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或其推选的代表宣读</w:t>
      </w:r>
      <w:r>
        <w:rPr>
          <w:rFonts w:hint="eastAsia" w:ascii="宋体" w:hAnsi="宋体"/>
          <w:color w:val="000000" w:themeColor="text1"/>
          <w:sz w:val="28"/>
          <w:szCs w:val="28"/>
          <w:highlight w:val="none"/>
          <w:lang w:val="en-US" w:eastAsia="zh-CN"/>
          <w14:textFill>
            <w14:solidFill>
              <w14:schemeClr w14:val="tx1"/>
            </w14:solidFill>
          </w14:textFill>
        </w:rPr>
        <w:t>响应文件</w:t>
      </w:r>
      <w:r>
        <w:rPr>
          <w:rFonts w:hint="eastAsia" w:ascii="宋体" w:hAnsi="宋体"/>
          <w:color w:val="000000" w:themeColor="text1"/>
          <w:sz w:val="28"/>
          <w:szCs w:val="28"/>
          <w:highlight w:val="none"/>
          <w14:textFill>
            <w14:solidFill>
              <w14:schemeClr w14:val="tx1"/>
            </w14:solidFill>
          </w14:textFill>
        </w:rPr>
        <w:t>送达时间、查验标书密封、标志情况是否完好。</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12.2.4监督人对响应文件是否按</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文件规定进行核查。</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12.2.5开标会主持人征求</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有无书面补充材料，但是对</w:t>
      </w:r>
      <w:r>
        <w:rPr>
          <w:rFonts w:hint="eastAsia" w:ascii="宋体" w:hAnsi="宋体"/>
          <w:color w:val="000000" w:themeColor="text1"/>
          <w:sz w:val="28"/>
          <w:szCs w:val="28"/>
          <w:highlight w:val="none"/>
          <w:lang w:val="en-US" w:eastAsia="zh-CN"/>
          <w14:textFill>
            <w14:solidFill>
              <w14:schemeClr w14:val="tx1"/>
            </w14:solidFill>
          </w14:textFill>
        </w:rPr>
        <w:t>建设</w:t>
      </w:r>
      <w:r>
        <w:rPr>
          <w:rFonts w:hint="eastAsia" w:ascii="宋体" w:hAnsi="宋体"/>
          <w:color w:val="000000" w:themeColor="text1"/>
          <w:sz w:val="28"/>
          <w:szCs w:val="28"/>
          <w:highlight w:val="none"/>
          <w14:textFill>
            <w14:solidFill>
              <w14:schemeClr w14:val="tx1"/>
            </w14:solidFill>
          </w14:textFill>
        </w:rPr>
        <w:t>周期、报价等实质性内容更改的无效。</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12.2.6唱标人按送达时间逆顺序启封响应文件，宣布响应文件中的建设周期、报价等内容。</w:t>
      </w:r>
    </w:p>
    <w:p>
      <w:pPr>
        <w:spacing w:line="348"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12.2.7</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对唱标内容进行签字确认后，主持人宣布开标结束，</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退场。</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12.2.8</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人或</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代理机构对</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的资格进行审查。</w:t>
      </w:r>
    </w:p>
    <w:p>
      <w:pPr>
        <w:spacing w:line="348" w:lineRule="auto"/>
        <w:ind w:firstLine="560" w:firstLineChars="200"/>
        <w:rPr>
          <w:rFonts w:ascii="宋体"/>
          <w:color w:val="000000" w:themeColor="text1"/>
          <w:sz w:val="28"/>
          <w:szCs w:val="28"/>
          <w:highlight w:val="none"/>
          <w14:textFill>
            <w14:solidFill>
              <w14:schemeClr w14:val="tx1"/>
            </w14:solidFill>
          </w14:textFill>
        </w:rPr>
      </w:pPr>
      <w:bookmarkStart w:id="33" w:name="_Toc6702"/>
      <w:r>
        <w:rPr>
          <w:rFonts w:hint="eastAsia" w:ascii="宋体" w:hAnsi="宋体"/>
          <w:color w:val="000000" w:themeColor="text1"/>
          <w:sz w:val="28"/>
          <w:szCs w:val="28"/>
          <w:highlight w:val="none"/>
          <w14:textFill>
            <w14:solidFill>
              <w14:schemeClr w14:val="tx1"/>
            </w14:solidFill>
          </w14:textFill>
        </w:rPr>
        <w:t>12.3评标准备会</w:t>
      </w:r>
      <w:bookmarkEnd w:id="33"/>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12.3.1评标准备会由</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代理机构主持，</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代理机构、评标委员会成员参加，并且</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代理机构将向评标委员会提供一份</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12.3.2评标委员会成员推选一名评标组长，评标组长负责带领做响应文件的完备性符合审查等内容。如果评标委员会负责人参与评标工作则与其他评标专家的权利相同。</w:t>
      </w:r>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12.3.3</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代理机构介绍评标时的重要信息和数据。包括：</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的目标、</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项目的范围和性质、</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文件中规定的主要技术要求、标准和商务条款、</w:t>
      </w:r>
      <w:r>
        <w:rPr>
          <w:rFonts w:hint="eastAsia"/>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文件规定的评标标准、评标方法和在评标过程中考虑的相关因素。</w:t>
      </w:r>
    </w:p>
    <w:p>
      <w:pPr>
        <w:spacing w:line="348" w:lineRule="auto"/>
        <w:ind w:firstLine="560" w:firstLineChars="200"/>
        <w:rPr>
          <w:rFonts w:ascii="宋体"/>
          <w:color w:val="000000" w:themeColor="text1"/>
          <w:sz w:val="28"/>
          <w:szCs w:val="28"/>
          <w:highlight w:val="none"/>
          <w14:textFill>
            <w14:solidFill>
              <w14:schemeClr w14:val="tx1"/>
            </w14:solidFill>
          </w14:textFill>
        </w:rPr>
      </w:pPr>
      <w:bookmarkStart w:id="34" w:name="_Toc3303"/>
      <w:r>
        <w:rPr>
          <w:rFonts w:hint="eastAsia" w:ascii="宋体" w:hAnsi="宋体"/>
          <w:color w:val="000000" w:themeColor="text1"/>
          <w:sz w:val="28"/>
          <w:szCs w:val="28"/>
          <w:highlight w:val="none"/>
          <w14:textFill>
            <w14:solidFill>
              <w14:schemeClr w14:val="tx1"/>
            </w14:solidFill>
          </w14:textFill>
        </w:rPr>
        <w:t>12.4响应文件评审</w:t>
      </w:r>
      <w:bookmarkEnd w:id="34"/>
    </w:p>
    <w:p>
      <w:pPr>
        <w:spacing w:line="348" w:lineRule="auto"/>
        <w:ind w:firstLine="840" w:firstLineChars="3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12.4.1</w:t>
      </w:r>
      <w:r>
        <w:rPr>
          <w:rFonts w:hint="eastAsia" w:ascii="宋体" w:hAnsi="宋体" w:cs="宋体"/>
          <w:color w:val="000000" w:themeColor="text1"/>
          <w:sz w:val="28"/>
          <w:szCs w:val="28"/>
          <w:highlight w:val="none"/>
          <w14:textFill>
            <w14:solidFill>
              <w14:schemeClr w14:val="tx1"/>
            </w14:solidFill>
          </w14:textFill>
        </w:rPr>
        <w:t>评标委员会按照</w:t>
      </w:r>
      <w:r>
        <w:rPr>
          <w:rFonts w:hint="eastAsia" w:ascii="宋体" w:hAnsi="宋体" w:cs="宋体"/>
          <w:color w:val="000000" w:themeColor="text1"/>
          <w:sz w:val="28"/>
          <w:szCs w:val="28"/>
          <w:highlight w:val="none"/>
          <w:lang w:val="en-US" w:eastAsia="zh-CN"/>
          <w14:textFill>
            <w14:solidFill>
              <w14:schemeClr w14:val="tx1"/>
            </w14:solidFill>
          </w14:textFill>
        </w:rPr>
        <w:t>磋商</w:t>
      </w:r>
      <w:r>
        <w:rPr>
          <w:rFonts w:hint="eastAsia" w:ascii="宋体" w:hAnsi="宋体" w:cs="宋体"/>
          <w:color w:val="000000" w:themeColor="text1"/>
          <w:sz w:val="28"/>
          <w:szCs w:val="28"/>
          <w:highlight w:val="none"/>
          <w14:textFill>
            <w14:solidFill>
              <w14:schemeClr w14:val="tx1"/>
            </w14:solidFill>
          </w14:textFill>
        </w:rPr>
        <w:t>文件规定的审查标准对</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s="宋体"/>
          <w:color w:val="000000" w:themeColor="text1"/>
          <w:sz w:val="28"/>
          <w:szCs w:val="28"/>
          <w:highlight w:val="none"/>
          <w14:textFill>
            <w14:solidFill>
              <w14:schemeClr w14:val="tx1"/>
            </w14:solidFill>
          </w14:textFill>
        </w:rPr>
        <w:t>递交的响应文件进行完备性符合审查</w:t>
      </w:r>
      <w:r>
        <w:rPr>
          <w:rFonts w:hint="eastAsia" w:ascii="宋体" w:hAnsi="宋体"/>
          <w:color w:val="000000" w:themeColor="text1"/>
          <w:sz w:val="28"/>
          <w:szCs w:val="28"/>
          <w:highlight w:val="none"/>
          <w14:textFill>
            <w14:solidFill>
              <w14:schemeClr w14:val="tx1"/>
            </w14:solidFill>
          </w14:textFill>
        </w:rPr>
        <w:t>。</w:t>
      </w:r>
    </w:p>
    <w:p>
      <w:pPr>
        <w:spacing w:line="348" w:lineRule="auto"/>
        <w:ind w:firstLine="840" w:firstLineChars="3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12.4.2评标委员会按照</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文件规定的评标方法对响应文件进行详细评审。</w:t>
      </w:r>
    </w:p>
    <w:p>
      <w:pPr>
        <w:pStyle w:val="7"/>
        <w:ind w:firstLine="840" w:firstLineChars="300"/>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12.4.</w:t>
      </w:r>
      <w:r>
        <w:rPr>
          <w:rFonts w:hint="eastAsia" w:ascii="宋体" w:hAnsi="宋体"/>
          <w:color w:val="000000" w:themeColor="text1"/>
          <w:sz w:val="28"/>
          <w:szCs w:val="28"/>
          <w:highlight w:val="none"/>
          <w:lang w:val="en-US" w:eastAsia="zh-CN"/>
          <w14:textFill>
            <w14:solidFill>
              <w14:schemeClr w14:val="tx1"/>
            </w14:solidFill>
          </w14:textFill>
        </w:rPr>
        <w:t>3 评标委员会按照磋商文件规定的评标方法，以抓阄方式决定磋商顺序，与供应商进行逐一磋商。</w:t>
      </w:r>
    </w:p>
    <w:p>
      <w:pPr>
        <w:spacing w:line="348" w:lineRule="auto"/>
        <w:ind w:firstLine="560" w:firstLineChars="200"/>
        <w:rPr>
          <w:rFonts w:ascii="宋体"/>
          <w:color w:val="000000" w:themeColor="text1"/>
          <w:sz w:val="28"/>
          <w:szCs w:val="28"/>
          <w:highlight w:val="none"/>
          <w14:textFill>
            <w14:solidFill>
              <w14:schemeClr w14:val="tx1"/>
            </w14:solidFill>
          </w14:textFill>
        </w:rPr>
      </w:pPr>
      <w:bookmarkStart w:id="35" w:name="_Toc20353"/>
      <w:r>
        <w:rPr>
          <w:rFonts w:hint="eastAsia" w:ascii="宋体" w:hAnsi="宋体"/>
          <w:color w:val="000000" w:themeColor="text1"/>
          <w:sz w:val="28"/>
          <w:szCs w:val="28"/>
          <w:highlight w:val="none"/>
          <w14:textFill>
            <w14:solidFill>
              <w14:schemeClr w14:val="tx1"/>
            </w14:solidFill>
          </w14:textFill>
        </w:rPr>
        <w:t>12.5宣布中标候选人</w:t>
      </w:r>
      <w:bookmarkEnd w:id="35"/>
    </w:p>
    <w:p>
      <w:pPr>
        <w:spacing w:line="348"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评标委员会根据</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确定出中标候选人。</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人或</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代理机构对未通过审查的</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，应当告知其未通过的原因。</w:t>
      </w:r>
    </w:p>
    <w:p>
      <w:pPr>
        <w:spacing w:line="348" w:lineRule="auto"/>
        <w:jc w:val="center"/>
        <w:rPr>
          <w:rFonts w:ascii="宋体"/>
          <w:b/>
          <w:bCs/>
          <w:color w:val="000000" w:themeColor="text1"/>
          <w:sz w:val="28"/>
          <w:szCs w:val="28"/>
          <w:highlight w:val="none"/>
          <w14:textFill>
            <w14:solidFill>
              <w14:schemeClr w14:val="tx1"/>
            </w14:solidFill>
          </w14:textFill>
        </w:rPr>
      </w:pPr>
      <w:bookmarkStart w:id="36" w:name="_Toc31640"/>
      <w:r>
        <w:rPr>
          <w:rFonts w:hint="eastAsia" w:ascii="宋体" w:hAnsi="宋体"/>
          <w:b/>
          <w:bCs/>
          <w:color w:val="000000" w:themeColor="text1"/>
          <w:sz w:val="28"/>
          <w:szCs w:val="28"/>
          <w:highlight w:val="none"/>
          <w14:textFill>
            <w14:solidFill>
              <w14:schemeClr w14:val="tx1"/>
            </w14:solidFill>
          </w14:textFill>
        </w:rPr>
        <w:t>13</w:t>
      </w:r>
      <w:r>
        <w:rPr>
          <w:rFonts w:hint="eastAsia" w:ascii="宋体" w:hAnsi="宋体"/>
          <w:b/>
          <w:bCs/>
          <w:color w:val="000000" w:themeColor="text1"/>
          <w:sz w:val="28"/>
          <w:szCs w:val="28"/>
          <w:highlight w:val="none"/>
          <w:lang w:val="en-US" w:eastAsia="zh-CN"/>
          <w14:textFill>
            <w14:solidFill>
              <w14:schemeClr w14:val="tx1"/>
            </w14:solidFill>
          </w14:textFill>
        </w:rPr>
        <w:t>.响应</w:t>
      </w:r>
      <w:r>
        <w:rPr>
          <w:rFonts w:hint="eastAsia" w:ascii="宋体" w:hAnsi="宋体"/>
          <w:b/>
          <w:bCs/>
          <w:color w:val="000000" w:themeColor="text1"/>
          <w:sz w:val="28"/>
          <w:szCs w:val="28"/>
          <w:highlight w:val="none"/>
          <w14:textFill>
            <w14:solidFill>
              <w14:schemeClr w14:val="tx1"/>
            </w14:solidFill>
          </w14:textFill>
        </w:rPr>
        <w:t>有效期</w:t>
      </w:r>
      <w:bookmarkEnd w:id="36"/>
    </w:p>
    <w:p>
      <w:pPr>
        <w:spacing w:line="348" w:lineRule="auto"/>
        <w:ind w:firstLine="560" w:firstLineChars="200"/>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13.1评标和定标将在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须知前附表第</w:t>
      </w:r>
      <w:r>
        <w:rPr>
          <w:rFonts w:hint="eastAsia" w:ascii="宋体" w:hAnsi="宋体"/>
          <w:color w:val="000000" w:themeColor="text1"/>
          <w:sz w:val="28"/>
          <w:szCs w:val="28"/>
          <w:highlight w:val="none"/>
          <w:lang w:val="en-US" w:eastAsia="zh-CN"/>
          <w14:textFill>
            <w14:solidFill>
              <w14:schemeClr w14:val="tx1"/>
            </w14:solidFill>
          </w14:textFill>
        </w:rPr>
        <w:t>4.1.1</w:t>
      </w:r>
      <w:r>
        <w:rPr>
          <w:rFonts w:hint="eastAsia" w:ascii="宋体" w:hAnsi="宋体"/>
          <w:color w:val="000000" w:themeColor="text1"/>
          <w:sz w:val="28"/>
          <w:szCs w:val="28"/>
          <w:highlight w:val="none"/>
          <w14:textFill>
            <w14:solidFill>
              <w14:schemeClr w14:val="tx1"/>
            </w14:solidFill>
          </w14:textFill>
        </w:rPr>
        <w:t>项规定内完成，如果不能完成，</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人将通知</w:t>
      </w:r>
      <w:r>
        <w:rPr>
          <w:rFonts w:hint="eastAsia"/>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延长</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有效期。</w:t>
      </w:r>
    </w:p>
    <w:p>
      <w:pPr>
        <w:spacing w:line="348" w:lineRule="auto"/>
        <w:jc w:val="center"/>
        <w:rPr>
          <w:rFonts w:asci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14</w:t>
      </w:r>
      <w:r>
        <w:rPr>
          <w:rFonts w:hint="eastAsia" w:ascii="宋体" w:hAnsi="宋体"/>
          <w:b/>
          <w:bCs/>
          <w:color w:val="000000" w:themeColor="text1"/>
          <w:sz w:val="28"/>
          <w:szCs w:val="28"/>
          <w:highlight w:val="none"/>
          <w:lang w:val="en-US" w:eastAsia="zh-CN"/>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合同</w:t>
      </w:r>
    </w:p>
    <w:p>
      <w:pPr>
        <w:spacing w:line="348" w:lineRule="auto"/>
        <w:ind w:firstLine="562" w:firstLineChars="200"/>
        <w:rPr>
          <w:rFonts w:asci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14.1授予合同</w:t>
      </w:r>
    </w:p>
    <w:p>
      <w:pPr>
        <w:spacing w:line="348"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采购人在收到评标报告2个工作日内未按评标报告推荐的中标候选人顺序确定中标人，又不能说明合法理由的，视同按评标报告推荐的顺序确定排名第一的中标候选人为中标人。在公告中标结果的同时，采购人或者</w:t>
      </w:r>
      <w:r>
        <w:rPr>
          <w:rFonts w:hint="eastAsia" w:ascii="宋体" w:hAnsi="宋体"/>
          <w:color w:val="000000" w:themeColor="text1"/>
          <w:sz w:val="28"/>
          <w:szCs w:val="28"/>
          <w:highlight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代理机构应当向中标人发出中标通知书；</w:t>
      </w:r>
    </w:p>
    <w:p>
      <w:pPr>
        <w:spacing w:line="348" w:lineRule="auto"/>
        <w:ind w:firstLine="562" w:firstLineChars="200"/>
        <w:rPr>
          <w:rFonts w:ascii="宋体"/>
          <w:b/>
          <w:bCs/>
          <w:color w:val="000000" w:themeColor="text1"/>
          <w:sz w:val="28"/>
          <w:szCs w:val="28"/>
          <w:highlight w:val="none"/>
          <w14:textFill>
            <w14:solidFill>
              <w14:schemeClr w14:val="tx1"/>
            </w14:solidFill>
          </w14:textFill>
        </w:rPr>
      </w:pPr>
      <w:bookmarkStart w:id="37" w:name="_Toc3855"/>
      <w:r>
        <w:rPr>
          <w:rFonts w:hint="eastAsia" w:ascii="宋体" w:hAnsi="宋体"/>
          <w:b/>
          <w:bCs/>
          <w:color w:val="000000" w:themeColor="text1"/>
          <w:sz w:val="28"/>
          <w:szCs w:val="28"/>
          <w:highlight w:val="none"/>
          <w14:textFill>
            <w14:solidFill>
              <w14:schemeClr w14:val="tx1"/>
            </w14:solidFill>
          </w14:textFill>
        </w:rPr>
        <w:t>14.2合同签订</w:t>
      </w:r>
      <w:bookmarkEnd w:id="37"/>
    </w:p>
    <w:p>
      <w:pPr>
        <w:spacing w:line="348" w:lineRule="auto"/>
        <w:ind w:firstLine="840" w:firstLineChars="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14.2.1采购人应当自中标通知书发出之日起30日内，按照</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文件和中标人响应文件的规定，与中标人签订书面合同。所签订的合同不得对</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文件确定的事项和中标人响应文件作实质性修改。</w:t>
      </w:r>
    </w:p>
    <w:p>
      <w:pPr>
        <w:spacing w:line="348"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采购人不得向中标人提出任何不合理的要求作为签订合同的条件。</w:t>
      </w:r>
    </w:p>
    <w:p>
      <w:pPr>
        <w:rPr>
          <w:rFonts w:hint="eastAsia"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br w:type="page"/>
      </w:r>
    </w:p>
    <w:p>
      <w:pPr>
        <w:spacing w:line="348" w:lineRule="auto"/>
        <w:jc w:val="center"/>
        <w:outlineLvl w:val="0"/>
        <w:rPr>
          <w:rFonts w:ascii="宋体" w:hAnsi="宋体" w:cs="宋体"/>
          <w:b/>
          <w:bCs/>
          <w:color w:val="000000" w:themeColor="text1"/>
          <w:sz w:val="36"/>
          <w:szCs w:val="44"/>
          <w:highlight w:val="none"/>
          <w14:textFill>
            <w14:solidFill>
              <w14:schemeClr w14:val="tx1"/>
            </w14:solidFill>
          </w14:textFill>
        </w:rPr>
      </w:pPr>
      <w:bookmarkStart w:id="38" w:name="_Toc11883"/>
      <w:r>
        <w:rPr>
          <w:rFonts w:hint="eastAsia" w:ascii="宋体" w:hAnsi="宋体"/>
          <w:b/>
          <w:bCs/>
          <w:color w:val="000000" w:themeColor="text1"/>
          <w:sz w:val="44"/>
          <w:szCs w:val="44"/>
          <w:highlight w:val="none"/>
          <w14:textFill>
            <w14:solidFill>
              <w14:schemeClr w14:val="tx1"/>
            </w14:solidFill>
          </w14:textFill>
        </w:rPr>
        <w:t>第四章</w:t>
      </w:r>
      <w:r>
        <w:rPr>
          <w:rFonts w:hint="eastAsia" w:ascii="宋体" w:hAnsi="宋体"/>
          <w:b/>
          <w:bCs/>
          <w:color w:val="000000" w:themeColor="text1"/>
          <w:sz w:val="44"/>
          <w:szCs w:val="44"/>
          <w:highlight w:val="none"/>
          <w:lang w:val="en-US" w:eastAsia="zh-CN"/>
          <w14:textFill>
            <w14:solidFill>
              <w14:schemeClr w14:val="tx1"/>
            </w14:solidFill>
          </w14:textFill>
        </w:rPr>
        <w:t xml:space="preserve">   </w:t>
      </w:r>
      <w:r>
        <w:rPr>
          <w:rFonts w:hint="eastAsia" w:ascii="宋体" w:hAnsi="宋体"/>
          <w:b/>
          <w:bCs/>
          <w:color w:val="000000" w:themeColor="text1"/>
          <w:sz w:val="44"/>
          <w:szCs w:val="44"/>
          <w:highlight w:val="none"/>
          <w14:textFill>
            <w14:solidFill>
              <w14:schemeClr w14:val="tx1"/>
            </w14:solidFill>
          </w14:textFill>
        </w:rPr>
        <w:t>合同</w:t>
      </w:r>
      <w:bookmarkEnd w:id="38"/>
    </w:p>
    <w:p>
      <w:pPr>
        <w:spacing w:line="360" w:lineRule="exact"/>
        <w:jc w:val="center"/>
        <w:rPr>
          <w:rFonts w:hint="eastAsia" w:ascii="宋体" w:hAnsi="宋体" w:cs="宋体"/>
          <w:b/>
          <w:color w:val="000000" w:themeColor="text1"/>
          <w:sz w:val="32"/>
          <w:szCs w:val="20"/>
          <w:highlight w:val="none"/>
          <w:lang w:val="en-US" w:eastAsia="zh-CN"/>
          <w14:textFill>
            <w14:solidFill>
              <w14:schemeClr w14:val="tx1"/>
            </w14:solidFill>
          </w14:textFill>
        </w:rPr>
      </w:pPr>
      <w:bookmarkStart w:id="39" w:name="_Toc409981910"/>
      <w:r>
        <w:rPr>
          <w:rFonts w:hint="eastAsia" w:ascii="宋体" w:hAnsi="宋体" w:cs="宋体"/>
          <w:b/>
          <w:color w:val="000000" w:themeColor="text1"/>
          <w:sz w:val="32"/>
          <w:szCs w:val="20"/>
          <w:highlight w:val="none"/>
          <w:lang w:val="en-US" w:eastAsia="zh-CN"/>
          <w14:textFill>
            <w14:solidFill>
              <w14:schemeClr w14:val="tx1"/>
            </w14:solidFill>
          </w14:textFill>
        </w:rPr>
        <w:t xml:space="preserve">  </w:t>
      </w:r>
    </w:p>
    <w:p>
      <w:pPr>
        <w:spacing w:line="360" w:lineRule="exact"/>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第一节  通用合同条款</w:t>
      </w:r>
      <w:bookmarkEnd w:id="39"/>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通用合同条款直接引用住房城乡建设部、国家工商行政管理总局“关于印发建设工程施工合同（示范文本）的通知”（建市【2013】56号）中《建设工程施工合同》（GF-2013-0201）第二部分“通用合同条款”。</w:t>
      </w:r>
    </w:p>
    <w:p>
      <w:pPr>
        <w:spacing w:line="460" w:lineRule="exact"/>
        <w:ind w:firstLine="480" w:firstLineChars="200"/>
        <w:rPr>
          <w:rFonts w:ascii="宋体" w:hAnsi="宋体"/>
          <w:color w:val="000000" w:themeColor="text1"/>
          <w:sz w:val="24"/>
          <w:highlight w:val="none"/>
          <w14:textFill>
            <w14:solidFill>
              <w14:schemeClr w14:val="tx1"/>
            </w14:solidFill>
          </w14:textFill>
        </w:rPr>
      </w:pPr>
    </w:p>
    <w:p>
      <w:pPr>
        <w:pStyle w:val="51"/>
        <w:jc w:val="center"/>
        <w:outlineLvl w:val="9"/>
        <w:rPr>
          <w:rFonts w:ascii="宋体" w:hAnsi="宋体" w:eastAsia="宋体"/>
          <w:b/>
          <w:color w:val="000000" w:themeColor="text1"/>
          <w:sz w:val="32"/>
          <w:highlight w:val="none"/>
          <w14:textFill>
            <w14:solidFill>
              <w14:schemeClr w14:val="tx1"/>
            </w14:solidFill>
          </w14:textFill>
        </w:rPr>
      </w:pPr>
      <w:bookmarkStart w:id="40" w:name="_Toc17551"/>
      <w:bookmarkStart w:id="41" w:name="_Toc11962"/>
      <w:bookmarkStart w:id="42" w:name="_Toc409981911"/>
      <w:r>
        <w:rPr>
          <w:rFonts w:hint="eastAsia" w:ascii="宋体" w:hAnsi="宋体" w:eastAsia="宋体"/>
          <w:b/>
          <w:color w:val="000000" w:themeColor="text1"/>
          <w:sz w:val="32"/>
          <w:highlight w:val="none"/>
          <w:lang w:val="en-US" w:eastAsia="zh-CN"/>
          <w14:textFill>
            <w14:solidFill>
              <w14:schemeClr w14:val="tx1"/>
            </w14:solidFill>
          </w14:textFill>
        </w:rPr>
        <w:t xml:space="preserve"> </w:t>
      </w:r>
      <w:bookmarkStart w:id="43" w:name="_Toc9527"/>
      <w:bookmarkStart w:id="44" w:name="_Toc18736"/>
      <w:r>
        <w:rPr>
          <w:rFonts w:hint="eastAsia" w:ascii="宋体" w:hAnsi="宋体" w:eastAsia="宋体"/>
          <w:b/>
          <w:color w:val="000000" w:themeColor="text1"/>
          <w:sz w:val="32"/>
          <w:highlight w:val="none"/>
          <w14:textFill>
            <w14:solidFill>
              <w14:schemeClr w14:val="tx1"/>
            </w14:solidFill>
          </w14:textFill>
        </w:rPr>
        <w:t>第二节  专用合同条款</w:t>
      </w:r>
      <w:bookmarkEnd w:id="40"/>
      <w:bookmarkEnd w:id="41"/>
      <w:bookmarkEnd w:id="42"/>
      <w:bookmarkEnd w:id="43"/>
      <w:bookmarkEnd w:id="44"/>
    </w:p>
    <w:p>
      <w:pPr>
        <w:jc w:val="center"/>
        <w:rPr>
          <w:rFonts w:ascii="宋体" w:hAnsi="宋体"/>
          <w:color w:val="000000" w:themeColor="text1"/>
          <w:sz w:val="24"/>
          <w:szCs w:val="30"/>
          <w:highlight w:val="none"/>
          <w14:textFill>
            <w14:solidFill>
              <w14:schemeClr w14:val="tx1"/>
            </w14:solidFill>
          </w14:textFill>
        </w:rPr>
      </w:pP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45" w:name="_Toc351203633"/>
      <w:r>
        <w:rPr>
          <w:rFonts w:ascii="宋体" w:hAnsi="宋体"/>
          <w:color w:val="000000" w:themeColor="text1"/>
          <w:sz w:val="28"/>
          <w:szCs w:val="28"/>
          <w:highlight w:val="none"/>
          <w14:textFill>
            <w14:solidFill>
              <w14:schemeClr w14:val="tx1"/>
            </w14:solidFill>
          </w14:textFill>
        </w:rPr>
        <w:t>1</w:t>
      </w:r>
      <w:bookmarkStart w:id="46" w:name="_Toc292559866"/>
      <w:bookmarkStart w:id="47" w:name="_Toc296891196"/>
      <w:bookmarkStart w:id="48" w:name="_Toc296347155"/>
      <w:bookmarkStart w:id="49" w:name="_Toc296346657"/>
      <w:bookmarkStart w:id="50" w:name="_Toc296503156"/>
      <w:bookmarkStart w:id="51" w:name="_Toc297120456"/>
      <w:bookmarkStart w:id="52" w:name="_Toc296944495"/>
      <w:bookmarkStart w:id="53" w:name="_Toc292559361"/>
      <w:bookmarkStart w:id="54" w:name="_Toc296890984"/>
      <w:bookmarkStart w:id="55" w:name="_Toc297048342"/>
      <w:r>
        <w:rPr>
          <w:rFonts w:ascii="宋体" w:hAnsi="宋体"/>
          <w:color w:val="000000" w:themeColor="text1"/>
          <w:sz w:val="28"/>
          <w:szCs w:val="28"/>
          <w:highlight w:val="none"/>
          <w14:textFill>
            <w14:solidFill>
              <w14:schemeClr w14:val="tx1"/>
            </w14:solidFill>
          </w14:textFill>
        </w:rPr>
        <w:t>. 一般约定</w:t>
      </w:r>
      <w:bookmarkEnd w:id="45"/>
    </w:p>
    <w:bookmarkEnd w:id="46"/>
    <w:bookmarkEnd w:id="47"/>
    <w:bookmarkEnd w:id="48"/>
    <w:bookmarkEnd w:id="49"/>
    <w:bookmarkEnd w:id="50"/>
    <w:bookmarkEnd w:id="51"/>
    <w:bookmarkEnd w:id="52"/>
    <w:bookmarkEnd w:id="53"/>
    <w:bookmarkEnd w:id="54"/>
    <w:bookmarkEnd w:id="55"/>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 词语定义</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1.1.1合同</w:t>
      </w:r>
    </w:p>
    <w:p>
      <w:pPr>
        <w:spacing w:line="460" w:lineRule="exact"/>
        <w:ind w:firstLine="840" w:firstLineChars="3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1.1.1.10其他合同文件包括：</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1.1.2 合同当事人及其他相关方</w:t>
      </w:r>
    </w:p>
    <w:p>
      <w:pPr>
        <w:spacing w:line="460" w:lineRule="exact"/>
        <w:ind w:firstLine="840" w:firstLineChars="3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1.1.2.4监理人：</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名    称：</w:t>
      </w:r>
      <w:r>
        <w:rPr>
          <w:rFonts w:ascii="宋体" w:hAnsi="宋体"/>
          <w:color w:val="000000" w:themeColor="text1"/>
          <w:sz w:val="28"/>
          <w:szCs w:val="28"/>
          <w:highlight w:val="none"/>
          <w:u w:val="single"/>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资质类别和等级：</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联系电话：</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通信地址：</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840" w:firstLineChars="3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1.1.2.5 设计人：</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名    称：</w:t>
      </w:r>
      <w:r>
        <w:rPr>
          <w:rFonts w:ascii="宋体" w:hAnsi="宋体"/>
          <w:color w:val="000000" w:themeColor="text1"/>
          <w:sz w:val="28"/>
          <w:szCs w:val="28"/>
          <w:highlight w:val="none"/>
          <w:u w:val="single"/>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资质类别和等级：</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联系电话：</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w:t>
      </w:r>
    </w:p>
    <w:p>
      <w:pPr>
        <w:spacing w:line="460" w:lineRule="exact"/>
        <w:ind w:firstLine="1120" w:firstLineChars="4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通信地址：</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1.1.3 工程和设备</w:t>
      </w:r>
    </w:p>
    <w:p>
      <w:pPr>
        <w:spacing w:line="460" w:lineRule="exact"/>
        <w:ind w:firstLine="840" w:firstLineChars="3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1.1.3.7 作为施工现场组成部分的其他场所包括：</w:t>
      </w:r>
      <w:r>
        <w:rPr>
          <w:rFonts w:hint="eastAsia"/>
          <w:color w:val="000000" w:themeColor="text1"/>
          <w:sz w:val="28"/>
          <w:szCs w:val="28"/>
          <w:highlight w:val="none"/>
          <w:u w:val="single"/>
          <w14:textFill>
            <w14:solidFill>
              <w14:schemeClr w14:val="tx1"/>
            </w14:solidFill>
          </w14:textFill>
        </w:rPr>
        <w:t>通用条款规定的发包方提供的施工场地</w:t>
      </w:r>
      <w:r>
        <w:rPr>
          <w:rFonts w:ascii="宋体" w:hAnsi="宋体"/>
          <w:color w:val="000000" w:themeColor="text1"/>
          <w:sz w:val="28"/>
          <w:szCs w:val="28"/>
          <w:highlight w:val="none"/>
          <w14:textFill>
            <w14:solidFill>
              <w14:schemeClr w14:val="tx1"/>
            </w14:solidFill>
          </w14:textFill>
        </w:rPr>
        <w:t>。</w:t>
      </w:r>
    </w:p>
    <w:p>
      <w:pPr>
        <w:spacing w:line="460" w:lineRule="exact"/>
        <w:ind w:firstLine="840" w:firstLineChars="3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1.1.3.9 永久占地包括：</w:t>
      </w:r>
      <w:r>
        <w:rPr>
          <w:rFonts w:hint="eastAsia"/>
          <w:color w:val="000000" w:themeColor="text1"/>
          <w:sz w:val="28"/>
          <w:szCs w:val="28"/>
          <w:highlight w:val="none"/>
          <w:u w:val="single"/>
          <w14:textFill>
            <w14:solidFill>
              <w14:schemeClr w14:val="tx1"/>
            </w14:solidFill>
          </w14:textFill>
        </w:rPr>
        <w:t>依据设计图纸确定</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840" w:firstLineChars="3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1.1.3.10 临时占地包括：</w:t>
      </w:r>
      <w:r>
        <w:rPr>
          <w:rFonts w:hint="eastAsia"/>
          <w:color w:val="000000" w:themeColor="text1"/>
          <w:sz w:val="28"/>
          <w:szCs w:val="28"/>
          <w:highlight w:val="none"/>
          <w:u w:val="single"/>
          <w14:textFill>
            <w14:solidFill>
              <w14:schemeClr w14:val="tx1"/>
            </w14:solidFill>
          </w14:textFill>
        </w:rPr>
        <w:t>双方在合同履行过程中确定</w:t>
      </w:r>
      <w:r>
        <w:rPr>
          <w:rFonts w:ascii="宋体" w:hAnsi="宋体"/>
          <w:color w:val="000000" w:themeColor="text1"/>
          <w:kern w:val="0"/>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1.3法律 </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适用于合同的其他规范性文件：</w:t>
      </w:r>
      <w:r>
        <w:rPr>
          <w:rFonts w:ascii="宋体" w:hAnsi="宋体"/>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需要明示的法律、行政法规：《中华人民共和国合同法》、《中华人民共和国建筑法》、</w:t>
      </w:r>
      <w:r>
        <w:rPr>
          <w:rFonts w:hint="default"/>
          <w:color w:val="000000" w:themeColor="text1"/>
          <w:sz w:val="28"/>
          <w:szCs w:val="28"/>
          <w:highlight w:val="none"/>
          <w:u w:val="single"/>
          <w:lang w:val="en-US" w:eastAsia="zh-CN"/>
          <w14:textFill>
            <w14:solidFill>
              <w14:schemeClr w14:val="tx1"/>
            </w14:solidFill>
          </w14:textFill>
        </w:rPr>
        <w:t>《中华人民共和国政府采购法》</w:t>
      </w:r>
      <w:r>
        <w:rPr>
          <w:rFonts w:hint="eastAsia"/>
          <w:color w:val="000000" w:themeColor="text1"/>
          <w:sz w:val="28"/>
          <w:szCs w:val="28"/>
          <w:highlight w:val="none"/>
          <w:u w:val="single"/>
          <w14:textFill>
            <w14:solidFill>
              <w14:schemeClr w14:val="tx1"/>
            </w14:solidFill>
          </w14:textFill>
        </w:rPr>
        <w:t>、《中华人民共和国安全生产法》、《建设工程质量管理条例》，以及其他有关法律、法规</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 标准和规范</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1.4.1适用于工程的标准规范包括：</w:t>
      </w:r>
      <w:r>
        <w:rPr>
          <w:rFonts w:hint="eastAsia"/>
          <w:color w:val="000000" w:themeColor="text1"/>
          <w:sz w:val="28"/>
          <w:szCs w:val="28"/>
          <w:highlight w:val="none"/>
          <w:u w:val="single"/>
          <w14:textFill>
            <w14:solidFill>
              <w14:schemeClr w14:val="tx1"/>
            </w14:solidFill>
          </w14:textFill>
        </w:rPr>
        <w:t>国家和地方现行的有关标准、规范、详细施工图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color w:val="000000" w:themeColor="text1"/>
          <w:sz w:val="28"/>
          <w:szCs w:val="28"/>
          <w:highlight w:val="none"/>
          <w:u w:val="singl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1.4.2 发包人提供国外标准、规范的名称：</w:t>
      </w:r>
      <w:r>
        <w:rPr>
          <w:rFonts w:hint="eastAsia"/>
          <w:color w:val="000000" w:themeColor="text1"/>
          <w:sz w:val="28"/>
          <w:szCs w:val="28"/>
          <w:highlight w:val="none"/>
          <w:u w:val="single"/>
          <w14:textFill>
            <w14:solidFill>
              <w14:schemeClr w14:val="tx1"/>
            </w14:solidFill>
          </w14:textFill>
        </w:rPr>
        <w:t>不采用</w:t>
      </w:r>
      <w:r>
        <w:rPr>
          <w:rFonts w:hint="eastAsia"/>
          <w:color w:val="000000" w:themeColor="text1"/>
          <w:sz w:val="28"/>
          <w:szCs w:val="28"/>
          <w:highlight w:val="none"/>
          <w14:textFill>
            <w14:solidFill>
              <w14:schemeClr w14:val="tx1"/>
            </w14:solidFill>
          </w14:textFill>
        </w:rPr>
        <w:t>；</w:t>
      </w:r>
    </w:p>
    <w:p>
      <w:pPr>
        <w:spacing w:line="460" w:lineRule="exact"/>
        <w:ind w:firstLine="560" w:firstLineChars="200"/>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发包人提供国外标准、规范的份数： </w:t>
      </w:r>
      <w:r>
        <w:rPr>
          <w:rFonts w:hint="eastAsia"/>
          <w:color w:val="000000" w:themeColor="text1"/>
          <w:sz w:val="28"/>
          <w:szCs w:val="28"/>
          <w:highlight w:val="none"/>
          <w:u w:val="single"/>
          <w14:textFill>
            <w14:solidFill>
              <w14:schemeClr w14:val="tx1"/>
            </w14:solidFill>
          </w14:textFill>
        </w:rPr>
        <w:t>不采用</w:t>
      </w:r>
      <w:r>
        <w:rPr>
          <w:rFonts w:hint="eastAsia"/>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发包人提供国外标准、规范的名称： </w:t>
      </w:r>
      <w:r>
        <w:rPr>
          <w:rFonts w:hint="eastAsia"/>
          <w:color w:val="000000" w:themeColor="text1"/>
          <w:sz w:val="28"/>
          <w:szCs w:val="28"/>
          <w:highlight w:val="none"/>
          <w:u w:val="single"/>
          <w14:textFill>
            <w14:solidFill>
              <w14:schemeClr w14:val="tx1"/>
            </w14:solidFill>
          </w14:textFill>
        </w:rPr>
        <w:t>不采用</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1.4.3发包人对工程的技术标准和功能要求的特殊要求：</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 合同文件的优先顺序</w:t>
      </w:r>
    </w:p>
    <w:p>
      <w:pPr>
        <w:spacing w:line="46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合同文件组成及优先顺序为：</w:t>
      </w:r>
      <w:r>
        <w:rPr>
          <w:rFonts w:hint="eastAsia" w:ascii="宋体" w:hAnsi="宋体"/>
          <w:color w:val="000000" w:themeColor="text1"/>
          <w:sz w:val="28"/>
          <w:szCs w:val="28"/>
          <w:highlight w:val="none"/>
          <w:u w:val="single"/>
          <w14:textFill>
            <w14:solidFill>
              <w14:schemeClr w14:val="tx1"/>
            </w14:solidFill>
          </w14:textFill>
        </w:rPr>
        <w:t>(1)合同协议书;(2)中标通知书(如果有);(3)投标函及其附录(如果有);(4)专用合同条款及其附件;(5)通用合同条款;(6)技术标准和要求;(7)图纸;(8)已标价工程量清单或预算书;(9)其他合同文件</w:t>
      </w:r>
      <w:r>
        <w:rPr>
          <w:rFonts w:hint="eastAsia" w:ascii="宋体" w:hAnsi="宋体"/>
          <w:color w:val="000000" w:themeColor="text1"/>
          <w:sz w:val="28"/>
          <w:szCs w:val="28"/>
          <w:highlight w:val="none"/>
          <w:u w:val="none"/>
          <w:lang w:eastAsia="zh-CN"/>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 图纸和承包人文件</w:t>
      </w:r>
      <w:r>
        <w:rPr>
          <w:rFonts w:ascii="宋体" w:hAnsi="宋体"/>
          <w:color w:val="000000" w:themeColor="text1"/>
          <w:sz w:val="28"/>
          <w:szCs w:val="28"/>
          <w:highlight w:val="none"/>
          <w14:textFill>
            <w14:solidFill>
              <w14:schemeClr w14:val="tx1"/>
            </w14:solidFill>
          </w14:textFill>
        </w:rPr>
        <w:tab/>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1.6.1 图纸的提供</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发包人向承包人提供图纸的期限：</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发包人向承包人提供图纸的数量：</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发包人向承包人提供图纸的内容：</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1.6.4 承包人文件</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需要由承包人提供的文件，包括：</w:t>
      </w:r>
      <w:r>
        <w:rPr>
          <w:rFonts w:hint="eastAsia"/>
          <w:color w:val="000000" w:themeColor="text1"/>
          <w:sz w:val="28"/>
          <w:szCs w:val="28"/>
          <w:highlight w:val="none"/>
          <w:u w:val="single"/>
          <w14:textFill>
            <w14:solidFill>
              <w14:schemeClr w14:val="tx1"/>
            </w14:solidFill>
          </w14:textFill>
        </w:rPr>
        <w:t xml:space="preserve">实施性施工组织设计及方案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承包人提供的文件的期限为：</w:t>
      </w:r>
      <w:r>
        <w:rPr>
          <w:rFonts w:hint="eastAsia"/>
          <w:color w:val="000000" w:themeColor="text1"/>
          <w:sz w:val="28"/>
          <w:szCs w:val="28"/>
          <w:highlight w:val="none"/>
          <w:u w:val="single"/>
          <w14:textFill>
            <w14:solidFill>
              <w14:schemeClr w14:val="tx1"/>
            </w14:solidFill>
          </w14:textFill>
        </w:rPr>
        <w:t>开工前</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承包人提供的文件的数量为：</w:t>
      </w:r>
      <w:r>
        <w:rPr>
          <w:rFonts w:hint="eastAsia"/>
          <w:color w:val="000000" w:themeColor="text1"/>
          <w:sz w:val="28"/>
          <w:szCs w:val="28"/>
          <w:highlight w:val="none"/>
          <w:u w:val="single"/>
          <w14:textFill>
            <w14:solidFill>
              <w14:schemeClr w14:val="tx1"/>
            </w14:solidFill>
          </w14:textFill>
        </w:rPr>
        <w:t>肆份</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承包人提供的文件的形式为：</w:t>
      </w:r>
      <w:r>
        <w:rPr>
          <w:rFonts w:hint="eastAsia"/>
          <w:color w:val="000000" w:themeColor="text1"/>
          <w:sz w:val="28"/>
          <w:szCs w:val="28"/>
          <w:highlight w:val="none"/>
          <w:u w:val="single"/>
          <w14:textFill>
            <w14:solidFill>
              <w14:schemeClr w14:val="tx1"/>
            </w14:solidFill>
          </w14:textFill>
        </w:rPr>
        <w:t>书面</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w:t>
      </w:r>
      <w:r>
        <w:rPr>
          <w:rFonts w:hint="eastAsia" w:ascii="宋体" w:hAnsi="宋体"/>
          <w:color w:val="000000" w:themeColor="text1"/>
          <w:sz w:val="28"/>
          <w:szCs w:val="28"/>
          <w:highlight w:val="none"/>
          <w14:textFill>
            <w14:solidFill>
              <w14:schemeClr w14:val="tx1"/>
            </w14:solidFill>
          </w14:textFill>
        </w:rPr>
        <w:t>审批</w:t>
      </w:r>
      <w:r>
        <w:rPr>
          <w:rFonts w:ascii="宋体" w:hAnsi="宋体"/>
          <w:color w:val="000000" w:themeColor="text1"/>
          <w:sz w:val="28"/>
          <w:szCs w:val="28"/>
          <w:highlight w:val="none"/>
          <w14:textFill>
            <w14:solidFill>
              <w14:schemeClr w14:val="tx1"/>
            </w14:solidFill>
          </w14:textFill>
        </w:rPr>
        <w:t>承包人文件的期限：</w:t>
      </w:r>
      <w:r>
        <w:rPr>
          <w:rFonts w:hint="eastAsia"/>
          <w:color w:val="000000" w:themeColor="text1"/>
          <w:sz w:val="28"/>
          <w:szCs w:val="28"/>
          <w:highlight w:val="none"/>
          <w:u w:val="single"/>
          <w14:textFill>
            <w14:solidFill>
              <w14:schemeClr w14:val="tx1"/>
            </w14:solidFill>
          </w14:textFill>
        </w:rPr>
        <w:t>收到文件后7天内审查完毕</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1.6.5 现场图纸准备</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关于现场图纸准备的约定：</w:t>
      </w:r>
      <w:r>
        <w:rPr>
          <w:rFonts w:hint="eastAsia" w:ascii="宋体" w:hAnsi="宋体"/>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1.7 联络</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1.7.1发包人和承包人应当在</w:t>
      </w:r>
      <w:r>
        <w:rPr>
          <w:rFonts w:hint="eastAsia" w:ascii="宋体" w:hAnsi="宋体"/>
          <w:color w:val="000000" w:themeColor="text1"/>
          <w:sz w:val="28"/>
          <w:szCs w:val="28"/>
          <w:highlight w:val="none"/>
          <w:u w:val="single"/>
          <w:lang w:val="en-US" w:eastAsia="zh-CN"/>
          <w14:textFill>
            <w14:solidFill>
              <w14:schemeClr w14:val="tx1"/>
            </w14:solidFill>
          </w14:textFill>
        </w:rPr>
        <w:t>7</w:t>
      </w:r>
      <w:r>
        <w:rPr>
          <w:rFonts w:ascii="宋体" w:hAnsi="宋体"/>
          <w:color w:val="000000" w:themeColor="text1"/>
          <w:kern w:val="0"/>
          <w:sz w:val="28"/>
          <w:szCs w:val="28"/>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1.7.2 发包人接收文件的地点：</w:t>
      </w:r>
      <w:r>
        <w:rPr>
          <w:rFonts w:hint="eastAsia"/>
          <w:color w:val="000000" w:themeColor="text1"/>
          <w:sz w:val="28"/>
          <w:szCs w:val="28"/>
          <w:highlight w:val="none"/>
          <w:u w:val="single"/>
          <w14:textFill>
            <w14:solidFill>
              <w14:schemeClr w14:val="tx1"/>
            </w14:solidFill>
          </w14:textFill>
        </w:rPr>
        <w:t>项目所在地发包人办公室</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发包人指定的接收人为：</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承包人接收文件的地点：</w:t>
      </w:r>
      <w:r>
        <w:rPr>
          <w:rFonts w:hint="eastAsia"/>
          <w:color w:val="000000" w:themeColor="text1"/>
          <w:sz w:val="28"/>
          <w:szCs w:val="28"/>
          <w:highlight w:val="none"/>
          <w:u w:val="single"/>
          <w14:textFill>
            <w14:solidFill>
              <w14:schemeClr w14:val="tx1"/>
            </w14:solidFill>
          </w14:textFill>
        </w:rPr>
        <w:t>项目所在地承包人项目部</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承包人指定的接收人为：</w:t>
      </w:r>
      <w:r>
        <w:rPr>
          <w:rFonts w:hint="eastAsia"/>
          <w:color w:val="000000" w:themeColor="text1"/>
          <w:sz w:val="28"/>
          <w:szCs w:val="28"/>
          <w:highlight w:val="none"/>
          <w:u w:val="single"/>
          <w14:textFill>
            <w14:solidFill>
              <w14:schemeClr w14:val="tx1"/>
            </w14:solidFill>
          </w14:textFill>
        </w:rPr>
        <w:t>承包方项目经理</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监理人接收文件的地点：</w:t>
      </w:r>
      <w:r>
        <w:rPr>
          <w:rFonts w:hint="eastAsia"/>
          <w:color w:val="000000" w:themeColor="text1"/>
          <w:sz w:val="28"/>
          <w:szCs w:val="28"/>
          <w:highlight w:val="none"/>
          <w:u w:val="single"/>
          <w14:textFill>
            <w14:solidFill>
              <w14:schemeClr w14:val="tx1"/>
            </w14:solidFill>
          </w14:textFill>
        </w:rPr>
        <w:t>监理人办公室</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监理人指定的接收人为：</w:t>
      </w:r>
      <w:r>
        <w:rPr>
          <w:rFonts w:hint="eastAsia"/>
          <w:color w:val="000000" w:themeColor="text1"/>
          <w:sz w:val="28"/>
          <w:szCs w:val="28"/>
          <w:highlight w:val="none"/>
          <w:u w:val="single"/>
          <w14:textFill>
            <w14:solidFill>
              <w14:schemeClr w14:val="tx1"/>
            </w14:solidFill>
          </w14:textFill>
        </w:rPr>
        <w:t>监理工程师</w:t>
      </w:r>
      <w:r>
        <w:rPr>
          <w:rFonts w:ascii="宋体" w:hAnsi="宋体"/>
          <w:color w:val="000000" w:themeColor="text1"/>
          <w:kern w:val="0"/>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1.10 交通运输</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Start w:id="56" w:name="_Toc318581155"/>
      <w:bookmarkStart w:id="57" w:name="_Toc303539100"/>
      <w:bookmarkStart w:id="58" w:name="_Toc300934943"/>
      <w:bookmarkStart w:id="59" w:name="_Toc312677986"/>
      <w:bookmarkStart w:id="60" w:name="_Toc304295521"/>
      <w:r>
        <w:rPr>
          <w:rFonts w:ascii="宋体" w:hAnsi="宋体"/>
          <w:color w:val="000000" w:themeColor="text1"/>
          <w:sz w:val="28"/>
          <w:szCs w:val="28"/>
          <w:highlight w:val="none"/>
          <w14:textFill>
            <w14:solidFill>
              <w14:schemeClr w14:val="tx1"/>
            </w14:solidFill>
          </w14:textFill>
        </w:rPr>
        <w:t>.10.1 出入现场的权利</w:t>
      </w:r>
    </w:p>
    <w:p>
      <w:pPr>
        <w:spacing w:line="460" w:lineRule="exact"/>
        <w:ind w:firstLine="490" w:firstLineChars="175"/>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关于出入现场的权利的约定：</w:t>
      </w:r>
      <w:r>
        <w:rPr>
          <w:rFonts w:hint="eastAsia"/>
          <w:color w:val="000000" w:themeColor="text1"/>
          <w:sz w:val="28"/>
          <w:szCs w:val="28"/>
          <w:highlight w:val="none"/>
          <w:u w:val="single"/>
          <w14:textFill>
            <w14:solidFill>
              <w14:schemeClr w14:val="tx1"/>
            </w14:solidFill>
          </w14:textFill>
        </w:rPr>
        <w:t>由承包人按发包人要求取得出入现场所需的批准手续</w:t>
      </w:r>
      <w:r>
        <w:rPr>
          <w:rFonts w:ascii="宋体" w:hAnsi="宋体"/>
          <w:color w:val="000000" w:themeColor="text1"/>
          <w:sz w:val="28"/>
          <w:szCs w:val="28"/>
          <w:highlight w:val="none"/>
          <w14:textFill>
            <w14:solidFill>
              <w14:schemeClr w14:val="tx1"/>
            </w14:solidFill>
          </w14:textFill>
        </w:rPr>
        <w:t>。</w:t>
      </w:r>
    </w:p>
    <w:bookmarkEnd w:id="56"/>
    <w:bookmarkEnd w:id="57"/>
    <w:bookmarkEnd w:id="58"/>
    <w:bookmarkEnd w:id="59"/>
    <w:bookmarkEnd w:id="60"/>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Start w:id="61" w:name="_Toc312677987"/>
      <w:bookmarkStart w:id="62" w:name="_Toc304295522"/>
      <w:bookmarkStart w:id="63" w:name="_Toc300934944"/>
      <w:bookmarkStart w:id="64" w:name="_Toc303539101"/>
      <w:bookmarkStart w:id="65" w:name="_Toc318581156"/>
      <w:r>
        <w:rPr>
          <w:rFonts w:ascii="宋体" w:hAnsi="宋体"/>
          <w:color w:val="000000" w:themeColor="text1"/>
          <w:sz w:val="28"/>
          <w:szCs w:val="28"/>
          <w:highlight w:val="none"/>
          <w14:textFill>
            <w14:solidFill>
              <w14:schemeClr w14:val="tx1"/>
            </w14:solidFill>
          </w14:textFill>
        </w:rPr>
        <w:t>.10.3 场内交通</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关于场外交通和场内交通的边界的约定：</w:t>
      </w:r>
      <w:r>
        <w:rPr>
          <w:rFonts w:hint="eastAsia"/>
          <w:color w:val="000000" w:themeColor="text1"/>
          <w:sz w:val="28"/>
          <w:szCs w:val="28"/>
          <w:highlight w:val="none"/>
          <w:u w:val="single"/>
          <w14:textFill>
            <w14:solidFill>
              <w14:schemeClr w14:val="tx1"/>
            </w14:solidFill>
          </w14:textFill>
        </w:rPr>
        <w:t>本项目施工现场</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关于发包人向承包人免费提供满足工程施工需要的场内道路和交通设施的约定：</w:t>
      </w:r>
      <w:r>
        <w:rPr>
          <w:rFonts w:hint="eastAsia"/>
          <w:color w:val="000000" w:themeColor="text1"/>
          <w:sz w:val="28"/>
          <w:szCs w:val="28"/>
          <w:highlight w:val="none"/>
          <w:u w:val="single"/>
          <w14:textFill>
            <w14:solidFill>
              <w14:schemeClr w14:val="tx1"/>
            </w14:solidFill>
          </w14:textFill>
        </w:rPr>
        <w:t>以现场实际施工条件为准</w:t>
      </w:r>
      <w:r>
        <w:rPr>
          <w:rFonts w:ascii="宋体" w:hAnsi="宋体"/>
          <w:color w:val="000000" w:themeColor="text1"/>
          <w:sz w:val="28"/>
          <w:szCs w:val="28"/>
          <w:highlight w:val="none"/>
          <w14:textFill>
            <w14:solidFill>
              <w14:schemeClr w14:val="tx1"/>
            </w14:solidFill>
          </w14:textFill>
        </w:rPr>
        <w:t>。</w:t>
      </w:r>
      <w:bookmarkEnd w:id="61"/>
      <w:bookmarkEnd w:id="62"/>
      <w:bookmarkEnd w:id="63"/>
      <w:bookmarkEnd w:id="64"/>
      <w:bookmarkEnd w:id="65"/>
      <w:bookmarkStart w:id="66" w:name="_Toc318581157"/>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1.10.4超大件和超重件的运输</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8"/>
          <w:szCs w:val="28"/>
          <w:highlight w:val="none"/>
          <w:u w:val="single"/>
          <w14:textFill>
            <w14:solidFill>
              <w14:schemeClr w14:val="tx1"/>
            </w14:solidFill>
          </w14:textFill>
        </w:rPr>
        <w:t>承包人</w:t>
      </w:r>
      <w:r>
        <w:rPr>
          <w:rFonts w:ascii="宋体" w:hAnsi="宋体"/>
          <w:color w:val="000000" w:themeColor="text1"/>
          <w:sz w:val="28"/>
          <w:szCs w:val="28"/>
          <w:highlight w:val="none"/>
          <w14:textFill>
            <w14:solidFill>
              <w14:schemeClr w14:val="tx1"/>
            </w14:solidFill>
          </w14:textFill>
        </w:rPr>
        <w:t>承担。</w:t>
      </w:r>
    </w:p>
    <w:bookmarkEnd w:id="66"/>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1.11 知识产权</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关于发包人提供的上述文件的使用限制的要求：</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1.11.2 关于承包人为实施工程所编制文件的著作权的归属：</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关于承包人提供的上述文件的使用限制的要求：</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1.11.4 承包人在施工过程中所采用的专利、专有技术、技术秘密的使用费的承担方式：</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kern w:val="0"/>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1.13工程量清单错误的修正</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出现工程量清单错误时，是否调整合同价格：</w:t>
      </w:r>
      <w:r>
        <w:rPr>
          <w:rFonts w:hint="eastAsia"/>
          <w:color w:val="000000" w:themeColor="text1"/>
          <w:sz w:val="28"/>
          <w:szCs w:val="28"/>
          <w:highlight w:val="none"/>
          <w:u w:val="single"/>
          <w14:textFill>
            <w14:solidFill>
              <w14:schemeClr w14:val="tx1"/>
            </w14:solidFill>
          </w14:textFill>
        </w:rPr>
        <w:t>是</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允许调整合同价格的工程量偏差范围：</w:t>
      </w:r>
      <w:r>
        <w:rPr>
          <w:rFonts w:hint="eastAsia" w:ascii="宋体" w:hAnsi="宋体"/>
          <w:color w:val="000000" w:themeColor="text1"/>
          <w:sz w:val="28"/>
          <w:szCs w:val="28"/>
          <w:highlight w:val="none"/>
          <w:u w:val="single"/>
          <w14:textFill>
            <w14:solidFill>
              <w14:schemeClr w14:val="tx1"/>
            </w14:solidFill>
          </w14:textFill>
        </w:rPr>
        <w:t>±3%</w:t>
      </w:r>
      <w:r>
        <w:rPr>
          <w:rFonts w:ascii="宋体" w:hAnsi="宋体"/>
          <w:color w:val="000000" w:themeColor="text1"/>
          <w:kern w:val="0"/>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67" w:name="_Toc351203634"/>
      <w:r>
        <w:rPr>
          <w:rFonts w:ascii="宋体" w:hAnsi="宋体"/>
          <w:color w:val="000000" w:themeColor="text1"/>
          <w:sz w:val="28"/>
          <w:szCs w:val="28"/>
          <w:highlight w:val="none"/>
          <w14:textFill>
            <w14:solidFill>
              <w14:schemeClr w14:val="tx1"/>
            </w14:solidFill>
          </w14:textFill>
        </w:rPr>
        <w:t>2</w:t>
      </w:r>
      <w:bookmarkStart w:id="68" w:name="_Toc296890985"/>
      <w:bookmarkStart w:id="69" w:name="_Toc296891197"/>
      <w:bookmarkStart w:id="70" w:name="_Toc297120457"/>
      <w:bookmarkStart w:id="71" w:name="_Toc296503157"/>
      <w:bookmarkStart w:id="72" w:name="_Toc297048343"/>
      <w:bookmarkStart w:id="73" w:name="_Toc296347156"/>
      <w:bookmarkStart w:id="74" w:name="_Toc292559362"/>
      <w:bookmarkStart w:id="75" w:name="_Toc296944496"/>
      <w:bookmarkStart w:id="76" w:name="_Toc292559867"/>
      <w:bookmarkStart w:id="77" w:name="_Toc296346658"/>
      <w:r>
        <w:rPr>
          <w:rFonts w:ascii="宋体" w:hAnsi="宋体"/>
          <w:color w:val="000000" w:themeColor="text1"/>
          <w:sz w:val="28"/>
          <w:szCs w:val="28"/>
          <w:highlight w:val="none"/>
          <w14:textFill>
            <w14:solidFill>
              <w14:schemeClr w14:val="tx1"/>
            </w14:solidFill>
          </w14:textFill>
        </w:rPr>
        <w:t>. 发包人</w:t>
      </w:r>
      <w:bookmarkEnd w:id="67"/>
    </w:p>
    <w:bookmarkEnd w:id="68"/>
    <w:bookmarkEnd w:id="69"/>
    <w:bookmarkEnd w:id="70"/>
    <w:bookmarkEnd w:id="71"/>
    <w:bookmarkEnd w:id="72"/>
    <w:bookmarkEnd w:id="73"/>
    <w:bookmarkEnd w:id="74"/>
    <w:bookmarkEnd w:id="75"/>
    <w:bookmarkEnd w:id="76"/>
    <w:bookmarkEnd w:id="77"/>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2.2 发包人代表</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发包人代表：</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    名：</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身份证号：</w:t>
      </w:r>
      <w:r>
        <w:rPr>
          <w:rFonts w:ascii="宋体" w:hAnsi="宋体"/>
          <w:color w:val="000000" w:themeColor="text1"/>
          <w:sz w:val="28"/>
          <w:szCs w:val="28"/>
          <w:highlight w:val="none"/>
          <w:u w:val="single"/>
          <w14:textFill>
            <w14:solidFill>
              <w14:schemeClr w14:val="tx1"/>
            </w14:solidFill>
          </w14:textFill>
        </w:rPr>
        <w:t> 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职    务：</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联系电话：</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通信地址：</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发包人对发包人代表的授权范围如下：</w:t>
      </w:r>
      <w:r>
        <w:rPr>
          <w:rFonts w:hint="eastAsia" w:ascii="宋体" w:hAnsi="宋体"/>
          <w:color w:val="000000" w:themeColor="text1"/>
          <w:sz w:val="28"/>
          <w:szCs w:val="28"/>
          <w:highlight w:val="none"/>
          <w:u w:val="single"/>
          <w14:textFill>
            <w14:solidFill>
              <w14:schemeClr w14:val="tx1"/>
            </w14:solidFill>
          </w14:textFill>
        </w:rPr>
        <w:t>督促指导监理工程师行使职权、协调施工现场各方面的关系、协调工程质量、进度和安全文明施工中存在的问题，解决有关设计和技术签证，办理确认现场经济技术签证，审核工程进度报表</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2.4 施工现场、施工条件和基础资料的提供</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2.4.1 提供施工现场</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关于发包人移交施工现场的期限要求：</w:t>
      </w:r>
      <w:r>
        <w:rPr>
          <w:rFonts w:hint="eastAsia"/>
          <w:color w:val="000000" w:themeColor="text1"/>
          <w:sz w:val="28"/>
          <w:szCs w:val="28"/>
          <w:highlight w:val="none"/>
          <w:u w:val="single"/>
          <w14:textFill>
            <w14:solidFill>
              <w14:schemeClr w14:val="tx1"/>
            </w14:solidFill>
          </w14:textFill>
        </w:rPr>
        <w:t>发包人应最迟于开工日期7天前向承包人移交施工现场</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2.4.2 提供施工条件</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关于发包人应负责提供施工</w:t>
      </w:r>
      <w:r>
        <w:rPr>
          <w:rFonts w:hint="eastAsia" w:ascii="宋体" w:hAnsi="宋体"/>
          <w:color w:val="000000" w:themeColor="text1"/>
          <w:sz w:val="28"/>
          <w:szCs w:val="28"/>
          <w:highlight w:val="none"/>
          <w14:textFill>
            <w14:solidFill>
              <w14:schemeClr w14:val="tx1"/>
            </w14:solidFill>
          </w14:textFill>
        </w:rPr>
        <w:t>所需要的条件，</w:t>
      </w:r>
      <w:r>
        <w:rPr>
          <w:rFonts w:ascii="宋体" w:hAnsi="宋体"/>
          <w:color w:val="000000" w:themeColor="text1"/>
          <w:sz w:val="28"/>
          <w:szCs w:val="28"/>
          <w:highlight w:val="none"/>
          <w14:textFill>
            <w14:solidFill>
              <w14:schemeClr w14:val="tx1"/>
            </w14:solidFill>
          </w14:textFill>
        </w:rPr>
        <w:t>包括：</w:t>
      </w:r>
      <w:r>
        <w:rPr>
          <w:rFonts w:hint="eastAsia"/>
          <w:color w:val="000000" w:themeColor="text1"/>
          <w:sz w:val="28"/>
          <w:szCs w:val="28"/>
          <w:highlight w:val="none"/>
          <w:u w:val="single"/>
          <w14:textFill>
            <w14:solidFill>
              <w14:schemeClr w14:val="tx1"/>
            </w14:solidFill>
          </w14:textFill>
        </w:rPr>
        <w:t>双方协商确定</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2.5 资金来源证明及支付担保</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发包人提供资金来源证明的期限要求：</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发包人是否提供支付担保：</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发包人提供支付担保的形式：</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78" w:name="_Toc351203635"/>
      <w:r>
        <w:rPr>
          <w:rFonts w:ascii="宋体" w:hAnsi="宋体"/>
          <w:color w:val="000000" w:themeColor="text1"/>
          <w:sz w:val="28"/>
          <w:szCs w:val="28"/>
          <w:highlight w:val="none"/>
          <w14:textFill>
            <w14:solidFill>
              <w14:schemeClr w14:val="tx1"/>
            </w14:solidFill>
          </w14:textFill>
        </w:rPr>
        <w:t>3</w:t>
      </w:r>
      <w:bookmarkStart w:id="79" w:name="_Toc297120458"/>
      <w:bookmarkStart w:id="80" w:name="_Toc296891198"/>
      <w:bookmarkStart w:id="81" w:name="_Toc296347157"/>
      <w:bookmarkStart w:id="82" w:name="_Toc296346659"/>
      <w:bookmarkStart w:id="83" w:name="_Toc296890986"/>
      <w:bookmarkStart w:id="84" w:name="_Toc296944497"/>
      <w:bookmarkStart w:id="85" w:name="_Toc296503158"/>
      <w:bookmarkStart w:id="86" w:name="_Toc297048344"/>
      <w:bookmarkStart w:id="87" w:name="_Toc292559868"/>
      <w:bookmarkStart w:id="88" w:name="_Toc292559363"/>
      <w:r>
        <w:rPr>
          <w:rFonts w:ascii="宋体" w:hAnsi="宋体"/>
          <w:color w:val="000000" w:themeColor="text1"/>
          <w:sz w:val="28"/>
          <w:szCs w:val="28"/>
          <w:highlight w:val="none"/>
          <w14:textFill>
            <w14:solidFill>
              <w14:schemeClr w14:val="tx1"/>
            </w14:solidFill>
          </w14:textFill>
        </w:rPr>
        <w:t>. 承包人</w:t>
      </w:r>
      <w:bookmarkEnd w:id="78"/>
    </w:p>
    <w:bookmarkEnd w:id="79"/>
    <w:bookmarkEnd w:id="80"/>
    <w:bookmarkEnd w:id="81"/>
    <w:bookmarkEnd w:id="82"/>
    <w:bookmarkEnd w:id="83"/>
    <w:bookmarkEnd w:id="84"/>
    <w:bookmarkEnd w:id="85"/>
    <w:bookmarkEnd w:id="86"/>
    <w:bookmarkEnd w:id="87"/>
    <w:bookmarkEnd w:id="88"/>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3.1 承包人的一般义务</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承包人提交的竣工资料的内容：</w:t>
      </w:r>
      <w:r>
        <w:rPr>
          <w:rFonts w:hint="eastAsia"/>
          <w:color w:val="000000" w:themeColor="text1"/>
          <w:sz w:val="28"/>
          <w:szCs w:val="28"/>
          <w:highlight w:val="none"/>
          <w:u w:val="single"/>
          <w14:textFill>
            <w14:solidFill>
              <w14:schemeClr w14:val="tx1"/>
            </w14:solidFill>
          </w14:textFill>
        </w:rPr>
        <w:t>向发包人提供资料</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承包人需要提交的竣工资料套数：</w:t>
      </w:r>
      <w:r>
        <w:rPr>
          <w:rFonts w:hint="eastAsia"/>
          <w:color w:val="000000" w:themeColor="text1"/>
          <w:sz w:val="28"/>
          <w:szCs w:val="28"/>
          <w:highlight w:val="none"/>
          <w:u w:val="single"/>
          <w14:textFill>
            <w14:solidFill>
              <w14:schemeClr w14:val="tx1"/>
            </w14:solidFill>
          </w14:textFill>
        </w:rPr>
        <w:t>贰套</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承包人提交的竣工资料的费用承担：</w:t>
      </w:r>
      <w:r>
        <w:rPr>
          <w:rFonts w:hint="eastAsia"/>
          <w:color w:val="000000" w:themeColor="text1"/>
          <w:sz w:val="28"/>
          <w:szCs w:val="28"/>
          <w:highlight w:val="none"/>
          <w:u w:val="single"/>
          <w14:textFill>
            <w14:solidFill>
              <w14:schemeClr w14:val="tx1"/>
            </w14:solidFill>
          </w14:textFill>
        </w:rPr>
        <w:t>由承包人承</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承包人提交的竣工资料移交时间：</w:t>
      </w:r>
      <w:r>
        <w:rPr>
          <w:rFonts w:hint="eastAsia"/>
          <w:color w:val="000000" w:themeColor="text1"/>
          <w:sz w:val="28"/>
          <w:szCs w:val="28"/>
          <w:highlight w:val="none"/>
          <w:u w:val="single"/>
          <w14:textFill>
            <w14:solidFill>
              <w14:schemeClr w14:val="tx1"/>
            </w14:solidFill>
          </w14:textFill>
        </w:rPr>
        <w:t>工程竣工一个月内</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承包人提交的竣工资料形式要求：</w:t>
      </w:r>
      <w:r>
        <w:rPr>
          <w:rFonts w:hint="eastAsia"/>
          <w:color w:val="000000" w:themeColor="text1"/>
          <w:sz w:val="28"/>
          <w:szCs w:val="28"/>
          <w:highlight w:val="none"/>
          <w:u w:val="single"/>
          <w14:textFill>
            <w14:solidFill>
              <w14:schemeClr w14:val="tx1"/>
            </w14:solidFill>
          </w14:textFill>
        </w:rPr>
        <w:t>书面及电子文档</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承包人应履行的其他义务：</w:t>
      </w:r>
      <w:r>
        <w:rPr>
          <w:rFonts w:hint="eastAsia"/>
          <w:color w:val="000000" w:themeColor="text1"/>
          <w:sz w:val="28"/>
          <w:szCs w:val="28"/>
          <w:highlight w:val="none"/>
          <w:u w:val="single"/>
          <w14:textFill>
            <w14:solidFill>
              <w14:schemeClr w14:val="tx1"/>
            </w14:solidFill>
          </w14:textFill>
        </w:rPr>
        <w:t>双方协商确定</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3.2 项目负责人</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 xml:space="preserve">3.2.1 </w:t>
      </w:r>
      <w:r>
        <w:rPr>
          <w:rFonts w:ascii="宋体" w:hAnsi="宋体"/>
          <w:color w:val="000000" w:themeColor="text1"/>
          <w:sz w:val="28"/>
          <w:szCs w:val="28"/>
          <w:highlight w:val="none"/>
          <w14:textFill>
            <w14:solidFill>
              <w14:schemeClr w14:val="tx1"/>
            </w14:solidFill>
          </w14:textFill>
        </w:rPr>
        <w:t>项目负责人：</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    名：</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身份证号：</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建造师执业资格等级：</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建造师注册证书号：</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建造师执业印章号：</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安全生产考核合格证书号：</w:t>
      </w: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联系电话：</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通信地址：</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承包人对项目负责人的授权范围如下：</w:t>
      </w:r>
      <w:r>
        <w:rPr>
          <w:rFonts w:hint="eastAsia"/>
          <w:color w:val="000000" w:themeColor="text1"/>
          <w:sz w:val="28"/>
          <w:szCs w:val="28"/>
          <w:highlight w:val="none"/>
          <w:u w:val="single"/>
          <w14:textFill>
            <w14:solidFill>
              <w14:schemeClr w14:val="tx1"/>
            </w14:solidFill>
          </w14:textFill>
        </w:rPr>
        <w:t>全面负责项目施工过程中质量、安全、进度管理工作</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关于项目负责人每月在施工现场的时间要求：</w:t>
      </w:r>
      <w:r>
        <w:rPr>
          <w:rFonts w:hint="eastAsia"/>
          <w:color w:val="000000" w:themeColor="text1"/>
          <w:sz w:val="28"/>
          <w:szCs w:val="28"/>
          <w:highlight w:val="none"/>
          <w:u w:val="single"/>
          <w14:textFill>
            <w14:solidFill>
              <w14:schemeClr w14:val="tx1"/>
            </w14:solidFill>
          </w14:textFill>
        </w:rPr>
        <w:t>同</w:t>
      </w:r>
      <w:r>
        <w:rPr>
          <w:rFonts w:hint="eastAsia"/>
          <w:color w:val="000000" w:themeColor="text1"/>
          <w:sz w:val="28"/>
          <w:szCs w:val="28"/>
          <w:highlight w:val="none"/>
          <w:u w:val="single"/>
          <w:lang w:val="en-US" w:eastAsia="zh-CN"/>
          <w14:textFill>
            <w14:solidFill>
              <w14:schemeClr w14:val="tx1"/>
            </w14:solidFill>
          </w14:textFill>
        </w:rPr>
        <w:t>磋商</w:t>
      </w:r>
      <w:r>
        <w:rPr>
          <w:rFonts w:hint="eastAsia"/>
          <w:color w:val="000000" w:themeColor="text1"/>
          <w:sz w:val="28"/>
          <w:szCs w:val="28"/>
          <w:highlight w:val="none"/>
          <w:u w:val="single"/>
          <w14:textFill>
            <w14:solidFill>
              <w14:schemeClr w14:val="tx1"/>
            </w14:solidFill>
          </w14:textFill>
        </w:rPr>
        <w:t>文件承诺时间</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承包人未提交劳动合同，以及没有为项目负责人缴纳社会保险证明的违约责任：</w:t>
      </w:r>
      <w:r>
        <w:rPr>
          <w:rFonts w:hint="eastAsia"/>
          <w:color w:val="000000" w:themeColor="text1"/>
          <w:sz w:val="28"/>
          <w:szCs w:val="28"/>
          <w:highlight w:val="none"/>
          <w:u w:val="single"/>
          <w14:textFill>
            <w14:solidFill>
              <w14:schemeClr w14:val="tx1"/>
            </w14:solidFill>
          </w14:textFill>
        </w:rPr>
        <w:t>处以3万元罚款，责令限期提交劳动合同并补缴社会保险</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项目负责人未经批准，擅自离开施工现场的违约责任：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3.2.3 承包人擅自更换项目负责人的违约责任：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3.2.4 承包人无正当理由拒绝更换项目负责人的违约责任：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3.3 承包人人员</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3.3.1 承包人提交项目管理机构及施工现场管理人员安排报告的期限：</w:t>
      </w:r>
      <w:r>
        <w:rPr>
          <w:rFonts w:hint="eastAsia"/>
          <w:color w:val="000000" w:themeColor="text1"/>
          <w:sz w:val="28"/>
          <w:szCs w:val="28"/>
          <w:highlight w:val="none"/>
          <w:u w:val="single"/>
          <w14:textFill>
            <w14:solidFill>
              <w14:schemeClr w14:val="tx1"/>
            </w14:solidFill>
          </w14:textFill>
        </w:rPr>
        <w:t>工程开工前2天</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3.3.3 承包人无正当理由拒绝撤换主要施工管理人员的违约责任：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3.3.4 承包人主要施工管理人员离开施工现场的批准要求：</w:t>
      </w:r>
      <w:r>
        <w:rPr>
          <w:rFonts w:hint="eastAsia"/>
          <w:color w:val="000000" w:themeColor="text1"/>
          <w:sz w:val="28"/>
          <w:szCs w:val="28"/>
          <w:highlight w:val="none"/>
          <w:u w:val="single"/>
          <w14:textFill>
            <w14:solidFill>
              <w14:schemeClr w14:val="tx1"/>
            </w14:solidFill>
          </w14:textFill>
        </w:rPr>
        <w:t>由监理工程师批准 ，发包人书面认可后方可离开</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3.3.5承包人擅自更换主要施工管理人员的违约责任：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承包人主要施工管理人员擅自离开施工现场的违约责任：</w:t>
      </w:r>
      <w:r>
        <w:rPr>
          <w:rFonts w:hint="eastAsia"/>
          <w:color w:val="000000" w:themeColor="text1"/>
          <w:sz w:val="28"/>
          <w:szCs w:val="28"/>
          <w:highlight w:val="none"/>
          <w:u w:val="single"/>
          <w14:textFill>
            <w14:solidFill>
              <w14:schemeClr w14:val="tx1"/>
            </w14:solidFill>
          </w14:textFill>
        </w:rPr>
        <w:t>承包人承担上述违约责任给发包人造成的损失</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w:t>
      </w:r>
      <w:bookmarkStart w:id="89" w:name="_Toc297048345"/>
      <w:bookmarkStart w:id="90" w:name="_Toc297216151"/>
      <w:bookmarkStart w:id="91" w:name="_Toc297120459"/>
      <w:bookmarkStart w:id="92" w:name="_Toc303539102"/>
      <w:bookmarkStart w:id="93" w:name="_Toc292559869"/>
      <w:bookmarkStart w:id="94" w:name="_Toc296503159"/>
      <w:bookmarkStart w:id="95" w:name="_Toc304295523"/>
      <w:bookmarkStart w:id="96" w:name="_Toc300934945"/>
      <w:bookmarkStart w:id="97" w:name="_Toc312677988"/>
      <w:bookmarkStart w:id="98" w:name="_Toc296347158"/>
      <w:bookmarkStart w:id="99" w:name="_Toc296890987"/>
      <w:bookmarkStart w:id="100" w:name="_Toc292559364"/>
      <w:bookmarkStart w:id="101" w:name="_Toc296891199"/>
      <w:bookmarkStart w:id="102" w:name="_Toc297123492"/>
      <w:bookmarkStart w:id="103" w:name="_Toc296944498"/>
      <w:bookmarkStart w:id="104" w:name="_Toc296346660"/>
      <w:r>
        <w:rPr>
          <w:rFonts w:ascii="宋体" w:hAnsi="宋体"/>
          <w:color w:val="000000" w:themeColor="text1"/>
          <w:sz w:val="28"/>
          <w:szCs w:val="28"/>
          <w:highlight w:val="none"/>
          <w14:textFill>
            <w14:solidFill>
              <w14:schemeClr w14:val="tx1"/>
            </w14:solidFill>
          </w14:textFill>
        </w:rPr>
        <w:t>.5 分包</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w:t>
      </w:r>
      <w:bookmarkStart w:id="105" w:name="_Toc297216152"/>
      <w:bookmarkStart w:id="106" w:name="_Toc296347159"/>
      <w:bookmarkStart w:id="107" w:name="_Toc296944499"/>
      <w:bookmarkStart w:id="108" w:name="_Toc292559870"/>
      <w:bookmarkStart w:id="109" w:name="_Toc297123493"/>
      <w:bookmarkStart w:id="110" w:name="_Toc297048346"/>
      <w:bookmarkStart w:id="111" w:name="_Toc292559365"/>
      <w:bookmarkStart w:id="112" w:name="_Toc303539103"/>
      <w:bookmarkStart w:id="113" w:name="_Toc296890988"/>
      <w:bookmarkStart w:id="114" w:name="_Toc296891200"/>
      <w:bookmarkStart w:id="115" w:name="_Toc300934946"/>
      <w:bookmarkStart w:id="116" w:name="_Toc296346661"/>
      <w:bookmarkStart w:id="117" w:name="_Toc296503160"/>
      <w:bookmarkStart w:id="118" w:name="_Toc304295524"/>
      <w:bookmarkStart w:id="119" w:name="_Toc297120460"/>
      <w:bookmarkStart w:id="120" w:name="_Toc312677989"/>
      <w:bookmarkStart w:id="121" w:name="_Toc318581158"/>
      <w:r>
        <w:rPr>
          <w:rFonts w:ascii="宋体" w:hAnsi="宋体"/>
          <w:color w:val="000000" w:themeColor="text1"/>
          <w:sz w:val="28"/>
          <w:szCs w:val="28"/>
          <w:highlight w:val="none"/>
          <w14:textFill>
            <w14:solidFill>
              <w14:schemeClr w14:val="tx1"/>
            </w14:solidFill>
          </w14:textFill>
        </w:rPr>
        <w:t>.5.1 分包的一般约定</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禁止分包的工程包括：</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主体结构、关键性工作的范围</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297123494"/>
      <w:bookmarkStart w:id="123" w:name="_Toc300934947"/>
      <w:bookmarkStart w:id="124" w:name="_Toc297120461"/>
      <w:bookmarkStart w:id="125" w:name="_Toc296346662"/>
      <w:bookmarkStart w:id="126" w:name="_Toc296944500"/>
      <w:bookmarkStart w:id="127" w:name="_Toc296347160"/>
      <w:bookmarkStart w:id="128" w:name="_Toc297216153"/>
      <w:bookmarkStart w:id="129" w:name="_Toc296891201"/>
      <w:bookmarkStart w:id="130" w:name="_Toc304295525"/>
      <w:bookmarkStart w:id="131" w:name="_Toc297048347"/>
      <w:bookmarkStart w:id="132" w:name="_Toc303539104"/>
      <w:bookmarkStart w:id="133" w:name="_Toc296890989"/>
      <w:bookmarkStart w:id="134" w:name="_Toc296503161"/>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w:t>
      </w:r>
      <w:bookmarkStart w:id="135" w:name="_Toc312677990"/>
      <w:bookmarkStart w:id="136" w:name="_Toc318581159"/>
      <w:r>
        <w:rPr>
          <w:rFonts w:ascii="宋体" w:hAnsi="宋体"/>
          <w:color w:val="000000" w:themeColor="text1"/>
          <w:sz w:val="28"/>
          <w:szCs w:val="28"/>
          <w:highlight w:val="none"/>
          <w14:textFill>
            <w14:solidFill>
              <w14:schemeClr w14:val="tx1"/>
            </w14:solidFill>
          </w14:textFill>
        </w:rPr>
        <w:t>.5.2分包的确定</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允许分包的专业工程包括：</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其他关于分包的约定：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3.5.4 分包合同价款</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关于分包合同价款支付的约定：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135"/>
    <w:bookmarkEnd w:id="136"/>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3.6 工程照管与成品、半成品保护</w:t>
      </w:r>
    </w:p>
    <w:p>
      <w:pPr>
        <w:spacing w:before="120" w:after="120" w:line="460" w:lineRule="exact"/>
        <w:ind w:firstLine="560" w:firstLineChars="200"/>
        <w:rPr>
          <w:rFonts w:hint="eastAsia" w:ascii="宋体" w:hAnsi="宋体" w:eastAsia="宋体"/>
          <w:color w:val="000000" w:themeColor="text1"/>
          <w:kern w:val="0"/>
          <w:sz w:val="28"/>
          <w:szCs w:val="28"/>
          <w:highlight w:val="none"/>
          <w:u w:val="single"/>
          <w:lang w:eastAsia="zh-CN"/>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承包人负责照管工程及工程相关的材料、工程设备的起始时间：</w:t>
      </w:r>
      <w:r>
        <w:rPr>
          <w:rFonts w:hint="eastAsia"/>
          <w:color w:val="000000" w:themeColor="text1"/>
          <w:sz w:val="28"/>
          <w:szCs w:val="28"/>
          <w:highlight w:val="none"/>
          <w:u w:val="single"/>
          <w14:textFill>
            <w14:solidFill>
              <w14:schemeClr w14:val="tx1"/>
            </w14:solidFill>
          </w14:textFill>
        </w:rPr>
        <w:t>自发包人向承包人移交施工现场之日起，承包人应负责照管工程及工程相关的材料、工程设备，直到颁发工程接收证书之日止</w:t>
      </w:r>
      <w:r>
        <w:rPr>
          <w:rFonts w:hint="eastAsia"/>
          <w:color w:val="000000" w:themeColor="text1"/>
          <w:sz w:val="28"/>
          <w:szCs w:val="28"/>
          <w:highlight w:val="none"/>
          <w:u w:val="none"/>
          <w:lang w:eastAsia="zh-CN"/>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3.7 履约担保</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承包人是否提供履约担保：</w:t>
      </w:r>
      <w:r>
        <w:rPr>
          <w:rFonts w:hint="eastAsia" w:ascii="宋体" w:hAnsi="宋体"/>
          <w:color w:val="000000" w:themeColor="text1"/>
          <w:sz w:val="28"/>
          <w:szCs w:val="28"/>
          <w:highlight w:val="none"/>
          <w:u w:val="single"/>
          <w14:textFill>
            <w14:solidFill>
              <w14:schemeClr w14:val="tx1"/>
            </w14:solidFill>
          </w14:textFill>
        </w:rPr>
        <w:t>双方另行协商确定</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承包人提供履约担保的形式</w:t>
      </w:r>
      <w:r>
        <w:rPr>
          <w:rFonts w:hint="eastAsia" w:ascii="宋体" w:hAnsi="宋体"/>
          <w:color w:val="000000" w:themeColor="text1"/>
          <w:sz w:val="28"/>
          <w:szCs w:val="28"/>
          <w:highlight w:val="none"/>
          <w14:textFill>
            <w14:solidFill>
              <w14:schemeClr w14:val="tx1"/>
            </w14:solidFill>
          </w14:textFill>
        </w:rPr>
        <w:t>、金额及期限</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双方另行协商确定</w:t>
      </w:r>
      <w:r>
        <w:rPr>
          <w:rFonts w:ascii="宋体" w:hAnsi="宋体"/>
          <w:color w:val="000000" w:themeColor="text1"/>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137" w:name="_Toc351203636"/>
      <w:r>
        <w:rPr>
          <w:rFonts w:ascii="宋体" w:hAnsi="宋体"/>
          <w:color w:val="000000" w:themeColor="text1"/>
          <w:sz w:val="28"/>
          <w:szCs w:val="28"/>
          <w:highlight w:val="none"/>
          <w14:textFill>
            <w14:solidFill>
              <w14:schemeClr w14:val="tx1"/>
            </w14:solidFill>
          </w14:textFill>
        </w:rPr>
        <w:t>4</w:t>
      </w:r>
      <w:bookmarkStart w:id="138" w:name="_Toc292559366"/>
      <w:bookmarkStart w:id="139" w:name="_Toc267251413"/>
      <w:bookmarkStart w:id="140" w:name="_Toc297048348"/>
      <w:bookmarkStart w:id="141" w:name="_Toc292559871"/>
      <w:bookmarkStart w:id="142" w:name="_Toc296503162"/>
      <w:bookmarkStart w:id="143" w:name="_Toc297120462"/>
      <w:bookmarkStart w:id="144" w:name="_Toc296944501"/>
      <w:bookmarkStart w:id="145" w:name="_Toc296346663"/>
      <w:bookmarkStart w:id="146" w:name="_Toc296891202"/>
      <w:bookmarkStart w:id="147" w:name="_Toc296347161"/>
      <w:bookmarkStart w:id="148" w:name="_Toc296890990"/>
      <w:r>
        <w:rPr>
          <w:rFonts w:ascii="宋体" w:hAnsi="宋体"/>
          <w:color w:val="000000" w:themeColor="text1"/>
          <w:sz w:val="28"/>
          <w:szCs w:val="28"/>
          <w:highlight w:val="none"/>
          <w14:textFill>
            <w14:solidFill>
              <w14:schemeClr w14:val="tx1"/>
            </w14:solidFill>
          </w14:textFill>
        </w:rPr>
        <w:t>. 监</w:t>
      </w:r>
      <w:bookmarkEnd w:id="138"/>
      <w:bookmarkEnd w:id="139"/>
      <w:bookmarkEnd w:id="140"/>
      <w:bookmarkEnd w:id="141"/>
      <w:bookmarkEnd w:id="142"/>
      <w:bookmarkEnd w:id="143"/>
      <w:bookmarkEnd w:id="144"/>
      <w:bookmarkEnd w:id="145"/>
      <w:bookmarkEnd w:id="146"/>
      <w:bookmarkEnd w:id="147"/>
      <w:bookmarkEnd w:id="148"/>
      <w:r>
        <w:rPr>
          <w:rFonts w:ascii="宋体" w:hAnsi="宋体"/>
          <w:color w:val="000000" w:themeColor="text1"/>
          <w:sz w:val="28"/>
          <w:szCs w:val="28"/>
          <w:highlight w:val="none"/>
          <w14:textFill>
            <w14:solidFill>
              <w14:schemeClr w14:val="tx1"/>
            </w14:solidFill>
          </w14:textFill>
        </w:rPr>
        <w:t>理人</w:t>
      </w:r>
      <w:bookmarkEnd w:id="137"/>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4.1监理人的一般规定</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关于监理人的监理内容：</w:t>
      </w:r>
      <w:r>
        <w:rPr>
          <w:rFonts w:hint="eastAsia"/>
          <w:color w:val="000000" w:themeColor="text1"/>
          <w:sz w:val="28"/>
          <w:szCs w:val="28"/>
          <w:highlight w:val="none"/>
          <w:u w:val="single"/>
          <w14:textFill>
            <w14:solidFill>
              <w14:schemeClr w14:val="tx1"/>
            </w14:solidFill>
          </w14:textFill>
        </w:rPr>
        <w:t>见监理合同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关于监理人的监理权限：</w:t>
      </w:r>
      <w:r>
        <w:rPr>
          <w:rFonts w:hint="eastAsia"/>
          <w:color w:val="000000" w:themeColor="text1"/>
          <w:sz w:val="28"/>
          <w:szCs w:val="28"/>
          <w:highlight w:val="none"/>
          <w:u w:val="single"/>
          <w14:textFill>
            <w14:solidFill>
              <w14:schemeClr w14:val="tx1"/>
            </w14:solidFill>
          </w14:textFill>
        </w:rPr>
        <w:t>见监理合同</w:t>
      </w:r>
      <w:r>
        <w:rPr>
          <w:rFonts w:ascii="宋体" w:hAnsi="宋体"/>
          <w:color w:val="000000" w:themeColor="text1"/>
          <w:sz w:val="28"/>
          <w:szCs w:val="28"/>
          <w:highlight w:val="none"/>
          <w14:textFill>
            <w14:solidFill>
              <w14:schemeClr w14:val="tx1"/>
            </w14:solidFill>
          </w14:textFill>
        </w:rPr>
        <w:t xml:space="preserve">。 </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关于监理人在施工现场的办公场所、生活场所的提供和费用承担的约定：</w:t>
      </w:r>
      <w:r>
        <w:rPr>
          <w:rFonts w:hint="eastAsia"/>
          <w:color w:val="000000" w:themeColor="text1"/>
          <w:sz w:val="28"/>
          <w:szCs w:val="28"/>
          <w:highlight w:val="none"/>
          <w:u w:val="single"/>
          <w14:textFill>
            <w14:solidFill>
              <w14:schemeClr w14:val="tx1"/>
            </w14:solidFill>
          </w14:textFill>
        </w:rPr>
        <w:t>按监理合同约定</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4.2 监理人员</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总监理工程师：</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    名：</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职    务：</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监理工程师执业资格证书号：</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联系电话：</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通信地址：</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关于监理人的其他约定：</w:t>
      </w:r>
      <w:r>
        <w:rPr>
          <w:rFonts w:ascii="宋体" w:hAnsi="宋体"/>
          <w:color w:val="000000" w:themeColor="text1"/>
          <w:sz w:val="28"/>
          <w:szCs w:val="28"/>
          <w:highlight w:val="none"/>
          <w:u w:val="single"/>
          <w14:textFill>
            <w14:solidFill>
              <w14:schemeClr w14:val="tx1"/>
            </w14:solidFill>
          </w14:textFill>
        </w:rPr>
        <w:t>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4.4 商定或确定</w:t>
      </w:r>
    </w:p>
    <w:p>
      <w:pPr>
        <w:spacing w:line="460" w:lineRule="exact"/>
        <w:ind w:firstLine="560" w:firstLineChars="200"/>
        <w:rPr>
          <w:rFonts w:ascii="宋体" w:hAnsi="宋体"/>
          <w:color w:val="000000" w:themeColor="text1"/>
          <w:sz w:val="28"/>
          <w:szCs w:val="28"/>
          <w:highlight w:val="none"/>
          <w14:textFill>
            <w14:solidFill>
              <w14:schemeClr w14:val="tx1"/>
            </w14:solidFill>
          </w14:textFill>
        </w:rPr>
      </w:pPr>
      <w:bookmarkStart w:id="149" w:name="_Toc267251418"/>
      <w:r>
        <w:rPr>
          <w:rFonts w:ascii="宋体" w:hAnsi="宋体"/>
          <w:color w:val="000000" w:themeColor="text1"/>
          <w:sz w:val="28"/>
          <w:szCs w:val="28"/>
          <w:highlight w:val="none"/>
          <w14:textFill>
            <w14:solidFill>
              <w14:schemeClr w14:val="tx1"/>
            </w14:solidFill>
          </w14:textFill>
        </w:rPr>
        <w:t>在发包人和承包人不能通过协商达成一致意见时，发包人授权监理人对以下事项进行确定：</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（3）</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150" w:name="_Toc351203637"/>
      <w:r>
        <w:rPr>
          <w:rFonts w:ascii="宋体" w:hAnsi="宋体"/>
          <w:color w:val="000000" w:themeColor="text1"/>
          <w:sz w:val="28"/>
          <w:szCs w:val="28"/>
          <w:highlight w:val="none"/>
          <w14:textFill>
            <w14:solidFill>
              <w14:schemeClr w14:val="tx1"/>
            </w14:solidFill>
          </w14:textFill>
        </w:rPr>
        <w:t>5</w:t>
      </w:r>
      <w:bookmarkEnd w:id="149"/>
      <w:bookmarkStart w:id="151" w:name="_Toc296891203"/>
      <w:bookmarkStart w:id="152" w:name="_Toc297120463"/>
      <w:bookmarkStart w:id="153" w:name="_Toc297048349"/>
      <w:bookmarkStart w:id="154" w:name="_Toc292559872"/>
      <w:bookmarkStart w:id="155" w:name="_Toc296347162"/>
      <w:bookmarkStart w:id="156" w:name="_Toc292559367"/>
      <w:bookmarkStart w:id="157" w:name="_Toc296503163"/>
      <w:bookmarkStart w:id="158" w:name="_Toc296346664"/>
      <w:bookmarkStart w:id="159" w:name="_Toc296890991"/>
      <w:bookmarkStart w:id="160" w:name="_Toc296944502"/>
      <w:r>
        <w:rPr>
          <w:rFonts w:ascii="宋体" w:hAnsi="宋体"/>
          <w:color w:val="000000" w:themeColor="text1"/>
          <w:sz w:val="28"/>
          <w:szCs w:val="28"/>
          <w:highlight w:val="none"/>
          <w14:textFill>
            <w14:solidFill>
              <w14:schemeClr w14:val="tx1"/>
            </w14:solidFill>
          </w14:textFill>
        </w:rPr>
        <w:t>. 工程质量</w:t>
      </w:r>
      <w:bookmarkEnd w:id="150"/>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5.1 质量要求</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5</w:t>
      </w:r>
      <w:bookmarkStart w:id="161" w:name="_Toc300934949"/>
      <w:bookmarkStart w:id="162" w:name="_Toc318581164"/>
      <w:bookmarkStart w:id="163" w:name="_Toc304295527"/>
      <w:bookmarkStart w:id="164" w:name="_Toc312677997"/>
      <w:bookmarkStart w:id="165" w:name="_Toc303539106"/>
      <w:bookmarkStart w:id="166" w:name="_Toc297123496"/>
      <w:bookmarkStart w:id="167" w:name="_Toc297216155"/>
      <w:r>
        <w:rPr>
          <w:rFonts w:ascii="宋体" w:hAnsi="宋体"/>
          <w:color w:val="000000" w:themeColor="text1"/>
          <w:sz w:val="28"/>
          <w:szCs w:val="28"/>
          <w:highlight w:val="none"/>
          <w14:textFill>
            <w14:solidFill>
              <w14:schemeClr w14:val="tx1"/>
            </w14:solidFill>
          </w14:textFill>
        </w:rPr>
        <w:t>.1.1 特殊质量标准和要求：</w:t>
      </w:r>
      <w:r>
        <w:rPr>
          <w:rFonts w:hint="eastAsia"/>
          <w:color w:val="000000" w:themeColor="text1"/>
          <w:sz w:val="28"/>
          <w:szCs w:val="28"/>
          <w:highlight w:val="none"/>
          <w:u w:val="single"/>
          <w14:textFill>
            <w14:solidFill>
              <w14:schemeClr w14:val="tx1"/>
            </w14:solidFill>
          </w14:textFill>
        </w:rPr>
        <w:t>合格</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关于工程奖项的约定：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5.3 隐蔽工程检查</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5.3.2承包人提前通知监理人隐蔽工程检查的期限的约定：</w:t>
      </w:r>
      <w:r>
        <w:rPr>
          <w:rFonts w:hint="eastAsia"/>
          <w:color w:val="000000" w:themeColor="text1"/>
          <w:sz w:val="28"/>
          <w:szCs w:val="28"/>
          <w:highlight w:val="none"/>
          <w:u w:val="single"/>
          <w14:textFill>
            <w14:solidFill>
              <w14:schemeClr w14:val="tx1"/>
            </w14:solidFill>
          </w14:textFill>
        </w:rPr>
        <w:t>共同检查前48小时书面通知监理人</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监理人不能按时进行检查时，应提前</w:t>
      </w:r>
      <w:r>
        <w:rPr>
          <w:rFonts w:hint="eastAsia"/>
          <w:color w:val="000000" w:themeColor="text1"/>
          <w:sz w:val="28"/>
          <w:szCs w:val="28"/>
          <w:highlight w:val="none"/>
          <w:u w:val="single"/>
          <w14:textFill>
            <w14:solidFill>
              <w14:schemeClr w14:val="tx1"/>
            </w14:solidFill>
          </w14:textFill>
        </w:rPr>
        <w:t>24</w:t>
      </w:r>
      <w:r>
        <w:rPr>
          <w:rFonts w:ascii="宋体" w:hAnsi="宋体"/>
          <w:color w:val="000000" w:themeColor="text1"/>
          <w:sz w:val="28"/>
          <w:szCs w:val="28"/>
          <w:highlight w:val="none"/>
          <w14:textFill>
            <w14:solidFill>
              <w14:schemeClr w14:val="tx1"/>
            </w14:solidFill>
          </w14:textFill>
        </w:rPr>
        <w:t>小时提交书面延期要求。</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关于延期最长不得超过：</w:t>
      </w:r>
      <w:r>
        <w:rPr>
          <w:rFonts w:hint="eastAsia"/>
          <w:color w:val="000000" w:themeColor="text1"/>
          <w:sz w:val="28"/>
          <w:szCs w:val="28"/>
          <w:highlight w:val="none"/>
          <w:u w:val="single"/>
          <w14:textFill>
            <w14:solidFill>
              <w14:schemeClr w14:val="tx1"/>
            </w14:solidFill>
          </w14:textFill>
        </w:rPr>
        <w:t>48</w:t>
      </w:r>
      <w:r>
        <w:rPr>
          <w:rFonts w:ascii="宋体" w:hAnsi="宋体"/>
          <w:color w:val="000000" w:themeColor="text1"/>
          <w:sz w:val="28"/>
          <w:szCs w:val="28"/>
          <w:highlight w:val="none"/>
          <w14:textFill>
            <w14:solidFill>
              <w14:schemeClr w14:val="tx1"/>
            </w14:solidFill>
          </w14:textFill>
        </w:rPr>
        <w:t>小时。</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168" w:name="_Toc351203638"/>
      <w:r>
        <w:rPr>
          <w:rFonts w:ascii="宋体" w:hAnsi="宋体"/>
          <w:color w:val="000000" w:themeColor="text1"/>
          <w:sz w:val="28"/>
          <w:szCs w:val="28"/>
          <w:highlight w:val="none"/>
          <w14:textFill>
            <w14:solidFill>
              <w14:schemeClr w14:val="tx1"/>
            </w14:solidFill>
          </w14:textFill>
        </w:rPr>
        <w:t>6. 安全文明施工与环境保护</w:t>
      </w:r>
      <w:bookmarkEnd w:id="168"/>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6.1安全文明施工</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6.1.1 项目安全生产的达标目标及相应事项的约定：</w:t>
      </w:r>
      <w:r>
        <w:rPr>
          <w:rFonts w:hint="eastAsia"/>
          <w:color w:val="000000" w:themeColor="text1"/>
          <w:sz w:val="28"/>
          <w:szCs w:val="28"/>
          <w:highlight w:val="none"/>
          <w:u w:val="single"/>
          <w14:textFill>
            <w14:solidFill>
              <w14:schemeClr w14:val="tx1"/>
            </w14:solidFill>
          </w14:textFill>
        </w:rPr>
        <w:t>达到《房屋建筑工程安全检查标准》</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6.1.4 关于治安保卫的特别约定：</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关于编制施工场地治安管理计划的约定：</w:t>
      </w:r>
      <w:r>
        <w:rPr>
          <w:rFonts w:hint="eastAsia"/>
          <w:color w:val="000000" w:themeColor="text1"/>
          <w:sz w:val="28"/>
          <w:szCs w:val="28"/>
          <w:highlight w:val="none"/>
          <w:u w:val="single"/>
          <w14:textFill>
            <w14:solidFill>
              <w14:schemeClr w14:val="tx1"/>
            </w14:solidFill>
          </w14:textFill>
        </w:rPr>
        <w:t>开工前提供场地治安管理计</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6.1.5 文明施工</w:t>
      </w:r>
    </w:p>
    <w:p>
      <w:pPr>
        <w:spacing w:line="460" w:lineRule="exact"/>
        <w:ind w:firstLine="560" w:firstLineChars="200"/>
        <w:jc w:val="left"/>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合同当事人对文明施工的要求：</w:t>
      </w:r>
      <w:r>
        <w:rPr>
          <w:rFonts w:hint="eastAsia"/>
          <w:color w:val="000000" w:themeColor="text1"/>
          <w:sz w:val="28"/>
          <w:szCs w:val="28"/>
          <w:highlight w:val="none"/>
          <w:u w:val="single"/>
          <w14:textFill>
            <w14:solidFill>
              <w14:schemeClr w14:val="tx1"/>
            </w14:solidFill>
          </w14:textFill>
        </w:rPr>
        <w:t>达到《房屋建筑工程施工现场环境与卫生标准》</w:t>
      </w:r>
      <w:r>
        <w:rPr>
          <w:rFonts w:hint="eastAsia"/>
          <w:color w:val="000000" w:themeColor="text1"/>
          <w:sz w:val="28"/>
          <w:szCs w:val="28"/>
          <w:highlight w:val="none"/>
          <w:u w:val="none"/>
          <w:lang w:eastAsia="zh-CN"/>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6.1.6 关于安全文明施工费支付比例和支付期限的约定：</w:t>
      </w:r>
      <w:r>
        <w:rPr>
          <w:rFonts w:hint="eastAsia"/>
          <w:color w:val="000000" w:themeColor="text1"/>
          <w:sz w:val="28"/>
          <w:szCs w:val="28"/>
          <w:highlight w:val="none"/>
          <w:u w:val="single"/>
          <w14:textFill>
            <w14:solidFill>
              <w14:schemeClr w14:val="tx1"/>
            </w14:solidFill>
          </w14:textFill>
        </w:rPr>
        <w:t>纳入合同价格支付</w:t>
      </w:r>
      <w:r>
        <w:rPr>
          <w:rFonts w:ascii="宋体" w:hAnsi="宋体"/>
          <w:color w:val="000000" w:themeColor="text1"/>
          <w:sz w:val="28"/>
          <w:szCs w:val="28"/>
          <w:highlight w:val="none"/>
          <w14:textFill>
            <w14:solidFill>
              <w14:schemeClr w14:val="tx1"/>
            </w14:solidFill>
          </w14:textFill>
        </w:rPr>
        <w:t>。</w:t>
      </w:r>
    </w:p>
    <w:bookmarkEnd w:id="161"/>
    <w:bookmarkEnd w:id="162"/>
    <w:bookmarkEnd w:id="163"/>
    <w:bookmarkEnd w:id="164"/>
    <w:bookmarkEnd w:id="165"/>
    <w:bookmarkEnd w:id="166"/>
    <w:bookmarkEnd w:id="167"/>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169" w:name="_Toc351203639"/>
      <w:r>
        <w:rPr>
          <w:rFonts w:ascii="宋体" w:hAnsi="宋体"/>
          <w:color w:val="000000" w:themeColor="text1"/>
          <w:sz w:val="28"/>
          <w:szCs w:val="28"/>
          <w:highlight w:val="none"/>
          <w14:textFill>
            <w14:solidFill>
              <w14:schemeClr w14:val="tx1"/>
            </w14:solidFill>
          </w14:textFill>
        </w:rPr>
        <w:t>7. 工期和进度</w:t>
      </w:r>
      <w:bookmarkEnd w:id="169"/>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7.1 施工组织设计</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7.1.</w:t>
      </w:r>
      <w:r>
        <w:rPr>
          <w:rFonts w:hint="eastAsia" w:ascii="宋体" w:hAnsi="宋体"/>
          <w:color w:val="000000" w:themeColor="text1"/>
          <w:sz w:val="28"/>
          <w:szCs w:val="28"/>
          <w:highlight w:val="none"/>
          <w14:textFill>
            <w14:solidFill>
              <w14:schemeClr w14:val="tx1"/>
            </w14:solidFill>
          </w14:textFill>
        </w:rPr>
        <w:t>1 合</w:t>
      </w:r>
      <w:r>
        <w:rPr>
          <w:rFonts w:hint="eastAsia" w:ascii="宋体" w:hAnsi="宋体"/>
          <w:color w:val="000000" w:themeColor="text1"/>
          <w:kern w:val="0"/>
          <w:sz w:val="28"/>
          <w:szCs w:val="28"/>
          <w:highlight w:val="none"/>
          <w14:textFill>
            <w14:solidFill>
              <w14:schemeClr w14:val="tx1"/>
            </w14:solidFill>
          </w14:textFill>
        </w:rPr>
        <w:t>同当事人约定的</w:t>
      </w:r>
      <w:r>
        <w:rPr>
          <w:rFonts w:ascii="宋体" w:hAnsi="宋体"/>
          <w:color w:val="000000" w:themeColor="text1"/>
          <w:kern w:val="0"/>
          <w:sz w:val="28"/>
          <w:szCs w:val="28"/>
          <w:highlight w:val="none"/>
          <w14:textFill>
            <w14:solidFill>
              <w14:schemeClr w14:val="tx1"/>
            </w14:solidFill>
          </w14:textFill>
        </w:rPr>
        <w:t>施工组织设计</w:t>
      </w:r>
      <w:r>
        <w:rPr>
          <w:rFonts w:hint="eastAsia" w:ascii="宋体" w:hAnsi="宋体"/>
          <w:color w:val="000000" w:themeColor="text1"/>
          <w:kern w:val="0"/>
          <w:sz w:val="28"/>
          <w:szCs w:val="28"/>
          <w:highlight w:val="none"/>
          <w14:textFill>
            <w14:solidFill>
              <w14:schemeClr w14:val="tx1"/>
            </w14:solidFill>
          </w14:textFill>
        </w:rPr>
        <w:t>应包括的其他内容</w:t>
      </w:r>
      <w:r>
        <w:rPr>
          <w:rFonts w:ascii="宋体" w:hAnsi="宋体"/>
          <w:color w:val="000000" w:themeColor="text1"/>
          <w:kern w:val="0"/>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按</w:t>
      </w:r>
      <w:r>
        <w:rPr>
          <w:rFonts w:hint="eastAsia"/>
          <w:color w:val="000000" w:themeColor="text1"/>
          <w:sz w:val="28"/>
          <w:szCs w:val="28"/>
          <w:highlight w:val="none"/>
          <w:u w:val="single"/>
          <w:lang w:val="en-US" w:eastAsia="zh-CN"/>
          <w14:textFill>
            <w14:solidFill>
              <w14:schemeClr w14:val="tx1"/>
            </w14:solidFill>
          </w14:textFill>
        </w:rPr>
        <w:t>磋商</w:t>
      </w:r>
      <w:r>
        <w:rPr>
          <w:rFonts w:hint="eastAsia"/>
          <w:color w:val="000000" w:themeColor="text1"/>
          <w:sz w:val="28"/>
          <w:szCs w:val="28"/>
          <w:highlight w:val="none"/>
          <w:u w:val="single"/>
          <w14:textFill>
            <w14:solidFill>
              <w14:schemeClr w14:val="tx1"/>
            </w14:solidFill>
          </w14:textFill>
        </w:rPr>
        <w:t>文件约定，</w:t>
      </w:r>
      <w:r>
        <w:rPr>
          <w:rFonts w:hint="eastAsia"/>
          <w:color w:val="000000" w:themeColor="text1"/>
          <w:sz w:val="28"/>
          <w:szCs w:val="28"/>
          <w:highlight w:val="none"/>
          <w:u w:val="single"/>
          <w:lang w:val="en-US" w:eastAsia="zh-CN"/>
          <w14:textFill>
            <w14:solidFill>
              <w14:schemeClr w14:val="tx1"/>
            </w14:solidFill>
          </w14:textFill>
        </w:rPr>
        <w:t>磋商</w:t>
      </w:r>
      <w:r>
        <w:rPr>
          <w:rFonts w:hint="eastAsia"/>
          <w:color w:val="000000" w:themeColor="text1"/>
          <w:sz w:val="28"/>
          <w:szCs w:val="28"/>
          <w:highlight w:val="none"/>
          <w:u w:val="single"/>
          <w14:textFill>
            <w14:solidFill>
              <w14:schemeClr w14:val="tx1"/>
            </w14:solidFill>
          </w14:textFill>
        </w:rPr>
        <w:t>文件无约定按通用条款或双方另行约定</w:t>
      </w:r>
      <w:r>
        <w:rPr>
          <w:rFonts w:ascii="宋体" w:hAnsi="宋体"/>
          <w:color w:val="000000" w:themeColor="text1"/>
          <w:sz w:val="28"/>
          <w:szCs w:val="28"/>
          <w:highlight w:val="none"/>
          <w14:textFill>
            <w14:solidFill>
              <w14:schemeClr w14:val="tx1"/>
            </w14:solidFill>
          </w14:textFill>
        </w:rPr>
        <w:t>。</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7.1.2 </w:t>
      </w:r>
      <w:r>
        <w:rPr>
          <w:rFonts w:ascii="宋体" w:hAnsi="宋体"/>
          <w:color w:val="000000" w:themeColor="text1"/>
          <w:kern w:val="0"/>
          <w:sz w:val="28"/>
          <w:szCs w:val="28"/>
          <w:highlight w:val="none"/>
          <w14:textFill>
            <w14:solidFill>
              <w14:schemeClr w14:val="tx1"/>
            </w14:solidFill>
          </w14:textFill>
        </w:rPr>
        <w:t>施工组织设计的提交和修改</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承包人提交详细施工组织设计的期限的约定：</w:t>
      </w:r>
      <w:r>
        <w:rPr>
          <w:rFonts w:hint="eastAsia" w:ascii="宋体" w:hAnsi="宋体"/>
          <w:color w:val="000000" w:themeColor="text1"/>
          <w:sz w:val="28"/>
          <w:szCs w:val="28"/>
          <w:highlight w:val="none"/>
          <w:u w:val="single"/>
          <w14:textFill>
            <w14:solidFill>
              <w14:schemeClr w14:val="tx1"/>
            </w14:solidFill>
          </w14:textFill>
        </w:rPr>
        <w:t>最迟不得晚于</w:t>
      </w:r>
      <w:r>
        <w:rPr>
          <w:rFonts w:hint="eastAsia"/>
          <w:color w:val="000000" w:themeColor="text1"/>
          <w:sz w:val="28"/>
          <w:szCs w:val="28"/>
          <w:highlight w:val="none"/>
          <w:u w:val="single"/>
          <w14:textFill>
            <w14:solidFill>
              <w14:schemeClr w14:val="tx1"/>
            </w14:solidFill>
          </w14:textFill>
        </w:rPr>
        <w:t>开工前7日</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发包人和监理人在收到</w:t>
      </w:r>
      <w:r>
        <w:rPr>
          <w:rFonts w:hint="eastAsia" w:ascii="宋体" w:hAnsi="宋体"/>
          <w:color w:val="000000" w:themeColor="text1"/>
          <w:sz w:val="28"/>
          <w:szCs w:val="28"/>
          <w:highlight w:val="none"/>
          <w14:textFill>
            <w14:solidFill>
              <w14:schemeClr w14:val="tx1"/>
            </w14:solidFill>
          </w14:textFill>
        </w:rPr>
        <w:t>详细的施工组织设计</w:t>
      </w:r>
      <w:r>
        <w:rPr>
          <w:rFonts w:ascii="宋体" w:hAnsi="宋体"/>
          <w:color w:val="000000" w:themeColor="text1"/>
          <w:sz w:val="28"/>
          <w:szCs w:val="28"/>
          <w:highlight w:val="none"/>
          <w14:textFill>
            <w14:solidFill>
              <w14:schemeClr w14:val="tx1"/>
            </w14:solidFill>
          </w14:textFill>
        </w:rPr>
        <w:t>后确认或提出修改意见的期限：</w:t>
      </w:r>
      <w:r>
        <w:rPr>
          <w:rFonts w:hint="eastAsia"/>
          <w:color w:val="000000" w:themeColor="text1"/>
          <w:sz w:val="28"/>
          <w:szCs w:val="28"/>
          <w:highlight w:val="none"/>
          <w:u w:val="single"/>
          <w14:textFill>
            <w14:solidFill>
              <w14:schemeClr w14:val="tx1"/>
            </w14:solidFill>
          </w14:textFill>
        </w:rPr>
        <w:t>收到后7天内</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w:t>
      </w:r>
      <w:bookmarkStart w:id="170" w:name="_Toc297216173"/>
      <w:bookmarkStart w:id="171" w:name="_Toc304295541"/>
      <w:bookmarkStart w:id="172" w:name="_Toc303539123"/>
      <w:bookmarkStart w:id="173" w:name="_Toc312677479"/>
      <w:bookmarkStart w:id="174" w:name="_Toc300934966"/>
      <w:bookmarkStart w:id="175" w:name="_Toc297123514"/>
      <w:bookmarkStart w:id="176" w:name="_Toc312678005"/>
      <w:r>
        <w:rPr>
          <w:rFonts w:ascii="宋体" w:hAnsi="宋体"/>
          <w:color w:val="000000" w:themeColor="text1"/>
          <w:sz w:val="28"/>
          <w:szCs w:val="28"/>
          <w:highlight w:val="none"/>
          <w14:textFill>
            <w14:solidFill>
              <w14:schemeClr w14:val="tx1"/>
            </w14:solidFill>
          </w14:textFill>
        </w:rPr>
        <w:t>.2 施工进度计划</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7.2.2 施工进度计划的修订</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发包人和监理人在收到修订的施工进度计划后确认或提出修改意见的期限：</w:t>
      </w:r>
      <w:r>
        <w:rPr>
          <w:rFonts w:hint="eastAsia"/>
          <w:color w:val="000000" w:themeColor="text1"/>
          <w:sz w:val="28"/>
          <w:szCs w:val="28"/>
          <w:highlight w:val="none"/>
          <w:u w:val="single"/>
          <w14:textFill>
            <w14:solidFill>
              <w14:schemeClr w14:val="tx1"/>
            </w14:solidFill>
          </w14:textFill>
        </w:rPr>
        <w:t>收到后7日内</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7.3 开工</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7.3.1 开工准备</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关于承包人提交</w:t>
      </w:r>
      <w:r>
        <w:rPr>
          <w:rFonts w:ascii="宋体" w:hAnsi="宋体"/>
          <w:color w:val="000000" w:themeColor="text1"/>
          <w:kern w:val="0"/>
          <w:sz w:val="28"/>
          <w:szCs w:val="28"/>
          <w:highlight w:val="none"/>
          <w14:textFill>
            <w14:solidFill>
              <w14:schemeClr w14:val="tx1"/>
            </w14:solidFill>
          </w14:textFill>
        </w:rPr>
        <w:t>工程开工报审表的期限：</w:t>
      </w:r>
      <w:r>
        <w:rPr>
          <w:rFonts w:hint="eastAsia"/>
          <w:color w:val="000000" w:themeColor="text1"/>
          <w:sz w:val="28"/>
          <w:szCs w:val="28"/>
          <w:highlight w:val="none"/>
          <w:u w:val="single"/>
          <w14:textFill>
            <w14:solidFill>
              <w14:schemeClr w14:val="tx1"/>
            </w14:solidFill>
          </w14:textFill>
        </w:rPr>
        <w:t>合同签订后、开工前</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关于发包人应完成的其他开工准备工作及期限：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关于承包人应完成的其他开工准备工作及期限：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7.3.2开工通知</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因发包人原因造成监理人未能在计划开工日期之日起</w:t>
      </w:r>
      <w:r>
        <w:rPr>
          <w:rFonts w:hint="eastAsia" w:ascii="宋体" w:hAnsi="宋体"/>
          <w:color w:val="000000" w:themeColor="text1"/>
          <w:sz w:val="28"/>
          <w:szCs w:val="28"/>
          <w:highlight w:val="none"/>
          <w:u w:val="single"/>
          <w14:textFill>
            <w14:solidFill>
              <w14:schemeClr w14:val="tx1"/>
            </w14:solidFill>
          </w14:textFill>
        </w:rPr>
        <w:t>45</w:t>
      </w:r>
      <w:r>
        <w:rPr>
          <w:rFonts w:ascii="宋体" w:hAnsi="宋体"/>
          <w:color w:val="000000" w:themeColor="text1"/>
          <w:sz w:val="28"/>
          <w:szCs w:val="28"/>
          <w:highlight w:val="none"/>
          <w14:textFill>
            <w14:solidFill>
              <w14:schemeClr w14:val="tx1"/>
            </w14:solidFill>
          </w14:textFill>
        </w:rPr>
        <w:t>天内发出开工通知的，承包人有权提出价格调整要求，或者解除合同。</w:t>
      </w:r>
    </w:p>
    <w:bookmarkEnd w:id="170"/>
    <w:bookmarkEnd w:id="171"/>
    <w:bookmarkEnd w:id="172"/>
    <w:bookmarkEnd w:id="173"/>
    <w:bookmarkEnd w:id="174"/>
    <w:bookmarkEnd w:id="175"/>
    <w:bookmarkEnd w:id="176"/>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7.4 测量放线</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7.4.1发包人通过监理人向承包人提供测量基准点、基准线和水准点及其书面资料的期限：</w:t>
      </w:r>
      <w:r>
        <w:rPr>
          <w:rFonts w:hint="eastAsia"/>
          <w:color w:val="000000" w:themeColor="text1"/>
          <w:sz w:val="28"/>
          <w:szCs w:val="28"/>
          <w:highlight w:val="none"/>
          <w:u w:val="single"/>
          <w14:textFill>
            <w14:solidFill>
              <w14:schemeClr w14:val="tx1"/>
            </w14:solidFill>
          </w14:textFill>
        </w:rPr>
        <w:t>合同签订后、开工前</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w:t>
      </w:r>
      <w:bookmarkStart w:id="177" w:name="_Toc312677484"/>
      <w:bookmarkStart w:id="178" w:name="_Toc300934968"/>
      <w:bookmarkStart w:id="179" w:name="_Toc304295546"/>
      <w:bookmarkStart w:id="180" w:name="_Toc297123516"/>
      <w:bookmarkStart w:id="181" w:name="_Toc312678010"/>
      <w:bookmarkStart w:id="182" w:name="_Toc303539125"/>
      <w:bookmarkStart w:id="183" w:name="_Toc297216175"/>
      <w:r>
        <w:rPr>
          <w:rFonts w:ascii="宋体" w:hAnsi="宋体"/>
          <w:color w:val="000000" w:themeColor="text1"/>
          <w:sz w:val="28"/>
          <w:szCs w:val="28"/>
          <w:highlight w:val="none"/>
          <w14:textFill>
            <w14:solidFill>
              <w14:schemeClr w14:val="tx1"/>
            </w14:solidFill>
          </w14:textFill>
        </w:rPr>
        <w:t>.5 工期延误</w:t>
      </w:r>
    </w:p>
    <w:bookmarkEnd w:id="177"/>
    <w:bookmarkEnd w:id="178"/>
    <w:bookmarkEnd w:id="179"/>
    <w:bookmarkEnd w:id="180"/>
    <w:bookmarkEnd w:id="181"/>
    <w:bookmarkEnd w:id="182"/>
    <w:bookmarkEnd w:id="183"/>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7.5.1 因发包人原因导致工期延误</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因发包人原因导致工期延误的其他情形：</w:t>
      </w:r>
      <w:r>
        <w:rPr>
          <w:rFonts w:hint="eastAsia"/>
          <w:color w:val="000000" w:themeColor="text1"/>
          <w:sz w:val="28"/>
          <w:szCs w:val="28"/>
          <w:highlight w:val="none"/>
          <w:u w:val="single"/>
          <w14:textFill>
            <w14:solidFill>
              <w14:schemeClr w14:val="tx1"/>
            </w14:solidFill>
          </w14:textFill>
        </w:rPr>
        <w:t>重大设计变更而影响施工进度；政策处理问题影响施工进度；不可抗力，此延误工期须在发现后七天内办理签证，逾期不予认可</w:t>
      </w:r>
      <w:r>
        <w:rPr>
          <w:rFonts w:hint="eastAsia"/>
          <w:color w:val="000000" w:themeColor="text1"/>
          <w:sz w:val="28"/>
          <w:szCs w:val="28"/>
          <w:highlight w:val="none"/>
          <w:u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w:t>
      </w:r>
      <w:bookmarkStart w:id="184" w:name="_Toc312677486"/>
      <w:bookmarkStart w:id="185" w:name="_Toc312678012"/>
      <w:bookmarkStart w:id="186" w:name="_Toc318581169"/>
      <w:bookmarkStart w:id="187" w:name="_Toc300934970"/>
      <w:bookmarkStart w:id="188" w:name="_Toc297216177"/>
      <w:bookmarkStart w:id="189" w:name="_Toc303539127"/>
      <w:bookmarkStart w:id="190" w:name="_Toc304295548"/>
      <w:bookmarkStart w:id="191" w:name="_Toc297123518"/>
      <w:r>
        <w:rPr>
          <w:rFonts w:ascii="宋体" w:hAnsi="宋体"/>
          <w:color w:val="000000" w:themeColor="text1"/>
          <w:sz w:val="28"/>
          <w:szCs w:val="28"/>
          <w:highlight w:val="none"/>
          <w14:textFill>
            <w14:solidFill>
              <w14:schemeClr w14:val="tx1"/>
            </w14:solidFill>
          </w14:textFill>
        </w:rPr>
        <w:t>.5.2 因承包人原因导致工期延误</w:t>
      </w:r>
    </w:p>
    <w:bookmarkEnd w:id="184"/>
    <w:bookmarkEnd w:id="185"/>
    <w:bookmarkEnd w:id="186"/>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w:t>
      </w:r>
      <w:bookmarkStart w:id="192" w:name="_Toc312678013"/>
      <w:bookmarkStart w:id="193" w:name="_Toc312677487"/>
      <w:bookmarkStart w:id="194" w:name="_Toc318581170"/>
      <w:r>
        <w:rPr>
          <w:rFonts w:ascii="宋体" w:hAnsi="宋体"/>
          <w:color w:val="000000" w:themeColor="text1"/>
          <w:sz w:val="28"/>
          <w:szCs w:val="28"/>
          <w:highlight w:val="none"/>
          <w14:textFill>
            <w14:solidFill>
              <w14:schemeClr w14:val="tx1"/>
            </w14:solidFill>
          </w14:textFill>
        </w:rPr>
        <w:t>承包人原因造成工期延误，逾期竣工违约金的计算方法为：</w:t>
      </w:r>
    </w:p>
    <w:p>
      <w:pPr>
        <w:spacing w:line="460" w:lineRule="exact"/>
        <w:jc w:val="left"/>
        <w:rPr>
          <w:rFonts w:ascii="宋体" w:hAnsi="宋体"/>
          <w:color w:val="000000" w:themeColor="text1"/>
          <w:sz w:val="28"/>
          <w:szCs w:val="28"/>
          <w:highlight w:val="none"/>
          <w14:textFill>
            <w14:solidFill>
              <w14:schemeClr w14:val="tx1"/>
            </w14:solidFill>
          </w14:textFill>
        </w:rPr>
      </w:pPr>
      <w:r>
        <w:rPr>
          <w:rFonts w:hint="eastAsia"/>
          <w:color w:val="000000" w:themeColor="text1"/>
          <w:sz w:val="28"/>
          <w:szCs w:val="28"/>
          <w:highlight w:val="none"/>
          <w:u w:val="single"/>
          <w14:textFill>
            <w14:solidFill>
              <w14:schemeClr w14:val="tx1"/>
            </w14:solidFill>
          </w14:textFill>
        </w:rPr>
        <w:t>每推延一天，赔偿2000元</w:t>
      </w:r>
      <w:r>
        <w:rPr>
          <w:rFonts w:ascii="宋体" w:hAnsi="宋体"/>
          <w:color w:val="000000" w:themeColor="text1"/>
          <w:sz w:val="28"/>
          <w:szCs w:val="28"/>
          <w:highlight w:val="none"/>
          <w14:textFill>
            <w14:solidFill>
              <w14:schemeClr w14:val="tx1"/>
            </w14:solidFill>
          </w14:textFill>
        </w:rPr>
        <w:t>。</w:t>
      </w:r>
      <w:bookmarkEnd w:id="187"/>
      <w:bookmarkEnd w:id="188"/>
      <w:bookmarkEnd w:id="189"/>
      <w:bookmarkEnd w:id="190"/>
      <w:bookmarkEnd w:id="191"/>
      <w:bookmarkEnd w:id="192"/>
      <w:bookmarkEnd w:id="193"/>
    </w:p>
    <w:bookmarkEnd w:id="194"/>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因承包人原因造成工期延误，逾</w:t>
      </w:r>
      <w:bookmarkStart w:id="195" w:name="_Toc312678014"/>
      <w:bookmarkStart w:id="196" w:name="_Toc318581171"/>
      <w:r>
        <w:rPr>
          <w:rFonts w:ascii="宋体" w:hAnsi="宋体"/>
          <w:color w:val="000000" w:themeColor="text1"/>
          <w:sz w:val="28"/>
          <w:szCs w:val="28"/>
          <w:highlight w:val="none"/>
          <w14:textFill>
            <w14:solidFill>
              <w14:schemeClr w14:val="tx1"/>
            </w14:solidFill>
          </w14:textFill>
        </w:rPr>
        <w:t>期竣工违约金的上限：</w:t>
      </w:r>
      <w:r>
        <w:rPr>
          <w:rFonts w:hint="eastAsia"/>
          <w:color w:val="000000" w:themeColor="text1"/>
          <w:sz w:val="28"/>
          <w:szCs w:val="28"/>
          <w:highlight w:val="none"/>
          <w:u w:val="single"/>
          <w14:textFill>
            <w14:solidFill>
              <w14:schemeClr w14:val="tx1"/>
            </w14:solidFill>
          </w14:textFill>
        </w:rPr>
        <w:t>不超过合同价款的2％</w:t>
      </w:r>
      <w:r>
        <w:rPr>
          <w:rFonts w:ascii="宋体" w:hAnsi="宋体"/>
          <w:color w:val="000000" w:themeColor="text1"/>
          <w:sz w:val="28"/>
          <w:szCs w:val="28"/>
          <w:highlight w:val="none"/>
          <w14:textFill>
            <w14:solidFill>
              <w14:schemeClr w14:val="tx1"/>
            </w14:solidFill>
          </w14:textFill>
        </w:rPr>
        <w:t>。</w:t>
      </w:r>
    </w:p>
    <w:bookmarkEnd w:id="195"/>
    <w:bookmarkEnd w:id="196"/>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w:t>
      </w:r>
      <w:bookmarkStart w:id="197" w:name="_Toc304295549"/>
      <w:bookmarkStart w:id="198" w:name="_Toc297123519"/>
      <w:bookmarkStart w:id="199" w:name="_Toc300934971"/>
      <w:bookmarkStart w:id="200" w:name="_Toc312678015"/>
      <w:bookmarkStart w:id="201" w:name="_Toc297216178"/>
      <w:bookmarkStart w:id="202" w:name="_Toc303539128"/>
      <w:r>
        <w:rPr>
          <w:rFonts w:ascii="宋体" w:hAnsi="宋体"/>
          <w:color w:val="000000" w:themeColor="text1"/>
          <w:sz w:val="28"/>
          <w:szCs w:val="28"/>
          <w:highlight w:val="none"/>
          <w14:textFill>
            <w14:solidFill>
              <w14:schemeClr w14:val="tx1"/>
            </w14:solidFill>
          </w14:textFill>
        </w:rPr>
        <w:t>.6 不</w:t>
      </w:r>
      <w:bookmarkEnd w:id="197"/>
      <w:bookmarkEnd w:id="198"/>
      <w:bookmarkEnd w:id="199"/>
      <w:bookmarkEnd w:id="200"/>
      <w:bookmarkEnd w:id="201"/>
      <w:bookmarkEnd w:id="202"/>
      <w:r>
        <w:rPr>
          <w:rFonts w:ascii="宋体" w:hAnsi="宋体"/>
          <w:color w:val="000000" w:themeColor="text1"/>
          <w:sz w:val="28"/>
          <w:szCs w:val="28"/>
          <w:highlight w:val="none"/>
          <w14:textFill>
            <w14:solidFill>
              <w14:schemeClr w14:val="tx1"/>
            </w14:solidFill>
          </w14:textFill>
        </w:rPr>
        <w:t>利物质条件</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bookmarkStart w:id="203" w:name="_Toc297216179"/>
      <w:bookmarkStart w:id="204" w:name="_Toc297123520"/>
      <w:bookmarkStart w:id="205" w:name="_Toc303539129"/>
      <w:bookmarkStart w:id="206" w:name="_Toc312678016"/>
      <w:bookmarkStart w:id="207" w:name="_Toc318581172"/>
      <w:bookmarkStart w:id="208" w:name="_Toc300934972"/>
      <w:bookmarkStart w:id="209" w:name="_Toc304295550"/>
      <w:r>
        <w:rPr>
          <w:rFonts w:ascii="宋体" w:hAnsi="宋体"/>
          <w:color w:val="000000" w:themeColor="text1"/>
          <w:sz w:val="28"/>
          <w:szCs w:val="28"/>
          <w:highlight w:val="none"/>
          <w14:textFill>
            <w14:solidFill>
              <w14:schemeClr w14:val="tx1"/>
            </w14:solidFill>
          </w14:textFill>
        </w:rPr>
        <w:t>不利物质条件的其他情形和有关约定：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203"/>
    <w:bookmarkEnd w:id="204"/>
    <w:bookmarkEnd w:id="205"/>
    <w:bookmarkEnd w:id="206"/>
    <w:bookmarkEnd w:id="207"/>
    <w:bookmarkEnd w:id="208"/>
    <w:bookmarkEnd w:id="209"/>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w:t>
      </w:r>
      <w:bookmarkStart w:id="210" w:name="_Toc300934973"/>
      <w:bookmarkStart w:id="211" w:name="_Toc312678017"/>
      <w:bookmarkStart w:id="212" w:name="_Toc297216180"/>
      <w:bookmarkStart w:id="213" w:name="_Toc297123521"/>
      <w:bookmarkStart w:id="214" w:name="_Toc304295551"/>
      <w:bookmarkStart w:id="215" w:name="_Toc303539130"/>
      <w:r>
        <w:rPr>
          <w:rFonts w:ascii="宋体" w:hAnsi="宋体"/>
          <w:color w:val="000000" w:themeColor="text1"/>
          <w:sz w:val="28"/>
          <w:szCs w:val="28"/>
          <w:highlight w:val="none"/>
          <w14:textFill>
            <w14:solidFill>
              <w14:schemeClr w14:val="tx1"/>
            </w14:solidFill>
          </w14:textFill>
        </w:rPr>
        <w:t>.7异常恶劣的气候条件</w:t>
      </w:r>
    </w:p>
    <w:bookmarkEnd w:id="210"/>
    <w:bookmarkEnd w:id="211"/>
    <w:bookmarkEnd w:id="212"/>
    <w:bookmarkEnd w:id="213"/>
    <w:bookmarkEnd w:id="214"/>
    <w:bookmarkEnd w:id="215"/>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发包人和承包人同意以下情形视为异常恶劣的气候条件：</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r>
        <w:rPr>
          <w:rFonts w:hint="eastAsia"/>
          <w:color w:val="000000" w:themeColor="text1"/>
          <w:sz w:val="28"/>
          <w:szCs w:val="28"/>
          <w:highlight w:val="none"/>
          <w:u w:val="single"/>
          <w14:textFill>
            <w14:solidFill>
              <w14:schemeClr w14:val="tx1"/>
            </w14:solidFill>
          </w14:textFill>
        </w:rPr>
        <w:t>双方另行确定</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7.9 提前竣工的奖励</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7.9.2提前竣工的奖励：</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216" w:name="_Toc351203640"/>
      <w:r>
        <w:rPr>
          <w:rFonts w:ascii="宋体" w:hAnsi="宋体"/>
          <w:color w:val="000000" w:themeColor="text1"/>
          <w:sz w:val="28"/>
          <w:szCs w:val="28"/>
          <w:highlight w:val="none"/>
          <w14:textFill>
            <w14:solidFill>
              <w14:schemeClr w14:val="tx1"/>
            </w14:solidFill>
          </w14:textFill>
        </w:rPr>
        <w:t>8. 材料与设备</w:t>
      </w:r>
      <w:bookmarkEnd w:id="216"/>
    </w:p>
    <w:bookmarkEnd w:id="151"/>
    <w:bookmarkEnd w:id="152"/>
    <w:bookmarkEnd w:id="153"/>
    <w:bookmarkEnd w:id="154"/>
    <w:bookmarkEnd w:id="155"/>
    <w:bookmarkEnd w:id="156"/>
    <w:bookmarkEnd w:id="157"/>
    <w:bookmarkEnd w:id="158"/>
    <w:bookmarkEnd w:id="159"/>
    <w:bookmarkEnd w:id="160"/>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8</w:t>
      </w:r>
      <w:bookmarkStart w:id="217" w:name="_Toc300934979"/>
      <w:bookmarkStart w:id="218" w:name="_Toc296346668"/>
      <w:bookmarkStart w:id="219" w:name="_Toc296891207"/>
      <w:bookmarkStart w:id="220" w:name="_Toc297120467"/>
      <w:bookmarkStart w:id="221" w:name="_Toc296944506"/>
      <w:bookmarkStart w:id="222" w:name="_Toc292559372"/>
      <w:bookmarkStart w:id="223" w:name="_Toc303539136"/>
      <w:bookmarkStart w:id="224" w:name="_Toc296503167"/>
      <w:bookmarkStart w:id="225" w:name="_Toc292559877"/>
      <w:bookmarkStart w:id="226" w:name="_Toc297123527"/>
      <w:bookmarkStart w:id="227" w:name="_Toc312678019"/>
      <w:bookmarkStart w:id="228" w:name="_Toc280868654"/>
      <w:bookmarkStart w:id="229" w:name="_Toc296890995"/>
      <w:bookmarkStart w:id="230" w:name="_Toc312677493"/>
      <w:bookmarkStart w:id="231" w:name="_Toc296347166"/>
      <w:bookmarkStart w:id="232" w:name="_Toc304295556"/>
      <w:bookmarkStart w:id="233" w:name="_Toc297048353"/>
      <w:bookmarkStart w:id="234" w:name="_Toc297216186"/>
      <w:bookmarkStart w:id="235" w:name="_Toc280868655"/>
      <w:bookmarkStart w:id="236" w:name="_Toc280868656"/>
      <w:bookmarkStart w:id="237" w:name="_Toc267251424"/>
      <w:r>
        <w:rPr>
          <w:rFonts w:ascii="宋体" w:hAnsi="宋体"/>
          <w:color w:val="000000" w:themeColor="text1"/>
          <w:sz w:val="28"/>
          <w:szCs w:val="28"/>
          <w:highlight w:val="none"/>
          <w14:textFill>
            <w14:solidFill>
              <w14:schemeClr w14:val="tx1"/>
            </w14:solidFill>
          </w14:textFill>
        </w:rPr>
        <w:t>.4材料与工程设备的保管与使用</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8</w:t>
      </w:r>
      <w:bookmarkStart w:id="238" w:name="_Toc292559373"/>
      <w:bookmarkStart w:id="239" w:name="_Toc292559878"/>
      <w:bookmarkStart w:id="240" w:name="_Toc297120468"/>
      <w:bookmarkStart w:id="241" w:name="_Toc296346669"/>
      <w:bookmarkStart w:id="242" w:name="_Toc296891208"/>
      <w:bookmarkStart w:id="243" w:name="_Toc296347167"/>
      <w:bookmarkStart w:id="244" w:name="_Toc296890996"/>
      <w:bookmarkStart w:id="245" w:name="_Toc303539137"/>
      <w:bookmarkStart w:id="246" w:name="_Toc297048354"/>
      <w:bookmarkStart w:id="247" w:name="_Toc318581173"/>
      <w:bookmarkStart w:id="248" w:name="_Toc304295557"/>
      <w:bookmarkStart w:id="249" w:name="_Toc296944507"/>
      <w:bookmarkStart w:id="250" w:name="_Toc312678020"/>
      <w:bookmarkStart w:id="251" w:name="_Toc296503168"/>
      <w:bookmarkStart w:id="252" w:name="_Toc297216187"/>
      <w:bookmarkStart w:id="253" w:name="_Toc300934980"/>
      <w:bookmarkStart w:id="254" w:name="_Toc312677494"/>
      <w:bookmarkStart w:id="255" w:name="_Toc297123528"/>
      <w:r>
        <w:rPr>
          <w:rFonts w:ascii="宋体" w:hAnsi="宋体"/>
          <w:color w:val="000000" w:themeColor="text1"/>
          <w:sz w:val="28"/>
          <w:szCs w:val="28"/>
          <w:highlight w:val="none"/>
          <w14:textFill>
            <w14:solidFill>
              <w14:schemeClr w14:val="tx1"/>
            </w14:solidFill>
          </w14:textFill>
        </w:rPr>
        <w:t>.4.1发包人供应的材料设备的保管费用的承担：</w:t>
      </w:r>
      <w:r>
        <w:rPr>
          <w:rFonts w:hint="eastAsia"/>
          <w:color w:val="000000" w:themeColor="text1"/>
          <w:sz w:val="28"/>
          <w:szCs w:val="28"/>
          <w:highlight w:val="none"/>
          <w:u w:val="single"/>
          <w14:textFill>
            <w14:solidFill>
              <w14:schemeClr w14:val="tx1"/>
            </w14:solidFill>
          </w14:textFill>
        </w:rPr>
        <w:t xml:space="preserve"> 由承包人承担</w:t>
      </w:r>
      <w:r>
        <w:rPr>
          <w:rFonts w:ascii="宋体" w:hAnsi="宋体"/>
          <w:color w:val="000000" w:themeColor="text1"/>
          <w:sz w:val="28"/>
          <w:szCs w:val="28"/>
          <w:highlight w:val="none"/>
          <w14:textFill>
            <w14:solidFill>
              <w14:schemeClr w14:val="tx1"/>
            </w14:solidFill>
          </w14:textFill>
        </w:rPr>
        <w:t>。</w:t>
      </w:r>
      <w:bookmarkEnd w:id="238"/>
      <w:bookmarkEnd w:id="239"/>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8.6 样品</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8.6.1</w:t>
      </w:r>
      <w:r>
        <w:rPr>
          <w:rFonts w:ascii="宋体" w:hAnsi="宋体"/>
          <w:color w:val="000000" w:themeColor="text1"/>
          <w:kern w:val="0"/>
          <w:sz w:val="28"/>
          <w:szCs w:val="28"/>
          <w:highlight w:val="none"/>
          <w14:textFill>
            <w14:solidFill>
              <w14:schemeClr w14:val="tx1"/>
            </w14:solidFill>
          </w14:textFill>
        </w:rPr>
        <w:tab/>
      </w:r>
      <w:r>
        <w:rPr>
          <w:rFonts w:ascii="宋体" w:hAnsi="宋体"/>
          <w:color w:val="000000" w:themeColor="text1"/>
          <w:kern w:val="0"/>
          <w:sz w:val="28"/>
          <w:szCs w:val="28"/>
          <w:highlight w:val="none"/>
          <w14:textFill>
            <w14:solidFill>
              <w14:schemeClr w14:val="tx1"/>
            </w14:solidFill>
          </w14:textFill>
        </w:rPr>
        <w:t>样品的报送</w:t>
      </w:r>
      <w:r>
        <w:rPr>
          <w:rFonts w:hint="eastAsia" w:ascii="宋体" w:hAnsi="宋体"/>
          <w:color w:val="000000" w:themeColor="text1"/>
          <w:kern w:val="0"/>
          <w:sz w:val="28"/>
          <w:szCs w:val="28"/>
          <w:highlight w:val="none"/>
          <w14:textFill>
            <w14:solidFill>
              <w14:schemeClr w14:val="tx1"/>
            </w14:solidFill>
          </w14:textFill>
        </w:rPr>
        <w:t>与封存</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需要承包人报送样品的材料或工程设备，样品的种类、名称、规格、数量要求：</w:t>
      </w:r>
      <w:r>
        <w:rPr>
          <w:rFonts w:hint="eastAsia"/>
          <w:color w:val="000000" w:themeColor="text1"/>
          <w:sz w:val="28"/>
          <w:szCs w:val="28"/>
          <w:highlight w:val="none"/>
          <w:u w:val="single"/>
          <w14:textFill>
            <w14:solidFill>
              <w14:schemeClr w14:val="tx1"/>
            </w14:solidFill>
          </w14:textFill>
        </w:rPr>
        <w:t>执行通用条款，按发包人需求确定</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8.8 施工设备和临时设施</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8.8.1 承包人提供的施工设备和临时设施</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关于修建临时设施费用承担的约定：</w:t>
      </w:r>
      <w:r>
        <w:rPr>
          <w:rFonts w:hint="eastAsia"/>
          <w:color w:val="000000" w:themeColor="text1"/>
          <w:sz w:val="28"/>
          <w:szCs w:val="28"/>
          <w:highlight w:val="none"/>
          <w:u w:val="single"/>
          <w14:textFill>
            <w14:solidFill>
              <w14:schemeClr w14:val="tx1"/>
            </w14:solidFill>
          </w14:textFill>
        </w:rPr>
        <w:t>由承包人承担</w:t>
      </w:r>
      <w:r>
        <w:rPr>
          <w:rFonts w:ascii="宋体" w:hAnsi="宋体"/>
          <w:color w:val="000000" w:themeColor="text1"/>
          <w:sz w:val="28"/>
          <w:szCs w:val="28"/>
          <w:highlight w:val="none"/>
          <w14:textFill>
            <w14:solidFill>
              <w14:schemeClr w14:val="tx1"/>
            </w14:solidFill>
          </w14:textFill>
        </w:rPr>
        <w:t>。</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256" w:name="_Toc351203641"/>
      <w:r>
        <w:rPr>
          <w:rFonts w:ascii="宋体" w:hAnsi="宋体"/>
          <w:color w:val="000000" w:themeColor="text1"/>
          <w:sz w:val="28"/>
          <w:szCs w:val="28"/>
          <w:highlight w:val="none"/>
          <w14:textFill>
            <w14:solidFill>
              <w14:schemeClr w14:val="tx1"/>
            </w14:solidFill>
          </w14:textFill>
        </w:rPr>
        <w:t>9</w:t>
      </w:r>
      <w:bookmarkEnd w:id="235"/>
      <w:bookmarkEnd w:id="236"/>
      <w:bookmarkEnd w:id="237"/>
      <w:bookmarkStart w:id="257" w:name="_Toc303539139"/>
      <w:bookmarkStart w:id="258" w:name="_Toc297216192"/>
      <w:bookmarkStart w:id="259" w:name="_Toc300934982"/>
      <w:bookmarkStart w:id="260" w:name="_Toc304295559"/>
      <w:bookmarkStart w:id="261" w:name="_Toc297123533"/>
      <w:bookmarkStart w:id="262" w:name="_Toc312678021"/>
      <w:bookmarkStart w:id="263" w:name="_Toc312677495"/>
      <w:bookmarkStart w:id="264" w:name="_Toc296347172"/>
      <w:bookmarkStart w:id="265" w:name="_Toc296503173"/>
      <w:bookmarkStart w:id="266" w:name="_Toc267251427"/>
      <w:bookmarkStart w:id="267" w:name="_Toc292559883"/>
      <w:bookmarkStart w:id="268" w:name="_Toc292559378"/>
      <w:bookmarkStart w:id="269" w:name="_Toc267251428"/>
      <w:bookmarkStart w:id="270" w:name="_Toc296944512"/>
      <w:bookmarkStart w:id="271" w:name="_Toc296891213"/>
      <w:bookmarkStart w:id="272" w:name="_Toc297048359"/>
      <w:bookmarkStart w:id="273" w:name="_Toc296346674"/>
      <w:bookmarkStart w:id="274" w:name="_Toc296891001"/>
      <w:bookmarkStart w:id="275" w:name="_Toc297120473"/>
      <w:r>
        <w:rPr>
          <w:rFonts w:ascii="宋体" w:hAnsi="宋体"/>
          <w:color w:val="000000" w:themeColor="text1"/>
          <w:sz w:val="28"/>
          <w:szCs w:val="28"/>
          <w:highlight w:val="none"/>
          <w14:textFill>
            <w14:solidFill>
              <w14:schemeClr w14:val="tx1"/>
            </w14:solidFill>
          </w14:textFill>
        </w:rPr>
        <w:t>. 试验与检验</w:t>
      </w:r>
      <w:bookmarkEnd w:id="256"/>
    </w:p>
    <w:bookmarkEnd w:id="257"/>
    <w:bookmarkEnd w:id="258"/>
    <w:bookmarkEnd w:id="259"/>
    <w:bookmarkEnd w:id="260"/>
    <w:bookmarkEnd w:id="261"/>
    <w:bookmarkEnd w:id="262"/>
    <w:bookmarkEnd w:id="263"/>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9</w:t>
      </w:r>
      <w:bookmarkStart w:id="276" w:name="_Toc312678022"/>
      <w:bookmarkStart w:id="277" w:name="_Toc297123534"/>
      <w:bookmarkStart w:id="278" w:name="_Toc297216193"/>
      <w:bookmarkStart w:id="279" w:name="_Toc304295560"/>
      <w:bookmarkStart w:id="280" w:name="_Toc312677496"/>
      <w:bookmarkStart w:id="281" w:name="_Toc300934983"/>
      <w:bookmarkStart w:id="282" w:name="_Toc303539140"/>
      <w:r>
        <w:rPr>
          <w:rFonts w:ascii="宋体" w:hAnsi="宋体"/>
          <w:color w:val="000000" w:themeColor="text1"/>
          <w:sz w:val="28"/>
          <w:szCs w:val="28"/>
          <w:highlight w:val="none"/>
          <w14:textFill>
            <w14:solidFill>
              <w14:schemeClr w14:val="tx1"/>
            </w14:solidFill>
          </w14:textFill>
        </w:rPr>
        <w:t>.1试验设备与试验人员</w:t>
      </w:r>
    </w:p>
    <w:bookmarkEnd w:id="276"/>
    <w:bookmarkEnd w:id="277"/>
    <w:bookmarkEnd w:id="278"/>
    <w:bookmarkEnd w:id="279"/>
    <w:bookmarkEnd w:id="280"/>
    <w:bookmarkEnd w:id="281"/>
    <w:bookmarkEnd w:id="282"/>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9</w:t>
      </w:r>
      <w:bookmarkStart w:id="283" w:name="_Toc297216194"/>
      <w:bookmarkStart w:id="284" w:name="_Toc304295561"/>
      <w:bookmarkStart w:id="285" w:name="_Toc300934984"/>
      <w:bookmarkStart w:id="286" w:name="_Toc303539141"/>
      <w:bookmarkStart w:id="287" w:name="_Toc312677497"/>
      <w:bookmarkStart w:id="288" w:name="_Toc312678023"/>
      <w:bookmarkStart w:id="289" w:name="_Toc297123535"/>
      <w:bookmarkStart w:id="290" w:name="_Toc318581174"/>
      <w:r>
        <w:rPr>
          <w:rFonts w:ascii="宋体" w:hAnsi="宋体"/>
          <w:color w:val="000000" w:themeColor="text1"/>
          <w:sz w:val="28"/>
          <w:szCs w:val="28"/>
          <w:highlight w:val="none"/>
          <w14:textFill>
            <w14:solidFill>
              <w14:schemeClr w14:val="tx1"/>
            </w14:solidFill>
          </w14:textFill>
        </w:rPr>
        <w:t>.1.2 试验设备</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施工现场需要配置的试验场所：</w:t>
      </w:r>
      <w:bookmarkEnd w:id="283"/>
      <w:bookmarkEnd w:id="284"/>
      <w:bookmarkEnd w:id="285"/>
      <w:bookmarkEnd w:id="286"/>
      <w:bookmarkEnd w:id="287"/>
      <w:bookmarkEnd w:id="288"/>
      <w:bookmarkEnd w:id="289"/>
      <w:bookmarkStart w:id="291" w:name="_Toc304295562"/>
      <w:bookmarkStart w:id="292" w:name="_Toc300934985"/>
      <w:bookmarkStart w:id="293" w:name="_Toc312678024"/>
      <w:bookmarkStart w:id="294" w:name="_Toc297216195"/>
      <w:bookmarkStart w:id="295" w:name="_Toc312677498"/>
      <w:bookmarkStart w:id="296" w:name="_Toc303539142"/>
      <w:bookmarkStart w:id="297" w:name="_Toc297123536"/>
      <w:r>
        <w:rPr>
          <w:rFonts w:hint="eastAsia"/>
          <w:color w:val="000000" w:themeColor="text1"/>
          <w:sz w:val="28"/>
          <w:szCs w:val="28"/>
          <w:highlight w:val="none"/>
          <w:u w:val="single"/>
          <w14:textFill>
            <w14:solidFill>
              <w14:schemeClr w14:val="tx1"/>
            </w14:solidFill>
          </w14:textFill>
        </w:rPr>
        <w:t>按有关规定执行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施工现场需要配备的试验设备：</w:t>
      </w:r>
      <w:r>
        <w:rPr>
          <w:rFonts w:hint="eastAsia"/>
          <w:color w:val="000000" w:themeColor="text1"/>
          <w:sz w:val="28"/>
          <w:szCs w:val="28"/>
          <w:highlight w:val="none"/>
          <w:u w:val="single"/>
          <w14:textFill>
            <w14:solidFill>
              <w14:schemeClr w14:val="tx1"/>
            </w14:solidFill>
          </w14:textFill>
        </w:rPr>
        <w:t>按有关规定执行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施工现场需要具备的其他试验条件：</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9.4 现场工艺试验</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现场工艺试验的有关约定：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290"/>
    <w:bookmarkEnd w:id="291"/>
    <w:bookmarkEnd w:id="292"/>
    <w:bookmarkEnd w:id="293"/>
    <w:bookmarkEnd w:id="294"/>
    <w:bookmarkEnd w:id="295"/>
    <w:bookmarkEnd w:id="296"/>
    <w:bookmarkEnd w:id="297"/>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298" w:name="_Toc351203642"/>
      <w:r>
        <w:rPr>
          <w:rFonts w:ascii="宋体" w:hAnsi="宋体"/>
          <w:color w:val="000000" w:themeColor="text1"/>
          <w:sz w:val="28"/>
          <w:szCs w:val="28"/>
          <w:highlight w:val="none"/>
          <w14:textFill>
            <w14:solidFill>
              <w14:schemeClr w14:val="tx1"/>
            </w14:solidFill>
          </w14:textFill>
        </w:rPr>
        <w:t>1</w:t>
      </w:r>
      <w:bookmarkEnd w:id="264"/>
      <w:bookmarkEnd w:id="265"/>
      <w:bookmarkEnd w:id="266"/>
      <w:bookmarkEnd w:id="267"/>
      <w:bookmarkEnd w:id="268"/>
      <w:bookmarkEnd w:id="269"/>
      <w:bookmarkEnd w:id="270"/>
      <w:bookmarkEnd w:id="271"/>
      <w:bookmarkEnd w:id="272"/>
      <w:bookmarkEnd w:id="273"/>
      <w:bookmarkEnd w:id="274"/>
      <w:bookmarkEnd w:id="275"/>
      <w:bookmarkStart w:id="299" w:name="_Toc292559398"/>
      <w:bookmarkStart w:id="300" w:name="_Toc300934989"/>
      <w:bookmarkStart w:id="301" w:name="_Toc292559903"/>
      <w:bookmarkStart w:id="302" w:name="_Toc296347192"/>
      <w:bookmarkStart w:id="303" w:name="_Toc296944532"/>
      <w:bookmarkStart w:id="304" w:name="_Toc304295566"/>
      <w:bookmarkStart w:id="305" w:name="_Toc297216199"/>
      <w:bookmarkStart w:id="306" w:name="_Toc296503193"/>
      <w:bookmarkStart w:id="307" w:name="_Toc297048379"/>
      <w:bookmarkStart w:id="308" w:name="_Toc297120493"/>
      <w:bookmarkStart w:id="309" w:name="_Toc297123540"/>
      <w:bookmarkStart w:id="310" w:name="_Toc303539146"/>
      <w:bookmarkStart w:id="311" w:name="_Toc296891233"/>
      <w:bookmarkStart w:id="312" w:name="_Toc296346694"/>
      <w:bookmarkStart w:id="313" w:name="_Toc296891021"/>
      <w:bookmarkStart w:id="314" w:name="_Toc312678025"/>
      <w:bookmarkStart w:id="315" w:name="_Toc312677499"/>
      <w:bookmarkStart w:id="316" w:name="_Toc267251440"/>
      <w:bookmarkStart w:id="317" w:name="_Toc267251441"/>
      <w:bookmarkStart w:id="318" w:name="_Toc267251439"/>
      <w:bookmarkStart w:id="319" w:name="_Toc267251437"/>
      <w:bookmarkStart w:id="320" w:name="_Toc267251435"/>
      <w:bookmarkStart w:id="321" w:name="_Toc267251433"/>
      <w:bookmarkStart w:id="322" w:name="_Toc267251442"/>
      <w:r>
        <w:rPr>
          <w:rFonts w:ascii="宋体" w:hAnsi="宋体"/>
          <w:color w:val="000000" w:themeColor="text1"/>
          <w:sz w:val="28"/>
          <w:szCs w:val="28"/>
          <w:highlight w:val="none"/>
          <w14:textFill>
            <w14:solidFill>
              <w14:schemeClr w14:val="tx1"/>
            </w14:solidFill>
          </w14:textFill>
        </w:rPr>
        <w:t>0. 变更</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bookmarkEnd w:id="314"/>
    <w:bookmarkEnd w:id="315"/>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Start w:id="323" w:name="_Toc296891022"/>
      <w:bookmarkStart w:id="324" w:name="_Toc303539147"/>
      <w:bookmarkStart w:id="325" w:name="_Toc297120494"/>
      <w:bookmarkStart w:id="326" w:name="_Toc312677500"/>
      <w:bookmarkStart w:id="327" w:name="_Toc297216200"/>
      <w:bookmarkStart w:id="328" w:name="_Toc296944533"/>
      <w:bookmarkStart w:id="329" w:name="_Toc297048380"/>
      <w:bookmarkStart w:id="330" w:name="_Toc292559399"/>
      <w:bookmarkStart w:id="331" w:name="_Toc297123541"/>
      <w:bookmarkStart w:id="332" w:name="_Toc296346695"/>
      <w:bookmarkStart w:id="333" w:name="_Toc292559904"/>
      <w:bookmarkStart w:id="334" w:name="_Toc296347193"/>
      <w:bookmarkStart w:id="335" w:name="_Toc296891234"/>
      <w:bookmarkStart w:id="336" w:name="_Toc296503194"/>
      <w:bookmarkStart w:id="337" w:name="_Toc312678026"/>
      <w:bookmarkStart w:id="338" w:name="_Toc304295567"/>
      <w:bookmarkStart w:id="339" w:name="_Toc300934990"/>
      <w:r>
        <w:rPr>
          <w:rFonts w:ascii="宋体" w:hAnsi="宋体"/>
          <w:color w:val="000000" w:themeColor="text1"/>
          <w:sz w:val="28"/>
          <w:szCs w:val="28"/>
          <w:highlight w:val="none"/>
          <w14:textFill>
            <w14:solidFill>
              <w14:schemeClr w14:val="tx1"/>
            </w14:solidFill>
          </w14:textFill>
        </w:rPr>
        <w:t>0.1变更的范围</w:t>
      </w:r>
    </w:p>
    <w:p>
      <w:pPr>
        <w:spacing w:line="460" w:lineRule="exact"/>
        <w:ind w:firstLine="6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关于变更的范围的约定：</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10.4 变更估价</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10.4.1 变更估价原则</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关于变更估价的约定: </w:t>
      </w:r>
      <w:r>
        <w:rPr>
          <w:rFonts w:hint="eastAsia"/>
          <w:color w:val="000000" w:themeColor="text1"/>
          <w:sz w:val="28"/>
          <w:szCs w:val="28"/>
          <w:highlight w:val="none"/>
          <w:u w:val="single"/>
          <w14:textFill>
            <w14:solidFill>
              <w14:schemeClr w14:val="tx1"/>
            </w14:solidFill>
          </w14:textFill>
        </w:rPr>
        <w:t>执行通用条款</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0" w:name="_Toc296891025"/>
      <w:bookmarkStart w:id="341" w:name="_Toc300934993"/>
      <w:bookmarkStart w:id="342" w:name="_Toc296944536"/>
      <w:bookmarkStart w:id="343" w:name="_Toc303539150"/>
      <w:bookmarkStart w:id="344" w:name="_Toc292559907"/>
      <w:bookmarkStart w:id="345" w:name="_Toc297120497"/>
      <w:bookmarkStart w:id="346" w:name="_Toc296346698"/>
      <w:bookmarkStart w:id="347" w:name="_Toc297216203"/>
      <w:bookmarkStart w:id="348" w:name="_Toc297048383"/>
      <w:bookmarkStart w:id="349" w:name="_Toc296891237"/>
      <w:bookmarkStart w:id="350" w:name="_Toc292559402"/>
      <w:bookmarkStart w:id="351" w:name="_Toc297123544"/>
      <w:bookmarkStart w:id="352" w:name="_Toc296347196"/>
      <w:bookmarkStart w:id="353" w:name="_Toc296503197"/>
      <w:bookmarkStart w:id="354" w:name="_Toc312678029"/>
      <w:bookmarkStart w:id="355" w:name="_Toc304295570"/>
      <w:bookmarkStart w:id="356" w:name="_Toc312677503"/>
      <w:r>
        <w:rPr>
          <w:rFonts w:ascii="宋体" w:hAnsi="宋体"/>
          <w:color w:val="000000" w:themeColor="text1"/>
          <w:sz w:val="28"/>
          <w:szCs w:val="28"/>
          <w:highlight w:val="none"/>
          <w14:textFill>
            <w14:solidFill>
              <w14:schemeClr w14:val="tx1"/>
            </w14:solidFill>
          </w14:textFill>
        </w:rPr>
        <w:t>0.5承</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7" w:name="_Toc292559408"/>
      <w:bookmarkStart w:id="358" w:name="_Toc296891243"/>
      <w:bookmarkStart w:id="359" w:name="_Toc296503203"/>
      <w:bookmarkStart w:id="360" w:name="_Toc292559913"/>
      <w:bookmarkStart w:id="361" w:name="_Toc297216204"/>
      <w:bookmarkStart w:id="362" w:name="_Toc297048389"/>
      <w:bookmarkStart w:id="363" w:name="_Toc296944542"/>
      <w:bookmarkStart w:id="364" w:name="_Toc297120503"/>
      <w:bookmarkStart w:id="365" w:name="_Toc296346704"/>
      <w:bookmarkStart w:id="366" w:name="_Toc300934994"/>
      <w:bookmarkStart w:id="367" w:name="_Toc296347202"/>
      <w:bookmarkStart w:id="368" w:name="_Toc303539151"/>
      <w:bookmarkStart w:id="369" w:name="_Toc296891031"/>
      <w:bookmarkStart w:id="370" w:name="_Toc297123545"/>
      <w:r>
        <w:rPr>
          <w:rFonts w:ascii="宋体" w:hAnsi="宋体"/>
          <w:color w:val="000000" w:themeColor="text1"/>
          <w:sz w:val="28"/>
          <w:szCs w:val="28"/>
          <w:highlight w:val="none"/>
          <w14:textFill>
            <w14:solidFill>
              <w14:schemeClr w14:val="tx1"/>
            </w14:solidFill>
          </w14:textFill>
        </w:rPr>
        <w:t>包人的合理化建议</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监理人审查承包人合理化建议的期限：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发包人审批承包人合理化建议的期限：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w:t>
      </w:r>
      <w:bookmarkStart w:id="371" w:name="_Toc292559914"/>
      <w:bookmarkStart w:id="372" w:name="_Toc296347203"/>
      <w:bookmarkStart w:id="373" w:name="_Toc318581175"/>
      <w:bookmarkStart w:id="374" w:name="_Toc297048390"/>
      <w:bookmarkStart w:id="375" w:name="_Toc296503204"/>
      <w:bookmarkStart w:id="376" w:name="_Toc292559409"/>
      <w:bookmarkStart w:id="377" w:name="_Toc303539152"/>
      <w:bookmarkStart w:id="378" w:name="_Toc304295571"/>
      <w:bookmarkStart w:id="379" w:name="_Toc297216205"/>
      <w:bookmarkStart w:id="380" w:name="_Toc297120504"/>
      <w:bookmarkStart w:id="381" w:name="_Toc297123546"/>
      <w:bookmarkStart w:id="382" w:name="_Toc296891032"/>
      <w:bookmarkStart w:id="383" w:name="_Toc312677504"/>
      <w:bookmarkStart w:id="384" w:name="_Toc296891244"/>
      <w:bookmarkStart w:id="385" w:name="_Toc312678030"/>
      <w:bookmarkStart w:id="386" w:name="_Toc296944543"/>
      <w:bookmarkStart w:id="387" w:name="_Toc296346705"/>
      <w:bookmarkStart w:id="388" w:name="_Toc300934995"/>
      <w:r>
        <w:rPr>
          <w:rFonts w:ascii="宋体" w:hAnsi="宋体"/>
          <w:color w:val="000000" w:themeColor="text1"/>
          <w:sz w:val="28"/>
          <w:szCs w:val="28"/>
          <w:highlight w:val="none"/>
          <w14:textFill>
            <w14:solidFill>
              <w14:schemeClr w14:val="tx1"/>
            </w14:solidFill>
          </w14:textFill>
        </w:rPr>
        <w:t>包人提出的合理化建议降低了合同价格或者提高了工程经济效益的奖励的方法和金额为：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after="120" w:line="460" w:lineRule="exact"/>
        <w:ind w:firstLine="280" w:firstLineChars="1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Start w:id="389" w:name="_Toc296944538"/>
      <w:bookmarkStart w:id="390" w:name="_Toc312678033"/>
      <w:bookmarkStart w:id="391" w:name="_Toc292559909"/>
      <w:bookmarkStart w:id="392" w:name="_Toc297216207"/>
      <w:bookmarkStart w:id="393" w:name="_Toc296891027"/>
      <w:bookmarkStart w:id="394" w:name="_Toc292559404"/>
      <w:bookmarkStart w:id="395" w:name="_Toc304295574"/>
      <w:bookmarkStart w:id="396" w:name="_Toc296891239"/>
      <w:bookmarkStart w:id="397" w:name="_Toc312677507"/>
      <w:bookmarkStart w:id="398" w:name="_Toc297048385"/>
      <w:bookmarkStart w:id="399" w:name="_Toc297120499"/>
      <w:bookmarkStart w:id="400" w:name="_Toc303539154"/>
      <w:bookmarkStart w:id="401" w:name="_Toc300934997"/>
      <w:bookmarkStart w:id="402" w:name="_Toc296346700"/>
      <w:bookmarkStart w:id="403" w:name="_Toc296347198"/>
      <w:bookmarkStart w:id="404" w:name="_Toc297123548"/>
      <w:bookmarkStart w:id="405" w:name="_Toc296503199"/>
      <w:r>
        <w:rPr>
          <w:rFonts w:ascii="宋体" w:hAnsi="宋体"/>
          <w:color w:val="000000" w:themeColor="text1"/>
          <w:sz w:val="28"/>
          <w:szCs w:val="28"/>
          <w:highlight w:val="none"/>
          <w14:textFill>
            <w14:solidFill>
              <w14:schemeClr w14:val="tx1"/>
            </w14:solidFill>
          </w14:textFill>
        </w:rPr>
        <w:t>0.7 暂估价</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暂</w:t>
      </w:r>
      <w:bookmarkStart w:id="406" w:name="_Toc318581176"/>
      <w:bookmarkStart w:id="407" w:name="_Toc312678034"/>
      <w:bookmarkStart w:id="408" w:name="_Toc312677508"/>
      <w:r>
        <w:rPr>
          <w:rFonts w:ascii="宋体" w:hAnsi="宋体"/>
          <w:color w:val="000000" w:themeColor="text1"/>
          <w:kern w:val="0"/>
          <w:sz w:val="28"/>
          <w:szCs w:val="28"/>
          <w:highlight w:val="none"/>
          <w14:textFill>
            <w14:solidFill>
              <w14:schemeClr w14:val="tx1"/>
            </w14:solidFill>
          </w14:textFill>
        </w:rPr>
        <w:t>估价材料和工程设备的明细详见附件</w:t>
      </w:r>
      <w:r>
        <w:rPr>
          <w:rFonts w:hint="eastAsia" w:ascii="宋体" w:hAnsi="宋体"/>
          <w:color w:val="000000" w:themeColor="text1"/>
          <w:kern w:val="0"/>
          <w:sz w:val="28"/>
          <w:szCs w:val="28"/>
          <w:highlight w:val="none"/>
          <w14:textFill>
            <w14:solidFill>
              <w14:schemeClr w14:val="tx1"/>
            </w14:solidFill>
          </w14:textFill>
        </w:rPr>
        <w:t>11：《</w:t>
      </w:r>
      <w:r>
        <w:rPr>
          <w:rFonts w:ascii="宋体" w:hAnsi="宋体"/>
          <w:color w:val="000000" w:themeColor="text1"/>
          <w:sz w:val="28"/>
          <w:szCs w:val="28"/>
          <w:highlight w:val="none"/>
          <w14:textFill>
            <w14:solidFill>
              <w14:schemeClr w14:val="tx1"/>
            </w14:solidFill>
          </w14:textFill>
        </w:rPr>
        <w:t>暂估价一览表</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kern w:val="0"/>
          <w:sz w:val="28"/>
          <w:szCs w:val="28"/>
          <w:highlight w:val="none"/>
          <w14:textFill>
            <w14:solidFill>
              <w14:schemeClr w14:val="tx1"/>
            </w14:solidFill>
          </w14:textFill>
        </w:rPr>
        <w:t>。</w:t>
      </w:r>
      <w:bookmarkEnd w:id="406"/>
      <w:bookmarkEnd w:id="407"/>
      <w:bookmarkEnd w:id="408"/>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Start w:id="409" w:name="_Toc318581177"/>
      <w:bookmarkStart w:id="410" w:name="_Toc312678035"/>
      <w:bookmarkStart w:id="411" w:name="_Toc312677509"/>
      <w:r>
        <w:rPr>
          <w:rFonts w:ascii="宋体" w:hAnsi="宋体"/>
          <w:color w:val="000000" w:themeColor="text1"/>
          <w:sz w:val="28"/>
          <w:szCs w:val="28"/>
          <w:highlight w:val="none"/>
          <w14:textFill>
            <w14:solidFill>
              <w14:schemeClr w14:val="tx1"/>
            </w14:solidFill>
          </w14:textFill>
        </w:rPr>
        <w:t>0.7.1 依法必须招标的暂估价项目</w:t>
      </w:r>
      <w:bookmarkEnd w:id="409"/>
      <w:bookmarkEnd w:id="410"/>
      <w:bookmarkEnd w:id="411"/>
      <w:r>
        <w:rPr>
          <w:rFonts w:ascii="宋体" w:hAnsi="宋体"/>
          <w:color w:val="000000" w:themeColor="text1"/>
          <w:sz w:val="28"/>
          <w:szCs w:val="28"/>
          <w:highlight w:val="none"/>
          <w14:textFill>
            <w14:solidFill>
              <w14:schemeClr w14:val="tx1"/>
            </w14:solidFill>
          </w14:textFill>
        </w:rPr>
        <w:t>对于依法必须招标的暂估价项目的确认和批准采取第</w:t>
      </w:r>
      <w:r>
        <w:rPr>
          <w:rFonts w:hint="eastAsia"/>
          <w:b/>
          <w:color w:val="000000" w:themeColor="text1"/>
          <w:sz w:val="28"/>
          <w:szCs w:val="28"/>
          <w:highlight w:val="none"/>
          <w:u w:val="single"/>
          <w14:textFill>
            <w14:solidFill>
              <w14:schemeClr w14:val="tx1"/>
            </w14:solidFill>
          </w14:textFill>
        </w:rPr>
        <w:t xml:space="preserve"> 2 </w:t>
      </w:r>
      <w:r>
        <w:rPr>
          <w:rFonts w:ascii="宋体" w:hAnsi="宋体"/>
          <w:color w:val="000000" w:themeColor="text1"/>
          <w:sz w:val="28"/>
          <w:szCs w:val="28"/>
          <w:highlight w:val="none"/>
          <w14:textFill>
            <w14:solidFill>
              <w14:schemeClr w14:val="tx1"/>
            </w14:solidFill>
          </w14:textFill>
        </w:rPr>
        <w:t>种方式确定。</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10.7.2 不属于依法必须招标的暂估价项目</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对于不属于依法必须招标的暂估价项目的确认和批准采取第</w:t>
      </w:r>
      <w:r>
        <w:rPr>
          <w:rFonts w:hint="eastAsia" w:ascii="宋体" w:hAnsi="宋体"/>
          <w:color w:val="000000" w:themeColor="text1"/>
          <w:sz w:val="28"/>
          <w:szCs w:val="28"/>
          <w:highlight w:val="none"/>
          <w:u w:val="single"/>
          <w14:textFill>
            <w14:solidFill>
              <w14:schemeClr w14:val="tx1"/>
            </w14:solidFill>
          </w14:textFill>
        </w:rPr>
        <w:t>1</w:t>
      </w:r>
      <w:r>
        <w:rPr>
          <w:rFonts w:ascii="宋体" w:hAnsi="宋体"/>
          <w:color w:val="000000" w:themeColor="text1"/>
          <w:sz w:val="28"/>
          <w:szCs w:val="28"/>
          <w:highlight w:val="none"/>
          <w14:textFill>
            <w14:solidFill>
              <w14:schemeClr w14:val="tx1"/>
            </w14:solidFill>
          </w14:textFill>
        </w:rPr>
        <w:t xml:space="preserve"> 种方式确定。</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第3种方式：</w:t>
      </w:r>
      <w:r>
        <w:rPr>
          <w:rFonts w:ascii="宋体" w:hAnsi="宋体"/>
          <w:color w:val="000000" w:themeColor="text1"/>
          <w:kern w:val="0"/>
          <w:sz w:val="28"/>
          <w:szCs w:val="28"/>
          <w:highlight w:val="none"/>
          <w14:textFill>
            <w14:solidFill>
              <w14:schemeClr w14:val="tx1"/>
            </w14:solidFill>
          </w14:textFill>
        </w:rPr>
        <w:t>承包人直接实施的暂估价项目</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承包人直接实施的暂估价项目的约定：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10.8 暂列金额</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合同当事人关于暂列金额使用的约定：</w:t>
      </w:r>
      <w:r>
        <w:rPr>
          <w:rFonts w:hint="eastAsia" w:ascii="宋体" w:hAnsi="宋体"/>
          <w:color w:val="000000" w:themeColor="text1"/>
          <w:sz w:val="28"/>
          <w:szCs w:val="28"/>
          <w:highlight w:val="none"/>
          <w:u w:val="single"/>
          <w14:textFill>
            <w14:solidFill>
              <w14:schemeClr w14:val="tx1"/>
            </w14:solidFill>
          </w14:textFill>
        </w:rPr>
        <w:t>暂列金是指发包人为可能发生工程变更而暂列的金额，包括因发包人提供的工程量清单漏项、清单有误引起的工程数量增加和施工过程中设计变更引起新的清单项目或工程数量增加等需要增加的金额，</w:t>
      </w:r>
      <w:r>
        <w:rPr>
          <w:rFonts w:hint="eastAsia" w:ascii="宋体" w:hAnsi="宋体"/>
          <w:color w:val="000000" w:themeColor="text1"/>
          <w:sz w:val="28"/>
          <w:szCs w:val="28"/>
          <w:highlight w:val="none"/>
          <w:u w:val="single"/>
          <w:lang w:val="en-US" w:eastAsia="zh-CN"/>
          <w14:textFill>
            <w14:solidFill>
              <w14:schemeClr w14:val="tx1"/>
            </w14:solidFill>
          </w14:textFill>
        </w:rPr>
        <w:t>采购</w:t>
      </w:r>
      <w:r>
        <w:rPr>
          <w:rFonts w:hint="eastAsia" w:ascii="宋体" w:hAnsi="宋体"/>
          <w:color w:val="000000" w:themeColor="text1"/>
          <w:sz w:val="28"/>
          <w:szCs w:val="28"/>
          <w:highlight w:val="none"/>
          <w:u w:val="single"/>
          <w14:textFill>
            <w14:solidFill>
              <w14:schemeClr w14:val="tx1"/>
            </w14:solidFill>
          </w14:textFill>
        </w:rPr>
        <w:t>人委托具有建设行政主管部门颁发资质的造价咨询机构审定后，按照审定造价支付部分暂列金。暂列金是</w:t>
      </w:r>
      <w:r>
        <w:rPr>
          <w:rFonts w:hint="eastAsia" w:ascii="宋体" w:hAnsi="宋体"/>
          <w:color w:val="000000" w:themeColor="text1"/>
          <w:sz w:val="28"/>
          <w:szCs w:val="28"/>
          <w:highlight w:val="none"/>
          <w:u w:val="single"/>
          <w:lang w:val="en-US" w:eastAsia="zh-CN"/>
          <w14:textFill>
            <w14:solidFill>
              <w14:schemeClr w14:val="tx1"/>
            </w14:solidFill>
          </w14:textFill>
        </w:rPr>
        <w:t>采购</w:t>
      </w:r>
      <w:r>
        <w:rPr>
          <w:rFonts w:hint="eastAsia" w:ascii="宋体" w:hAnsi="宋体"/>
          <w:color w:val="000000" w:themeColor="text1"/>
          <w:sz w:val="28"/>
          <w:szCs w:val="28"/>
          <w:highlight w:val="none"/>
          <w:u w:val="single"/>
          <w14:textFill>
            <w14:solidFill>
              <w14:schemeClr w14:val="tx1"/>
            </w14:solidFill>
          </w14:textFill>
        </w:rPr>
        <w:t>人自行确定设立的，承包商无权使用此笔费用。此费用按实际发生经</w:t>
      </w:r>
      <w:r>
        <w:rPr>
          <w:rFonts w:hint="eastAsia" w:ascii="宋体" w:hAnsi="宋体"/>
          <w:color w:val="000000" w:themeColor="text1"/>
          <w:sz w:val="28"/>
          <w:szCs w:val="28"/>
          <w:highlight w:val="none"/>
          <w:u w:val="single"/>
          <w:lang w:val="en-US" w:eastAsia="zh-CN"/>
          <w14:textFill>
            <w14:solidFill>
              <w14:schemeClr w14:val="tx1"/>
            </w14:solidFill>
          </w14:textFill>
        </w:rPr>
        <w:t>采购</w:t>
      </w:r>
      <w:r>
        <w:rPr>
          <w:rFonts w:hint="eastAsia" w:ascii="宋体" w:hAnsi="宋体"/>
          <w:color w:val="000000" w:themeColor="text1"/>
          <w:sz w:val="28"/>
          <w:szCs w:val="28"/>
          <w:highlight w:val="none"/>
          <w:u w:val="single"/>
          <w14:textFill>
            <w14:solidFill>
              <w14:schemeClr w14:val="tx1"/>
            </w14:solidFill>
          </w14:textFill>
        </w:rPr>
        <w:t>人签证后确定全部使用、部分使用或不使用。暂列金不计入工程款付款的基数</w:t>
      </w:r>
      <w:r>
        <w:rPr>
          <w:rFonts w:hint="eastAsia" w:ascii="宋体" w:hAnsi="宋体"/>
          <w:color w:val="000000" w:themeColor="text1"/>
          <w:kern w:val="0"/>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412" w:name="_Toc351203643"/>
      <w:r>
        <w:rPr>
          <w:rFonts w:ascii="宋体" w:hAnsi="宋体"/>
          <w:color w:val="000000" w:themeColor="text1"/>
          <w:sz w:val="28"/>
          <w:szCs w:val="28"/>
          <w:highlight w:val="none"/>
          <w14:textFill>
            <w14:solidFill>
              <w14:schemeClr w14:val="tx1"/>
            </w14:solidFill>
          </w14:textFill>
        </w:rPr>
        <w:t>11. 价格调整</w:t>
      </w:r>
      <w:bookmarkEnd w:id="412"/>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bookmarkStart w:id="413" w:name="_Toc297048387"/>
      <w:bookmarkStart w:id="414" w:name="_Toc296503201"/>
      <w:bookmarkStart w:id="415" w:name="_Toc292559911"/>
      <w:bookmarkStart w:id="416" w:name="_Toc296944540"/>
      <w:bookmarkStart w:id="417" w:name="_Toc296891029"/>
      <w:bookmarkStart w:id="418" w:name="_Toc292559406"/>
      <w:bookmarkStart w:id="419" w:name="_Toc297123550"/>
      <w:bookmarkStart w:id="420" w:name="_Toc296347200"/>
      <w:bookmarkStart w:id="421" w:name="_Toc300935000"/>
      <w:bookmarkStart w:id="422" w:name="_Toc296346702"/>
      <w:bookmarkStart w:id="423" w:name="_Toc303539157"/>
      <w:bookmarkStart w:id="424" w:name="_Toc297120501"/>
      <w:bookmarkStart w:id="425" w:name="_Toc297216209"/>
      <w:bookmarkStart w:id="426" w:name="_Toc296891241"/>
      <w:bookmarkStart w:id="427" w:name="_Toc304295577"/>
      <w:bookmarkStart w:id="428" w:name="_Toc312678039"/>
      <w:r>
        <w:rPr>
          <w:rFonts w:ascii="宋体" w:hAnsi="宋体"/>
          <w:color w:val="000000" w:themeColor="text1"/>
          <w:sz w:val="28"/>
          <w:szCs w:val="28"/>
          <w:highlight w:val="none"/>
          <w14:textFill>
            <w14:solidFill>
              <w14:schemeClr w14:val="tx1"/>
            </w14:solidFill>
          </w14:textFill>
        </w:rPr>
        <w:t>11.1 市场价格波动引起的调整</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市场价格波动是否调整合同价格的约定：</w:t>
      </w:r>
      <w:r>
        <w:rPr>
          <w:rFonts w:hint="eastAsia" w:ascii="宋体" w:hAnsi="宋体"/>
          <w:color w:val="000000" w:themeColor="text1"/>
          <w:sz w:val="28"/>
          <w:szCs w:val="28"/>
          <w:highlight w:val="none"/>
          <w:u w:val="single"/>
          <w14:textFill>
            <w14:solidFill>
              <w14:schemeClr w14:val="tx1"/>
            </w14:solidFill>
          </w14:textFill>
        </w:rPr>
        <w:t>市场价格波动超过合同当事人约定的范围，合同价格予以调整</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因市场价格波动调整合同价格，采用以下第</w:t>
      </w:r>
      <w:r>
        <w:rPr>
          <w:rFonts w:hint="eastAsia"/>
          <w:b/>
          <w:color w:val="000000" w:themeColor="text1"/>
          <w:sz w:val="28"/>
          <w:szCs w:val="28"/>
          <w:highlight w:val="none"/>
          <w:u w:val="singl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种方式对合同价格进行调整：</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第1种方式：采用价格指数</w:t>
      </w:r>
      <w:r>
        <w:rPr>
          <w:rFonts w:hint="eastAsia" w:ascii="宋体" w:hAnsi="宋体"/>
          <w:color w:val="000000" w:themeColor="text1"/>
          <w:sz w:val="28"/>
          <w:szCs w:val="28"/>
          <w:highlight w:val="none"/>
          <w14:textFill>
            <w14:solidFill>
              <w14:schemeClr w14:val="tx1"/>
            </w14:solidFill>
          </w14:textFill>
        </w:rPr>
        <w:t>进行价格</w:t>
      </w:r>
      <w:r>
        <w:rPr>
          <w:rFonts w:ascii="宋体" w:hAnsi="宋体"/>
          <w:color w:val="000000" w:themeColor="text1"/>
          <w:sz w:val="28"/>
          <w:szCs w:val="28"/>
          <w:highlight w:val="none"/>
          <w14:textFill>
            <w14:solidFill>
              <w14:schemeClr w14:val="tx1"/>
            </w14:solidFill>
          </w14:textFill>
        </w:rPr>
        <w:t>调整。</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 xml:space="preserve">；  </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第2种方式：采用造价信息</w:t>
      </w:r>
      <w:r>
        <w:rPr>
          <w:rFonts w:hint="eastAsia" w:ascii="宋体" w:hAnsi="宋体"/>
          <w:color w:val="000000" w:themeColor="text1"/>
          <w:sz w:val="28"/>
          <w:szCs w:val="28"/>
          <w:highlight w:val="none"/>
          <w14:textFill>
            <w14:solidFill>
              <w14:schemeClr w14:val="tx1"/>
            </w14:solidFill>
          </w14:textFill>
        </w:rPr>
        <w:t>进行价格</w:t>
      </w:r>
      <w:r>
        <w:rPr>
          <w:rFonts w:ascii="宋体" w:hAnsi="宋体"/>
          <w:color w:val="000000" w:themeColor="text1"/>
          <w:sz w:val="28"/>
          <w:szCs w:val="28"/>
          <w:highlight w:val="none"/>
          <w14:textFill>
            <w14:solidFill>
              <w14:schemeClr w14:val="tx1"/>
            </w14:solidFill>
          </w14:textFill>
        </w:rPr>
        <w:t>调整。</w:t>
      </w:r>
    </w:p>
    <w:p>
      <w:pPr>
        <w:spacing w:line="460" w:lineRule="exact"/>
        <w:ind w:left="420" w:leftChars="200"/>
        <w:jc w:val="left"/>
        <w:rPr>
          <w:rFonts w:hint="eastAsia"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（2）关于基准价格的约定：</w:t>
      </w:r>
      <w:r>
        <w:rPr>
          <w:rFonts w:hint="eastAsia" w:ascii="宋体" w:hAnsi="宋体"/>
          <w:color w:val="000000" w:themeColor="text1"/>
          <w:sz w:val="28"/>
          <w:szCs w:val="28"/>
          <w:highlight w:val="none"/>
          <w:u w:val="single"/>
          <w14:textFill>
            <w14:solidFill>
              <w14:schemeClr w14:val="tx1"/>
            </w14:solidFill>
          </w14:textFill>
        </w:rPr>
        <w:t>执行投标时</w:t>
      </w:r>
      <w:r>
        <w:rPr>
          <w:rFonts w:hint="eastAsia" w:ascii="宋体" w:hAnsi="宋体"/>
          <w:color w:val="000000" w:themeColor="text1"/>
          <w:sz w:val="28"/>
          <w:szCs w:val="28"/>
          <w:highlight w:val="none"/>
          <w:u w:val="single"/>
          <w:lang w:val="en-US" w:eastAsia="zh-CN"/>
          <w14:textFill>
            <w14:solidFill>
              <w14:schemeClr w14:val="tx1"/>
            </w14:solidFill>
          </w14:textFill>
        </w:rPr>
        <w:t>阿克苏</w:t>
      </w:r>
      <w:r>
        <w:rPr>
          <w:rFonts w:hint="eastAsia" w:ascii="宋体" w:hAnsi="宋体"/>
          <w:color w:val="000000" w:themeColor="text1"/>
          <w:sz w:val="28"/>
          <w:szCs w:val="28"/>
          <w:highlight w:val="none"/>
          <w:u w:val="single"/>
          <w14:textFill>
            <w14:solidFill>
              <w14:schemeClr w14:val="tx1"/>
            </w14:solidFill>
          </w14:textFill>
        </w:rPr>
        <w:t>造价站发布的信息</w:t>
      </w:r>
    </w:p>
    <w:p>
      <w:pPr>
        <w:spacing w:line="460" w:lineRule="exact"/>
        <w:jc w:val="left"/>
        <w:rPr>
          <w:rFonts w:asci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价</w:t>
      </w:r>
      <w:r>
        <w:rPr>
          <w:rFonts w:hint="eastAsia" w:ascii="宋体" w:hAnsi="宋体"/>
          <w:color w:val="000000" w:themeColor="text1"/>
          <w:sz w:val="28"/>
          <w:szCs w:val="28"/>
          <w:highlight w:val="none"/>
          <w:u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专用合同条款</w:t>
      </w:r>
      <w:r>
        <w:rPr>
          <w:rFonts w:hint="eastAsia" w:ascii="宋体" w:hAnsi="宋体" w:cs="宋体"/>
          <w:color w:val="000000" w:themeColor="text1"/>
          <w:sz w:val="28"/>
          <w:szCs w:val="28"/>
          <w:highlight w:val="none"/>
          <w14:textFill>
            <w14:solidFill>
              <w14:schemeClr w14:val="tx1"/>
            </w14:solidFill>
          </w14:textFill>
        </w:rPr>
        <w:t>①</w:t>
      </w:r>
      <w:r>
        <w:rPr>
          <w:rFonts w:ascii="宋体" w:hAnsi="宋体"/>
          <w:color w:val="000000" w:themeColor="text1"/>
          <w:sz w:val="28"/>
          <w:szCs w:val="28"/>
          <w:highlight w:val="none"/>
          <w14:textFill>
            <w14:solidFill>
              <w14:schemeClr w14:val="tx1"/>
            </w14:solidFill>
          </w14:textFill>
        </w:rPr>
        <w:t>承包人在已标价工程量清单或预算书中载明的材料单价低于基准价格的：专用合同条款合同履行期间材料单价涨幅以基准价格为基础超过</w:t>
      </w:r>
      <w:r>
        <w:rPr>
          <w:rFonts w:hint="eastAsia" w:ascii="宋体" w:hAnsi="宋体"/>
          <w:color w:val="000000" w:themeColor="text1"/>
          <w:sz w:val="28"/>
          <w:szCs w:val="28"/>
          <w:highlight w:val="none"/>
          <w:u w:val="singl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时，或材料单价跌幅以已标价工程量清单或预算书中载明材料单价为基础超过</w:t>
      </w:r>
      <w:r>
        <w:rPr>
          <w:rFonts w:hint="eastAsia" w:ascii="宋体" w:hAnsi="宋体"/>
          <w:color w:val="000000" w:themeColor="text1"/>
          <w:sz w:val="28"/>
          <w:szCs w:val="28"/>
          <w:highlight w:val="none"/>
          <w:u w:val="singl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时，其超过部分据实调整。</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②</w:t>
      </w:r>
      <w:r>
        <w:rPr>
          <w:rFonts w:ascii="宋体" w:hAnsi="宋体"/>
          <w:color w:val="000000" w:themeColor="text1"/>
          <w:sz w:val="28"/>
          <w:szCs w:val="28"/>
          <w:highlight w:val="none"/>
          <w14:textFill>
            <w14:solidFill>
              <w14:schemeClr w14:val="tx1"/>
            </w14:solidFill>
          </w14:textFill>
        </w:rPr>
        <w:t>承包人在已标价工程量清单或预算书中载明的材料单价高于基准价格的：专用合同条款合同履行期间材料单价跌幅以基准价格为基础超过</w:t>
      </w:r>
      <w:r>
        <w:rPr>
          <w:rFonts w:hint="eastAsia" w:ascii="宋体" w:hAnsi="宋体"/>
          <w:color w:val="000000" w:themeColor="text1"/>
          <w:sz w:val="28"/>
          <w:szCs w:val="28"/>
          <w:highlight w:val="none"/>
          <w:u w:val="singl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时，材料单价涨幅以已标价工程量清单或预算书中载明材料单价为基础超过</w:t>
      </w:r>
      <w:r>
        <w:rPr>
          <w:rFonts w:hint="eastAsia" w:ascii="宋体" w:hAnsi="宋体"/>
          <w:color w:val="000000" w:themeColor="text1"/>
          <w:sz w:val="28"/>
          <w:szCs w:val="28"/>
          <w:highlight w:val="none"/>
          <w:u w:val="singl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时，其超过部分据实调整。</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③</w:t>
      </w:r>
      <w:r>
        <w:rPr>
          <w:rFonts w:ascii="宋体" w:hAnsi="宋体"/>
          <w:color w:val="000000" w:themeColor="text1"/>
          <w:sz w:val="28"/>
          <w:szCs w:val="28"/>
          <w:highlight w:val="none"/>
          <w14:textFill>
            <w14:solidFill>
              <w14:schemeClr w14:val="tx1"/>
            </w14:solidFill>
          </w14:textFill>
        </w:rPr>
        <w:t>承包人在已标价工程量清单或预算书中载明的材料单价等于基准单价的：专用合同条款合同履行期间材料单价涨跌幅以基准单价为基础超过</w:t>
      </w:r>
      <w:r>
        <w:rPr>
          <w:rFonts w:hint="eastAsia" w:ascii="宋体" w:hAnsi="宋体"/>
          <w:color w:val="000000" w:themeColor="text1"/>
          <w:sz w:val="28"/>
          <w:szCs w:val="28"/>
          <w:highlight w:val="none"/>
          <w:u w:val="single"/>
          <w14:textFill>
            <w14:solidFill>
              <w14:schemeClr w14:val="tx1"/>
            </w14:solidFill>
          </w14:textFill>
        </w:rPr>
        <w:t>±5</w:t>
      </w:r>
      <w:r>
        <w:rPr>
          <w:rFonts w:hint="eastAsia"/>
          <w:b/>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时，其超过部分据实调整。</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第3种方式：其他价格调整方式：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316"/>
    <w:bookmarkEnd w:id="317"/>
    <w:bookmarkEnd w:id="318"/>
    <w:bookmarkEnd w:id="319"/>
    <w:bookmarkEnd w:id="320"/>
    <w:bookmarkEnd w:id="321"/>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429" w:name="_Toc297048391"/>
      <w:bookmarkStart w:id="430" w:name="_Toc296891033"/>
      <w:bookmarkStart w:id="431" w:name="_Toc297120505"/>
      <w:bookmarkStart w:id="432" w:name="_Toc296944544"/>
      <w:bookmarkStart w:id="433" w:name="_Toc296347204"/>
      <w:bookmarkStart w:id="434" w:name="_Toc292559410"/>
      <w:bookmarkStart w:id="435" w:name="_Toc296503205"/>
      <w:bookmarkStart w:id="436" w:name="_Toc292559915"/>
      <w:bookmarkStart w:id="437" w:name="_Toc296346706"/>
      <w:bookmarkStart w:id="438" w:name="_Toc296891245"/>
      <w:bookmarkStart w:id="439" w:name="_Toc351203644"/>
      <w:bookmarkStart w:id="440" w:name="_Toc304295579"/>
      <w:bookmarkStart w:id="441" w:name="_Toc297216211"/>
      <w:bookmarkStart w:id="442" w:name="_Toc300935002"/>
      <w:bookmarkStart w:id="443" w:name="_Toc312678040"/>
      <w:bookmarkStart w:id="444" w:name="_Toc303539159"/>
      <w:bookmarkStart w:id="445" w:name="_Toc297123552"/>
      <w:r>
        <w:rPr>
          <w:rFonts w:ascii="宋体" w:hAnsi="宋体"/>
          <w:color w:val="000000" w:themeColor="text1"/>
          <w:sz w:val="28"/>
          <w:szCs w:val="28"/>
          <w:highlight w:val="none"/>
          <w14:textFill>
            <w14:solidFill>
              <w14:schemeClr w14:val="tx1"/>
            </w14:solidFill>
          </w14:textFill>
        </w:rPr>
        <w:t xml:space="preserve">12. </w:t>
      </w:r>
      <w:bookmarkEnd w:id="429"/>
      <w:bookmarkEnd w:id="430"/>
      <w:bookmarkEnd w:id="431"/>
      <w:bookmarkEnd w:id="432"/>
      <w:bookmarkEnd w:id="433"/>
      <w:bookmarkEnd w:id="434"/>
      <w:bookmarkEnd w:id="435"/>
      <w:bookmarkEnd w:id="436"/>
      <w:bookmarkEnd w:id="437"/>
      <w:bookmarkEnd w:id="438"/>
      <w:r>
        <w:rPr>
          <w:rFonts w:ascii="宋体" w:hAnsi="宋体"/>
          <w:color w:val="000000" w:themeColor="text1"/>
          <w:sz w:val="28"/>
          <w:szCs w:val="28"/>
          <w:highlight w:val="none"/>
          <w14:textFill>
            <w14:solidFill>
              <w14:schemeClr w14:val="tx1"/>
            </w14:solidFill>
          </w14:textFill>
        </w:rPr>
        <w:t>合同价格、计量与支付</w:t>
      </w:r>
      <w:bookmarkEnd w:id="439"/>
    </w:p>
    <w:bookmarkEnd w:id="440"/>
    <w:bookmarkEnd w:id="441"/>
    <w:bookmarkEnd w:id="442"/>
    <w:bookmarkEnd w:id="443"/>
    <w:bookmarkEnd w:id="444"/>
    <w:bookmarkEnd w:id="445"/>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bookmarkStart w:id="446" w:name="_Toc292559916"/>
      <w:bookmarkStart w:id="447" w:name="_Toc267251461"/>
      <w:bookmarkStart w:id="448" w:name="_Toc292559411"/>
      <w:bookmarkStart w:id="449" w:name="_Toc296503206"/>
      <w:bookmarkStart w:id="450" w:name="_Toc297120506"/>
      <w:bookmarkStart w:id="451" w:name="_Toc296347205"/>
      <w:bookmarkStart w:id="452" w:name="_Toc296944545"/>
      <w:bookmarkStart w:id="453" w:name="_Toc296346707"/>
      <w:bookmarkStart w:id="454" w:name="_Toc296891034"/>
      <w:bookmarkStart w:id="455" w:name="_Toc296891246"/>
      <w:bookmarkStart w:id="456" w:name="_Toc297048392"/>
      <w:bookmarkStart w:id="457" w:name="_Toc297123553"/>
      <w:bookmarkStart w:id="458" w:name="_Toc303539160"/>
      <w:bookmarkStart w:id="459" w:name="_Toc300935003"/>
      <w:bookmarkStart w:id="460" w:name="_Toc297216212"/>
      <w:bookmarkStart w:id="461" w:name="_Toc304295580"/>
      <w:bookmarkStart w:id="462" w:name="_Toc312678041"/>
      <w:r>
        <w:rPr>
          <w:rFonts w:ascii="宋体" w:hAnsi="宋体"/>
          <w:color w:val="000000" w:themeColor="text1"/>
          <w:sz w:val="28"/>
          <w:szCs w:val="28"/>
          <w:highlight w:val="none"/>
          <w14:textFill>
            <w14:solidFill>
              <w14:schemeClr w14:val="tx1"/>
            </w14:solidFill>
          </w14:textFill>
        </w:rPr>
        <w:t>12.1 合</w:t>
      </w:r>
      <w:bookmarkEnd w:id="446"/>
      <w:bookmarkEnd w:id="447"/>
      <w:bookmarkEnd w:id="448"/>
      <w:r>
        <w:rPr>
          <w:rFonts w:ascii="宋体" w:hAnsi="宋体"/>
          <w:color w:val="000000" w:themeColor="text1"/>
          <w:sz w:val="28"/>
          <w:szCs w:val="28"/>
          <w:highlight w:val="none"/>
          <w14:textFill>
            <w14:solidFill>
              <w14:schemeClr w14:val="tx1"/>
            </w14:solidFill>
          </w14:textFill>
        </w:rPr>
        <w:t>同价</w:t>
      </w:r>
      <w:bookmarkEnd w:id="449"/>
      <w:bookmarkEnd w:id="450"/>
      <w:bookmarkEnd w:id="451"/>
      <w:bookmarkEnd w:id="452"/>
      <w:bookmarkEnd w:id="453"/>
      <w:bookmarkEnd w:id="454"/>
      <w:bookmarkEnd w:id="455"/>
      <w:bookmarkEnd w:id="456"/>
      <w:r>
        <w:rPr>
          <w:rFonts w:ascii="宋体" w:hAnsi="宋体"/>
          <w:color w:val="000000" w:themeColor="text1"/>
          <w:sz w:val="28"/>
          <w:szCs w:val="28"/>
          <w:highlight w:val="none"/>
          <w14:textFill>
            <w14:solidFill>
              <w14:schemeClr w14:val="tx1"/>
            </w14:solidFill>
          </w14:textFill>
        </w:rPr>
        <w:t>格形式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1、单价合同。</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综合单价包含的风险范围：</w:t>
      </w:r>
      <w:r>
        <w:rPr>
          <w:rFonts w:hint="eastAsia" w:ascii="宋体" w:hAnsi="宋体"/>
          <w:color w:val="000000" w:themeColor="text1"/>
          <w:sz w:val="28"/>
          <w:szCs w:val="28"/>
          <w:highlight w:val="none"/>
          <w:u w:val="single"/>
          <w14:textFill>
            <w14:solidFill>
              <w14:schemeClr w14:val="tx1"/>
            </w14:solidFill>
          </w14:textFill>
        </w:rPr>
        <w:t>承包人所填报单价在合同实施期间</w:t>
      </w:r>
      <w:r>
        <w:rPr>
          <w:rFonts w:hint="eastAsia"/>
          <w:color w:val="000000" w:themeColor="text1"/>
          <w:sz w:val="28"/>
          <w:szCs w:val="28"/>
          <w:highlight w:val="none"/>
          <w:u w:val="single"/>
          <w14:textFill>
            <w14:solidFill>
              <w14:schemeClr w14:val="tx1"/>
            </w14:solidFill>
          </w14:textFill>
        </w:rPr>
        <w:t>除经济签证、设计变更及政策调整因素以外可预计的其它风险</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风险费用的计算方法：</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风险范围以外合同价格的调整方法：</w:t>
      </w:r>
      <w:r>
        <w:rPr>
          <w:rFonts w:hint="eastAsia" w:ascii="宋体" w:hAnsi="宋体"/>
          <w:color w:val="000000" w:themeColor="text1"/>
          <w:sz w:val="28"/>
          <w:szCs w:val="28"/>
          <w:highlight w:val="none"/>
          <w:u w:val="single"/>
          <w14:textFill>
            <w14:solidFill>
              <w14:schemeClr w14:val="tx1"/>
            </w14:solidFill>
          </w14:textFill>
        </w:rPr>
        <w:t>合同价款调整方法为：设计变更、经济签证及政策调整因素引起总价超过3%以外的进行调整</w:t>
      </w:r>
      <w:r>
        <w:rPr>
          <w:rFonts w:hint="eastAsia" w:ascii="宋体" w:hAnsi="宋体"/>
          <w:color w:val="000000" w:themeColor="text1"/>
          <w:sz w:val="28"/>
          <w:szCs w:val="28"/>
          <w:highlight w:val="none"/>
          <w:u w:val="single"/>
          <w:lang w:eastAsia="zh-CN"/>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3%以内不进行调整 </w:t>
      </w:r>
      <w:r>
        <w:rPr>
          <w:rFonts w:hint="eastAsia" w:ascii="宋体" w:hAnsi="宋体"/>
          <w:color w:val="000000" w:themeColor="text1"/>
          <w:sz w:val="28"/>
          <w:szCs w:val="28"/>
          <w:highlight w:val="none"/>
          <w:u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2、总价合同。</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总价包含的风险范围：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风险费用的计算方法：</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风险范围以外合同价格的调整方法：</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3、其他价格方式：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color w:val="000000" w:themeColor="text1"/>
          <w:sz w:val="28"/>
          <w:szCs w:val="28"/>
          <w:highlight w:val="none"/>
          <w:u w:val="none"/>
          <w:lang w:val="en-US" w:eastAsia="zh-CN"/>
          <w14:textFill>
            <w14:solidFill>
              <w14:schemeClr w14:val="tx1"/>
            </w14:solidFill>
          </w14:textFill>
        </w:rPr>
        <w:t>。</w:t>
      </w:r>
    </w:p>
    <w:bookmarkEnd w:id="457"/>
    <w:bookmarkEnd w:id="458"/>
    <w:bookmarkEnd w:id="459"/>
    <w:bookmarkEnd w:id="460"/>
    <w:bookmarkEnd w:id="461"/>
    <w:bookmarkEnd w:id="462"/>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bookmarkStart w:id="463" w:name="_Toc297216213"/>
      <w:bookmarkStart w:id="464" w:name="_Toc297123554"/>
      <w:bookmarkStart w:id="465" w:name="_Toc312678042"/>
      <w:bookmarkStart w:id="466" w:name="_Toc304295581"/>
      <w:bookmarkStart w:id="467" w:name="_Toc300935004"/>
      <w:bookmarkStart w:id="468" w:name="_Toc303539161"/>
      <w:bookmarkStart w:id="469" w:name="_Toc297120507"/>
      <w:bookmarkStart w:id="470" w:name="_Toc296891035"/>
      <w:bookmarkStart w:id="471" w:name="_Toc297048393"/>
      <w:bookmarkStart w:id="472" w:name="_Toc296891247"/>
      <w:bookmarkStart w:id="473" w:name="_Toc296503207"/>
      <w:bookmarkStart w:id="474" w:name="_Toc292559412"/>
      <w:bookmarkStart w:id="475" w:name="_Toc296944546"/>
      <w:bookmarkStart w:id="476" w:name="_Toc292559917"/>
      <w:bookmarkStart w:id="477" w:name="_Toc296347206"/>
      <w:bookmarkStart w:id="478" w:name="_Toc296346708"/>
      <w:r>
        <w:rPr>
          <w:rFonts w:ascii="宋体" w:hAnsi="宋体"/>
          <w:color w:val="000000" w:themeColor="text1"/>
          <w:sz w:val="28"/>
          <w:szCs w:val="28"/>
          <w:highlight w:val="none"/>
          <w14:textFill>
            <w14:solidFill>
              <w14:schemeClr w14:val="tx1"/>
            </w14:solidFill>
          </w14:textFill>
        </w:rPr>
        <w:t>12.2 预付款</w:t>
      </w:r>
    </w:p>
    <w:bookmarkEnd w:id="463"/>
    <w:bookmarkEnd w:id="464"/>
    <w:bookmarkEnd w:id="465"/>
    <w:bookmarkEnd w:id="466"/>
    <w:bookmarkEnd w:id="467"/>
    <w:bookmarkEnd w:id="468"/>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12.2.1 预付款的支付</w:t>
      </w:r>
    </w:p>
    <w:p>
      <w:pPr>
        <w:spacing w:line="460" w:lineRule="exact"/>
        <w:ind w:firstLine="560" w:firstLineChars="200"/>
        <w:jc w:val="left"/>
        <w:rPr>
          <w:rFonts w:hint="eastAsia" w:ascii="宋体" w:hAnsi="宋体" w:eastAsia="宋体"/>
          <w:color w:val="000000" w:themeColor="text1"/>
          <w:sz w:val="28"/>
          <w:szCs w:val="28"/>
          <w:highlight w:val="none"/>
          <w:lang w:eastAsia="zh-CN"/>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预付款支付比例或金额：</w:t>
      </w:r>
      <w:r>
        <w:rPr>
          <w:rFonts w:hint="eastAsia" w:ascii="宋体" w:hAnsi="宋体"/>
          <w:color w:val="000000" w:themeColor="text1"/>
          <w:sz w:val="28"/>
          <w:szCs w:val="28"/>
          <w:highlight w:val="none"/>
          <w:u w:val="single"/>
          <w14:textFill>
            <w14:solidFill>
              <w14:schemeClr w14:val="tx1"/>
            </w14:solidFill>
          </w14:textFill>
        </w:rPr>
        <w:t>合同价的25</w:t>
      </w:r>
      <w:r>
        <w:rPr>
          <w:rFonts w:hint="eastAsia" w:ascii="宋体" w:hAnsi="宋体"/>
          <w:color w:val="000000" w:themeColor="text1"/>
          <w:sz w:val="28"/>
          <w:szCs w:val="28"/>
          <w:highlight w:val="none"/>
          <w:u w:val="single"/>
          <w:lang w:val="en-US" w:eastAsia="zh-CN"/>
          <w14:textFill>
            <w14:solidFill>
              <w14:schemeClr w14:val="tx1"/>
            </w14:solidFill>
          </w14:textFill>
        </w:rPr>
        <w:t>%</w:t>
      </w:r>
      <w:r>
        <w:rPr>
          <w:rFonts w:hint="eastAsia" w:ascii="宋体" w:hAnsi="宋体"/>
          <w:color w:val="000000" w:themeColor="text1"/>
          <w:sz w:val="28"/>
          <w:szCs w:val="28"/>
          <w:highlight w:val="none"/>
          <w:u w:val="none"/>
          <w:lang w:eastAsia="zh-CN"/>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预付款支付期限：</w:t>
      </w:r>
      <w:r>
        <w:rPr>
          <w:rFonts w:hint="eastAsia" w:ascii="宋体" w:hAnsi="宋体"/>
          <w:color w:val="000000" w:themeColor="text1"/>
          <w:sz w:val="28"/>
          <w:szCs w:val="28"/>
          <w:highlight w:val="none"/>
          <w:u w:val="single"/>
          <w14:textFill>
            <w14:solidFill>
              <w14:schemeClr w14:val="tx1"/>
            </w14:solidFill>
          </w14:textFill>
        </w:rPr>
        <w:t>人员、设备进场开工后7日内</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预付款扣回的方式：</w:t>
      </w:r>
      <w:r>
        <w:rPr>
          <w:rFonts w:hint="eastAsia" w:ascii="宋体" w:hAnsi="宋体"/>
          <w:color w:val="000000" w:themeColor="text1"/>
          <w:sz w:val="28"/>
          <w:szCs w:val="28"/>
          <w:highlight w:val="none"/>
          <w:u w:val="single"/>
          <w14:textFill>
            <w14:solidFill>
              <w14:schemeClr w14:val="tx1"/>
            </w14:solidFill>
          </w14:textFill>
        </w:rPr>
        <w:t>工程款累计达到合同价款的60%后扣回</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12.2.2 预付款担保</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承包人提交预付款担保的期限：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预付款担保的形式为：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469"/>
    <w:bookmarkEnd w:id="470"/>
    <w:bookmarkEnd w:id="471"/>
    <w:bookmarkEnd w:id="472"/>
    <w:bookmarkEnd w:id="473"/>
    <w:bookmarkEnd w:id="474"/>
    <w:bookmarkEnd w:id="475"/>
    <w:bookmarkEnd w:id="476"/>
    <w:bookmarkEnd w:id="477"/>
    <w:bookmarkEnd w:id="478"/>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 计量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12.3.1 计量原则</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工程量计算规则：</w:t>
      </w:r>
      <w:r>
        <w:rPr>
          <w:rFonts w:hint="eastAsia"/>
          <w:color w:val="000000" w:themeColor="text1"/>
          <w:sz w:val="28"/>
          <w:szCs w:val="28"/>
          <w:highlight w:val="none"/>
          <w:u w:val="single"/>
          <w14:textFill>
            <w14:solidFill>
              <w14:schemeClr w14:val="tx1"/>
            </w14:solidFill>
          </w14:textFill>
        </w:rPr>
        <w:t>按</w:t>
      </w:r>
      <w:r>
        <w:rPr>
          <w:rFonts w:hint="eastAsia"/>
          <w:color w:val="000000" w:themeColor="text1"/>
          <w:sz w:val="28"/>
          <w:szCs w:val="28"/>
          <w:highlight w:val="none"/>
          <w:u w:val="single"/>
          <w:lang w:val="en-US" w:eastAsia="zh-CN"/>
          <w14:textFill>
            <w14:solidFill>
              <w14:schemeClr w14:val="tx1"/>
            </w14:solidFill>
          </w14:textFill>
        </w:rPr>
        <w:t>阿克苏</w:t>
      </w:r>
      <w:r>
        <w:rPr>
          <w:rFonts w:hint="eastAsia"/>
          <w:color w:val="000000" w:themeColor="text1"/>
          <w:sz w:val="28"/>
          <w:szCs w:val="28"/>
          <w:highlight w:val="none"/>
          <w:u w:val="single"/>
          <w14:textFill>
            <w14:solidFill>
              <w14:schemeClr w14:val="tx1"/>
            </w14:solidFill>
          </w14:textFill>
        </w:rPr>
        <w:t>地区现行工程量计算规则</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12.3.2 计量周期</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关于计量周期的约定：</w:t>
      </w:r>
      <w:r>
        <w:rPr>
          <w:rFonts w:hint="eastAsia"/>
          <w:color w:val="000000" w:themeColor="text1"/>
          <w:sz w:val="28"/>
          <w:szCs w:val="28"/>
          <w:highlight w:val="none"/>
          <w:u w:val="single"/>
          <w14:textFill>
            <w14:solidFill>
              <w14:schemeClr w14:val="tx1"/>
            </w14:solidFill>
          </w14:textFill>
        </w:rPr>
        <w:t>按月计量</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12.3.3 单价合同的计量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关于单价合同计量的约定：</w:t>
      </w:r>
      <w:r>
        <w:rPr>
          <w:rFonts w:hint="eastAsia"/>
          <w:color w:val="000000" w:themeColor="text1"/>
          <w:sz w:val="28"/>
          <w:szCs w:val="28"/>
          <w:highlight w:val="none"/>
          <w:u w:val="single"/>
          <w14:textFill>
            <w14:solidFill>
              <w14:schemeClr w14:val="tx1"/>
            </w14:solidFill>
          </w14:textFill>
        </w:rPr>
        <w:t>按月计量</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12.3.4 总价合同的计量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关于总价合同计量的约定：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12.3.5总价合同采用支付分解表计量支付的，是否适用第</w:t>
      </w:r>
      <w:r>
        <w:rPr>
          <w:rFonts w:ascii="宋体" w:hAnsi="宋体"/>
          <w:color w:val="000000" w:themeColor="text1"/>
          <w:kern w:val="0"/>
          <w:sz w:val="28"/>
          <w:szCs w:val="28"/>
          <w:highlight w:val="none"/>
          <w14:textFill>
            <w14:solidFill>
              <w14:schemeClr w14:val="tx1"/>
            </w14:solidFill>
          </w14:textFill>
        </w:rPr>
        <w:t xml:space="preserve">12.3.4 </w:t>
      </w:r>
      <w:r>
        <w:rPr>
          <w:rFonts w:ascii="宋体" w:hAnsi="宋体"/>
          <w:color w:val="000000" w:themeColor="text1"/>
          <w:sz w:val="28"/>
          <w:szCs w:val="28"/>
          <w:highlight w:val="none"/>
          <w14:textFill>
            <w14:solidFill>
              <w14:schemeClr w14:val="tx1"/>
            </w14:solidFill>
          </w14:textFill>
        </w:rPr>
        <w:t>项</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14:textFill>
            <w14:solidFill>
              <w14:schemeClr w14:val="tx1"/>
            </w14:solidFill>
          </w14:textFill>
        </w:rPr>
        <w:t>总价合同的计量</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约定</w:t>
      </w:r>
      <w:r>
        <w:rPr>
          <w:rFonts w:hint="eastAsia" w:ascii="宋体" w:hAnsi="宋体"/>
          <w:color w:val="000000" w:themeColor="text1"/>
          <w:sz w:val="28"/>
          <w:szCs w:val="28"/>
          <w:highlight w:val="none"/>
          <w14:textFill>
            <w14:solidFill>
              <w14:schemeClr w14:val="tx1"/>
            </w14:solidFill>
          </w14:textFill>
        </w:rPr>
        <w:t>进行计量：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12.3.6 其他价格形式合同的计量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其他价格形式的计量方式和程序：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12.4 工程进度款支付</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bookmarkStart w:id="479" w:name="_Toc296891039"/>
      <w:bookmarkStart w:id="480" w:name="_Toc297216215"/>
      <w:bookmarkStart w:id="481" w:name="_Toc296346712"/>
      <w:bookmarkStart w:id="482" w:name="_Toc297120511"/>
      <w:bookmarkStart w:id="483" w:name="_Toc303539163"/>
      <w:bookmarkStart w:id="484" w:name="_Toc296891251"/>
      <w:bookmarkStart w:id="485" w:name="_Toc296347210"/>
      <w:bookmarkStart w:id="486" w:name="_Toc296503211"/>
      <w:bookmarkStart w:id="487" w:name="_Toc297048397"/>
      <w:bookmarkStart w:id="488" w:name="_Toc292559416"/>
      <w:bookmarkStart w:id="489" w:name="_Toc296944550"/>
      <w:bookmarkStart w:id="490" w:name="_Toc300935006"/>
      <w:bookmarkStart w:id="491" w:name="_Toc297123556"/>
      <w:bookmarkStart w:id="492" w:name="_Toc292559921"/>
      <w:r>
        <w:rPr>
          <w:rFonts w:ascii="宋体" w:hAnsi="宋体"/>
          <w:color w:val="000000" w:themeColor="text1"/>
          <w:sz w:val="28"/>
          <w:szCs w:val="28"/>
          <w:highlight w:val="none"/>
          <w14:textFill>
            <w14:solidFill>
              <w14:schemeClr w14:val="tx1"/>
            </w14:solidFill>
          </w14:textFill>
        </w:rPr>
        <w:t>12.4.1 付款周期</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关于付款周期的约定：</w:t>
      </w:r>
      <w:r>
        <w:rPr>
          <w:rFonts w:hint="eastAsia" w:ascii="宋体" w:hAnsi="宋体" w:cs="宋体"/>
          <w:color w:val="000000" w:themeColor="text1"/>
          <w:sz w:val="28"/>
          <w:szCs w:val="28"/>
          <w:highlight w:val="none"/>
          <w:u w:val="single"/>
          <w14:textFill>
            <w14:solidFill>
              <w14:schemeClr w14:val="tx1"/>
            </w14:solidFill>
          </w14:textFill>
        </w:rPr>
        <w:t>①</w:t>
      </w:r>
      <w:r>
        <w:rPr>
          <w:rFonts w:hint="eastAsia"/>
          <w:color w:val="000000" w:themeColor="text1"/>
          <w:sz w:val="28"/>
          <w:szCs w:val="28"/>
          <w:highlight w:val="none"/>
          <w:u w:val="single"/>
          <w14:textFill>
            <w14:solidFill>
              <w14:schemeClr w14:val="tx1"/>
            </w14:solidFill>
          </w14:textFill>
        </w:rPr>
        <w:t>按形象进度主体完成并经验收合格后工程款累计支付金额达到合同价的50%；</w:t>
      </w:r>
      <w:r>
        <w:rPr>
          <w:rFonts w:hint="eastAsia" w:ascii="宋体" w:hAnsi="宋体" w:cs="宋体"/>
          <w:color w:val="000000" w:themeColor="text1"/>
          <w:sz w:val="28"/>
          <w:szCs w:val="28"/>
          <w:highlight w:val="none"/>
          <w:u w:val="single"/>
          <w14:textFill>
            <w14:solidFill>
              <w14:schemeClr w14:val="tx1"/>
            </w14:solidFill>
          </w14:textFill>
        </w:rPr>
        <w:t>②</w:t>
      </w:r>
      <w:r>
        <w:rPr>
          <w:rFonts w:hint="eastAsia"/>
          <w:color w:val="000000" w:themeColor="text1"/>
          <w:sz w:val="28"/>
          <w:szCs w:val="28"/>
          <w:highlight w:val="none"/>
          <w:u w:val="single"/>
          <w14:textFill>
            <w14:solidFill>
              <w14:schemeClr w14:val="tx1"/>
            </w14:solidFill>
          </w14:textFill>
        </w:rPr>
        <w:t>工程竣工验收合格后工程款累计支付金额达到合同价款的70%时，停止支付工程款；</w:t>
      </w:r>
      <w:r>
        <w:rPr>
          <w:rFonts w:hint="eastAsia" w:ascii="宋体" w:hAnsi="宋体" w:cs="宋体"/>
          <w:color w:val="000000" w:themeColor="text1"/>
          <w:sz w:val="28"/>
          <w:szCs w:val="28"/>
          <w:highlight w:val="none"/>
          <w:u w:val="single"/>
          <w14:textFill>
            <w14:solidFill>
              <w14:schemeClr w14:val="tx1"/>
            </w14:solidFill>
          </w14:textFill>
        </w:rPr>
        <w:t>③</w:t>
      </w:r>
      <w:r>
        <w:rPr>
          <w:rFonts w:hint="eastAsia"/>
          <w:color w:val="000000" w:themeColor="text1"/>
          <w:sz w:val="28"/>
          <w:szCs w:val="28"/>
          <w:highlight w:val="none"/>
          <w:u w:val="single"/>
          <w14:textFill>
            <w14:solidFill>
              <w14:schemeClr w14:val="tx1"/>
            </w14:solidFill>
          </w14:textFill>
        </w:rPr>
        <w:t>完成结算审核双方同意后工程款累计支付金额达到合同价款的97%；</w:t>
      </w:r>
      <w:r>
        <w:rPr>
          <w:rFonts w:hint="eastAsia" w:ascii="宋体" w:hAnsi="宋体" w:cs="宋体"/>
          <w:color w:val="000000" w:themeColor="text1"/>
          <w:sz w:val="28"/>
          <w:szCs w:val="28"/>
          <w:highlight w:val="none"/>
          <w:u w:val="single"/>
          <w14:textFill>
            <w14:solidFill>
              <w14:schemeClr w14:val="tx1"/>
            </w14:solidFill>
          </w14:textFill>
        </w:rPr>
        <w:t>④留合同价款3%的质量保证金，质保期满后付清</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12.4.2 进度付款申请单的编制</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关于进度付款申请单编制的约定：</w:t>
      </w:r>
      <w:r>
        <w:rPr>
          <w:rFonts w:hint="eastAsia"/>
          <w:color w:val="000000" w:themeColor="text1"/>
          <w:sz w:val="28"/>
          <w:szCs w:val="28"/>
          <w:highlight w:val="none"/>
          <w:u w:val="single"/>
          <w14:textFill>
            <w14:solidFill>
              <w14:schemeClr w14:val="tx1"/>
            </w14:solidFill>
          </w14:textFill>
        </w:rPr>
        <w:t>按发包方工程款支付管理规定执行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宋体" w:hAnsi="宋体"/>
          <w:color w:val="000000" w:themeColor="text1"/>
          <w:sz w:val="28"/>
          <w:szCs w:val="28"/>
          <w:highlight w:val="none"/>
          <w14:textFill>
            <w14:solidFill>
              <w14:schemeClr w14:val="tx1"/>
            </w14:solidFill>
          </w14:textFill>
        </w:rPr>
        <w:t>2.4.3 进度付款申请单的提交</w:t>
      </w:r>
    </w:p>
    <w:p>
      <w:pPr>
        <w:spacing w:line="460" w:lineRule="exact"/>
        <w:ind w:firstLine="560" w:firstLineChars="200"/>
        <w:jc w:val="left"/>
        <w:rPr>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（1）单价合同进度付款申请单提交的约定</w:t>
      </w:r>
      <w:r>
        <w:rPr>
          <w:rFonts w:hint="eastAsia" w:ascii="宋体" w:hAnsi="宋体"/>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按发包方工程款支付管理规定执行</w:t>
      </w:r>
      <w:r>
        <w:rPr>
          <w:rFonts w:hint="eastAsia"/>
          <w:color w:val="000000" w:themeColor="text1"/>
          <w:sz w:val="28"/>
          <w:szCs w:val="28"/>
          <w:highlight w:val="none"/>
          <w:u w:val="none"/>
          <w14:textFill>
            <w14:solidFill>
              <w14:schemeClr w14:val="tx1"/>
            </w14:solidFill>
          </w14:textFill>
        </w:rPr>
        <w:t>。</w:t>
      </w:r>
    </w:p>
    <w:p>
      <w:pPr>
        <w:spacing w:line="460" w:lineRule="exact"/>
        <w:ind w:firstLine="560" w:firstLineChars="200"/>
        <w:jc w:val="left"/>
        <w:rPr>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（2）总价合同进度付款申请单提交的约定：</w:t>
      </w:r>
      <w:r>
        <w:rPr>
          <w:rFonts w:hint="eastAsia"/>
          <w:color w:val="000000" w:themeColor="text1"/>
          <w:sz w:val="28"/>
          <w:szCs w:val="28"/>
          <w:highlight w:val="none"/>
          <w:u w:val="single"/>
          <w14:textFill>
            <w14:solidFill>
              <w14:schemeClr w14:val="tx1"/>
            </w14:solidFill>
          </w14:textFill>
        </w:rPr>
        <w:t>按发包方工程款支付管理规定执行</w:t>
      </w:r>
      <w:r>
        <w:rPr>
          <w:rFonts w:hint="eastAsia"/>
          <w:color w:val="000000" w:themeColor="text1"/>
          <w:sz w:val="28"/>
          <w:szCs w:val="28"/>
          <w:highlight w:val="none"/>
          <w:u w:val="none"/>
          <w14:textFill>
            <w14:solidFill>
              <w14:schemeClr w14:val="tx1"/>
            </w14:solidFill>
          </w14:textFill>
        </w:rPr>
        <w:t>。</w:t>
      </w:r>
    </w:p>
    <w:p>
      <w:pPr>
        <w:spacing w:line="460" w:lineRule="exact"/>
        <w:ind w:firstLine="560" w:firstLineChars="200"/>
        <w:jc w:val="left"/>
        <w:rPr>
          <w:rFonts w:ascii="宋体" w:hAnsi="宋体" w:cs="宋体"/>
          <w:color w:val="000000" w:themeColor="text1"/>
          <w:kern w:val="0"/>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（3）其他价格形式合同进度付款申请单提交的约定：</w:t>
      </w:r>
      <w:r>
        <w:rPr>
          <w:rFonts w:hint="eastAsia"/>
          <w:color w:val="000000" w:themeColor="text1"/>
          <w:sz w:val="28"/>
          <w:szCs w:val="28"/>
          <w:highlight w:val="none"/>
          <w:u w:val="single"/>
          <w14:textFill>
            <w14:solidFill>
              <w14:schemeClr w14:val="tx1"/>
            </w14:solidFill>
          </w14:textFill>
        </w:rPr>
        <w:t>双方另行确定</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12.4.4 进度款审核和支付</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（1）监理人审查并报送发包人的期限：</w:t>
      </w:r>
      <w:r>
        <w:rPr>
          <w:rFonts w:hint="eastAsia"/>
          <w:color w:val="000000" w:themeColor="text1"/>
          <w:sz w:val="28"/>
          <w:szCs w:val="28"/>
          <w:highlight w:val="none"/>
          <w:u w:val="single"/>
          <w14:textFill>
            <w14:solidFill>
              <w14:schemeClr w14:val="tx1"/>
            </w14:solidFill>
          </w14:textFill>
        </w:rPr>
        <w:t>收到申请7日内审查并报送</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发包人完成审批并签发进度款支付证书的期限：</w:t>
      </w:r>
      <w:r>
        <w:rPr>
          <w:rFonts w:hint="eastAsia"/>
          <w:color w:val="000000" w:themeColor="text1"/>
          <w:sz w:val="28"/>
          <w:szCs w:val="28"/>
          <w:highlight w:val="none"/>
          <w:u w:val="single"/>
          <w14:textFill>
            <w14:solidFill>
              <w14:schemeClr w14:val="tx1"/>
            </w14:solidFill>
          </w14:textFill>
        </w:rPr>
        <w:t>收到7日内完成</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（2）发包人支付进度款的期限：</w:t>
      </w:r>
      <w:r>
        <w:rPr>
          <w:rFonts w:hint="eastAsia"/>
          <w:color w:val="000000" w:themeColor="text1"/>
          <w:sz w:val="28"/>
          <w:szCs w:val="28"/>
          <w:highlight w:val="none"/>
          <w:u w:val="single"/>
          <w14:textFill>
            <w14:solidFill>
              <w14:schemeClr w14:val="tx1"/>
            </w14:solidFill>
          </w14:textFill>
        </w:rPr>
        <w:t>14日内</w:t>
      </w:r>
      <w:r>
        <w:rPr>
          <w:rFonts w:ascii="宋体" w:hAnsi="宋体"/>
          <w:color w:val="000000" w:themeColor="text1"/>
          <w:sz w:val="28"/>
          <w:szCs w:val="28"/>
          <w:highlight w:val="none"/>
          <w14:textFill>
            <w14:solidFill>
              <w14:schemeClr w14:val="tx1"/>
            </w14:solidFill>
          </w14:textFill>
        </w:rPr>
        <w:t>。</w:t>
      </w:r>
    </w:p>
    <w:p>
      <w:pPr>
        <w:spacing w:line="460" w:lineRule="exact"/>
        <w:ind w:firstLine="700" w:firstLineChars="25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发包人逾期支付进度款的违约金的计算方式：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12.4.6 支付分解表的编制</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2、总价合同支付分解表的编制与审批：</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3、单价合同的总价项目支付分解表的编制与审批：</w:t>
      </w:r>
      <w:r>
        <w:rPr>
          <w:rFonts w:hint="eastAsia"/>
          <w:color w:val="000000" w:themeColor="text1"/>
          <w:sz w:val="28"/>
          <w:szCs w:val="28"/>
          <w:highlight w:val="none"/>
          <w:u w:val="single"/>
          <w14:textFill>
            <w14:solidFill>
              <w14:schemeClr w14:val="tx1"/>
            </w14:solidFill>
          </w14:textFill>
        </w:rPr>
        <w:t>按合同通用条款</w:t>
      </w:r>
      <w:r>
        <w:rPr>
          <w:rFonts w:ascii="宋体" w:hAnsi="宋体"/>
          <w:color w:val="000000" w:themeColor="text1"/>
          <w:sz w:val="28"/>
          <w:szCs w:val="28"/>
          <w:highlight w:val="none"/>
          <w14:textFill>
            <w14:solidFill>
              <w14:schemeClr w14:val="tx1"/>
            </w14:solidFill>
          </w14:textFill>
        </w:rPr>
        <w:t>。</w:t>
      </w:r>
    </w:p>
    <w:bookmarkEnd w:id="322"/>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493" w:name="_Toc351203645"/>
      <w:bookmarkStart w:id="494" w:name="_Toc292559929"/>
      <w:bookmarkStart w:id="495" w:name="_Toc296346720"/>
      <w:bookmarkStart w:id="496" w:name="_Toc297048405"/>
      <w:bookmarkStart w:id="497" w:name="_Toc297123564"/>
      <w:bookmarkStart w:id="498" w:name="_Toc296944558"/>
      <w:bookmarkStart w:id="499" w:name="_Toc297216223"/>
      <w:bookmarkStart w:id="500" w:name="_Toc300935015"/>
      <w:bookmarkStart w:id="501" w:name="_Toc312678053"/>
      <w:bookmarkStart w:id="502" w:name="_Toc304295593"/>
      <w:bookmarkStart w:id="503" w:name="_Toc292559424"/>
      <w:bookmarkStart w:id="504" w:name="_Toc303539172"/>
      <w:bookmarkStart w:id="505" w:name="_Toc296503219"/>
      <w:bookmarkStart w:id="506" w:name="_Toc296891259"/>
      <w:bookmarkStart w:id="507" w:name="_Toc297120519"/>
      <w:bookmarkStart w:id="508" w:name="_Toc296347218"/>
      <w:bookmarkStart w:id="509" w:name="_Toc296891047"/>
      <w:r>
        <w:rPr>
          <w:rFonts w:ascii="宋体" w:hAnsi="宋体"/>
          <w:color w:val="000000" w:themeColor="text1"/>
          <w:sz w:val="28"/>
          <w:szCs w:val="28"/>
          <w:highlight w:val="none"/>
          <w14:textFill>
            <w14:solidFill>
              <w14:schemeClr w14:val="tx1"/>
            </w14:solidFill>
          </w14:textFill>
        </w:rPr>
        <w:t>13.验收和工程试车</w:t>
      </w:r>
      <w:bookmarkEnd w:id="493"/>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13.1 分部分项工程验收</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13.1.2监理人不能按时进行验收时，应提前</w:t>
      </w:r>
      <w:r>
        <w:rPr>
          <w:rFonts w:hint="eastAsia"/>
          <w:color w:val="000000" w:themeColor="text1"/>
          <w:sz w:val="28"/>
          <w:szCs w:val="28"/>
          <w:highlight w:val="none"/>
          <w:u w:val="single"/>
          <w14:textFill>
            <w14:solidFill>
              <w14:schemeClr w14:val="tx1"/>
            </w14:solidFill>
          </w14:textFill>
        </w:rPr>
        <w:t>24</w:t>
      </w:r>
      <w:r>
        <w:rPr>
          <w:rFonts w:ascii="宋体" w:hAnsi="宋体"/>
          <w:color w:val="000000" w:themeColor="text1"/>
          <w:sz w:val="28"/>
          <w:szCs w:val="28"/>
          <w:highlight w:val="none"/>
          <w14:textFill>
            <w14:solidFill>
              <w14:schemeClr w14:val="tx1"/>
            </w14:solidFill>
          </w14:textFill>
        </w:rPr>
        <w:t>小时提交书面延期要求。</w:t>
      </w:r>
    </w:p>
    <w:p>
      <w:pPr>
        <w:spacing w:line="460" w:lineRule="exact"/>
        <w:ind w:firstLine="560" w:firstLineChars="200"/>
        <w:jc w:val="left"/>
        <w:rPr>
          <w:rFonts w:ascii="宋体" w:hAnsi="宋体"/>
          <w:b/>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关于延期最长不得超过：</w:t>
      </w:r>
      <w:r>
        <w:rPr>
          <w:rFonts w:hint="eastAsia"/>
          <w:color w:val="000000" w:themeColor="text1"/>
          <w:sz w:val="28"/>
          <w:szCs w:val="28"/>
          <w:highlight w:val="none"/>
          <w:u w:val="single"/>
          <w14:textFill>
            <w14:solidFill>
              <w14:schemeClr w14:val="tx1"/>
            </w14:solidFill>
          </w14:textFill>
        </w:rPr>
        <w:t>48</w:t>
      </w:r>
      <w:r>
        <w:rPr>
          <w:rFonts w:ascii="宋体" w:hAnsi="宋体"/>
          <w:color w:val="000000" w:themeColor="text1"/>
          <w:sz w:val="28"/>
          <w:szCs w:val="28"/>
          <w:highlight w:val="none"/>
          <w14:textFill>
            <w14:solidFill>
              <w14:schemeClr w14:val="tx1"/>
            </w14:solidFill>
          </w14:textFill>
        </w:rPr>
        <w:t>小时。</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bookmarkStart w:id="510" w:name="_Toc296944562"/>
      <w:bookmarkStart w:id="511" w:name="_Toc297120523"/>
      <w:bookmarkStart w:id="512" w:name="_Toc296347222"/>
      <w:bookmarkStart w:id="513" w:name="_Toc297048409"/>
      <w:bookmarkStart w:id="514" w:name="_Toc312678056"/>
      <w:bookmarkStart w:id="515" w:name="_Toc300935016"/>
      <w:bookmarkStart w:id="516" w:name="_Toc296891051"/>
      <w:bookmarkStart w:id="517" w:name="_Toc304295596"/>
      <w:bookmarkStart w:id="518" w:name="_Toc297216224"/>
      <w:bookmarkStart w:id="519" w:name="_Toc297123565"/>
      <w:bookmarkStart w:id="520" w:name="_Toc296346724"/>
      <w:bookmarkStart w:id="521" w:name="_Toc292559933"/>
      <w:bookmarkStart w:id="522" w:name="_Toc296503223"/>
      <w:bookmarkStart w:id="523" w:name="_Toc303539173"/>
      <w:bookmarkStart w:id="524" w:name="_Toc292559428"/>
      <w:bookmarkStart w:id="525" w:name="_Toc296891263"/>
      <w:bookmarkStart w:id="526" w:name="_Toc267251475"/>
      <w:bookmarkStart w:id="527" w:name="_Toc267251471"/>
      <w:bookmarkStart w:id="528" w:name="_Toc267251474"/>
      <w:bookmarkStart w:id="529" w:name="_Toc267251476"/>
      <w:bookmarkStart w:id="530" w:name="_Toc267251473"/>
      <w:bookmarkStart w:id="531" w:name="_Toc267251472"/>
      <w:bookmarkStart w:id="532" w:name="_Toc267251470"/>
      <w:r>
        <w:rPr>
          <w:rFonts w:ascii="宋体" w:hAnsi="宋体"/>
          <w:color w:val="000000" w:themeColor="text1"/>
          <w:sz w:val="28"/>
          <w:szCs w:val="28"/>
          <w:highlight w:val="none"/>
          <w14:textFill>
            <w14:solidFill>
              <w14:schemeClr w14:val="tx1"/>
            </w14:solidFill>
          </w14:textFill>
        </w:rPr>
        <w:t>13.2 竣工验收</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bookmarkStart w:id="533" w:name="_Toc280868704"/>
      <w:bookmarkStart w:id="534" w:name="_Toc280868705"/>
      <w:bookmarkStart w:id="535" w:name="_Toc280868706"/>
      <w:bookmarkStart w:id="536" w:name="_Toc280868707"/>
      <w:bookmarkStart w:id="537" w:name="_Toc280868708"/>
      <w:bookmarkStart w:id="538" w:name="_Toc280868709"/>
      <w:r>
        <w:rPr>
          <w:rFonts w:ascii="宋体" w:hAnsi="宋体"/>
          <w:color w:val="000000" w:themeColor="text1"/>
          <w:sz w:val="28"/>
          <w:szCs w:val="28"/>
          <w:highlight w:val="none"/>
          <w14:textFill>
            <w14:solidFill>
              <w14:schemeClr w14:val="tx1"/>
            </w14:solidFill>
          </w14:textFill>
        </w:rPr>
        <w:t>13.2.2竣工验收程序</w:t>
      </w:r>
    </w:p>
    <w:bookmarkEnd w:id="533"/>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关于竣工验收程序的约定：</w:t>
      </w:r>
      <w:r>
        <w:rPr>
          <w:rFonts w:hint="eastAsia"/>
          <w:color w:val="000000" w:themeColor="text1"/>
          <w:sz w:val="28"/>
          <w:szCs w:val="28"/>
          <w:highlight w:val="none"/>
          <w:u w:val="single"/>
          <w14:textFill>
            <w14:solidFill>
              <w14:schemeClr w14:val="tx1"/>
            </w14:solidFill>
          </w14:textFill>
        </w:rPr>
        <w:t>按合同通用条款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发包人不按照本项约定组织竣工验收、颁发工程接收证书的违约金的计算方法：</w:t>
      </w:r>
      <w:r>
        <w:rPr>
          <w:rFonts w:hint="eastAsia"/>
          <w:color w:val="000000" w:themeColor="text1"/>
          <w:sz w:val="28"/>
          <w:szCs w:val="28"/>
          <w:highlight w:val="none"/>
          <w:u w:val="single"/>
          <w14:textFill>
            <w14:solidFill>
              <w14:schemeClr w14:val="tx1"/>
            </w14:solidFill>
          </w14:textFill>
        </w:rPr>
        <w:t>按合同通用条款</w:t>
      </w:r>
      <w:r>
        <w:rPr>
          <w:rFonts w:ascii="宋体" w:hAnsi="宋体"/>
          <w:color w:val="000000" w:themeColor="text1"/>
          <w:sz w:val="28"/>
          <w:szCs w:val="28"/>
          <w:highlight w:val="none"/>
          <w14:textFill>
            <w14:solidFill>
              <w14:schemeClr w14:val="tx1"/>
            </w14:solidFill>
          </w14:textFill>
        </w:rPr>
        <w:t>。</w:t>
      </w:r>
      <w:bookmarkEnd w:id="534"/>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13.2.5移交、接收全部与部分工程</w:t>
      </w:r>
    </w:p>
    <w:bookmarkEnd w:id="535"/>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承包人向发包人移交工程的期限：</w:t>
      </w:r>
      <w:r>
        <w:rPr>
          <w:rFonts w:hint="eastAsia"/>
          <w:color w:val="000000" w:themeColor="text1"/>
          <w:sz w:val="28"/>
          <w:szCs w:val="28"/>
          <w:highlight w:val="none"/>
          <w:u w:val="single"/>
          <w14:textFill>
            <w14:solidFill>
              <w14:schemeClr w14:val="tx1"/>
            </w14:solidFill>
          </w14:textFill>
        </w:rPr>
        <w:t>颁发工程接收证书后7日内</w:t>
      </w:r>
      <w:r>
        <w:rPr>
          <w:rFonts w:hint="eastAsia"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bookmarkEnd w:id="536"/>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承包人未按时移交工程的，违约金的计算方法为：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13.3 工程试车</w:t>
      </w:r>
    </w:p>
    <w:bookmarkEnd w:id="537"/>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13.3.1 试车程序</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工程试车内容：</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（1）单机无负荷试车费用由</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承担；</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（2）无负荷联动试车费用由</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承担。</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13.3.3 投料试车</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关于投料试车相关事项的约定：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13.6 竣工退场</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13.6.1 竣工退场</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承包人完成竣工退场的期限：</w:t>
      </w:r>
      <w:r>
        <w:rPr>
          <w:rFonts w:hint="eastAsia"/>
          <w:color w:val="000000" w:themeColor="text1"/>
          <w:sz w:val="28"/>
          <w:szCs w:val="28"/>
          <w:highlight w:val="none"/>
          <w:u w:val="single"/>
          <w14:textFill>
            <w14:solidFill>
              <w14:schemeClr w14:val="tx1"/>
            </w14:solidFill>
          </w14:textFill>
        </w:rPr>
        <w:t>颁发工程接收证书后3日内</w:t>
      </w:r>
      <w:r>
        <w:rPr>
          <w:rFonts w:ascii="宋体" w:hAnsi="宋体"/>
          <w:color w:val="000000" w:themeColor="text1"/>
          <w:kern w:val="0"/>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39" w:name="_Toc351203646"/>
      <w:r>
        <w:rPr>
          <w:rFonts w:ascii="宋体" w:hAnsi="宋体"/>
          <w:color w:val="000000" w:themeColor="text1"/>
          <w:sz w:val="28"/>
          <w:szCs w:val="28"/>
          <w:highlight w:val="none"/>
          <w14:textFill>
            <w14:solidFill>
              <w14:schemeClr w14:val="tx1"/>
            </w14:solidFill>
          </w14:textFill>
        </w:rPr>
        <w:t>14. 竣工结算</w:t>
      </w:r>
      <w:bookmarkEnd w:id="539"/>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14.1 竣工付款申请</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承包人提交竣工付款申请单的期限：</w:t>
      </w:r>
      <w:r>
        <w:rPr>
          <w:rFonts w:hint="eastAsia"/>
          <w:color w:val="000000" w:themeColor="text1"/>
          <w:sz w:val="28"/>
          <w:szCs w:val="28"/>
          <w:highlight w:val="none"/>
          <w:u w:val="single"/>
          <w14:textFill>
            <w14:solidFill>
              <w14:schemeClr w14:val="tx1"/>
            </w14:solidFill>
          </w14:textFill>
        </w:rPr>
        <w:t>按合同付款约定执行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竣工付款申请单应包括的内容：</w:t>
      </w:r>
      <w:r>
        <w:rPr>
          <w:rFonts w:hint="eastAsia"/>
          <w:color w:val="000000" w:themeColor="text1"/>
          <w:sz w:val="28"/>
          <w:szCs w:val="28"/>
          <w:highlight w:val="none"/>
          <w:u w:val="single"/>
          <w14:textFill>
            <w14:solidFill>
              <w14:schemeClr w14:val="tx1"/>
            </w14:solidFill>
          </w14:textFill>
        </w:rPr>
        <w:t>按合同付款约定执行</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14.2 竣工结算审核</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w:t>
      </w:r>
      <w:r>
        <w:rPr>
          <w:rFonts w:hint="eastAsia" w:ascii="宋体" w:hAnsi="宋体"/>
          <w:color w:val="000000" w:themeColor="text1"/>
          <w:sz w:val="28"/>
          <w:szCs w:val="28"/>
          <w:highlight w:val="none"/>
          <w14:textFill>
            <w14:solidFill>
              <w14:schemeClr w14:val="tx1"/>
            </w14:solidFill>
          </w14:textFill>
        </w:rPr>
        <w:t>审批</w:t>
      </w:r>
      <w:r>
        <w:rPr>
          <w:rFonts w:ascii="宋体" w:hAnsi="宋体"/>
          <w:color w:val="000000" w:themeColor="text1"/>
          <w:sz w:val="28"/>
          <w:szCs w:val="28"/>
          <w:highlight w:val="none"/>
          <w14:textFill>
            <w14:solidFill>
              <w14:schemeClr w14:val="tx1"/>
            </w14:solidFill>
          </w14:textFill>
        </w:rPr>
        <w:t>竣工付款申请单的期限：</w:t>
      </w:r>
      <w:r>
        <w:rPr>
          <w:rFonts w:hint="eastAsia"/>
          <w:color w:val="000000" w:themeColor="text1"/>
          <w:sz w:val="28"/>
          <w:szCs w:val="28"/>
          <w:highlight w:val="none"/>
          <w:u w:val="single"/>
          <w14:textFill>
            <w14:solidFill>
              <w14:schemeClr w14:val="tx1"/>
            </w14:solidFill>
          </w14:textFill>
        </w:rPr>
        <w:t>按合同付款约定执行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发包人完成竣工付款的期限：</w:t>
      </w:r>
      <w:r>
        <w:rPr>
          <w:rFonts w:hint="eastAsia"/>
          <w:color w:val="000000" w:themeColor="text1"/>
          <w:sz w:val="28"/>
          <w:szCs w:val="28"/>
          <w:highlight w:val="none"/>
          <w:u w:val="single"/>
          <w14:textFill>
            <w14:solidFill>
              <w14:schemeClr w14:val="tx1"/>
            </w14:solidFill>
          </w14:textFill>
        </w:rPr>
        <w:t>按合同付款约定执行</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关于竣工付款证书异议部分复核的方式和程序：</w:t>
      </w:r>
      <w:r>
        <w:rPr>
          <w:rFonts w:hint="eastAsia"/>
          <w:color w:val="000000" w:themeColor="text1"/>
          <w:sz w:val="28"/>
          <w:szCs w:val="28"/>
          <w:highlight w:val="none"/>
          <w:u w:val="single"/>
          <w14:textFill>
            <w14:solidFill>
              <w14:schemeClr w14:val="tx1"/>
            </w14:solidFill>
          </w14:textFill>
        </w:rPr>
        <w:t>发包方支付工程款必须进入本合同约定账户</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14.4 最终结清</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14.4.1 最终结清申请单</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承包人提交最终结清申请单的份数：</w:t>
      </w:r>
      <w:r>
        <w:rPr>
          <w:rFonts w:hint="eastAsia"/>
          <w:color w:val="000000" w:themeColor="text1"/>
          <w:sz w:val="28"/>
          <w:szCs w:val="28"/>
          <w:highlight w:val="none"/>
          <w:u w:val="single"/>
          <w14:textFill>
            <w14:solidFill>
              <w14:schemeClr w14:val="tx1"/>
            </w14:solidFill>
          </w14:textFill>
        </w:rPr>
        <w:t>肆份</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承包人提交最终结算申请单的期限：</w:t>
      </w:r>
      <w:r>
        <w:rPr>
          <w:rFonts w:hint="eastAsia"/>
          <w:color w:val="000000" w:themeColor="text1"/>
          <w:sz w:val="28"/>
          <w:szCs w:val="28"/>
          <w:highlight w:val="none"/>
          <w:u w:val="single"/>
          <w14:textFill>
            <w14:solidFill>
              <w14:schemeClr w14:val="tx1"/>
            </w14:solidFill>
          </w14:textFill>
        </w:rPr>
        <w:t>缺陷责任期终止证书颁发后7天内</w:t>
      </w:r>
      <w:r>
        <w:rPr>
          <w:rFonts w:ascii="宋体" w:hAnsi="宋体"/>
          <w:color w:val="000000" w:themeColor="text1"/>
          <w:sz w:val="28"/>
          <w:szCs w:val="28"/>
          <w:highlight w:val="none"/>
          <w14:textFill>
            <w14:solidFill>
              <w14:schemeClr w14:val="tx1"/>
            </w14:solidFill>
          </w14:textFill>
        </w:rPr>
        <w:t xml:space="preserve">。 </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14.4.2 最终结清证书和支付</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（1）发包人完成最终结清申请单的</w:t>
      </w:r>
      <w:r>
        <w:rPr>
          <w:rFonts w:hint="eastAsia" w:ascii="宋体" w:hAnsi="宋体"/>
          <w:color w:val="000000" w:themeColor="text1"/>
          <w:sz w:val="28"/>
          <w:szCs w:val="28"/>
          <w:highlight w:val="none"/>
          <w14:textFill>
            <w14:solidFill>
              <w14:schemeClr w14:val="tx1"/>
            </w14:solidFill>
          </w14:textFill>
        </w:rPr>
        <w:t>审批</w:t>
      </w:r>
      <w:r>
        <w:rPr>
          <w:rFonts w:ascii="宋体" w:hAnsi="宋体"/>
          <w:color w:val="000000" w:themeColor="text1"/>
          <w:sz w:val="28"/>
          <w:szCs w:val="28"/>
          <w:highlight w:val="none"/>
          <w14:textFill>
            <w14:solidFill>
              <w14:schemeClr w14:val="tx1"/>
            </w14:solidFill>
          </w14:textFill>
        </w:rPr>
        <w:t>并颁发最终结清证书的期限：</w:t>
      </w:r>
      <w:r>
        <w:rPr>
          <w:rFonts w:hint="eastAsia"/>
          <w:color w:val="000000" w:themeColor="text1"/>
          <w:sz w:val="28"/>
          <w:szCs w:val="28"/>
          <w:highlight w:val="none"/>
          <w:u w:val="single"/>
          <w14:textFill>
            <w14:solidFill>
              <w14:schemeClr w14:val="tx1"/>
            </w14:solidFill>
          </w14:textFill>
        </w:rPr>
        <w:t>双方另行确定</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（2）发包人完成支付的期限：</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bookmarkEnd w:id="526"/>
    <w:bookmarkEnd w:id="527"/>
    <w:bookmarkEnd w:id="528"/>
    <w:bookmarkEnd w:id="529"/>
    <w:bookmarkEnd w:id="530"/>
    <w:bookmarkEnd w:id="531"/>
    <w:bookmarkEnd w:id="532"/>
    <w:bookmarkEnd w:id="538"/>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40" w:name="_Toc351203647"/>
      <w:bookmarkStart w:id="541" w:name="_Toc267251483"/>
      <w:bookmarkStart w:id="542" w:name="_Toc267251484"/>
      <w:bookmarkStart w:id="543" w:name="_Toc267251482"/>
      <w:bookmarkStart w:id="544" w:name="_Toc267251485"/>
      <w:bookmarkStart w:id="545" w:name="_Toc267251488"/>
      <w:bookmarkStart w:id="546" w:name="_Toc267251486"/>
      <w:bookmarkStart w:id="547" w:name="_Toc267251489"/>
      <w:bookmarkStart w:id="548" w:name="_Toc267251490"/>
      <w:bookmarkStart w:id="549" w:name="_Toc267251495"/>
      <w:bookmarkStart w:id="550" w:name="_Toc267251498"/>
      <w:bookmarkStart w:id="551" w:name="_Toc267251499"/>
      <w:bookmarkStart w:id="552" w:name="_Toc267251503"/>
      <w:bookmarkStart w:id="553" w:name="_Toc267251496"/>
      <w:bookmarkStart w:id="554" w:name="_Toc267251492"/>
      <w:bookmarkStart w:id="555" w:name="_Toc267251501"/>
      <w:bookmarkStart w:id="556" w:name="_Toc267251494"/>
      <w:bookmarkStart w:id="557" w:name="_Toc267251493"/>
      <w:bookmarkStart w:id="558" w:name="_Toc267251497"/>
      <w:bookmarkStart w:id="559" w:name="_Toc267251491"/>
      <w:bookmarkStart w:id="560" w:name="_Toc267251502"/>
      <w:bookmarkStart w:id="561" w:name="_Toc267251506"/>
      <w:bookmarkStart w:id="562" w:name="_Toc267251504"/>
      <w:bookmarkStart w:id="563" w:name="_Toc267251507"/>
      <w:bookmarkStart w:id="564" w:name="_Toc267251508"/>
      <w:bookmarkStart w:id="565" w:name="_Toc267251509"/>
      <w:bookmarkStart w:id="566" w:name="_Toc267251514"/>
      <w:bookmarkStart w:id="567" w:name="_Toc267251513"/>
      <w:bookmarkStart w:id="568" w:name="_Toc267251510"/>
      <w:bookmarkStart w:id="569" w:name="_Toc267251515"/>
      <w:bookmarkStart w:id="570" w:name="_Toc267251511"/>
      <w:r>
        <w:rPr>
          <w:rFonts w:ascii="宋体" w:hAnsi="宋体"/>
          <w:color w:val="000000" w:themeColor="text1"/>
          <w:sz w:val="28"/>
          <w:szCs w:val="28"/>
          <w:highlight w:val="none"/>
          <w14:textFill>
            <w14:solidFill>
              <w14:schemeClr w14:val="tx1"/>
            </w14:solidFill>
          </w14:textFill>
        </w:rPr>
        <w:t>15. 缺陷责任期与保修</w:t>
      </w:r>
      <w:bookmarkEnd w:id="540"/>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15.2缺陷责任期</w:t>
      </w:r>
      <w:bookmarkEnd w:id="541"/>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缺陷责任期的具体期限：</w:t>
      </w:r>
      <w:r>
        <w:rPr>
          <w:rFonts w:hint="eastAsia"/>
          <w:color w:val="000000" w:themeColor="text1"/>
          <w:sz w:val="28"/>
          <w:szCs w:val="28"/>
          <w:highlight w:val="none"/>
          <w:u w:val="single"/>
          <w14:textFill>
            <w14:solidFill>
              <w14:schemeClr w14:val="tx1"/>
            </w14:solidFill>
          </w14:textFill>
        </w:rPr>
        <w:t>自实际竣工日期起计算为12个月</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15.3 质量保证金</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关于是否扣留质量保证金的约定：</w:t>
      </w:r>
      <w:r>
        <w:rPr>
          <w:rFonts w:hint="eastAsia"/>
          <w:color w:val="000000" w:themeColor="text1"/>
          <w:sz w:val="28"/>
          <w:szCs w:val="28"/>
          <w:highlight w:val="none"/>
          <w:u w:val="single"/>
          <w14:textFill>
            <w14:solidFill>
              <w14:schemeClr w14:val="tx1"/>
            </w14:solidFill>
          </w14:textFill>
        </w:rPr>
        <w:t>扣留</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15.3.1 </w:t>
      </w:r>
      <w:r>
        <w:rPr>
          <w:rFonts w:hint="eastAsia" w:ascii="宋体" w:hAnsi="宋体"/>
          <w:color w:val="000000" w:themeColor="text1"/>
          <w:sz w:val="28"/>
          <w:szCs w:val="28"/>
          <w:highlight w:val="none"/>
          <w14:textFill>
            <w14:solidFill>
              <w14:schemeClr w14:val="tx1"/>
            </w14:solidFill>
          </w14:textFill>
        </w:rPr>
        <w:t>承包人提供</w:t>
      </w:r>
      <w:r>
        <w:rPr>
          <w:rFonts w:ascii="宋体" w:hAnsi="宋体"/>
          <w:color w:val="000000" w:themeColor="text1"/>
          <w:sz w:val="28"/>
          <w:szCs w:val="28"/>
          <w:highlight w:val="none"/>
          <w14:textFill>
            <w14:solidFill>
              <w14:schemeClr w14:val="tx1"/>
            </w14:solidFill>
          </w14:textFill>
        </w:rPr>
        <w:t>质量保证金的</w:t>
      </w:r>
      <w:r>
        <w:rPr>
          <w:rFonts w:hint="eastAsia" w:ascii="宋体" w:hAnsi="宋体"/>
          <w:color w:val="000000" w:themeColor="text1"/>
          <w:sz w:val="28"/>
          <w:szCs w:val="28"/>
          <w:highlight w:val="none"/>
          <w14:textFill>
            <w14:solidFill>
              <w14:schemeClr w14:val="tx1"/>
            </w14:solidFill>
          </w14:textFill>
        </w:rPr>
        <w:t>方</w:t>
      </w:r>
      <w:r>
        <w:rPr>
          <w:rFonts w:ascii="宋体" w:hAnsi="宋体"/>
          <w:color w:val="000000" w:themeColor="text1"/>
          <w:sz w:val="28"/>
          <w:szCs w:val="28"/>
          <w:highlight w:val="none"/>
          <w14:textFill>
            <w14:solidFill>
              <w14:schemeClr w14:val="tx1"/>
            </w14:solidFill>
          </w14:textFill>
        </w:rPr>
        <w:t>式</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质量保证金采用以下第</w:t>
      </w:r>
      <w:r>
        <w:rPr>
          <w:rFonts w:hint="eastAsia"/>
          <w:color w:val="000000" w:themeColor="text1"/>
          <w:sz w:val="28"/>
          <w:szCs w:val="28"/>
          <w:highlight w:val="none"/>
          <w:u w:val="singl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种方式：</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（1）质量保证金保函，保证金额为：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 xml:space="preserve">； </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w:t>
      </w:r>
      <w:r>
        <w:rPr>
          <w:rFonts w:hint="eastAsia" w:ascii="宋体" w:hAnsi="宋体"/>
          <w:color w:val="000000" w:themeColor="text1"/>
          <w:kern w:val="0"/>
          <w:sz w:val="28"/>
          <w:szCs w:val="28"/>
          <w:highlight w:val="none"/>
          <w:u w:val="single"/>
          <w14:textFill>
            <w14:solidFill>
              <w14:schemeClr w14:val="tx1"/>
            </w14:solidFill>
          </w14:textFill>
        </w:rPr>
        <w:t>3</w:t>
      </w:r>
      <w:r>
        <w:rPr>
          <w:rFonts w:ascii="宋体" w:hAnsi="宋体"/>
          <w:color w:val="000000" w:themeColor="text1"/>
          <w:kern w:val="0"/>
          <w:sz w:val="28"/>
          <w:szCs w:val="28"/>
          <w:highlight w:val="none"/>
          <w14:textFill>
            <w14:solidFill>
              <w14:schemeClr w14:val="tx1"/>
            </w14:solidFill>
          </w14:textFill>
        </w:rPr>
        <w:t>%的工程款；</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（3）其他</w:t>
      </w:r>
      <w:r>
        <w:rPr>
          <w:rFonts w:hint="eastAsia" w:ascii="宋体" w:hAnsi="宋体"/>
          <w:color w:val="000000" w:themeColor="text1"/>
          <w:kern w:val="0"/>
          <w:sz w:val="28"/>
          <w:szCs w:val="28"/>
          <w:highlight w:val="none"/>
          <w14:textFill>
            <w14:solidFill>
              <w14:schemeClr w14:val="tx1"/>
            </w14:solidFill>
          </w14:textFill>
        </w:rPr>
        <w:t>方</w:t>
      </w:r>
      <w:r>
        <w:rPr>
          <w:rFonts w:ascii="宋体" w:hAnsi="宋体"/>
          <w:color w:val="000000" w:themeColor="text1"/>
          <w:kern w:val="0"/>
          <w:sz w:val="28"/>
          <w:szCs w:val="28"/>
          <w:highlight w:val="none"/>
          <w14:textFill>
            <w14:solidFill>
              <w14:schemeClr w14:val="tx1"/>
            </w14:solidFill>
          </w14:textFill>
        </w:rPr>
        <w:t>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15.3.2 质量保证金的扣留 </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质量保证金的扣留采取以下第</w:t>
      </w:r>
      <w:r>
        <w:rPr>
          <w:rFonts w:hint="eastAsia"/>
          <w:color w:val="000000" w:themeColor="text1"/>
          <w:sz w:val="28"/>
          <w:szCs w:val="28"/>
          <w:highlight w:val="none"/>
          <w:u w:val="singl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种方式：</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（1）在支付工程进度款时逐次扣留，在此情形下，质量保证金的计算基数不包括预付款的支付、扣回以及价格调整的金额；</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（2）工程竣工结算时一次性扣留质量保证金；</w:t>
      </w:r>
    </w:p>
    <w:p>
      <w:pPr>
        <w:autoSpaceDE w:val="0"/>
        <w:autoSpaceDN w:val="0"/>
        <w:adjustRightInd w:val="0"/>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（3）其他扣留方式:</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关于质量保证金的补充约定：</w:t>
      </w:r>
      <w:r>
        <w:rPr>
          <w:rFonts w:hint="eastAsia"/>
          <w:color w:val="000000" w:themeColor="text1"/>
          <w:sz w:val="28"/>
          <w:szCs w:val="28"/>
          <w:highlight w:val="none"/>
          <w:u w:val="single"/>
          <w14:textFill>
            <w14:solidFill>
              <w14:schemeClr w14:val="tx1"/>
            </w14:solidFill>
          </w14:textFill>
        </w:rPr>
        <w:t>按照国家、自治区现行规定执行</w:t>
      </w:r>
      <w:r>
        <w:rPr>
          <w:rFonts w:ascii="宋体" w:hAnsi="宋体"/>
          <w:color w:val="000000" w:themeColor="text1"/>
          <w:kern w:val="0"/>
          <w:sz w:val="28"/>
          <w:szCs w:val="28"/>
          <w:highlight w:val="none"/>
          <w14:textFill>
            <w14:solidFill>
              <w14:schemeClr w14:val="tx1"/>
            </w14:solidFill>
          </w14:textFill>
        </w:rPr>
        <w:t>。</w:t>
      </w:r>
    </w:p>
    <w:bookmarkEnd w:id="542"/>
    <w:bookmarkEnd w:id="543"/>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15.4保修</w:t>
      </w:r>
    </w:p>
    <w:bookmarkEnd w:id="544"/>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15.4.1 保修责任</w:t>
      </w:r>
    </w:p>
    <w:p>
      <w:pPr>
        <w:spacing w:line="460" w:lineRule="exact"/>
        <w:ind w:firstLine="546" w:firstLineChars="195"/>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工程保修期为：</w:t>
      </w:r>
      <w:r>
        <w:rPr>
          <w:rFonts w:hint="eastAsia"/>
          <w:color w:val="000000" w:themeColor="text1"/>
          <w:sz w:val="28"/>
          <w:szCs w:val="28"/>
          <w:highlight w:val="none"/>
          <w:u w:val="single"/>
          <w14:textFill>
            <w14:solidFill>
              <w14:schemeClr w14:val="tx1"/>
            </w14:solidFill>
          </w14:textFill>
        </w:rPr>
        <w:t>见工程质量保修书</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15.4.3 修复通知</w:t>
      </w:r>
    </w:p>
    <w:p>
      <w:pPr>
        <w:spacing w:line="460" w:lineRule="exact"/>
        <w:ind w:firstLine="546" w:firstLineChars="195"/>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承包人收到保修通知并到达工程现场的合理时间：</w:t>
      </w:r>
      <w:r>
        <w:rPr>
          <w:rFonts w:hint="eastAsia"/>
          <w:color w:val="000000" w:themeColor="text1"/>
          <w:sz w:val="28"/>
          <w:szCs w:val="28"/>
          <w:highlight w:val="none"/>
          <w:u w:val="single"/>
          <w14:textFill>
            <w14:solidFill>
              <w14:schemeClr w14:val="tx1"/>
            </w14:solidFill>
          </w14:textFill>
        </w:rPr>
        <w:t>24小时内</w:t>
      </w:r>
      <w:r>
        <w:rPr>
          <w:rFonts w:ascii="宋体" w:hAnsi="宋体"/>
          <w:color w:val="000000" w:themeColor="text1"/>
          <w:kern w:val="0"/>
          <w:sz w:val="28"/>
          <w:szCs w:val="28"/>
          <w:highlight w:val="none"/>
          <w14:textFill>
            <w14:solidFill>
              <w14:schemeClr w14:val="tx1"/>
            </w14:solidFill>
          </w14:textFill>
        </w:rPr>
        <w:t>。</w:t>
      </w:r>
    </w:p>
    <w:bookmarkEnd w:id="545"/>
    <w:bookmarkEnd w:id="546"/>
    <w:bookmarkEnd w:id="547"/>
    <w:bookmarkEnd w:id="548"/>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71" w:name="_Toc351203648"/>
      <w:bookmarkStart w:id="572" w:name="_Toc280868717"/>
      <w:bookmarkStart w:id="573" w:name="_Toc280868718"/>
      <w:r>
        <w:rPr>
          <w:rFonts w:ascii="宋体" w:hAnsi="宋体"/>
          <w:color w:val="000000" w:themeColor="text1"/>
          <w:sz w:val="28"/>
          <w:szCs w:val="28"/>
          <w:highlight w:val="none"/>
          <w14:textFill>
            <w14:solidFill>
              <w14:schemeClr w14:val="tx1"/>
            </w14:solidFill>
          </w14:textFill>
        </w:rPr>
        <w:t>16. 违约</w:t>
      </w:r>
      <w:bookmarkEnd w:id="571"/>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16.1 发包人违约</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16.1.1发包人违约的情形</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发包人违约的其他情形：</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left="1399" w:leftChars="266" w:hanging="840" w:hangingChars="3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16.1.2 发包人违约的责任</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发包人违约责任的承担方式和计算方法：</w:t>
      </w:r>
    </w:p>
    <w:p>
      <w:pPr>
        <w:spacing w:line="460" w:lineRule="exact"/>
        <w:ind w:firstLine="560" w:firstLineChars="200"/>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（1）因发包人原因未能在计划开工日期前7天内下达开工通知的违约责任：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（2）因发包人原因未能按合同约定支付合同价款的违约责任：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（3）发包人违反第10.1款</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14:textFill>
            <w14:solidFill>
              <w14:schemeClr w14:val="tx1"/>
            </w14:solidFill>
          </w14:textFill>
        </w:rPr>
        <w:t>变更的范围</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14:textFill>
            <w14:solidFill>
              <w14:schemeClr w14:val="tx1"/>
            </w14:solidFill>
          </w14:textFill>
        </w:rPr>
        <w:t>第（2）项约定，自行实施被取消的工作或转由他人实施的违约责任：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（5）因发包人违反合同约定造成暂停施工的违约责任：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（6）发包人无正当理由没有在约定期限内发出复工指示，导致承包人无法复工的违约责任：</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（7）</w:t>
      </w:r>
      <w:r>
        <w:rPr>
          <w:rFonts w:hint="eastAsia" w:ascii="宋体" w:hAnsi="宋体"/>
          <w:color w:val="000000" w:themeColor="text1"/>
          <w:kern w:val="0"/>
          <w:sz w:val="28"/>
          <w:szCs w:val="28"/>
          <w:highlight w:val="none"/>
          <w14:textFill>
            <w14:solidFill>
              <w14:schemeClr w14:val="tx1"/>
            </w14:solidFill>
          </w14:textFill>
        </w:rPr>
        <w:t>其他：</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16.1.3 因发包人违约解除合同</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承包人按16.1.1项</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14:textFill>
            <w14:solidFill>
              <w14:schemeClr w14:val="tx1"/>
            </w14:solidFill>
          </w14:textFill>
        </w:rPr>
        <w:t>发包人违约的情形</w:t>
      </w:r>
      <w:r>
        <w:rPr>
          <w:rFonts w:hint="eastAsia"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14:textFill>
            <w14:solidFill>
              <w14:schemeClr w14:val="tx1"/>
            </w14:solidFill>
          </w14:textFill>
        </w:rPr>
        <w:t>约定暂停施工满</w:t>
      </w:r>
      <w:r>
        <w:rPr>
          <w:rFonts w:hint="eastAsia" w:ascii="宋体" w:hAnsi="宋体"/>
          <w:color w:val="000000" w:themeColor="text1"/>
          <w:kern w:val="0"/>
          <w:sz w:val="28"/>
          <w:szCs w:val="28"/>
          <w:highlight w:val="none"/>
          <w:u w:val="single"/>
          <w14:textFill>
            <w14:solidFill>
              <w14:schemeClr w14:val="tx1"/>
            </w14:solidFill>
          </w14:textFill>
        </w:rPr>
        <w:t>28</w:t>
      </w:r>
      <w:r>
        <w:rPr>
          <w:rFonts w:ascii="宋体" w:hAnsi="宋体"/>
          <w:color w:val="000000" w:themeColor="text1"/>
          <w:kern w:val="0"/>
          <w:sz w:val="28"/>
          <w:szCs w:val="28"/>
          <w:highlight w:val="none"/>
          <w14:textFill>
            <w14:solidFill>
              <w14:schemeClr w14:val="tx1"/>
            </w14:solidFill>
          </w14:textFill>
        </w:rPr>
        <w:t>天后发包人仍不纠正其违约行为并致使合同目的不能实现的，承包人有权解除合同。</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16.2 承包人违约</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16.2.1 承包人违约的情形</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承包人违约的其他情形：</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16.2.2承包人违约的责任</w:t>
      </w:r>
    </w:p>
    <w:p>
      <w:pPr>
        <w:spacing w:line="460" w:lineRule="exact"/>
        <w:ind w:firstLine="560" w:firstLineChars="200"/>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承包人违约责任的承担方式和计算方法：</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16.2.3 因承包人违约解除合同</w:t>
      </w:r>
    </w:p>
    <w:p>
      <w:pPr>
        <w:spacing w:before="120" w:after="120"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关于承包人违约解除合同的特别约定：</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before="120" w:after="120" w:line="46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发包人</w:t>
      </w:r>
      <w:r>
        <w:rPr>
          <w:rFonts w:hint="eastAsia" w:ascii="宋体" w:hAnsi="宋体"/>
          <w:color w:val="000000" w:themeColor="text1"/>
          <w:kern w:val="0"/>
          <w:sz w:val="28"/>
          <w:szCs w:val="28"/>
          <w:highlight w:val="none"/>
          <w14:textFill>
            <w14:solidFill>
              <w14:schemeClr w14:val="tx1"/>
            </w14:solidFill>
          </w14:textFill>
        </w:rPr>
        <w:t>继续</w:t>
      </w:r>
      <w:r>
        <w:rPr>
          <w:rFonts w:ascii="宋体" w:hAnsi="宋体"/>
          <w:color w:val="000000" w:themeColor="text1"/>
          <w:kern w:val="0"/>
          <w:sz w:val="28"/>
          <w:szCs w:val="28"/>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color w:val="000000" w:themeColor="text1"/>
          <w:kern w:val="0"/>
          <w:sz w:val="28"/>
          <w:szCs w:val="28"/>
          <w:highlight w:val="none"/>
          <w14:textFill>
            <w14:solidFill>
              <w14:schemeClr w14:val="tx1"/>
            </w14:solidFill>
          </w14:textFill>
        </w:rPr>
        <w:t>的费用承担方式</w:t>
      </w:r>
      <w:r>
        <w:rPr>
          <w:rFonts w:ascii="宋体" w:hAnsi="宋体"/>
          <w:color w:val="000000" w:themeColor="text1"/>
          <w:kern w:val="0"/>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双方另行确定</w:t>
      </w:r>
      <w:r>
        <w:rPr>
          <w:rFonts w:hint="eastAsia" w:ascii="宋体" w:hAnsi="宋体"/>
          <w:color w:val="000000" w:themeColor="text1"/>
          <w:kern w:val="0"/>
          <w:sz w:val="28"/>
          <w:szCs w:val="28"/>
          <w:highlight w:val="none"/>
          <w14:textFill>
            <w14:solidFill>
              <w14:schemeClr w14:val="tx1"/>
            </w14:solidFill>
          </w14:textFill>
        </w:rPr>
        <w:t>。</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74" w:name="_Toc351203649"/>
      <w:r>
        <w:rPr>
          <w:rFonts w:ascii="宋体" w:hAnsi="宋体"/>
          <w:color w:val="000000" w:themeColor="text1"/>
          <w:sz w:val="28"/>
          <w:szCs w:val="28"/>
          <w:highlight w:val="none"/>
          <w14:textFill>
            <w14:solidFill>
              <w14:schemeClr w14:val="tx1"/>
            </w14:solidFill>
          </w14:textFill>
        </w:rPr>
        <w:t>17. 不可抗力</w:t>
      </w:r>
      <w:bookmarkEnd w:id="572"/>
      <w:bookmarkEnd w:id="574"/>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17.1 不可抗力的确认</w:t>
      </w:r>
    </w:p>
    <w:p>
      <w:pPr>
        <w:spacing w:line="460" w:lineRule="exact"/>
        <w:ind w:firstLine="560" w:firstLineChars="200"/>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17.4 因不可抗力解除合同</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合同解除后，发包人应在商定或确定发包人应支付款项后</w:t>
      </w:r>
      <w:r>
        <w:rPr>
          <w:rFonts w:hint="eastAsia" w:ascii="宋体" w:hAnsi="宋体"/>
          <w:color w:val="000000" w:themeColor="text1"/>
          <w:sz w:val="28"/>
          <w:szCs w:val="28"/>
          <w:highlight w:val="none"/>
          <w:u w:val="single"/>
          <w14:textFill>
            <w14:solidFill>
              <w14:schemeClr w14:val="tx1"/>
            </w14:solidFill>
          </w14:textFill>
        </w:rPr>
        <w:t>60</w:t>
      </w:r>
      <w:r>
        <w:rPr>
          <w:rFonts w:ascii="宋体" w:hAnsi="宋体"/>
          <w:color w:val="000000" w:themeColor="text1"/>
          <w:sz w:val="28"/>
          <w:szCs w:val="28"/>
          <w:highlight w:val="none"/>
          <w14:textFill>
            <w14:solidFill>
              <w14:schemeClr w14:val="tx1"/>
            </w14:solidFill>
          </w14:textFill>
        </w:rPr>
        <w:t>天内完成款项的支付。</w:t>
      </w:r>
    </w:p>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75" w:name="_Toc351203650"/>
      <w:r>
        <w:rPr>
          <w:rFonts w:ascii="宋体" w:hAnsi="宋体"/>
          <w:color w:val="000000" w:themeColor="text1"/>
          <w:sz w:val="28"/>
          <w:szCs w:val="28"/>
          <w:highlight w:val="none"/>
          <w14:textFill>
            <w14:solidFill>
              <w14:schemeClr w14:val="tx1"/>
            </w14:solidFill>
          </w14:textFill>
        </w:rPr>
        <w:t>18. 保险</w:t>
      </w:r>
      <w:bookmarkEnd w:id="575"/>
    </w:p>
    <w:bookmarkEnd w:id="573"/>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18.1 工程保险</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关于工程保险的特别约定：</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kern w:val="0"/>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18.3 其他保险</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关于其他保险的约定：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kern w:val="0"/>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承包人是否应为其施工设备等办理财产保险：</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18.7 通知义务</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关于变更保险合同时的通知义务的约定：</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bookmarkEnd w:id="549"/>
    <w:bookmarkEnd w:id="550"/>
    <w:bookmarkEnd w:id="551"/>
    <w:bookmarkEnd w:id="552"/>
    <w:bookmarkEnd w:id="553"/>
    <w:bookmarkEnd w:id="554"/>
    <w:bookmarkEnd w:id="555"/>
    <w:bookmarkEnd w:id="556"/>
    <w:bookmarkEnd w:id="557"/>
    <w:bookmarkEnd w:id="558"/>
    <w:bookmarkEnd w:id="559"/>
    <w:bookmarkEnd w:id="560"/>
    <w:p>
      <w:pPr>
        <w:spacing w:before="120" w:after="120" w:line="460" w:lineRule="exact"/>
        <w:rPr>
          <w:rFonts w:ascii="宋体" w:hAnsi="宋体"/>
          <w:color w:val="000000" w:themeColor="text1"/>
          <w:sz w:val="28"/>
          <w:szCs w:val="28"/>
          <w:highlight w:val="none"/>
          <w14:textFill>
            <w14:solidFill>
              <w14:schemeClr w14:val="tx1"/>
            </w14:solidFill>
          </w14:textFill>
        </w:rPr>
      </w:pPr>
      <w:bookmarkStart w:id="576" w:name="_Toc351203651"/>
      <w:r>
        <w:rPr>
          <w:rFonts w:ascii="宋体" w:hAnsi="宋体"/>
          <w:color w:val="000000" w:themeColor="text1"/>
          <w:sz w:val="28"/>
          <w:szCs w:val="28"/>
          <w:highlight w:val="none"/>
          <w14:textFill>
            <w14:solidFill>
              <w14:schemeClr w14:val="tx1"/>
            </w14:solidFill>
          </w14:textFill>
        </w:rPr>
        <w:t>20. 争议解决</w:t>
      </w:r>
      <w:bookmarkEnd w:id="576"/>
    </w:p>
    <w:bookmarkEnd w:id="561"/>
    <w:bookmarkEnd w:id="562"/>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20.3 争</w:t>
      </w:r>
      <w:bookmarkEnd w:id="563"/>
      <w:r>
        <w:rPr>
          <w:rFonts w:ascii="宋体" w:hAnsi="宋体"/>
          <w:color w:val="000000" w:themeColor="text1"/>
          <w:sz w:val="28"/>
          <w:szCs w:val="28"/>
          <w:highlight w:val="none"/>
          <w14:textFill>
            <w14:solidFill>
              <w14:schemeClr w14:val="tx1"/>
            </w14:solidFill>
          </w14:textFill>
        </w:rPr>
        <w:t>议评审</w:t>
      </w:r>
    </w:p>
    <w:p>
      <w:pPr>
        <w:spacing w:line="460" w:lineRule="exact"/>
        <w:ind w:left="149" w:leftChars="71" w:firstLine="420" w:firstLineChars="15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合同当事人是否同意将工程争议提交争议评审小组决</w:t>
      </w:r>
      <w:r>
        <w:rPr>
          <w:rFonts w:hint="eastAsia" w:ascii="宋体" w:hAnsi="宋体"/>
          <w:color w:val="000000" w:themeColor="text1"/>
          <w:sz w:val="28"/>
          <w:szCs w:val="28"/>
          <w:highlight w:val="none"/>
          <w14:textFill>
            <w14:solidFill>
              <w14:schemeClr w14:val="tx1"/>
            </w14:solidFill>
          </w14:textFill>
        </w:rPr>
        <w:t>定：</w:t>
      </w:r>
      <w:r>
        <w:rPr>
          <w:rFonts w:hint="eastAsia" w:ascii="宋体" w:hAnsi="宋体"/>
          <w:color w:val="000000" w:themeColor="text1"/>
          <w:sz w:val="28"/>
          <w:szCs w:val="28"/>
          <w:highlight w:val="none"/>
          <w:u w:val="single"/>
          <w14:textFill>
            <w14:solidFill>
              <w14:schemeClr w14:val="tx1"/>
            </w14:solidFill>
          </w14:textFill>
        </w:rPr>
        <w:t>是</w:t>
      </w:r>
      <w:r>
        <w:rPr>
          <w:rFonts w:hint="eastAsia" w:ascii="宋体" w:hAnsi="宋体"/>
          <w:color w:val="000000" w:themeColor="text1"/>
          <w:sz w:val="28"/>
          <w:szCs w:val="28"/>
          <w:highlight w:val="none"/>
          <w14:textFill>
            <w14:solidFill>
              <w14:schemeClr w14:val="tx1"/>
            </w14:solidFill>
          </w14:textFill>
        </w:rPr>
        <w:t xml:space="preserve">。  </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20.3.1 争议评审小组的确定</w:t>
      </w:r>
    </w:p>
    <w:p>
      <w:pPr>
        <w:spacing w:line="460" w:lineRule="exact"/>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争议评审小组成员的确定：</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选定争议评审员的期限：</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争议评审小组成员的报酬承担方式：</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其他事项的约定：</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w:t>
      </w:r>
    </w:p>
    <w:p>
      <w:pPr>
        <w:autoSpaceDE w:val="0"/>
        <w:autoSpaceDN w:val="0"/>
        <w:adjustRightInd w:val="0"/>
        <w:spacing w:line="460" w:lineRule="exact"/>
        <w:ind w:firstLine="560" w:firstLineChars="200"/>
        <w:jc w:val="left"/>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20.3.2 争议评审小组的决定</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合同当事人关于本项的约定：</w:t>
      </w:r>
      <w:r>
        <w:rPr>
          <w:rFonts w:hint="eastAsia"/>
          <w:color w:val="000000" w:themeColor="text1"/>
          <w:sz w:val="28"/>
          <w:szCs w:val="28"/>
          <w:highlight w:val="none"/>
          <w:u w:val="single"/>
          <w14:textFill>
            <w14:solidFill>
              <w14:schemeClr w14:val="tx1"/>
            </w14:solidFill>
          </w14:textFill>
        </w:rPr>
        <w:t>执行合同通用条款</w:t>
      </w:r>
      <w:r>
        <w:rPr>
          <w:rFonts w:ascii="宋体" w:hAnsi="宋体"/>
          <w:color w:val="000000" w:themeColor="text1"/>
          <w:sz w:val="28"/>
          <w:szCs w:val="28"/>
          <w:highlight w:val="none"/>
          <w14:textFill>
            <w14:solidFill>
              <w14:schemeClr w14:val="tx1"/>
            </w14:solidFill>
          </w14:textFill>
        </w:rPr>
        <w:t>。</w:t>
      </w:r>
    </w:p>
    <w:p>
      <w:pPr>
        <w:spacing w:after="120" w:line="460" w:lineRule="exact"/>
        <w:ind w:firstLine="280" w:firstLineChars="1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20.4仲裁或诉讼</w:t>
      </w:r>
      <w:bookmarkEnd w:id="564"/>
    </w:p>
    <w:p>
      <w:pPr>
        <w:spacing w:after="120" w:line="46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因合同及合同有关事项发生的争议，按下列第</w:t>
      </w:r>
      <w:r>
        <w:rPr>
          <w:rFonts w:hint="eastAsia" w:ascii="宋体" w:hAnsi="宋体"/>
          <w:color w:val="000000" w:themeColor="text1"/>
          <w:sz w:val="28"/>
          <w:szCs w:val="28"/>
          <w:highlight w:val="none"/>
          <w:u w:val="singl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种方式</w:t>
      </w:r>
      <w:r>
        <w:rPr>
          <w:rFonts w:hint="eastAsia" w:ascii="宋体" w:hAnsi="宋体"/>
          <w:color w:val="000000" w:themeColor="text1"/>
          <w:sz w:val="28"/>
          <w:szCs w:val="28"/>
          <w:highlight w:val="none"/>
          <w14:textFill>
            <w14:solidFill>
              <w14:schemeClr w14:val="tx1"/>
            </w14:solidFill>
          </w14:textFill>
        </w:rPr>
        <w:t>解</w:t>
      </w:r>
      <w:r>
        <w:rPr>
          <w:rFonts w:ascii="宋体" w:hAnsi="宋体"/>
          <w:color w:val="000000" w:themeColor="text1"/>
          <w:sz w:val="28"/>
          <w:szCs w:val="28"/>
          <w:highlight w:val="none"/>
          <w14:textFill>
            <w14:solidFill>
              <w14:schemeClr w14:val="tx1"/>
            </w14:solidFill>
          </w14:textFill>
        </w:rPr>
        <w:t>决：</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（1）向</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 </w:t>
      </w:r>
      <w:r>
        <w:rPr>
          <w:rFonts w:ascii="宋体" w:hAnsi="宋体"/>
          <w:color w:val="000000" w:themeColor="text1"/>
          <w:sz w:val="28"/>
          <w:szCs w:val="28"/>
          <w:highlight w:val="none"/>
          <w14:textFill>
            <w14:solidFill>
              <w14:schemeClr w14:val="tx1"/>
            </w14:solidFill>
          </w14:textFill>
        </w:rPr>
        <w:t>仲裁委员会申请仲裁；</w:t>
      </w: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（2）向</w:t>
      </w:r>
      <w:r>
        <w:rPr>
          <w:rFonts w:hint="eastAsia" w:ascii="宋体" w:hAnsi="宋体"/>
          <w:color w:val="000000" w:themeColor="text1"/>
          <w:sz w:val="28"/>
          <w:szCs w:val="28"/>
          <w:highlight w:val="none"/>
          <w:u w:val="single"/>
          <w14:textFill>
            <w14:solidFill>
              <w14:schemeClr w14:val="tx1"/>
            </w14:solidFill>
          </w14:textFill>
        </w:rPr>
        <w:t>工程所在地</w:t>
      </w:r>
      <w:r>
        <w:rPr>
          <w:rFonts w:ascii="宋体" w:hAnsi="宋体"/>
          <w:color w:val="000000" w:themeColor="text1"/>
          <w:sz w:val="28"/>
          <w:szCs w:val="28"/>
          <w:highlight w:val="none"/>
          <w14:textFill>
            <w14:solidFill>
              <w14:schemeClr w14:val="tx1"/>
            </w14:solidFill>
          </w14:textFill>
        </w:rPr>
        <w:t>人民法院起诉。</w:t>
      </w:r>
      <w:bookmarkEnd w:id="565"/>
      <w:bookmarkEnd w:id="566"/>
      <w:bookmarkEnd w:id="567"/>
      <w:bookmarkEnd w:id="568"/>
      <w:bookmarkEnd w:id="569"/>
      <w:bookmarkEnd w:id="570"/>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spacing w:line="360" w:lineRule="auto"/>
        <w:jc w:val="center"/>
        <w:rPr>
          <w:color w:val="000000" w:themeColor="text1"/>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第三节  合 同 文 件 格 式</w:t>
      </w:r>
    </w:p>
    <w:p>
      <w:pPr>
        <w:spacing w:line="360" w:lineRule="auto"/>
        <w:jc w:val="center"/>
        <w:rPr>
          <w:rFonts w:ascii="宋体"/>
          <w:color w:val="000000" w:themeColor="text1"/>
          <w:kern w:val="0"/>
          <w:sz w:val="28"/>
          <w:szCs w:val="28"/>
          <w:highlight w:val="none"/>
          <w14:textFill>
            <w14:solidFill>
              <w14:schemeClr w14:val="tx1"/>
            </w14:solidFill>
          </w14:textFill>
        </w:rPr>
      </w:pPr>
      <w:r>
        <w:rPr>
          <w:rFonts w:hint="eastAsia" w:ascii="宋体"/>
          <w:b/>
          <w:color w:val="000000" w:themeColor="text1"/>
          <w:kern w:val="0"/>
          <w:sz w:val="28"/>
          <w:szCs w:val="28"/>
          <w:highlight w:val="none"/>
          <w14:textFill>
            <w14:solidFill>
              <w14:schemeClr w14:val="tx1"/>
            </w14:solidFill>
          </w14:textFill>
        </w:rPr>
        <w:t>1.合同文件格式</w:t>
      </w:r>
    </w:p>
    <w:p>
      <w:pPr>
        <w:spacing w:line="360" w:lineRule="auto"/>
        <w:ind w:firstLine="560" w:firstLineChars="200"/>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合同协议条款将由建设单位（发包人）与中标单位（承包人）结合本工程具体情况协商后签订。</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二、合同协议书及附件：</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附件1：承包人承揽工程项目一览表</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二、专用合同条款附件：</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附件2：发包人供应材料设备一览表</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附件3：工程质量保修书</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附件4：主要建设工程文件目录</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附件5：承包人用于本工程施工的机械设备表</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附件6：承包人主要施工管理人员表</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附件7：分包人主要施工管理人员表</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附件8：履约担保格式</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附件9：预付款担保格式</w:t>
      </w:r>
    </w:p>
    <w:p>
      <w:pPr>
        <w:spacing w:line="360" w:lineRule="auto"/>
        <w:jc w:val="left"/>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附件10：支付担保格式</w:t>
      </w:r>
    </w:p>
    <w:p>
      <w:pPr>
        <w:spacing w:line="360" w:lineRule="auto"/>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附件11：暂估价一览表</w:t>
      </w:r>
    </w:p>
    <w:p>
      <w:pPr>
        <w:spacing w:line="360" w:lineRule="auto"/>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附件11：暂估价一览表</w:t>
      </w:r>
    </w:p>
    <w:p>
      <w:pPr>
        <w:spacing w:line="360" w:lineRule="auto"/>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附件12：建设工程廉政责任书</w:t>
      </w:r>
    </w:p>
    <w:p>
      <w:pPr>
        <w:spacing w:line="360" w:lineRule="auto"/>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8"/>
          <w:szCs w:val="28"/>
          <w:highlight w:val="none"/>
          <w14:textFill>
            <w14:solidFill>
              <w14:schemeClr w14:val="tx1"/>
            </w14:solidFill>
          </w14:textFill>
        </w:rPr>
        <w:t>附件13：工程投标廉政承诺书</w:t>
      </w:r>
    </w:p>
    <w:p>
      <w:pPr>
        <w:spacing w:line="400" w:lineRule="exact"/>
        <w:rPr>
          <w:rFonts w:ascii="宋体"/>
          <w:color w:val="000000" w:themeColor="text1"/>
          <w:sz w:val="28"/>
          <w:szCs w:val="28"/>
          <w:highlight w:val="none"/>
          <w14:textFill>
            <w14:solidFill>
              <w14:schemeClr w14:val="tx1"/>
            </w14:solidFill>
          </w14:textFill>
        </w:rPr>
      </w:pPr>
    </w:p>
    <w:p>
      <w:pPr>
        <w:spacing w:line="400" w:lineRule="exact"/>
        <w:ind w:firstLine="420" w:firstLineChars="200"/>
        <w:rPr>
          <w:rFonts w:ascii="宋体"/>
          <w:color w:val="000000" w:themeColor="text1"/>
          <w:highlight w:val="none"/>
          <w14:textFill>
            <w14:solidFill>
              <w14:schemeClr w14:val="tx1"/>
            </w14:solidFill>
          </w14:textFill>
        </w:rPr>
      </w:pPr>
    </w:p>
    <w:p>
      <w:pPr>
        <w:spacing w:line="400" w:lineRule="exact"/>
        <w:ind w:firstLine="420" w:firstLineChars="200"/>
        <w:rPr>
          <w:rFonts w:ascii="宋体"/>
          <w:color w:val="000000" w:themeColor="text1"/>
          <w:highlight w:val="none"/>
          <w14:textFill>
            <w14:solidFill>
              <w14:schemeClr w14:val="tx1"/>
            </w14:solidFill>
          </w14:textFill>
        </w:rPr>
      </w:pPr>
    </w:p>
    <w:p>
      <w:pPr>
        <w:numPr>
          <w:ilvl w:val="0"/>
          <w:numId w:val="0"/>
        </w:numPr>
        <w:spacing w:line="400" w:lineRule="exact"/>
        <w:jc w:val="center"/>
        <w:rPr>
          <w:rFonts w:ascii="宋体"/>
          <w:color w:val="000000" w:themeColor="text1"/>
          <w:highlight w:val="none"/>
          <w14:textFill>
            <w14:solidFill>
              <w14:schemeClr w14:val="tx1"/>
            </w14:solidFill>
          </w14:textFill>
        </w:rPr>
      </w:pPr>
      <w:r>
        <w:rPr>
          <w:rFonts w:hint="eastAsia" w:ascii="宋体"/>
          <w:b/>
          <w:color w:val="000000" w:themeColor="text1"/>
          <w:sz w:val="32"/>
          <w:szCs w:val="28"/>
          <w:highlight w:val="none"/>
          <w:lang w:eastAsia="zh-CN"/>
          <w14:textFill>
            <w14:solidFill>
              <w14:schemeClr w14:val="tx1"/>
            </w14:solidFill>
          </w14:textFill>
        </w:rPr>
        <w:t>一、</w:t>
      </w:r>
      <w:r>
        <w:rPr>
          <w:rFonts w:hint="eastAsia" w:ascii="宋体"/>
          <w:b/>
          <w:color w:val="000000" w:themeColor="text1"/>
          <w:sz w:val="32"/>
          <w:szCs w:val="28"/>
          <w:highlight w:val="none"/>
          <w14:textFill>
            <w14:solidFill>
              <w14:schemeClr w14:val="tx1"/>
            </w14:solidFill>
          </w14:textFill>
        </w:rPr>
        <w:t>合同协议书</w:t>
      </w:r>
    </w:p>
    <w:p>
      <w:pPr>
        <w:spacing w:line="400" w:lineRule="exact"/>
        <w:jc w:val="center"/>
        <w:rPr>
          <w:rFonts w:ascii="宋体"/>
          <w:b/>
          <w:color w:val="000000" w:themeColor="text1"/>
          <w:sz w:val="32"/>
          <w:szCs w:val="28"/>
          <w:highlight w:val="none"/>
          <w14:textFill>
            <w14:solidFill>
              <w14:schemeClr w14:val="tx1"/>
            </w14:solidFill>
          </w14:textFill>
        </w:rPr>
      </w:pPr>
    </w:p>
    <w:p>
      <w:pPr>
        <w:spacing w:line="460" w:lineRule="exact"/>
        <w:rPr>
          <w:rFonts w:hint="default" w:ascii="MingLiU_HKSCS" w:hAnsi="MingLiU_HKSCS" w:eastAsia="宋体" w:cs="MingLiU_HKSCS"/>
          <w:b/>
          <w:color w:val="000000" w:themeColor="text1"/>
          <w:sz w:val="28"/>
          <w:szCs w:val="28"/>
          <w:highlight w:val="none"/>
          <w:u w:val="single"/>
          <w:lang w:val="en-US" w:eastAsia="zh-CN"/>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发包人（全称）：</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b/>
          <w:color w:val="000000" w:themeColor="text1"/>
          <w:sz w:val="28"/>
          <w:szCs w:val="28"/>
          <w:highlight w:val="none"/>
          <w:u w:val="singl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承包人（全称）：</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工程施工及有关事项协商一致，共同达成如下协议：</w:t>
      </w:r>
    </w:p>
    <w:p>
      <w:pPr>
        <w:spacing w:line="460" w:lineRule="exact"/>
        <w:rPr>
          <w:rFonts w:ascii="宋体"/>
          <w:color w:val="000000" w:themeColor="text1"/>
          <w:sz w:val="28"/>
          <w:szCs w:val="28"/>
          <w:highlight w:val="none"/>
          <w14:textFill>
            <w14:solidFill>
              <w14:schemeClr w14:val="tx1"/>
            </w14:solidFill>
          </w14:textFill>
        </w:rPr>
      </w:pPr>
      <w:bookmarkStart w:id="577" w:name="_Toc351203481"/>
      <w:r>
        <w:rPr>
          <w:rFonts w:hint="eastAsia" w:ascii="宋体"/>
          <w:color w:val="000000" w:themeColor="text1"/>
          <w:sz w:val="28"/>
          <w:szCs w:val="28"/>
          <w:highlight w:val="none"/>
          <w14:textFill>
            <w14:solidFill>
              <w14:schemeClr w14:val="tx1"/>
            </w14:solidFill>
          </w14:textFill>
        </w:rPr>
        <w:t>一、工程概况</w:t>
      </w:r>
      <w:bookmarkEnd w:id="577"/>
    </w:p>
    <w:p>
      <w:pPr>
        <w:spacing w:line="460" w:lineRule="exact"/>
        <w:ind w:firstLine="560" w:firstLineChars="200"/>
        <w:rPr>
          <w:rFonts w:ascii="宋体"/>
          <w:color w:val="000000" w:themeColor="text1"/>
          <w:sz w:val="28"/>
          <w:szCs w:val="28"/>
          <w:highlight w:val="none"/>
          <w:u w:val="singl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1.工程名称</w:t>
      </w:r>
      <w:r>
        <w:rPr>
          <w:rFonts w:hint="eastAsia" w:ascii="宋体"/>
          <w:color w:val="000000" w:themeColor="text1"/>
          <w:sz w:val="28"/>
          <w:szCs w:val="28"/>
          <w:highlight w:val="none"/>
          <w14:textFill>
            <w14:solidFill>
              <w14:schemeClr w14:val="tx1"/>
            </w14:solidFill>
          </w14:textFill>
        </w:rPr>
        <w:t>：</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2.工程地点：</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b/>
          <w:color w:val="000000" w:themeColor="text1"/>
          <w:sz w:val="28"/>
          <w:szCs w:val="28"/>
          <w:highlight w:val="none"/>
          <w:u w:val="singl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3.工程立项批准文号：</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4.资金来源：</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b/>
          <w:color w:val="000000" w:themeColor="text1"/>
          <w:sz w:val="28"/>
          <w:szCs w:val="28"/>
          <w:highlight w:val="none"/>
          <w:u w:val="singl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5.工程内容：</w:t>
      </w:r>
      <w:r>
        <w:rPr>
          <w:rFonts w:hint="eastAsia" w:ascii="宋体"/>
          <w:b/>
          <w:color w:val="000000" w:themeColor="text1"/>
          <w:sz w:val="28"/>
          <w:szCs w:val="28"/>
          <w:highlight w:val="none"/>
          <w:u w:val="single"/>
          <w:lang w:val="en-US" w:eastAsia="zh-CN"/>
          <w14:textFill>
            <w14:solidFill>
              <w14:schemeClr w14:val="tx1"/>
            </w14:solidFill>
          </w14:textFill>
        </w:rPr>
        <w:t xml:space="preserve">                                     </w:t>
      </w:r>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群体工程应附《承包人承揽工程项目一览表》（附件1）。</w:t>
      </w:r>
    </w:p>
    <w:p>
      <w:pPr>
        <w:spacing w:line="46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6.工程承包范围：</w:t>
      </w:r>
      <w:r>
        <w:rPr>
          <w:rFonts w:hint="eastAsia" w:ascii="宋体"/>
          <w:b/>
          <w:color w:val="000000" w:themeColor="text1"/>
          <w:sz w:val="28"/>
          <w:szCs w:val="28"/>
          <w:highlight w:val="none"/>
          <w:u w:val="single"/>
          <w:lang w:val="en-US" w:eastAsia="zh-CN"/>
          <w14:textFill>
            <w14:solidFill>
              <w14:schemeClr w14:val="tx1"/>
            </w14:solidFill>
          </w14:textFill>
        </w:rPr>
        <w:t xml:space="preserve">                                 </w:t>
      </w:r>
      <w:bookmarkStart w:id="578" w:name="_Toc351203482"/>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二、合同工期</w:t>
      </w:r>
      <w:bookmarkEnd w:id="578"/>
    </w:p>
    <w:p>
      <w:pPr>
        <w:spacing w:line="4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计划开工日期：</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line="4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计划竣工日期：</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工期总日历天数：</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天。工期总日</w:t>
      </w:r>
      <w:r>
        <w:rPr>
          <w:rFonts w:hint="eastAsia" w:ascii="宋体"/>
          <w:color w:val="000000" w:themeColor="text1"/>
          <w:sz w:val="28"/>
          <w:szCs w:val="28"/>
          <w:highlight w:val="none"/>
          <w14:textFill>
            <w14:solidFill>
              <w14:schemeClr w14:val="tx1"/>
            </w14:solidFill>
          </w14:textFill>
        </w:rPr>
        <w:t>历天数与根据前述计划开竣工日期计算的工期天数不一致的，以工期总日历天数为准。</w:t>
      </w:r>
    </w:p>
    <w:p>
      <w:pPr>
        <w:spacing w:line="460" w:lineRule="exact"/>
        <w:rPr>
          <w:rFonts w:ascii="宋体"/>
          <w:color w:val="000000" w:themeColor="text1"/>
          <w:sz w:val="28"/>
          <w:szCs w:val="28"/>
          <w:highlight w:val="none"/>
          <w14:textFill>
            <w14:solidFill>
              <w14:schemeClr w14:val="tx1"/>
            </w14:solidFill>
          </w14:textFill>
        </w:rPr>
      </w:pPr>
      <w:bookmarkStart w:id="579" w:name="_Toc351203483"/>
      <w:r>
        <w:rPr>
          <w:rFonts w:hint="eastAsia" w:ascii="宋体"/>
          <w:color w:val="000000" w:themeColor="text1"/>
          <w:sz w:val="28"/>
          <w:szCs w:val="28"/>
          <w:highlight w:val="none"/>
          <w14:textFill>
            <w14:solidFill>
              <w14:schemeClr w14:val="tx1"/>
            </w14:solidFill>
          </w14:textFill>
        </w:rPr>
        <w:t>三、质量标准</w:t>
      </w:r>
      <w:bookmarkEnd w:id="579"/>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工程质量符合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标准。</w:t>
      </w:r>
    </w:p>
    <w:p>
      <w:pPr>
        <w:spacing w:line="460" w:lineRule="exact"/>
        <w:rPr>
          <w:rFonts w:ascii="宋体"/>
          <w:color w:val="000000" w:themeColor="text1"/>
          <w:sz w:val="28"/>
          <w:szCs w:val="28"/>
          <w:highlight w:val="none"/>
          <w14:textFill>
            <w14:solidFill>
              <w14:schemeClr w14:val="tx1"/>
            </w14:solidFill>
          </w14:textFill>
        </w:rPr>
      </w:pPr>
      <w:bookmarkStart w:id="580" w:name="_Toc351203484"/>
      <w:r>
        <w:rPr>
          <w:rFonts w:hint="eastAsia" w:ascii="宋体"/>
          <w:color w:val="000000" w:themeColor="text1"/>
          <w:sz w:val="28"/>
          <w:szCs w:val="28"/>
          <w:highlight w:val="none"/>
          <w14:textFill>
            <w14:solidFill>
              <w14:schemeClr w14:val="tx1"/>
            </w14:solidFill>
          </w14:textFill>
        </w:rPr>
        <w:t>四、签约合同价与合同价格形式</w:t>
      </w:r>
      <w:bookmarkEnd w:id="580"/>
      <w:r>
        <w:rPr>
          <w:rFonts w:hint="eastAsia" w:ascii="宋体"/>
          <w:color w:val="000000" w:themeColor="text1"/>
          <w:sz w:val="28"/>
          <w:szCs w:val="28"/>
          <w:highlight w:val="none"/>
          <w14:textFill>
            <w14:solidFill>
              <w14:schemeClr w14:val="tx1"/>
            </w14:solidFill>
          </w14:textFill>
        </w:rPr>
        <w:tab/>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1.签约合同价为：</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其中：</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（1）安全文明施工费：</w:t>
      </w:r>
    </w:p>
    <w:p>
      <w:pPr>
        <w:spacing w:line="460" w:lineRule="exact"/>
        <w:ind w:firstLine="1400" w:firstLineChars="5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（2）材料和工程设备暂估价金额：</w:t>
      </w:r>
    </w:p>
    <w:p>
      <w:pPr>
        <w:spacing w:line="460" w:lineRule="exact"/>
        <w:ind w:firstLine="1400" w:firstLineChars="5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（3）专业工程暂估价金额：</w:t>
      </w:r>
    </w:p>
    <w:p>
      <w:pPr>
        <w:spacing w:line="460" w:lineRule="exact"/>
        <w:ind w:firstLine="1400" w:firstLineChars="5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（4）暂列金额：</w:t>
      </w:r>
    </w:p>
    <w:p>
      <w:pPr>
        <w:spacing w:line="460" w:lineRule="exact"/>
        <w:ind w:firstLine="1400" w:firstLineChars="5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2.合同价格形式：</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bookmarkStart w:id="581" w:name="_Toc351203485"/>
      <w:r>
        <w:rPr>
          <w:rFonts w:hint="eastAsia" w:ascii="宋体"/>
          <w:color w:val="000000" w:themeColor="text1"/>
          <w:sz w:val="28"/>
          <w:szCs w:val="28"/>
          <w:highlight w:val="none"/>
          <w14:textFill>
            <w14:solidFill>
              <w14:schemeClr w14:val="tx1"/>
            </w14:solidFill>
          </w14:textFill>
        </w:rPr>
        <w:t>五、</w:t>
      </w:r>
      <w:bookmarkEnd w:id="581"/>
      <w:r>
        <w:rPr>
          <w:rFonts w:hint="eastAsia" w:ascii="宋体"/>
          <w:color w:val="000000" w:themeColor="text1"/>
          <w:sz w:val="28"/>
          <w:szCs w:val="28"/>
          <w:highlight w:val="none"/>
          <w14:textFill>
            <w14:solidFill>
              <w14:schemeClr w14:val="tx1"/>
            </w14:solidFill>
          </w14:textFill>
        </w:rPr>
        <w:t>项目负责人</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承包人项目负责人：</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bookmarkStart w:id="582" w:name="_Toc351203486"/>
      <w:r>
        <w:rPr>
          <w:rFonts w:hint="eastAsia" w:ascii="宋体"/>
          <w:color w:val="000000" w:themeColor="text1"/>
          <w:sz w:val="28"/>
          <w:szCs w:val="28"/>
          <w:highlight w:val="none"/>
          <w14:textFill>
            <w14:solidFill>
              <w14:schemeClr w14:val="tx1"/>
            </w14:solidFill>
          </w14:textFill>
        </w:rPr>
        <w:t>六、合同文件构成</w:t>
      </w:r>
      <w:bookmarkEnd w:id="582"/>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本协议书与下列文件一起构成合同文件：</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（1）中标通知书（如果有）；</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（2）投标函及其附录（如果有）； </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（3）专用合同条款及其附件；</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（4）通用合同条款；</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（5）技术标准和要求；</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（6）图纸；</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（7）已标价工程量清单或预算书；</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（8）其他合同文件。</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在合同订立及履行过程中形成的与合同有关的文件均构成合同文件组成部分。</w:t>
      </w:r>
    </w:p>
    <w:p>
      <w:pPr>
        <w:autoSpaceDE w:val="0"/>
        <w:autoSpaceDN w:val="0"/>
        <w:adjustRightInd w:val="0"/>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spacing w:line="460" w:lineRule="exact"/>
        <w:rPr>
          <w:rFonts w:ascii="宋体"/>
          <w:color w:val="000000" w:themeColor="text1"/>
          <w:sz w:val="28"/>
          <w:szCs w:val="28"/>
          <w:highlight w:val="none"/>
          <w14:textFill>
            <w14:solidFill>
              <w14:schemeClr w14:val="tx1"/>
            </w14:solidFill>
          </w14:textFill>
        </w:rPr>
      </w:pPr>
      <w:bookmarkStart w:id="583" w:name="_Toc351203487"/>
      <w:r>
        <w:rPr>
          <w:rFonts w:hint="eastAsia" w:ascii="宋体"/>
          <w:color w:val="000000" w:themeColor="text1"/>
          <w:sz w:val="28"/>
          <w:szCs w:val="28"/>
          <w:highlight w:val="none"/>
          <w14:textFill>
            <w14:solidFill>
              <w14:schemeClr w14:val="tx1"/>
            </w14:solidFill>
          </w14:textFill>
        </w:rPr>
        <w:t>七、承诺</w:t>
      </w:r>
      <w:bookmarkEnd w:id="583"/>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1.发包人承诺按照法律规定履行项目审批手续、筹集工程建设资金并按照合同约定的期限和方式支付合同价款。</w:t>
      </w:r>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3.发包人和承包人通过招投标形式签订合同的，双方理解并承诺不再就同一工程另行签订与合同实质性内容相背离的协议。</w:t>
      </w:r>
      <w:bookmarkStart w:id="584" w:name="_Toc351203488"/>
    </w:p>
    <w:p>
      <w:pPr>
        <w:spacing w:line="460" w:lineRule="exact"/>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八、词语含义</w:t>
      </w:r>
      <w:bookmarkEnd w:id="584"/>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本协议书中词语含义与第二部分通用合同条款中赋予的含义相同。</w:t>
      </w:r>
    </w:p>
    <w:p>
      <w:pPr>
        <w:spacing w:line="460" w:lineRule="exact"/>
        <w:rPr>
          <w:rFonts w:ascii="宋体"/>
          <w:color w:val="000000" w:themeColor="text1"/>
          <w:sz w:val="28"/>
          <w:szCs w:val="28"/>
          <w:highlight w:val="none"/>
          <w14:textFill>
            <w14:solidFill>
              <w14:schemeClr w14:val="tx1"/>
            </w14:solidFill>
          </w14:textFill>
        </w:rPr>
      </w:pPr>
      <w:bookmarkStart w:id="585" w:name="_Toc351203489"/>
      <w:r>
        <w:rPr>
          <w:rFonts w:hint="eastAsia" w:ascii="宋体"/>
          <w:color w:val="000000" w:themeColor="text1"/>
          <w:sz w:val="28"/>
          <w:szCs w:val="28"/>
          <w:highlight w:val="none"/>
          <w14:textFill>
            <w14:solidFill>
              <w14:schemeClr w14:val="tx1"/>
            </w14:solidFill>
          </w14:textFill>
        </w:rPr>
        <w:t>九、签订时间</w:t>
      </w:r>
      <w:bookmarkEnd w:id="585"/>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本合同于</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年</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月</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日签订。</w:t>
      </w:r>
    </w:p>
    <w:p>
      <w:pPr>
        <w:spacing w:line="460" w:lineRule="exact"/>
        <w:rPr>
          <w:rFonts w:ascii="宋体"/>
          <w:color w:val="000000" w:themeColor="text1"/>
          <w:sz w:val="28"/>
          <w:szCs w:val="28"/>
          <w:highlight w:val="none"/>
          <w14:textFill>
            <w14:solidFill>
              <w14:schemeClr w14:val="tx1"/>
            </w14:solidFill>
          </w14:textFill>
        </w:rPr>
      </w:pPr>
      <w:bookmarkStart w:id="586" w:name="_Toc351203490"/>
      <w:r>
        <w:rPr>
          <w:rFonts w:hint="eastAsia" w:ascii="宋体"/>
          <w:color w:val="000000" w:themeColor="text1"/>
          <w:sz w:val="28"/>
          <w:szCs w:val="28"/>
          <w:highlight w:val="none"/>
          <w14:textFill>
            <w14:solidFill>
              <w14:schemeClr w14:val="tx1"/>
            </w14:solidFill>
          </w14:textFill>
        </w:rPr>
        <w:t>十、签订地点</w:t>
      </w:r>
      <w:bookmarkEnd w:id="586"/>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本合同在</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签订。</w:t>
      </w:r>
    </w:p>
    <w:p>
      <w:pPr>
        <w:spacing w:line="460" w:lineRule="exact"/>
        <w:rPr>
          <w:rFonts w:ascii="宋体"/>
          <w:color w:val="000000" w:themeColor="text1"/>
          <w:sz w:val="28"/>
          <w:szCs w:val="28"/>
          <w:highlight w:val="none"/>
          <w14:textFill>
            <w14:solidFill>
              <w14:schemeClr w14:val="tx1"/>
            </w14:solidFill>
          </w14:textFill>
        </w:rPr>
      </w:pPr>
      <w:bookmarkStart w:id="587" w:name="_Toc351203491"/>
      <w:r>
        <w:rPr>
          <w:rFonts w:hint="eastAsia" w:ascii="宋体"/>
          <w:color w:val="000000" w:themeColor="text1"/>
          <w:sz w:val="28"/>
          <w:szCs w:val="28"/>
          <w:highlight w:val="none"/>
          <w14:textFill>
            <w14:solidFill>
              <w14:schemeClr w14:val="tx1"/>
            </w14:solidFill>
          </w14:textFill>
        </w:rPr>
        <w:t>十一、补充协议</w:t>
      </w:r>
      <w:bookmarkEnd w:id="587"/>
    </w:p>
    <w:p>
      <w:pPr>
        <w:spacing w:line="460" w:lineRule="exact"/>
        <w:ind w:firstLine="560" w:firstLineChars="200"/>
        <w:rPr>
          <w:rFonts w:ascii="宋体"/>
          <w:b/>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合同未尽事宜，合同当事人另行签订补充协议，补充协议是合同的组成部分。</w:t>
      </w:r>
    </w:p>
    <w:p>
      <w:pPr>
        <w:spacing w:line="460" w:lineRule="exact"/>
        <w:rPr>
          <w:rFonts w:ascii="宋体"/>
          <w:color w:val="000000" w:themeColor="text1"/>
          <w:sz w:val="28"/>
          <w:szCs w:val="28"/>
          <w:highlight w:val="none"/>
          <w14:textFill>
            <w14:solidFill>
              <w14:schemeClr w14:val="tx1"/>
            </w14:solidFill>
          </w14:textFill>
        </w:rPr>
      </w:pPr>
      <w:bookmarkStart w:id="588" w:name="_Toc351203492"/>
      <w:r>
        <w:rPr>
          <w:rFonts w:hint="eastAsia" w:ascii="宋体"/>
          <w:color w:val="000000" w:themeColor="text1"/>
          <w:sz w:val="28"/>
          <w:szCs w:val="28"/>
          <w:highlight w:val="none"/>
          <w14:textFill>
            <w14:solidFill>
              <w14:schemeClr w14:val="tx1"/>
            </w14:solidFill>
          </w14:textFill>
        </w:rPr>
        <w:t>十二、合同生效</w:t>
      </w:r>
      <w:bookmarkEnd w:id="588"/>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本合同自</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生效。</w:t>
      </w:r>
    </w:p>
    <w:p>
      <w:pPr>
        <w:spacing w:line="460" w:lineRule="exact"/>
        <w:rPr>
          <w:rFonts w:ascii="宋体"/>
          <w:color w:val="000000" w:themeColor="text1"/>
          <w:sz w:val="28"/>
          <w:szCs w:val="28"/>
          <w:highlight w:val="none"/>
          <w14:textFill>
            <w14:solidFill>
              <w14:schemeClr w14:val="tx1"/>
            </w14:solidFill>
          </w14:textFill>
        </w:rPr>
      </w:pPr>
      <w:bookmarkStart w:id="589" w:name="_Toc351203493"/>
      <w:r>
        <w:rPr>
          <w:rFonts w:hint="eastAsia" w:ascii="宋体"/>
          <w:color w:val="000000" w:themeColor="text1"/>
          <w:sz w:val="28"/>
          <w:szCs w:val="28"/>
          <w:highlight w:val="none"/>
          <w14:textFill>
            <w14:solidFill>
              <w14:schemeClr w14:val="tx1"/>
            </w14:solidFill>
          </w14:textFill>
        </w:rPr>
        <w:t>十三、合同份数</w:t>
      </w:r>
      <w:bookmarkEnd w:id="589"/>
    </w:p>
    <w:p>
      <w:pPr>
        <w:spacing w:line="460" w:lineRule="exact"/>
        <w:ind w:firstLine="560" w:firstLineChars="200"/>
        <w:rPr>
          <w:rFonts w:ascii="宋体"/>
          <w:bCs/>
          <w:color w:val="000000" w:themeColor="text1"/>
          <w:sz w:val="28"/>
          <w:szCs w:val="28"/>
          <w:highlight w:val="none"/>
          <w14:textFill>
            <w14:solidFill>
              <w14:schemeClr w14:val="tx1"/>
            </w14:solidFill>
          </w14:textFill>
        </w:rPr>
      </w:pPr>
      <w:r>
        <w:rPr>
          <w:rFonts w:hint="eastAsia" w:ascii="宋体"/>
          <w:bCs/>
          <w:color w:val="000000" w:themeColor="text1"/>
          <w:sz w:val="28"/>
          <w:szCs w:val="28"/>
          <w:highlight w:val="none"/>
          <w14:textFill>
            <w14:solidFill>
              <w14:schemeClr w14:val="tx1"/>
            </w14:solidFill>
          </w14:textFill>
        </w:rPr>
        <w:t>本合同一式</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份，均具有同等法律效力，发包人执</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份，承包人执</w:t>
      </w:r>
      <w:r>
        <w:rPr>
          <w:rFonts w:hint="eastAsia" w:asci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bCs/>
          <w:color w:val="000000" w:themeColor="text1"/>
          <w:sz w:val="28"/>
          <w:szCs w:val="28"/>
          <w:highlight w:val="none"/>
          <w14:textFill>
            <w14:solidFill>
              <w14:schemeClr w14:val="tx1"/>
            </w14:solidFill>
          </w14:textFill>
        </w:rPr>
        <w:t>份。</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发包人：(公章)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承包人：(公章)</w:t>
      </w:r>
    </w:p>
    <w:p>
      <w:pPr>
        <w:spacing w:line="460" w:lineRule="exact"/>
        <w:rPr>
          <w:rFonts w:ascii="宋体"/>
          <w:color w:val="000000" w:themeColor="text1"/>
          <w:sz w:val="28"/>
          <w:szCs w:val="28"/>
          <w:highlight w:val="none"/>
          <w:u w:val="singl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法定代表人或其委托代理人：       法定代表人或其委托代理人：</w:t>
      </w:r>
    </w:p>
    <w:p>
      <w:pPr>
        <w:spacing w:line="460" w:lineRule="exact"/>
        <w:ind w:firstLine="2520" w:firstLineChars="9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（签字）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（签字）</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组织机构代码：</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组织机构代码：</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8"/>
          <w:szCs w:val="28"/>
          <w:highlight w:val="none"/>
          <w:lang w:val="en-US"/>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none"/>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8"/>
          <w:szCs w:val="28"/>
          <w:highlight w:val="none"/>
          <w:lang w:val="en-US"/>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邮政编码：</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邮政编码：</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8"/>
          <w:szCs w:val="28"/>
          <w:highlight w:val="none"/>
          <w:lang w:val="en-US"/>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法定代表人：</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8"/>
          <w:szCs w:val="28"/>
          <w:highlight w:val="none"/>
          <w:lang w:val="en-US"/>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委托代理人：</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委托代理人：</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8"/>
          <w:szCs w:val="28"/>
          <w:highlight w:val="none"/>
          <w:lang w:val="en-US"/>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电  话：</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电  话：</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传  真：</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传  真：</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电子信箱：</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电子信箱：</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开户银行：</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开户银行：</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账  号：</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账  号：</w:t>
      </w:r>
      <w:r>
        <w:rPr>
          <w:rFonts w:hint="eastAsia" w:ascii="宋体"/>
          <w:color w:val="000000" w:themeColor="text1"/>
          <w:sz w:val="28"/>
          <w:szCs w:val="28"/>
          <w:highlight w:val="none"/>
          <w:u w:val="single"/>
          <w:lang w:val="en-US" w:eastAsia="zh-CN"/>
          <w14:textFill>
            <w14:solidFill>
              <w14:schemeClr w14:val="tx1"/>
            </w14:solidFill>
          </w14:textFill>
        </w:rPr>
        <w:t xml:space="preserve">                  </w:t>
      </w:r>
    </w:p>
    <w:tbl>
      <w:tblPr>
        <w:tblStyle w:val="24"/>
        <w:tblpPr w:leftFromText="180" w:rightFromText="180" w:vertAnchor="text" w:horzAnchor="page" w:tblpXSpec="center" w:tblpY="730"/>
        <w:tblOverlap w:val="never"/>
        <w:tblW w:w="9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806"/>
        <w:gridCol w:w="774"/>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 w:hRule="atLeast"/>
          <w:jc w:val="center"/>
        </w:trPr>
        <w:tc>
          <w:tcPr>
            <w:tcW w:w="1267"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单位工程名称</w:t>
            </w:r>
          </w:p>
        </w:tc>
        <w:tc>
          <w:tcPr>
            <w:tcW w:w="763"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建设规模</w:t>
            </w:r>
          </w:p>
        </w:tc>
        <w:tc>
          <w:tcPr>
            <w:tcW w:w="1406"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建筑面积(平方米)</w:t>
            </w:r>
          </w:p>
        </w:tc>
        <w:tc>
          <w:tcPr>
            <w:tcW w:w="806"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结</w:t>
            </w:r>
            <w:r>
              <w:rPr>
                <w:rFonts w:hint="eastAsia"/>
                <w:color w:val="000000" w:themeColor="text1"/>
                <w:sz w:val="24"/>
                <w:szCs w:val="24"/>
                <w:highlight w:val="none"/>
                <w14:textFill>
                  <w14:solidFill>
                    <w14:schemeClr w14:val="tx1"/>
                  </w14:solidFill>
                </w14:textFill>
              </w:rPr>
              <w:t>构形式</w:t>
            </w:r>
          </w:p>
        </w:tc>
        <w:tc>
          <w:tcPr>
            <w:tcW w:w="774"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层数</w:t>
            </w:r>
          </w:p>
        </w:tc>
        <w:tc>
          <w:tcPr>
            <w:tcW w:w="764"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生产能力</w:t>
            </w:r>
          </w:p>
        </w:tc>
        <w:tc>
          <w:tcPr>
            <w:tcW w:w="1071"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设备安装内容</w:t>
            </w:r>
          </w:p>
        </w:tc>
        <w:tc>
          <w:tcPr>
            <w:tcW w:w="893" w:type="dxa"/>
            <w:tcBorders>
              <w:top w:val="single" w:color="auto" w:sz="12" w:space="0"/>
              <w:bottom w:val="double" w:color="auto" w:sz="6" w:space="0"/>
            </w:tcBorders>
            <w:noWrap/>
            <w:vAlign w:val="center"/>
          </w:tcPr>
          <w:p>
            <w:pPr>
              <w:pStyle w:val="11"/>
              <w:keepNext/>
              <w:spacing w:line="44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合同价格（元）</w:t>
            </w:r>
          </w:p>
        </w:tc>
        <w:tc>
          <w:tcPr>
            <w:tcW w:w="844" w:type="dxa"/>
            <w:tcBorders>
              <w:top w:val="single" w:color="auto" w:sz="12" w:space="0"/>
              <w:bottom w:val="double" w:color="auto" w:sz="6" w:space="0"/>
            </w:tcBorders>
            <w:noWrap/>
            <w:vAlign w:val="center"/>
          </w:tcPr>
          <w:p>
            <w:pPr>
              <w:pStyle w:val="11"/>
              <w:keepNext/>
              <w:spacing w:line="440" w:lineRule="exact"/>
              <w:ind w:left="63" w:right="63"/>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开工日期</w:t>
            </w:r>
          </w:p>
        </w:tc>
        <w:tc>
          <w:tcPr>
            <w:tcW w:w="843" w:type="dxa"/>
            <w:tcBorders>
              <w:top w:val="single" w:color="auto" w:sz="12" w:space="0"/>
              <w:bottom w:val="double" w:color="auto" w:sz="6" w:space="0"/>
            </w:tcBorders>
            <w:noWrap/>
            <w:vAlign w:val="center"/>
          </w:tcPr>
          <w:p>
            <w:pPr>
              <w:pStyle w:val="11"/>
              <w:keepNext/>
              <w:spacing w:line="440" w:lineRule="exact"/>
              <w:ind w:left="63" w:right="63"/>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double" w:color="auto" w:sz="6" w:space="0"/>
              <w:bottom w:val="single" w:color="auto" w:sz="6" w:space="0"/>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9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4"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43" w:type="dxa"/>
            <w:tcBorders>
              <w:top w:val="nil"/>
            </w:tcBorders>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3"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4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806"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7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764" w:type="dxa"/>
            <w:noWrap/>
            <w:vAlign w:val="center"/>
          </w:tcPr>
          <w:p>
            <w:pPr>
              <w:pStyle w:val="11"/>
              <w:keepNext/>
              <w:spacing w:line="440" w:lineRule="exact"/>
              <w:ind w:left="63" w:right="63"/>
              <w:rPr>
                <w:color w:val="000000" w:themeColor="text1"/>
                <w:sz w:val="28"/>
                <w:szCs w:val="28"/>
                <w:highlight w:val="none"/>
                <w14:textFill>
                  <w14:solidFill>
                    <w14:schemeClr w14:val="tx1"/>
                  </w14:solidFill>
                </w14:textFill>
              </w:rPr>
            </w:pPr>
          </w:p>
        </w:tc>
        <w:tc>
          <w:tcPr>
            <w:tcW w:w="1071" w:type="dxa"/>
            <w:noWrap/>
            <w:vAlign w:val="center"/>
          </w:tcPr>
          <w:p>
            <w:pPr>
              <w:pStyle w:val="11"/>
              <w:keepNext/>
              <w:spacing w:line="440" w:lineRule="exact"/>
              <w:ind w:left="2100" w:right="63"/>
              <w:rPr>
                <w:color w:val="000000" w:themeColor="text1"/>
                <w:sz w:val="28"/>
                <w:szCs w:val="28"/>
                <w:highlight w:val="none"/>
                <w14:textFill>
                  <w14:solidFill>
                    <w14:schemeClr w14:val="tx1"/>
                  </w14:solidFill>
                </w14:textFill>
              </w:rPr>
            </w:pPr>
          </w:p>
        </w:tc>
        <w:tc>
          <w:tcPr>
            <w:tcW w:w="893" w:type="dxa"/>
            <w:noWrap/>
            <w:vAlign w:val="center"/>
          </w:tcPr>
          <w:p>
            <w:pPr>
              <w:pStyle w:val="11"/>
              <w:keepNext/>
              <w:spacing w:line="440" w:lineRule="exact"/>
              <w:ind w:left="2100" w:right="63"/>
              <w:rPr>
                <w:color w:val="000000" w:themeColor="text1"/>
                <w:sz w:val="28"/>
                <w:szCs w:val="28"/>
                <w:highlight w:val="none"/>
                <w14:textFill>
                  <w14:solidFill>
                    <w14:schemeClr w14:val="tx1"/>
                  </w14:solidFill>
                </w14:textFill>
              </w:rPr>
            </w:pPr>
          </w:p>
        </w:tc>
        <w:tc>
          <w:tcPr>
            <w:tcW w:w="844" w:type="dxa"/>
            <w:noWrap/>
            <w:vAlign w:val="center"/>
          </w:tcPr>
          <w:p>
            <w:pPr>
              <w:pStyle w:val="11"/>
              <w:keepNext/>
              <w:spacing w:line="440" w:lineRule="exact"/>
              <w:ind w:left="2100" w:right="63"/>
              <w:rPr>
                <w:color w:val="000000" w:themeColor="text1"/>
                <w:sz w:val="28"/>
                <w:szCs w:val="28"/>
                <w:highlight w:val="none"/>
                <w14:textFill>
                  <w14:solidFill>
                    <w14:schemeClr w14:val="tx1"/>
                  </w14:solidFill>
                </w14:textFill>
              </w:rPr>
            </w:pPr>
          </w:p>
        </w:tc>
        <w:tc>
          <w:tcPr>
            <w:tcW w:w="843" w:type="dxa"/>
            <w:noWrap/>
            <w:vAlign w:val="center"/>
          </w:tcPr>
          <w:p>
            <w:pPr>
              <w:pStyle w:val="11"/>
              <w:keepNext/>
              <w:spacing w:line="440" w:lineRule="exact"/>
              <w:ind w:left="2100" w:right="63"/>
              <w:rPr>
                <w:color w:val="000000" w:themeColor="text1"/>
                <w:sz w:val="28"/>
                <w:szCs w:val="28"/>
                <w:highlight w:val="none"/>
                <w14:textFill>
                  <w14:solidFill>
                    <w14:schemeClr w14:val="tx1"/>
                  </w14:solidFill>
                </w14:textFill>
              </w:rPr>
            </w:pPr>
          </w:p>
        </w:tc>
      </w:tr>
    </w:tbl>
    <w:p>
      <w:pPr>
        <w:spacing w:beforeLines="50" w:afterLines="50" w:line="440" w:lineRule="exact"/>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附件1：</w:t>
      </w:r>
      <w:r>
        <w:rPr>
          <w:rFonts w:hint="eastAsia" w:ascii="宋体"/>
          <w:b/>
          <w:bCs/>
          <w:color w:val="000000" w:themeColor="text1"/>
          <w:sz w:val="28"/>
          <w:szCs w:val="28"/>
          <w:highlight w:val="none"/>
          <w14:textFill>
            <w14:solidFill>
              <w14:schemeClr w14:val="tx1"/>
            </w14:solidFill>
          </w14:textFill>
        </w:rPr>
        <w:t>承包人承揽工程项目一览表</w:t>
      </w:r>
    </w:p>
    <w:p>
      <w:pPr>
        <w:spacing w:line="460" w:lineRule="exact"/>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p>
    <w:p>
      <w:pPr>
        <w:pStyle w:val="7"/>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附件2：</w:t>
      </w:r>
    </w:p>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发包人供应材料设备一览表</w:t>
      </w:r>
    </w:p>
    <w:tbl>
      <w:tblPr>
        <w:tblStyle w:val="24"/>
        <w:tblW w:w="98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2"/>
        <w:gridCol w:w="1143"/>
        <w:gridCol w:w="1207"/>
        <w:gridCol w:w="885"/>
        <w:gridCol w:w="840"/>
        <w:gridCol w:w="1035"/>
        <w:gridCol w:w="795"/>
        <w:gridCol w:w="1185"/>
        <w:gridCol w:w="117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3" w:hRule="atLeast"/>
          <w:jc w:val="center"/>
        </w:trPr>
        <w:tc>
          <w:tcPr>
            <w:tcW w:w="732"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143" w:type="dxa"/>
            <w:tcBorders>
              <w:top w:val="single" w:color="auto" w:sz="12" w:space="0"/>
              <w:bottom w:val="double" w:color="auto" w:sz="6" w:space="0"/>
            </w:tcBorders>
            <w:noWrap/>
            <w:vAlign w:val="center"/>
          </w:tcPr>
          <w:p>
            <w:pPr>
              <w:pStyle w:val="11"/>
              <w:keepNext/>
              <w:spacing w:line="460" w:lineRule="exact"/>
              <w:ind w:right="63"/>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材料、</w:t>
            </w:r>
          </w:p>
          <w:p>
            <w:pPr>
              <w:pStyle w:val="11"/>
              <w:keepNext/>
              <w:spacing w:line="460" w:lineRule="exact"/>
              <w:ind w:right="63"/>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设备品种</w:t>
            </w:r>
          </w:p>
        </w:tc>
        <w:tc>
          <w:tcPr>
            <w:tcW w:w="1207"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规格型号</w:t>
            </w:r>
          </w:p>
        </w:tc>
        <w:tc>
          <w:tcPr>
            <w:tcW w:w="885"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w:t>
            </w:r>
          </w:p>
        </w:tc>
        <w:tc>
          <w:tcPr>
            <w:tcW w:w="840"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c>
          <w:tcPr>
            <w:tcW w:w="1035"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单价（元）</w:t>
            </w:r>
          </w:p>
        </w:tc>
        <w:tc>
          <w:tcPr>
            <w:tcW w:w="795"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质量</w:t>
            </w:r>
          </w:p>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等级</w:t>
            </w:r>
          </w:p>
        </w:tc>
        <w:tc>
          <w:tcPr>
            <w:tcW w:w="1185"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供应时间</w:t>
            </w:r>
          </w:p>
        </w:tc>
        <w:tc>
          <w:tcPr>
            <w:tcW w:w="1170"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送达地点</w:t>
            </w:r>
          </w:p>
        </w:tc>
        <w:tc>
          <w:tcPr>
            <w:tcW w:w="840"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0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03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9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5"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4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w:t>
      </w:r>
      <w:bookmarkStart w:id="590" w:name="_Toc296891054"/>
      <w:bookmarkStart w:id="591" w:name="_Toc296346727"/>
      <w:bookmarkStart w:id="592" w:name="_Toc296944565"/>
      <w:bookmarkStart w:id="593" w:name="_Toc267261693"/>
      <w:bookmarkStart w:id="594" w:name="_Toc296891266"/>
      <w:bookmarkStart w:id="595" w:name="_Toc296347225"/>
      <w:bookmarkStart w:id="596" w:name="_Toc296503226"/>
      <w:r>
        <w:rPr>
          <w:rFonts w:hint="eastAsia" w:ascii="宋体"/>
          <w:color w:val="000000" w:themeColor="text1"/>
          <w:sz w:val="28"/>
          <w:szCs w:val="28"/>
          <w:highlight w:val="none"/>
          <w14:textFill>
            <w14:solidFill>
              <w14:schemeClr w14:val="tx1"/>
            </w14:solidFill>
          </w14:textFill>
        </w:rPr>
        <w:t>件3：</w:t>
      </w:r>
      <w:bookmarkEnd w:id="590"/>
      <w:bookmarkEnd w:id="591"/>
      <w:bookmarkEnd w:id="592"/>
      <w:bookmarkEnd w:id="593"/>
      <w:bookmarkEnd w:id="594"/>
      <w:bookmarkEnd w:id="595"/>
      <w:bookmarkEnd w:id="596"/>
    </w:p>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工程质量保修书</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发包人（全称）：</w:t>
      </w:r>
      <w:r>
        <w:rPr>
          <w:rFonts w:hint="eastAsia" w:ascii="宋体"/>
          <w:color w:val="000000" w:themeColor="text1"/>
          <w:sz w:val="24"/>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承包人（全称）：</w:t>
      </w:r>
      <w:r>
        <w:rPr>
          <w:rFonts w:hint="eastAsia" w:ascii="宋体"/>
          <w:color w:val="000000" w:themeColor="text1"/>
          <w:sz w:val="24"/>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发包人和承包人根据《中华人民共和国建筑法》和《建设工程质量管理条例》，经协商一致就</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（工程全称）签订工程质量保修书。</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一、工程质量保修范围和内容</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承包人在质量保修期内，按照有关法律规定和合同约定，承担工程质量保修责任。</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　　</w:t>
      </w:r>
      <w:r>
        <w:rPr>
          <w:rFonts w:hint="eastAsia" w:ascii="宋体"/>
          <w:color w:val="000000" w:themeColor="text1"/>
          <w:sz w:val="28"/>
          <w:szCs w:val="28"/>
          <w:highlight w:val="none"/>
          <w14:textFill>
            <w14:solidFill>
              <w14:schemeClr w14:val="tx1"/>
            </w14:solidFill>
          </w14:textFill>
        </w:rPr>
        <w:t>二、质量保修期</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根据《建设工程质量管理条例》及有关规定，工程的质量保修期如下：</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1．地基基础工程和主体结构工程为设计文件规定的工程合理使用年限；</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2．屋面防水工程、有防水要求的卫生间、房间和外墙面的防渗为</w:t>
      </w:r>
      <w:r>
        <w:rPr>
          <w:rFonts w:hint="eastAsia" w:ascii="宋体"/>
          <w:color w:val="000000" w:themeColor="text1"/>
          <w:sz w:val="28"/>
          <w:szCs w:val="28"/>
          <w:highlight w:val="none"/>
          <w:u w:val="single"/>
          <w:lang w:val="en-US" w:eastAsia="zh-CN"/>
          <w14:textFill>
            <w14:solidFill>
              <w14:schemeClr w14:val="tx1"/>
            </w14:solidFill>
          </w14:textFill>
        </w:rPr>
        <w:t xml:space="preserve"> / </w:t>
      </w:r>
      <w:r>
        <w:rPr>
          <w:rFonts w:hint="eastAsia" w:ascii="宋体"/>
          <w:color w:val="000000" w:themeColor="text1"/>
          <w:sz w:val="28"/>
          <w:szCs w:val="28"/>
          <w:highlight w:val="none"/>
          <w14:textFill>
            <w14:solidFill>
              <w14:schemeClr w14:val="tx1"/>
            </w14:solidFill>
          </w14:textFill>
        </w:rPr>
        <w:t>年；</w:t>
      </w:r>
    </w:p>
    <w:p>
      <w:pPr>
        <w:spacing w:line="460" w:lineRule="exact"/>
        <w:ind w:left="420" w:leftChars="200" w:firstLine="140" w:firstLineChars="5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3．装修工程为</w:t>
      </w:r>
      <w:r>
        <w:rPr>
          <w:rFonts w:hint="eastAsia" w:ascii="宋体"/>
          <w:color w:val="000000" w:themeColor="text1"/>
          <w:sz w:val="28"/>
          <w:szCs w:val="28"/>
          <w:highlight w:val="none"/>
          <w:u w:val="single"/>
          <w:lang w:val="en-US" w:eastAsia="zh-CN"/>
          <w14:textFill>
            <w14:solidFill>
              <w14:schemeClr w14:val="tx1"/>
            </w14:solidFill>
          </w14:textFill>
        </w:rPr>
        <w:t xml:space="preserve"> / </w:t>
      </w:r>
      <w:r>
        <w:rPr>
          <w:rFonts w:hint="eastAsia" w:ascii="宋体"/>
          <w:color w:val="000000" w:themeColor="text1"/>
          <w:sz w:val="28"/>
          <w:szCs w:val="28"/>
          <w:highlight w:val="none"/>
          <w14:textFill>
            <w14:solidFill>
              <w14:schemeClr w14:val="tx1"/>
            </w14:solidFill>
          </w14:textFill>
        </w:rPr>
        <w:t>年；</w:t>
      </w:r>
    </w:p>
    <w:p>
      <w:pPr>
        <w:spacing w:line="460" w:lineRule="exact"/>
        <w:ind w:left="420" w:leftChars="200" w:firstLine="140" w:firstLineChars="5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4．电气管线、给排水管道、设备安装工程为</w:t>
      </w:r>
      <w:r>
        <w:rPr>
          <w:rFonts w:hint="eastAsia" w:ascii="宋体"/>
          <w:color w:val="000000" w:themeColor="text1"/>
          <w:sz w:val="28"/>
          <w:szCs w:val="28"/>
          <w:highlight w:val="none"/>
          <w:u w:val="single"/>
          <w14:textFill>
            <w14:solidFill>
              <w14:schemeClr w14:val="tx1"/>
            </w14:solidFill>
          </w14:textFill>
        </w:rPr>
        <w:t>1</w:t>
      </w:r>
      <w:r>
        <w:rPr>
          <w:rFonts w:hint="eastAsia" w:ascii="宋体"/>
          <w:color w:val="000000" w:themeColor="text1"/>
          <w:sz w:val="28"/>
          <w:szCs w:val="28"/>
          <w:highlight w:val="none"/>
          <w14:textFill>
            <w14:solidFill>
              <w14:schemeClr w14:val="tx1"/>
            </w14:solidFill>
          </w14:textFill>
        </w:rPr>
        <w:t>年；</w:t>
      </w:r>
    </w:p>
    <w:p>
      <w:pPr>
        <w:spacing w:line="460" w:lineRule="exact"/>
        <w:ind w:left="420" w:leftChars="200" w:firstLine="140" w:firstLineChars="5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5．供热与供冷系统为</w:t>
      </w:r>
      <w:r>
        <w:rPr>
          <w:rFonts w:hint="eastAsia" w:ascii="宋体"/>
          <w:color w:val="000000" w:themeColor="text1"/>
          <w:sz w:val="28"/>
          <w:szCs w:val="28"/>
          <w:highlight w:val="none"/>
          <w:u w:val="single"/>
          <w:lang w:val="en-US" w:eastAsia="zh-CN"/>
          <w14:textFill>
            <w14:solidFill>
              <w14:schemeClr w14:val="tx1"/>
            </w14:solidFill>
          </w14:textFill>
        </w:rPr>
        <w:t xml:space="preserve"> / </w:t>
      </w:r>
      <w:r>
        <w:rPr>
          <w:rFonts w:hint="eastAsia" w:ascii="宋体"/>
          <w:color w:val="000000" w:themeColor="text1"/>
          <w:sz w:val="28"/>
          <w:szCs w:val="28"/>
          <w:highlight w:val="none"/>
          <w14:textFill>
            <w14:solidFill>
              <w14:schemeClr w14:val="tx1"/>
            </w14:solidFill>
          </w14:textFill>
        </w:rPr>
        <w:t>个采暖期、供冷期；</w:t>
      </w:r>
    </w:p>
    <w:p>
      <w:pPr>
        <w:spacing w:line="460" w:lineRule="exact"/>
        <w:ind w:left="420" w:leftChars="200" w:firstLine="140" w:firstLineChars="5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6．住宅小区内的给排水设施、道路等配套工程为</w:t>
      </w:r>
      <w:r>
        <w:rPr>
          <w:rFonts w:hint="eastAsia" w:ascii="宋体"/>
          <w:color w:val="000000" w:themeColor="text1"/>
          <w:sz w:val="28"/>
          <w:szCs w:val="28"/>
          <w:highlight w:val="none"/>
          <w:u w:val="single"/>
          <w:lang w:val="en-US" w:eastAsia="zh-CN"/>
          <w14:textFill>
            <w14:solidFill>
              <w14:schemeClr w14:val="tx1"/>
            </w14:solidFill>
          </w14:textFill>
        </w:rPr>
        <w:t xml:space="preserve"> / </w:t>
      </w:r>
      <w:r>
        <w:rPr>
          <w:rFonts w:hint="eastAsia" w:ascii="宋体"/>
          <w:color w:val="000000" w:themeColor="text1"/>
          <w:sz w:val="28"/>
          <w:szCs w:val="28"/>
          <w:highlight w:val="none"/>
          <w14:textFill>
            <w14:solidFill>
              <w14:schemeClr w14:val="tx1"/>
            </w14:solidFill>
          </w14:textFill>
        </w:rPr>
        <w:t>年；</w:t>
      </w:r>
    </w:p>
    <w:p>
      <w:pPr>
        <w:spacing w:line="460" w:lineRule="exact"/>
        <w:ind w:left="420" w:leftChars="200" w:firstLine="140" w:firstLineChars="5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7．其他项目保修期限约定如下：</w:t>
      </w:r>
    </w:p>
    <w:p>
      <w:pPr>
        <w:spacing w:line="460" w:lineRule="exact"/>
        <w:ind w:firstLine="840" w:firstLineChars="3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lang w:val="en-US" w:eastAsia="zh-CN"/>
          <w14:textFill>
            <w14:solidFill>
              <w14:schemeClr w14:val="tx1"/>
            </w14:solidFill>
          </w14:textFill>
        </w:rPr>
        <w:t xml:space="preserve"> / </w:t>
      </w:r>
      <w:r>
        <w:rPr>
          <w:rFonts w:hint="eastAsia" w:ascii="宋体"/>
          <w:color w:val="000000" w:themeColor="text1"/>
          <w:sz w:val="28"/>
          <w:szCs w:val="28"/>
          <w:highlight w:val="none"/>
          <w14:textFill>
            <w14:solidFill>
              <w14:schemeClr w14:val="tx1"/>
            </w14:solidFill>
          </w14:textFill>
        </w:rPr>
        <w:t>。</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质量保修期自工程竣工验收合格之日起计算。</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三、缺陷责任期</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工程缺陷责任期为</w:t>
      </w:r>
      <w:r>
        <w:rPr>
          <w:rFonts w:hint="eastAsia" w:ascii="宋体"/>
          <w:color w:val="000000" w:themeColor="text1"/>
          <w:sz w:val="28"/>
          <w:szCs w:val="28"/>
          <w:highlight w:val="none"/>
          <w:u w:val="single"/>
          <w14:textFill>
            <w14:solidFill>
              <w14:schemeClr w14:val="tx1"/>
            </w14:solidFill>
          </w14:textFill>
        </w:rPr>
        <w:t>12</w:t>
      </w:r>
      <w:r>
        <w:rPr>
          <w:rFonts w:hint="eastAsia" w:ascii="宋体"/>
          <w:color w:val="000000" w:themeColor="text1"/>
          <w:sz w:val="28"/>
          <w:szCs w:val="28"/>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缺陷责任期终止后，发包人应退还剩余的质量保证金。</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四、质量保修责任</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2．发生紧急事故需抢修的，承包人在接到事故通知后，应当立即到达事故现场抢修。</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4．质量保修完成后，由发包人组织验收。</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五、保修费用</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保修费用由造成质量缺陷的责任方承担。</w:t>
      </w:r>
    </w:p>
    <w:p>
      <w:pPr>
        <w:spacing w:line="460" w:lineRule="exact"/>
        <w:ind w:firstLine="562" w:firstLineChars="200"/>
        <w:jc w:val="left"/>
        <w:rPr>
          <w:rFonts w:ascii="宋体"/>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六</w:t>
      </w:r>
      <w:r>
        <w:rPr>
          <w:rFonts w:hint="eastAsia" w:ascii="宋体"/>
          <w:color w:val="000000" w:themeColor="text1"/>
          <w:sz w:val="28"/>
          <w:szCs w:val="28"/>
          <w:highlight w:val="none"/>
          <w14:textFill>
            <w14:solidFill>
              <w14:schemeClr w14:val="tx1"/>
            </w14:solidFill>
          </w14:textFill>
        </w:rPr>
        <w:t>、双方约定的其他工程质量保修事项：</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pPr>
        <w:spacing w:line="460" w:lineRule="exact"/>
        <w:ind w:firstLine="532" w:firstLineChars="19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工程质量保修书由发包人、承包人在工程竣工验收前共同签署，作为施工合同附件，其有效期限至保修期满。</w:t>
      </w:r>
    </w:p>
    <w:p>
      <w:pPr>
        <w:spacing w:line="460" w:lineRule="exact"/>
        <w:ind w:firstLine="420"/>
        <w:rPr>
          <w:rFonts w:ascii="宋体"/>
          <w:color w:val="000000" w:themeColor="text1"/>
          <w:sz w:val="28"/>
          <w:szCs w:val="28"/>
          <w:highlight w:val="none"/>
          <w14:textFill>
            <w14:solidFill>
              <w14:schemeClr w14:val="tx1"/>
            </w14:solidFill>
          </w14:textFill>
        </w:rPr>
      </w:pPr>
    </w:p>
    <w:p>
      <w:pPr>
        <w:spacing w:line="460" w:lineRule="exact"/>
        <w:rPr>
          <w:rFonts w:hint="default" w:ascii="宋体" w:eastAsia="宋体" w:cs="宋体"/>
          <w:color w:val="000000" w:themeColor="text1"/>
          <w:sz w:val="24"/>
          <w:highlight w:val="none"/>
          <w:u w:val="single"/>
          <w:lang w:val="en-US" w:eastAsia="zh-CN"/>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发包人(公章)</w:t>
      </w:r>
      <w:r>
        <w:rPr>
          <w:rFonts w:hint="eastAsia" w:ascii="宋体"/>
          <w:color w:val="000000" w:themeColor="text1"/>
          <w:sz w:val="28"/>
          <w:szCs w:val="28"/>
          <w:highlight w:val="none"/>
          <w:lang w:eastAsia="zh-CN"/>
          <w14:textFill>
            <w14:solidFill>
              <w14:schemeClr w14:val="tx1"/>
            </w14:solidFill>
          </w14:textFill>
        </w:rPr>
        <w:t>：</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承包人(公章)：</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hint="eastAsia" w:ascii="宋体" w:cs="宋体"/>
          <w:color w:val="000000" w:themeColor="text1"/>
          <w:sz w:val="24"/>
          <w:highlight w:val="none"/>
          <w:u w:val="single"/>
          <w:lang w:val="en-US" w:eastAsia="zh-CN"/>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法定代表人(签字)：</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s="宋体"/>
          <w:color w:val="000000" w:themeColor="text1"/>
          <w:sz w:val="24"/>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法定代表人(签字)：</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委托代理人(签字)：</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s="宋体"/>
          <w:color w:val="000000" w:themeColor="text1"/>
          <w:sz w:val="24"/>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委托代理人(签字)：</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电  话：</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电  话：</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传  真：</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传  真：</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开户银行：</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开户银行：</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账  号：</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账  号：</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邮政编码：</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邮政编码：</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附件4：</w:t>
      </w:r>
    </w:p>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主要建设工程文件目录</w:t>
      </w: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文件名称</w:t>
            </w:r>
          </w:p>
        </w:tc>
        <w:tc>
          <w:tcPr>
            <w:tcW w:w="1276"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套数</w:t>
            </w:r>
          </w:p>
        </w:tc>
        <w:tc>
          <w:tcPr>
            <w:tcW w:w="1450"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费用（元）</w:t>
            </w:r>
          </w:p>
        </w:tc>
        <w:tc>
          <w:tcPr>
            <w:tcW w:w="1243"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质量</w:t>
            </w:r>
          </w:p>
        </w:tc>
        <w:tc>
          <w:tcPr>
            <w:tcW w:w="1450" w:type="dxa"/>
            <w:tcBorders>
              <w:top w:val="single" w:color="auto" w:sz="12" w:space="0"/>
              <w:bottom w:val="double" w:color="auto" w:sz="6" w:space="0"/>
            </w:tcBorders>
            <w:noWrap/>
          </w:tcPr>
          <w:p>
            <w:pPr>
              <w:spacing w:line="46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移交时间</w:t>
            </w:r>
          </w:p>
        </w:tc>
        <w:tc>
          <w:tcPr>
            <w:tcW w:w="1667" w:type="dxa"/>
            <w:tcBorders>
              <w:top w:val="single" w:color="auto" w:sz="12" w:space="0"/>
              <w:bottom w:val="double" w:color="auto" w:sz="6" w:space="0"/>
            </w:tcBorders>
            <w:noWrap/>
          </w:tcPr>
          <w:p>
            <w:pPr>
              <w:spacing w:line="46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7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243"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5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6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8"/>
                <w:szCs w:val="28"/>
                <w:highlight w:val="none"/>
                <w14:textFill>
                  <w14:solidFill>
                    <w14:schemeClr w14:val="tx1"/>
                  </w14:solidFill>
                </w14:textFill>
              </w:rPr>
            </w:pPr>
          </w:p>
        </w:tc>
        <w:tc>
          <w:tcPr>
            <w:tcW w:w="1276"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243" w:type="dxa"/>
            <w:noWrap/>
          </w:tcPr>
          <w:p>
            <w:pPr>
              <w:spacing w:line="460" w:lineRule="exact"/>
              <w:rPr>
                <w:rFonts w:ascii="宋体"/>
                <w:color w:val="000000" w:themeColor="text1"/>
                <w:sz w:val="28"/>
                <w:szCs w:val="28"/>
                <w:highlight w:val="none"/>
                <w14:textFill>
                  <w14:solidFill>
                    <w14:schemeClr w14:val="tx1"/>
                  </w14:solidFill>
                </w14:textFill>
              </w:rPr>
            </w:pPr>
          </w:p>
        </w:tc>
        <w:tc>
          <w:tcPr>
            <w:tcW w:w="1450" w:type="dxa"/>
            <w:noWrap/>
          </w:tcPr>
          <w:p>
            <w:pPr>
              <w:spacing w:line="460" w:lineRule="exact"/>
              <w:rPr>
                <w:rFonts w:ascii="宋体"/>
                <w:color w:val="000000" w:themeColor="text1"/>
                <w:sz w:val="28"/>
                <w:szCs w:val="28"/>
                <w:highlight w:val="none"/>
                <w14:textFill>
                  <w14:solidFill>
                    <w14:schemeClr w14:val="tx1"/>
                  </w14:solidFill>
                </w14:textFill>
              </w:rPr>
            </w:pPr>
          </w:p>
        </w:tc>
        <w:tc>
          <w:tcPr>
            <w:tcW w:w="1667" w:type="dxa"/>
            <w:noWrap/>
          </w:tcPr>
          <w:p>
            <w:pPr>
              <w:spacing w:line="460" w:lineRule="exact"/>
              <w:rPr>
                <w:rFonts w:ascii="宋体"/>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w:t>
      </w:r>
      <w:bookmarkStart w:id="597" w:name="_Toc267261698"/>
      <w:bookmarkStart w:id="598" w:name="_Toc296346728"/>
      <w:bookmarkStart w:id="599" w:name="_Toc296891267"/>
      <w:bookmarkStart w:id="600" w:name="_Toc296944566"/>
      <w:bookmarkStart w:id="601" w:name="_Toc296347226"/>
      <w:bookmarkStart w:id="602" w:name="_Toc296891055"/>
      <w:bookmarkStart w:id="603" w:name="_Toc296503227"/>
      <w:r>
        <w:rPr>
          <w:rFonts w:hint="eastAsia" w:ascii="宋体"/>
          <w:color w:val="000000" w:themeColor="text1"/>
          <w:sz w:val="28"/>
          <w:szCs w:val="28"/>
          <w:highlight w:val="none"/>
          <w14:textFill>
            <w14:solidFill>
              <w14:schemeClr w14:val="tx1"/>
            </w14:solidFill>
          </w14:textFill>
        </w:rPr>
        <w:t>件5：</w:t>
      </w:r>
    </w:p>
    <w:bookmarkEnd w:id="597"/>
    <w:bookmarkEnd w:id="598"/>
    <w:bookmarkEnd w:id="599"/>
    <w:bookmarkEnd w:id="600"/>
    <w:bookmarkEnd w:id="601"/>
    <w:bookmarkEnd w:id="602"/>
    <w:bookmarkEnd w:id="603"/>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1182"/>
        <w:gridCol w:w="726"/>
        <w:gridCol w:w="880"/>
        <w:gridCol w:w="1169"/>
        <w:gridCol w:w="1331"/>
        <w:gridCol w:w="1174"/>
        <w:gridCol w:w="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序号</w:t>
            </w:r>
          </w:p>
        </w:tc>
        <w:tc>
          <w:tcPr>
            <w:tcW w:w="1418"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机械或设备名称</w:t>
            </w:r>
          </w:p>
        </w:tc>
        <w:tc>
          <w:tcPr>
            <w:tcW w:w="1182"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规格型号</w:t>
            </w:r>
          </w:p>
        </w:tc>
        <w:tc>
          <w:tcPr>
            <w:tcW w:w="726"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数量</w:t>
            </w:r>
          </w:p>
        </w:tc>
        <w:tc>
          <w:tcPr>
            <w:tcW w:w="880"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产地</w:t>
            </w:r>
          </w:p>
        </w:tc>
        <w:tc>
          <w:tcPr>
            <w:tcW w:w="1169"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制造年份</w:t>
            </w:r>
          </w:p>
        </w:tc>
        <w:tc>
          <w:tcPr>
            <w:tcW w:w="1331"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额定功率(kW)</w:t>
            </w:r>
          </w:p>
        </w:tc>
        <w:tc>
          <w:tcPr>
            <w:tcW w:w="1174"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生产能力</w:t>
            </w:r>
          </w:p>
        </w:tc>
        <w:tc>
          <w:tcPr>
            <w:tcW w:w="767"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8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26"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80"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69"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31"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7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67"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8"/>
                <w:szCs w:val="28"/>
                <w:highlight w:val="none"/>
                <w14:textFill>
                  <w14:solidFill>
                    <w14:schemeClr w14:val="tx1"/>
                  </w14:solidFill>
                </w14:textFill>
              </w:rPr>
            </w:pPr>
          </w:p>
        </w:tc>
        <w:tc>
          <w:tcPr>
            <w:tcW w:w="1418" w:type="dxa"/>
            <w:noWrap/>
          </w:tcPr>
          <w:p>
            <w:pPr>
              <w:spacing w:line="460" w:lineRule="exact"/>
              <w:rPr>
                <w:rFonts w:ascii="宋体"/>
                <w:color w:val="000000" w:themeColor="text1"/>
                <w:sz w:val="28"/>
                <w:szCs w:val="28"/>
                <w:highlight w:val="none"/>
                <w14:textFill>
                  <w14:solidFill>
                    <w14:schemeClr w14:val="tx1"/>
                  </w14:solidFill>
                </w14:textFill>
              </w:rPr>
            </w:pPr>
          </w:p>
        </w:tc>
        <w:tc>
          <w:tcPr>
            <w:tcW w:w="1182" w:type="dxa"/>
            <w:noWrap/>
          </w:tcPr>
          <w:p>
            <w:pPr>
              <w:spacing w:line="460" w:lineRule="exact"/>
              <w:rPr>
                <w:rFonts w:ascii="宋体"/>
                <w:color w:val="000000" w:themeColor="text1"/>
                <w:sz w:val="28"/>
                <w:szCs w:val="28"/>
                <w:highlight w:val="none"/>
                <w14:textFill>
                  <w14:solidFill>
                    <w14:schemeClr w14:val="tx1"/>
                  </w14:solidFill>
                </w14:textFill>
              </w:rPr>
            </w:pPr>
          </w:p>
        </w:tc>
        <w:tc>
          <w:tcPr>
            <w:tcW w:w="726" w:type="dxa"/>
            <w:noWrap/>
          </w:tcPr>
          <w:p>
            <w:pPr>
              <w:spacing w:line="460" w:lineRule="exact"/>
              <w:rPr>
                <w:rFonts w:ascii="宋体"/>
                <w:color w:val="000000" w:themeColor="text1"/>
                <w:sz w:val="28"/>
                <w:szCs w:val="28"/>
                <w:highlight w:val="none"/>
                <w14:textFill>
                  <w14:solidFill>
                    <w14:schemeClr w14:val="tx1"/>
                  </w14:solidFill>
                </w14:textFill>
              </w:rPr>
            </w:pPr>
          </w:p>
        </w:tc>
        <w:tc>
          <w:tcPr>
            <w:tcW w:w="880" w:type="dxa"/>
            <w:noWrap/>
          </w:tcPr>
          <w:p>
            <w:pPr>
              <w:spacing w:line="460" w:lineRule="exact"/>
              <w:rPr>
                <w:rFonts w:ascii="宋体"/>
                <w:color w:val="000000" w:themeColor="text1"/>
                <w:sz w:val="28"/>
                <w:szCs w:val="28"/>
                <w:highlight w:val="none"/>
                <w14:textFill>
                  <w14:solidFill>
                    <w14:schemeClr w14:val="tx1"/>
                  </w14:solidFill>
                </w14:textFill>
              </w:rPr>
            </w:pPr>
          </w:p>
        </w:tc>
        <w:tc>
          <w:tcPr>
            <w:tcW w:w="1169" w:type="dxa"/>
            <w:noWrap/>
          </w:tcPr>
          <w:p>
            <w:pPr>
              <w:spacing w:line="460" w:lineRule="exact"/>
              <w:rPr>
                <w:rFonts w:ascii="宋体"/>
                <w:color w:val="000000" w:themeColor="text1"/>
                <w:sz w:val="28"/>
                <w:szCs w:val="28"/>
                <w:highlight w:val="none"/>
                <w14:textFill>
                  <w14:solidFill>
                    <w14:schemeClr w14:val="tx1"/>
                  </w14:solidFill>
                </w14:textFill>
              </w:rPr>
            </w:pPr>
          </w:p>
        </w:tc>
        <w:tc>
          <w:tcPr>
            <w:tcW w:w="1331" w:type="dxa"/>
            <w:noWrap/>
          </w:tcPr>
          <w:p>
            <w:pPr>
              <w:spacing w:line="460" w:lineRule="exact"/>
              <w:rPr>
                <w:rFonts w:ascii="宋体"/>
                <w:color w:val="000000" w:themeColor="text1"/>
                <w:sz w:val="28"/>
                <w:szCs w:val="28"/>
                <w:highlight w:val="none"/>
                <w14:textFill>
                  <w14:solidFill>
                    <w14:schemeClr w14:val="tx1"/>
                  </w14:solidFill>
                </w14:textFill>
              </w:rPr>
            </w:pPr>
          </w:p>
        </w:tc>
        <w:tc>
          <w:tcPr>
            <w:tcW w:w="1174" w:type="dxa"/>
            <w:noWrap/>
          </w:tcPr>
          <w:p>
            <w:pPr>
              <w:spacing w:line="460" w:lineRule="exact"/>
              <w:rPr>
                <w:rFonts w:ascii="宋体"/>
                <w:color w:val="000000" w:themeColor="text1"/>
                <w:sz w:val="28"/>
                <w:szCs w:val="28"/>
                <w:highlight w:val="none"/>
                <w14:textFill>
                  <w14:solidFill>
                    <w14:schemeClr w14:val="tx1"/>
                  </w14:solidFill>
                </w14:textFill>
              </w:rPr>
            </w:pPr>
          </w:p>
        </w:tc>
        <w:tc>
          <w:tcPr>
            <w:tcW w:w="767" w:type="dxa"/>
            <w:noWrap/>
          </w:tcPr>
          <w:p>
            <w:pPr>
              <w:spacing w:line="460" w:lineRule="exact"/>
              <w:rPr>
                <w:rFonts w:ascii="宋体"/>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附</w:t>
      </w:r>
      <w:bookmarkStart w:id="604" w:name="_Toc296347227"/>
      <w:bookmarkStart w:id="605" w:name="_Toc267261699"/>
      <w:bookmarkStart w:id="606" w:name="_Toc296944567"/>
      <w:bookmarkStart w:id="607" w:name="_Toc296346729"/>
      <w:bookmarkStart w:id="608" w:name="_Toc296891268"/>
      <w:bookmarkStart w:id="609" w:name="_Toc296891056"/>
      <w:bookmarkStart w:id="610" w:name="_Toc296503228"/>
      <w:r>
        <w:rPr>
          <w:rFonts w:hint="eastAsia" w:ascii="宋体"/>
          <w:color w:val="000000" w:themeColor="text1"/>
          <w:sz w:val="28"/>
          <w:szCs w:val="28"/>
          <w:highlight w:val="none"/>
          <w14:textFill>
            <w14:solidFill>
              <w14:schemeClr w14:val="tx1"/>
            </w14:solidFill>
          </w14:textFill>
        </w:rPr>
        <w:t>件6：</w:t>
      </w:r>
    </w:p>
    <w:bookmarkEnd w:id="604"/>
    <w:bookmarkEnd w:id="605"/>
    <w:bookmarkEnd w:id="606"/>
    <w:bookmarkEnd w:id="607"/>
    <w:bookmarkEnd w:id="608"/>
    <w:bookmarkEnd w:id="609"/>
    <w:bookmarkEnd w:id="610"/>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承包人主要施工管理人员表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名    称</w:t>
            </w:r>
          </w:p>
        </w:tc>
        <w:tc>
          <w:tcPr>
            <w:tcW w:w="1418"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134"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134"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职称</w:t>
            </w:r>
          </w:p>
        </w:tc>
        <w:tc>
          <w:tcPr>
            <w:tcW w:w="4252" w:type="dxa"/>
            <w:tcBorders>
              <w:top w:val="single" w:color="auto" w:sz="12" w:space="0"/>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项目主管</w:t>
            </w:r>
          </w:p>
        </w:tc>
        <w:tc>
          <w:tcPr>
            <w:tcW w:w="1418"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其他人员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造价员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质量员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施工员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安全员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资料员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材料员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1"/>
              <w:keepNext/>
              <w:spacing w:line="460" w:lineRule="exact"/>
              <w:ind w:left="63" w:right="63"/>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其他人员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pPr>
              <w:rPr>
                <w:color w:val="000000" w:themeColor="text1"/>
                <w:sz w:val="28"/>
                <w:szCs w:val="28"/>
                <w:highlight w:val="none"/>
                <w14:textFill>
                  <w14:solidFill>
                    <w14:schemeClr w14:val="tx1"/>
                  </w14:solidFill>
                </w14:textFill>
              </w:rPr>
            </w:pPr>
          </w:p>
        </w:tc>
        <w:tc>
          <w:tcPr>
            <w:tcW w:w="1418" w:type="dxa"/>
            <w:tcBorders>
              <w:bottom w:val="single" w:color="auto" w:sz="12"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single" w:color="auto" w:sz="12"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single" w:color="auto" w:sz="12"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tcBorders>
              <w:bottom w:val="single" w:color="auto" w:sz="12"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w:t>
      </w:r>
      <w:bookmarkStart w:id="611" w:name="_Toc296944568"/>
      <w:bookmarkStart w:id="612" w:name="_Toc296891269"/>
      <w:bookmarkStart w:id="613" w:name="_Toc296346730"/>
      <w:bookmarkStart w:id="614" w:name="_Toc296347228"/>
      <w:bookmarkStart w:id="615" w:name="_Toc296503229"/>
      <w:bookmarkStart w:id="616" w:name="_Toc296891057"/>
      <w:r>
        <w:rPr>
          <w:rFonts w:hint="eastAsia" w:ascii="宋体"/>
          <w:color w:val="000000" w:themeColor="text1"/>
          <w:sz w:val="28"/>
          <w:szCs w:val="28"/>
          <w:highlight w:val="none"/>
          <w14:textFill>
            <w14:solidFill>
              <w14:schemeClr w14:val="tx1"/>
            </w14:solidFill>
          </w14:textFill>
        </w:rPr>
        <w:t>件7：</w:t>
      </w:r>
    </w:p>
    <w:bookmarkEnd w:id="611"/>
    <w:bookmarkEnd w:id="612"/>
    <w:bookmarkEnd w:id="613"/>
    <w:bookmarkEnd w:id="614"/>
    <w:bookmarkEnd w:id="615"/>
    <w:bookmarkEnd w:id="616"/>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分包人主要施工管理人员表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名    称</w:t>
            </w:r>
          </w:p>
        </w:tc>
        <w:tc>
          <w:tcPr>
            <w:tcW w:w="1418" w:type="dxa"/>
            <w:tcBorders>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134" w:type="dxa"/>
            <w:tcBorders>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134" w:type="dxa"/>
            <w:tcBorders>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职称</w:t>
            </w:r>
          </w:p>
        </w:tc>
        <w:tc>
          <w:tcPr>
            <w:tcW w:w="4252" w:type="dxa"/>
            <w:tcBorders>
              <w:bottom w:val="doub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一、总部人员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项目主管</w:t>
            </w:r>
          </w:p>
        </w:tc>
        <w:tc>
          <w:tcPr>
            <w:tcW w:w="1418"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tcBorders>
              <w:top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其他人员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二、现场人员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造价员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质量员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施工员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安全员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资料员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材料</w:t>
            </w:r>
            <w:r>
              <w:rPr>
                <w:rFonts w:hint="eastAsia" w:ascii="宋体" w:hAnsi="宋体"/>
                <w:color w:val="000000" w:themeColor="text1"/>
                <w:sz w:val="28"/>
                <w:szCs w:val="28"/>
                <w:highlight w:val="none"/>
                <w14:textFill>
                  <w14:solidFill>
                    <w14:schemeClr w14:val="tx1"/>
                  </w14:solidFill>
                </w14:textFill>
              </w:rPr>
              <w:t>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1"/>
              <w:keepNext/>
              <w:spacing w:line="460" w:lineRule="exact"/>
              <w:ind w:right="63"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其他人员</w:t>
            </w: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tcBorders>
              <w:bottom w:val="nil"/>
            </w:tcBorders>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8"/>
                <w:szCs w:val="28"/>
                <w:highlight w:val="none"/>
                <w14:textFill>
                  <w14:solidFill>
                    <w14:schemeClr w14:val="tx1"/>
                  </w14:solidFill>
                </w14:textFill>
              </w:rPr>
            </w:pPr>
          </w:p>
        </w:tc>
        <w:tc>
          <w:tcPr>
            <w:tcW w:w="1418"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134"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4252" w:type="dxa"/>
            <w:noWrap/>
            <w:vAlign w:val="center"/>
          </w:tcPr>
          <w:p>
            <w:pPr>
              <w:pStyle w:val="11"/>
              <w:keepNext/>
              <w:spacing w:line="460" w:lineRule="exact"/>
              <w:ind w:left="63" w:right="63"/>
              <w:rPr>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br w:type="page"/>
      </w:r>
      <w:bookmarkStart w:id="617" w:name="_Toc267261701"/>
      <w:r>
        <w:rPr>
          <w:rFonts w:hint="eastAsia" w:ascii="宋体"/>
          <w:color w:val="000000" w:themeColor="text1"/>
          <w:sz w:val="28"/>
          <w:szCs w:val="28"/>
          <w:highlight w:val="none"/>
          <w14:textFill>
            <w14:solidFill>
              <w14:schemeClr w14:val="tx1"/>
            </w14:solidFill>
          </w14:textFill>
        </w:rPr>
        <w:t>附</w:t>
      </w:r>
      <w:bookmarkStart w:id="618" w:name="_Toc296346732"/>
      <w:bookmarkStart w:id="619" w:name="_Toc296347230"/>
      <w:bookmarkStart w:id="620" w:name="_Toc296944570"/>
      <w:bookmarkStart w:id="621" w:name="_Toc296891271"/>
      <w:bookmarkStart w:id="622" w:name="_Toc296503231"/>
      <w:bookmarkStart w:id="623" w:name="_Toc296891059"/>
      <w:r>
        <w:rPr>
          <w:rFonts w:hint="eastAsia" w:ascii="宋体"/>
          <w:color w:val="000000" w:themeColor="text1"/>
          <w:sz w:val="28"/>
          <w:szCs w:val="28"/>
          <w:highlight w:val="none"/>
          <w14:textFill>
            <w14:solidFill>
              <w14:schemeClr w14:val="tx1"/>
            </w14:solidFill>
          </w14:textFill>
        </w:rPr>
        <w:t>件8：</w:t>
      </w:r>
    </w:p>
    <w:bookmarkEnd w:id="617"/>
    <w:bookmarkEnd w:id="618"/>
    <w:bookmarkEnd w:id="619"/>
    <w:bookmarkEnd w:id="620"/>
    <w:bookmarkEnd w:id="621"/>
    <w:bookmarkEnd w:id="622"/>
    <w:bookmarkEnd w:id="623"/>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履约担保</w:t>
      </w:r>
    </w:p>
    <w:p>
      <w:pPr>
        <w:spacing w:line="460" w:lineRule="exact"/>
        <w:jc w:val="center"/>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（发包人名称）：</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鉴于</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（发包人名称，以下简称“发包人”）与</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（承包人名称）（以下称“承包人”）于</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日就</w:t>
      </w:r>
      <w:r>
        <w:rPr>
          <w:rFonts w:hint="eastAsia" w:ascii="宋体"/>
          <w:color w:val="000000" w:themeColor="text1"/>
          <w:sz w:val="28"/>
          <w:szCs w:val="28"/>
          <w:highlight w:val="non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担保金额人民币（大写）</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担保有效期自你方与承包人签订的合同生效之日起至你方签发或应签发工程接收证书之日止。</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 你方和承包人按合同约定变更合同时，我方承担本担保规定的义务不变。</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 因本保函发生的纠纷，可由双方协商解决，协商不成的，任何一方均可提请</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仲裁委员会仲裁。</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 本保函自我方法定代表人（或其授权代理人）签字并加盖公章之日起生效。</w:t>
      </w:r>
    </w:p>
    <w:p>
      <w:pPr>
        <w:spacing w:line="460" w:lineRule="exact"/>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担 保 人：</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（盖单位章）</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法定代表人或其委托代理人：</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（签字或盖章）</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邮政编码：</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电    话：</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传    真：</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p>
    <w:p>
      <w:pPr>
        <w:spacing w:line="460" w:lineRule="exact"/>
        <w:jc w:val="left"/>
        <w:rPr>
          <w:rFonts w:ascii="宋体"/>
          <w:color w:val="000000" w:themeColor="text1"/>
          <w:sz w:val="28"/>
          <w:szCs w:val="28"/>
          <w:highlight w:val="none"/>
          <w:u w:val="single"/>
          <w14:textFill>
            <w14:solidFill>
              <w14:schemeClr w14:val="tx1"/>
            </w14:solidFill>
          </w14:textFill>
        </w:rPr>
      </w:pPr>
    </w:p>
    <w:p>
      <w:pPr>
        <w:spacing w:line="460" w:lineRule="exact"/>
        <w:ind w:left="1519" w:hanging="1772" w:hangingChars="633"/>
        <w:jc w:val="righ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附</w:t>
      </w:r>
      <w:bookmarkStart w:id="624" w:name="_Toc296891272"/>
      <w:bookmarkStart w:id="625" w:name="_Toc267261702"/>
      <w:bookmarkStart w:id="626" w:name="_Toc296503232"/>
      <w:bookmarkStart w:id="627" w:name="_Toc296346733"/>
      <w:bookmarkStart w:id="628" w:name="_Toc296347231"/>
      <w:bookmarkStart w:id="629" w:name="_Toc296891060"/>
      <w:bookmarkStart w:id="630" w:name="_Toc296944571"/>
      <w:r>
        <w:rPr>
          <w:rFonts w:hint="eastAsia" w:ascii="宋体"/>
          <w:color w:val="000000" w:themeColor="text1"/>
          <w:sz w:val="28"/>
          <w:szCs w:val="28"/>
          <w:highlight w:val="none"/>
          <w14:textFill>
            <w14:solidFill>
              <w14:schemeClr w14:val="tx1"/>
            </w14:solidFill>
          </w14:textFill>
        </w:rPr>
        <w:t>件9 ：</w:t>
      </w:r>
    </w:p>
    <w:bookmarkEnd w:id="624"/>
    <w:bookmarkEnd w:id="625"/>
    <w:bookmarkEnd w:id="626"/>
    <w:bookmarkEnd w:id="627"/>
    <w:bookmarkEnd w:id="628"/>
    <w:bookmarkEnd w:id="629"/>
    <w:bookmarkEnd w:id="630"/>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预付款担保</w:t>
      </w:r>
    </w:p>
    <w:p>
      <w:pPr>
        <w:spacing w:line="460" w:lineRule="exact"/>
        <w:jc w:val="center"/>
        <w:rPr>
          <w:rFonts w:ascii="宋体"/>
          <w:color w:val="000000" w:themeColor="text1"/>
          <w:sz w:val="28"/>
          <w:szCs w:val="28"/>
          <w:highlight w:val="none"/>
          <w14:textFill>
            <w14:solidFill>
              <w14:schemeClr w14:val="tx1"/>
            </w14:solidFill>
          </w14:textFill>
        </w:rPr>
      </w:pP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（发包人名称）：</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根据</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（承包人名称）（以下称“承包人”）与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（发包人名称）（以下简称“发包人”）于</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日签订的</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担保金额人民币（大写）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元（¥</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担保有效期自预付款支付给承包人起生效，至你方签发的进度款支付证书说明已完全扣清止。</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46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 你方和承包人按合同约定变更合同时，我方承担本保函规定的义务不变。</w:t>
      </w:r>
    </w:p>
    <w:p>
      <w:pPr>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 因本保函发生的纠纷，可由双方协商解决，协商不成的，任何一方均可提请</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仲裁委员会仲裁。</w:t>
      </w:r>
    </w:p>
    <w:p>
      <w:pPr>
        <w:spacing w:line="46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 本保函自我方法定代表人（或其授权代理人）签字并加盖公章之日起生效。</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担保人：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（盖单位章）</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法定代表人或其委托代理人：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（签字或盖章）</w:t>
      </w:r>
    </w:p>
    <w:p>
      <w:pPr>
        <w:spacing w:line="46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邮政编码：</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电    话：</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传    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pPr>
        <w:spacing w:line="460" w:lineRule="exact"/>
        <w:jc w:val="right"/>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pPr>
        <w:spacing w:line="460" w:lineRule="exact"/>
        <w:jc w:val="left"/>
        <w:rPr>
          <w:rFonts w:ascii="宋体"/>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w:t>
      </w:r>
      <w:bookmarkStart w:id="631" w:name="_Toc296503233"/>
      <w:bookmarkStart w:id="632" w:name="_Toc296346734"/>
      <w:bookmarkStart w:id="633" w:name="_Toc296891061"/>
      <w:bookmarkStart w:id="634" w:name="_Toc296944572"/>
      <w:bookmarkStart w:id="635" w:name="_Toc296347232"/>
      <w:bookmarkStart w:id="636" w:name="_Toc296891273"/>
      <w:r>
        <w:rPr>
          <w:rFonts w:hint="eastAsia" w:ascii="宋体"/>
          <w:color w:val="000000" w:themeColor="text1"/>
          <w:sz w:val="28"/>
          <w:szCs w:val="28"/>
          <w:highlight w:val="none"/>
          <w14:textFill>
            <w14:solidFill>
              <w14:schemeClr w14:val="tx1"/>
            </w14:solidFill>
          </w14:textFill>
        </w:rPr>
        <w:t xml:space="preserve">件10:  </w:t>
      </w:r>
    </w:p>
    <w:bookmarkEnd w:id="631"/>
    <w:bookmarkEnd w:id="632"/>
    <w:bookmarkEnd w:id="633"/>
    <w:bookmarkEnd w:id="634"/>
    <w:bookmarkEnd w:id="635"/>
    <w:bookmarkEnd w:id="636"/>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支付担保</w:t>
      </w:r>
    </w:p>
    <w:p>
      <w:pPr>
        <w:spacing w:line="400" w:lineRule="exact"/>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（承包人）：</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鉴于你方作为承包人已经与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（发包人名称）（以下称“发包人”）于</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日签订了</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一、保证的范围及保证金额</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我方的保证范围是主合同约定的工程款。</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本保函所称主合同约定的工程款是指主合同约定的除工程质量保证金以外的合同价款。</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我方保证的金额是主合同约定的工程款的</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%，数额最高不超过人民币元（大写：</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二、保证的方式及保证期间</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我方保证的方式为：连带责任保证。</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我方保证的期间为：自本合同生效之日起至主合同约定的工程款支付完毕之日后</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日内。</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你方与发包人协议变更工程款支付日期的，经我方书面同意后，保证期间按照变更后的支付日期做相应调整。</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三、承担保证责任的形式</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我方承担保证责任的形式是代为支付。发包人未按主合同约定向你方支付工程款的，由我方在保证金额内代为支付。</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四、代偿的安排</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我方收到你方的书面索赔通知及相应的证明材料后７天内无条件支付。</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五、保证责任的解除</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在本保函承诺的保证期间内，你方未书面向我方主张保证责任的，自保证期间届满次日起，我方保证责任解除。</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发包人按主合同约定履行了工程款的全部支付义务的，自本保函承诺的保证期间届满次日起，我方保证责任解除。</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 按照法律法规的规定或出现应解除我方保证责任的其他情形的，我方在本保函项下的保证责任亦解除。</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 我方解除保证责任后，你方应自我方保证责任解除之日起个工作日内，将本保函原件返还我方。</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六、免责条款</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 因你方违约致使发包人不能履行义务的，我方不承担保证责任。</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 依照法律法规的规定或你方与发包人的另行约定，免除发包人部分或全部义务的，我方亦免除其相应的保证责任。</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 因不可抗力造成发包人不能履行义务的，我方不承担保证责任。</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七、争议解决</w:t>
      </w:r>
    </w:p>
    <w:p>
      <w:pPr>
        <w:spacing w:line="400" w:lineRule="exact"/>
        <w:ind w:firstLine="560" w:firstLineChars="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因本保函或本保函相关事项发生的纠纷，可由双方协商解决，协商不成的，按下列第</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种方式解决：</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（1）向</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仲裁委员会申请仲裁；</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（2）向</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人民法院起诉。</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八、保函的生效</w:t>
      </w:r>
    </w:p>
    <w:p>
      <w:pPr>
        <w:spacing w:line="40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本保函自我方法定代表人（或其授权代理人）签字并加盖公章之日起生效。</w:t>
      </w:r>
    </w:p>
    <w:p>
      <w:pPr>
        <w:spacing w:line="400" w:lineRule="exact"/>
        <w:ind w:right="6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担保人：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（盖章）</w:t>
      </w:r>
    </w:p>
    <w:p>
      <w:pPr>
        <w:spacing w:line="400" w:lineRule="exact"/>
        <w:ind w:right="12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法定代表人或委托代理人：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（签字或盖章）</w:t>
      </w:r>
    </w:p>
    <w:p>
      <w:pPr>
        <w:spacing w:line="400" w:lineRule="exact"/>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p>
    <w:p>
      <w:pPr>
        <w:spacing w:line="400" w:lineRule="exact"/>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邮政编码：</w:t>
      </w:r>
      <w:r>
        <w:rPr>
          <w:rFonts w:hint="eastAsia" w:ascii="宋体"/>
          <w:color w:val="000000" w:themeColor="text1"/>
          <w:sz w:val="24"/>
          <w:highlight w:val="none"/>
          <w:u w:val="single"/>
          <w14:textFill>
            <w14:solidFill>
              <w14:schemeClr w14:val="tx1"/>
            </w14:solidFill>
          </w14:textFill>
        </w:rPr>
        <w:t xml:space="preserve">                                   </w:t>
      </w:r>
    </w:p>
    <w:p>
      <w:pPr>
        <w:spacing w:line="400" w:lineRule="exact"/>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传    真：</w:t>
      </w:r>
      <w:r>
        <w:rPr>
          <w:rFonts w:hint="eastAsia" w:ascii="宋体"/>
          <w:color w:val="000000" w:themeColor="text1"/>
          <w:sz w:val="24"/>
          <w:highlight w:val="none"/>
          <w:u w:val="single"/>
          <w14:textFill>
            <w14:solidFill>
              <w14:schemeClr w14:val="tx1"/>
            </w14:solidFill>
          </w14:textFill>
        </w:rPr>
        <w:t xml:space="preserve">                                   </w:t>
      </w:r>
    </w:p>
    <w:p>
      <w:pPr>
        <w:spacing w:line="400" w:lineRule="exact"/>
        <w:jc w:val="righ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pPr>
        <w:spacing w:line="460" w:lineRule="exact"/>
        <w:jc w:val="left"/>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br w:type="page"/>
      </w:r>
      <w:r>
        <w:rPr>
          <w:rFonts w:hint="eastAsia" w:ascii="宋体"/>
          <w:color w:val="000000" w:themeColor="text1"/>
          <w:sz w:val="28"/>
          <w:szCs w:val="28"/>
          <w:highlight w:val="none"/>
          <w14:textFill>
            <w14:solidFill>
              <w14:schemeClr w14:val="tx1"/>
            </w14:solidFill>
          </w14:textFill>
        </w:rPr>
        <w:t>附件11：</w:t>
      </w:r>
    </w:p>
    <w:p>
      <w:pPr>
        <w:spacing w:line="46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11-1：</w:t>
      </w:r>
      <w:r>
        <w:rPr>
          <w:rFonts w:hint="eastAsia" w:ascii="宋体"/>
          <w:b/>
          <w:bCs/>
          <w:color w:val="000000" w:themeColor="text1"/>
          <w:spacing w:val="34"/>
          <w:sz w:val="28"/>
          <w:szCs w:val="28"/>
          <w:highlight w:val="none"/>
          <w14:textFill>
            <w14:solidFill>
              <w14:schemeClr w14:val="tx1"/>
            </w14:solidFill>
          </w14:textFill>
        </w:rPr>
        <w:t>材料暂估价表</w:t>
      </w:r>
    </w:p>
    <w:tbl>
      <w:tblPr>
        <w:tblStyle w:val="24"/>
        <w:tblW w:w="95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597"/>
        <w:gridCol w:w="1760"/>
        <w:gridCol w:w="1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数量</w:t>
            </w:r>
          </w:p>
        </w:tc>
        <w:tc>
          <w:tcPr>
            <w:tcW w:w="1597"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单价（元）</w:t>
            </w:r>
          </w:p>
        </w:tc>
        <w:tc>
          <w:tcPr>
            <w:tcW w:w="1760"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合价（元）</w:t>
            </w:r>
          </w:p>
        </w:tc>
        <w:tc>
          <w:tcPr>
            <w:tcW w:w="1590"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7"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6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590"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p>
    <w:p>
      <w:pPr>
        <w:spacing w:line="460" w:lineRule="exact"/>
        <w:jc w:val="center"/>
        <w:rPr>
          <w:rFonts w:ascii="宋体"/>
          <w:color w:val="000000" w:themeColor="text1"/>
          <w:sz w:val="28"/>
          <w:szCs w:val="28"/>
          <w:highlight w:val="none"/>
          <w14:textFill>
            <w14:solidFill>
              <w14:schemeClr w14:val="tx1"/>
            </w14:solidFill>
          </w14:textFill>
        </w:rPr>
      </w:pPr>
    </w:p>
    <w:p>
      <w:pPr>
        <w:spacing w:line="46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11-2：</w:t>
      </w:r>
      <w:r>
        <w:rPr>
          <w:rFonts w:hint="eastAsia" w:ascii="宋体"/>
          <w:b/>
          <w:bCs/>
          <w:color w:val="000000" w:themeColor="text1"/>
          <w:sz w:val="28"/>
          <w:szCs w:val="28"/>
          <w:highlight w:val="none"/>
          <w14:textFill>
            <w14:solidFill>
              <w14:schemeClr w14:val="tx1"/>
            </w14:solidFill>
          </w14:textFill>
        </w:rPr>
        <w:t>工程设备暂估价表</w:t>
      </w:r>
    </w:p>
    <w:tbl>
      <w:tblPr>
        <w:tblStyle w:val="24"/>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数量</w:t>
            </w:r>
          </w:p>
        </w:tc>
        <w:tc>
          <w:tcPr>
            <w:tcW w:w="1352"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单价（元）</w:t>
            </w:r>
          </w:p>
        </w:tc>
        <w:tc>
          <w:tcPr>
            <w:tcW w:w="1418"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合价（元）</w:t>
            </w:r>
          </w:p>
        </w:tc>
        <w:tc>
          <w:tcPr>
            <w:tcW w:w="1701"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bl>
    <w:p>
      <w:pPr>
        <w:spacing w:line="460" w:lineRule="exact"/>
        <w:rPr>
          <w:rFonts w:ascii="宋体"/>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tbl>
      <w:tblPr>
        <w:tblStyle w:val="24"/>
        <w:tblpPr w:leftFromText="180" w:rightFromText="180" w:vertAnchor="text" w:horzAnchor="margin" w:tblpXSpec="center" w:tblpY="625"/>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数量</w:t>
            </w:r>
          </w:p>
        </w:tc>
        <w:tc>
          <w:tcPr>
            <w:tcW w:w="1352"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单价（元）</w:t>
            </w:r>
          </w:p>
        </w:tc>
        <w:tc>
          <w:tcPr>
            <w:tcW w:w="1418"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合价（元）</w:t>
            </w:r>
          </w:p>
        </w:tc>
        <w:tc>
          <w:tcPr>
            <w:tcW w:w="1701" w:type="dxa"/>
            <w:tcBorders>
              <w:top w:val="single" w:color="auto" w:sz="12" w:space="0"/>
              <w:bottom w:val="doub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1"/>
              <w:keepNext/>
              <w:spacing w:line="460" w:lineRule="exact"/>
              <w:ind w:left="63" w:right="63"/>
              <w:jc w:val="center"/>
              <w:rPr>
                <w:color w:val="000000" w:themeColor="text1"/>
                <w:sz w:val="28"/>
                <w:szCs w:val="28"/>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tcBorders>
              <w:top w:val="double" w:color="auto" w:sz="6" w:space="0"/>
              <w:bottom w:val="single" w:color="auto" w:sz="6" w:space="0"/>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tcBorders>
              <w:top w:val="nil"/>
            </w:tcBorders>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1984"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851" w:type="dxa"/>
            <w:noWrap/>
          </w:tcPr>
          <w:p>
            <w:pPr>
              <w:pStyle w:val="11"/>
              <w:keepNext/>
              <w:spacing w:line="460" w:lineRule="exact"/>
              <w:ind w:left="63" w:right="63"/>
              <w:rPr>
                <w:color w:val="000000" w:themeColor="text1"/>
                <w:sz w:val="28"/>
                <w:szCs w:val="28"/>
                <w:highlight w:val="none"/>
                <w14:textFill>
                  <w14:solidFill>
                    <w14:schemeClr w14:val="tx1"/>
                  </w14:solidFill>
                </w14:textFill>
              </w:rPr>
            </w:pPr>
          </w:p>
        </w:tc>
        <w:tc>
          <w:tcPr>
            <w:tcW w:w="774" w:type="dxa"/>
            <w:noWrap/>
          </w:tcPr>
          <w:p>
            <w:pPr>
              <w:pStyle w:val="11"/>
              <w:keepNext/>
              <w:spacing w:line="460" w:lineRule="exact"/>
              <w:ind w:left="420" w:right="63"/>
              <w:rPr>
                <w:color w:val="000000" w:themeColor="text1"/>
                <w:sz w:val="28"/>
                <w:szCs w:val="28"/>
                <w:highlight w:val="none"/>
                <w14:textFill>
                  <w14:solidFill>
                    <w14:schemeClr w14:val="tx1"/>
                  </w14:solidFill>
                </w14:textFill>
              </w:rPr>
            </w:pPr>
          </w:p>
        </w:tc>
        <w:tc>
          <w:tcPr>
            <w:tcW w:w="1352" w:type="dxa"/>
            <w:noWrap/>
          </w:tcPr>
          <w:p>
            <w:pPr>
              <w:pStyle w:val="11"/>
              <w:keepNext/>
              <w:spacing w:line="460" w:lineRule="exact"/>
              <w:ind w:left="420" w:right="63"/>
              <w:rPr>
                <w:color w:val="000000" w:themeColor="text1"/>
                <w:sz w:val="28"/>
                <w:szCs w:val="28"/>
                <w:highlight w:val="none"/>
                <w14:textFill>
                  <w14:solidFill>
                    <w14:schemeClr w14:val="tx1"/>
                  </w14:solidFill>
                </w14:textFill>
              </w:rPr>
            </w:pPr>
          </w:p>
        </w:tc>
        <w:tc>
          <w:tcPr>
            <w:tcW w:w="1418" w:type="dxa"/>
            <w:noWrap/>
          </w:tcPr>
          <w:p>
            <w:pPr>
              <w:pStyle w:val="11"/>
              <w:keepNext/>
              <w:spacing w:line="460" w:lineRule="exact"/>
              <w:ind w:left="420" w:right="63"/>
              <w:rPr>
                <w:color w:val="000000" w:themeColor="text1"/>
                <w:sz w:val="28"/>
                <w:szCs w:val="28"/>
                <w:highlight w:val="none"/>
                <w14:textFill>
                  <w14:solidFill>
                    <w14:schemeClr w14:val="tx1"/>
                  </w14:solidFill>
                </w14:textFill>
              </w:rPr>
            </w:pPr>
          </w:p>
        </w:tc>
        <w:tc>
          <w:tcPr>
            <w:tcW w:w="1701" w:type="dxa"/>
            <w:noWrap/>
          </w:tcPr>
          <w:p>
            <w:pPr>
              <w:pStyle w:val="11"/>
              <w:keepNext/>
              <w:spacing w:line="460" w:lineRule="exact"/>
              <w:ind w:left="420" w:right="63"/>
              <w:rPr>
                <w:color w:val="000000" w:themeColor="text1"/>
                <w:sz w:val="28"/>
                <w:szCs w:val="28"/>
                <w:highlight w:val="none"/>
                <w14:textFill>
                  <w14:solidFill>
                    <w14:schemeClr w14:val="tx1"/>
                  </w14:solidFill>
                </w14:textFill>
              </w:rPr>
            </w:pPr>
          </w:p>
        </w:tc>
      </w:tr>
    </w:tbl>
    <w:p>
      <w:pPr>
        <w:spacing w:line="46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11-3：</w:t>
      </w:r>
      <w:r>
        <w:rPr>
          <w:rFonts w:hint="eastAsia" w:ascii="宋体"/>
          <w:b/>
          <w:bCs/>
          <w:color w:val="000000" w:themeColor="text1"/>
          <w:sz w:val="28"/>
          <w:szCs w:val="28"/>
          <w:highlight w:val="none"/>
          <w14:textFill>
            <w14:solidFill>
              <w14:schemeClr w14:val="tx1"/>
            </w14:solidFill>
          </w14:textFill>
        </w:rPr>
        <w:t>专业工程暂估价表</w:t>
      </w:r>
    </w:p>
    <w:p>
      <w:pPr>
        <w:spacing w:line="360" w:lineRule="auto"/>
        <w:ind w:firstLine="560" w:firstLineChars="200"/>
        <w:rPr>
          <w:rFonts w:ascii="宋体"/>
          <w:color w:val="000000" w:themeColor="text1"/>
          <w:sz w:val="28"/>
          <w:szCs w:val="28"/>
          <w:highlight w:val="none"/>
          <w14:textFill>
            <w14:solidFill>
              <w14:schemeClr w14:val="tx1"/>
            </w14:solidFill>
          </w14:textFill>
        </w:rPr>
      </w:pPr>
    </w:p>
    <w:p>
      <w:pPr>
        <w:spacing w:line="360" w:lineRule="auto"/>
        <w:ind w:firstLine="560" w:firstLineChars="200"/>
        <w:rPr>
          <w:rFonts w:ascii="宋体"/>
          <w:color w:val="000000" w:themeColor="text1"/>
          <w:sz w:val="28"/>
          <w:szCs w:val="28"/>
          <w:highlight w:val="none"/>
          <w14:textFill>
            <w14:solidFill>
              <w14:schemeClr w14:val="tx1"/>
            </w14:solidFill>
          </w14:textFill>
        </w:rPr>
      </w:pPr>
    </w:p>
    <w:p>
      <w:pPr>
        <w:spacing w:line="360" w:lineRule="auto"/>
        <w:ind w:firstLine="560" w:firstLineChars="200"/>
        <w:rPr>
          <w:rFonts w:ascii="宋体"/>
          <w:color w:val="000000" w:themeColor="text1"/>
          <w:sz w:val="28"/>
          <w:szCs w:val="28"/>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pPr>
        <w:spacing w:line="32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附件1</w:t>
      </w:r>
      <w:r>
        <w:rPr>
          <w:rFonts w:hint="eastAsia" w:ascii="宋体" w:hAnsi="宋体"/>
          <w:color w:val="000000" w:themeColor="text1"/>
          <w:sz w:val="28"/>
          <w:szCs w:val="28"/>
          <w:highlight w:val="non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w:t>
      </w:r>
    </w:p>
    <w:p>
      <w:pPr>
        <w:spacing w:line="320" w:lineRule="exact"/>
        <w:ind w:firstLine="562" w:firstLineChars="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建设工程廉政责任书</w:t>
      </w:r>
    </w:p>
    <w:p>
      <w:pPr>
        <w:spacing w:line="300" w:lineRule="exact"/>
        <w:rPr>
          <w:rFonts w:ascii="宋体" w:hAnsi="宋体"/>
          <w:color w:val="000000" w:themeColor="text1"/>
          <w:sz w:val="28"/>
          <w:szCs w:val="28"/>
          <w:highlight w:val="none"/>
          <w14:textFill>
            <w14:solidFill>
              <w14:schemeClr w14:val="tx1"/>
            </w14:solidFill>
          </w14:textFill>
        </w:rPr>
      </w:pP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发包人：                                               </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承包人：                                               </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一、双方的责任</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1.1应严格遵守国家关于建设工程的有关法律、法规，相关政策，以及廉政建设的各项规定。</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1.2严格执行建设工程合同文件，自觉按合同办事。</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1.4发现对方在业务活动中有违规、违纪、违法行为的，应及时提醒对方，情节严重的，应向其上级主管部门或纪检监察、司法等有关机关举报。</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二、发包人责任</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发包人的领导和从事该建设工程项目的工作人员，在工程建设的事前、事中、事后应遵守以下规定：</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2.1不得向承包人和相关单位索要或接受回扣、礼金、有价证券、贵重物品和好处费、感谢费等。</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2.2不得在承包人和相关单位报销任何应由发包人或个人支付的费用。</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2.3不得要求、暗示或接受承包人和相关单位为个人装修住房、婚丧嫁娶、配偶子女的工作安排以及出国(境)、旅游等提供方便。</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2.4不得参加有可能影响公正执行公务的承包人和相关单位的宴请、健身、娱乐等活动。</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三、承包人责任</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3.1不得以任何理由向发包人及其工作人员索要、接受或赠送礼金、有价证券、贵重物品及回扣、好处费、感谢费等。</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3.2不得以任何理由为发包人和相关单位报销应由对方或个人支付的费用。</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3.3不得接受或暗示为发包人、相关单位或个人装修住房、婚丧嫁娶、配偶子女的工作安排以及出国(境)、旅游等提供方便。</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3.4不得以任何理由为发包人、相关单位或个人组织有可能影响公正执行公务的宴请、健身、娱乐等活动。</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四、违约责任</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4.2承包人工作人员有违反本责任书第一、三条责任行为的，依据有关法律法规处理；涉嫌犯罪的，移交司法机关追究刑事责任；给发包人单位造成经济损失的，应予以赔偿。</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4.3本责任书作为建设工程合同的组成部分，与建设工程合同具有同等法律效力。经双方签署后立即生效。</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五、责任书有效期</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本责任书的有效期为双方签署之日起至该工程项目竣工验收合格时止。</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六、责任书份数</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本责任书一式二份，发包人承包人各执一份，具有同等效力。</w:t>
      </w:r>
    </w:p>
    <w:p>
      <w:pPr>
        <w:pStyle w:val="7"/>
        <w:rPr>
          <w:rFonts w:hint="eastAsia" w:ascii="宋体" w:hAnsi="宋体"/>
          <w:color w:val="000000" w:themeColor="text1"/>
          <w:sz w:val="28"/>
          <w:szCs w:val="28"/>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发包人：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(公章)</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承包人：</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(公章)</w:t>
      </w:r>
    </w:p>
    <w:p>
      <w:pPr>
        <w:spacing w:line="360" w:lineRule="auto"/>
        <w:rPr>
          <w:rFonts w:hint="default" w:ascii="宋体" w:hAnsi="宋体"/>
          <w:color w:val="000000" w:themeColor="text1"/>
          <w:sz w:val="28"/>
          <w:szCs w:val="28"/>
          <w:highlight w:val="none"/>
          <w:u w:val="single"/>
          <w:lang w:val="en-US"/>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法定地址</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法定地址：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法定代表人或其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 xml:space="preserve"> 法定代表人或其</w:t>
      </w: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w:t>
      </w:r>
    </w:p>
    <w:p>
      <w:pPr>
        <w:spacing w:line="360" w:lineRule="auto"/>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电子邮箱：</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电子邮箱：</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开户银行：</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开户银行：</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帐号：</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帐号：</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pStyle w:val="7"/>
        <w:rPr>
          <w:rFonts w:hint="eastAsia" w:ascii="宋体" w:hAnsi="宋体"/>
          <w:color w:val="000000" w:themeColor="text1"/>
          <w:sz w:val="28"/>
          <w:szCs w:val="28"/>
          <w:highlight w:val="none"/>
          <w:u w:val="single"/>
          <w:lang w:val="en-US" w:eastAsia="zh-CN"/>
          <w14:textFill>
            <w14:solidFill>
              <w14:schemeClr w14:val="tx1"/>
            </w14:solidFill>
          </w14:textFill>
        </w:rPr>
      </w:pPr>
    </w:p>
    <w:p>
      <w:pPr>
        <w:rPr>
          <w:rFonts w:hint="eastAsia"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8"/>
          <w:szCs w:val="28"/>
          <w:highlight w:val="none"/>
          <w:u w:val="none"/>
          <w:lang w:val="en-US" w:eastAsia="zh-CN"/>
          <w14:textFill>
            <w14:solidFill>
              <w14:schemeClr w14:val="tx1"/>
            </w14:solidFill>
          </w14:textFill>
        </w:rPr>
        <w:t xml:space="preserve">                                            年   月   日</w:t>
      </w: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p>
    <w:p>
      <w:pPr>
        <w:spacing w:line="32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附件1</w:t>
      </w:r>
      <w:r>
        <w:rPr>
          <w:rFonts w:hint="eastAsia" w:ascii="宋体" w:hAnsi="宋体"/>
          <w:color w:val="000000" w:themeColor="text1"/>
          <w:sz w:val="28"/>
          <w:szCs w:val="28"/>
          <w:highlight w:val="none"/>
          <w14:textFill>
            <w14:solidFill>
              <w14:schemeClr w14:val="tx1"/>
            </w14:solidFill>
          </w14:textFill>
        </w:rPr>
        <w:t>3</w:t>
      </w:r>
      <w:r>
        <w:rPr>
          <w:rFonts w:ascii="宋体" w:hAnsi="宋体"/>
          <w:color w:val="000000" w:themeColor="text1"/>
          <w:sz w:val="28"/>
          <w:szCs w:val="28"/>
          <w:highlight w:val="none"/>
          <w14:textFill>
            <w14:solidFill>
              <w14:schemeClr w14:val="tx1"/>
            </w14:solidFill>
          </w14:textFill>
        </w:rPr>
        <w:t>：</w:t>
      </w:r>
    </w:p>
    <w:p>
      <w:pPr>
        <w:spacing w:line="4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工程投标廉政承诺书</w:t>
      </w:r>
    </w:p>
    <w:p>
      <w:pPr>
        <w:spacing w:line="400" w:lineRule="exact"/>
        <w:rPr>
          <w:rFonts w:ascii="宋体" w:hAnsi="宋体"/>
          <w:color w:val="000000" w:themeColor="text1"/>
          <w:sz w:val="28"/>
          <w:szCs w:val="28"/>
          <w:highlight w:val="none"/>
          <w14:textFill>
            <w14:solidFill>
              <w14:schemeClr w14:val="tx1"/>
            </w14:solidFill>
          </w14:textFill>
        </w:rPr>
      </w:pP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为充分体现公开、公平、公正诚实信用原则，共同维护招投标市场秩序，确保企业在招投标活动中无任何违规、违纪行为，主动接受社会各界监督。</w:t>
      </w:r>
      <w:r>
        <w:rPr>
          <w:rFonts w:hint="eastAsia" w:ascii="宋体" w:hAnsi="宋体"/>
          <w:color w:val="000000" w:themeColor="text1"/>
          <w:sz w:val="28"/>
          <w:szCs w:val="28"/>
          <w:highlight w:val="none"/>
          <w:u w:val="single"/>
          <w14:textFill>
            <w14:solidFill>
              <w14:schemeClr w14:val="tx1"/>
            </w14:solidFill>
          </w14:textFill>
        </w:rPr>
        <w:t xml:space="preserve">             （企业）</w:t>
      </w:r>
      <w:r>
        <w:rPr>
          <w:rFonts w:hint="eastAsia" w:ascii="宋体" w:hAnsi="宋体"/>
          <w:color w:val="000000" w:themeColor="text1"/>
          <w:sz w:val="28"/>
          <w:szCs w:val="28"/>
          <w:highlight w:val="none"/>
          <w14:textFill>
            <w14:solidFill>
              <w14:schemeClr w14:val="tx1"/>
            </w14:solidFill>
          </w14:textFill>
        </w:rPr>
        <w:t>就参与招投标过程中，作出以下廉政承诺，如若违反，甘受相应处罚，自愿承担法律责任。</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不以不正当手段向</w:t>
      </w:r>
      <w:r>
        <w:rPr>
          <w:rFonts w:hint="eastAsia" w:ascii="宋体" w:hAnsi="宋体"/>
          <w:color w:val="000000" w:themeColor="text1"/>
          <w:sz w:val="28"/>
          <w:szCs w:val="28"/>
          <w:highlight w:val="none"/>
          <w:u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人谋取资格预审及投标的不正当照顾。</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不以提供不正当利益等方式，向标底编制、审查人员打听标底编制情况，向</w:t>
      </w:r>
      <w:r>
        <w:rPr>
          <w:rFonts w:hint="eastAsia" w:ascii="宋体" w:hAnsi="宋体"/>
          <w:color w:val="000000" w:themeColor="text1"/>
          <w:sz w:val="28"/>
          <w:szCs w:val="28"/>
          <w:highlight w:val="none"/>
          <w:u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代理单位谋求不正当利益。</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在确定中标人前，不向评标专家打招呼谋求照顾，不与</w:t>
      </w:r>
      <w:r>
        <w:rPr>
          <w:rFonts w:hint="eastAsia" w:ascii="宋体" w:hAnsi="宋体"/>
          <w:color w:val="000000" w:themeColor="text1"/>
          <w:sz w:val="28"/>
          <w:szCs w:val="28"/>
          <w:highlight w:val="none"/>
          <w:u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人就投标价格、投标方案等实质性内容进行磋商。</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不提供虚假材料谋取中标成交。在资格预审资料中，主动提供近二年信用档案情况，包括有无不良行为记录和公示期限的证明。</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不与投标人之间相互串标，如有其他人出现上述情况，主动向地区</w:t>
      </w:r>
      <w:r>
        <w:rPr>
          <w:rFonts w:hint="eastAsia" w:ascii="宋体" w:hAnsi="宋体"/>
          <w:color w:val="000000" w:themeColor="text1"/>
          <w:sz w:val="28"/>
          <w:szCs w:val="28"/>
          <w:highlight w:val="none"/>
          <w:lang w:val="en-US" w:eastAsia="zh-CN"/>
          <w14:textFill>
            <w14:solidFill>
              <w14:schemeClr w14:val="tx1"/>
            </w14:solidFill>
          </w14:textFill>
        </w:rPr>
        <w:t>财政局</w:t>
      </w:r>
      <w:r>
        <w:rPr>
          <w:rFonts w:hint="eastAsia" w:ascii="宋体" w:hAnsi="宋体"/>
          <w:color w:val="000000" w:themeColor="text1"/>
          <w:sz w:val="28"/>
          <w:szCs w:val="28"/>
          <w:highlight w:val="none"/>
          <w14:textFill>
            <w14:solidFill>
              <w14:schemeClr w14:val="tx1"/>
            </w14:solidFill>
          </w14:textFill>
        </w:rPr>
        <w:t>反映。</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不采用不正当手段诋毁、排挤其他投标人。</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不以他人名义投标或者以其它方式骗取中标。</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中标后，不将中标项目转让他人，或将中标项目肢解后分别转让他人。</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9</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中标后，与</w:t>
      </w:r>
      <w:r>
        <w:rPr>
          <w:rFonts w:hint="eastAsia" w:ascii="宋体" w:hAnsi="宋体"/>
          <w:color w:val="000000" w:themeColor="text1"/>
          <w:sz w:val="28"/>
          <w:szCs w:val="28"/>
          <w:highlight w:val="none"/>
          <w:u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人按照</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文件和中标人的投标文件订立合同，不订立背离合同实质性内容的协议。</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10</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不以任何名义向参与</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、评标工作的有关人员、建设单位及其工作人员馈赠礼金、有价证券、贵重物品。</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11</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建立健全各项廉政制度，积极开展廉政教育，在建设工程施工场地设立廉政公示牌，公示内容包括廉政责任人、廉政保证有关条款及廉政标语、廉政监督单位、廉政举报电话等。</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12</w:t>
      </w:r>
      <w:r>
        <w:rPr>
          <w:rFonts w:hint="eastAsia" w:ascii="宋体" w:hAnsi="宋体"/>
          <w:color w:val="000000" w:themeColor="text1"/>
          <w:sz w:val="28"/>
          <w:szCs w:val="28"/>
          <w:highlight w:val="none"/>
          <w:lang w:val="en-US"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主动接受、配合</w:t>
      </w:r>
      <w:r>
        <w:rPr>
          <w:rFonts w:hint="eastAsia" w:ascii="宋体" w:hAnsi="宋体"/>
          <w:color w:val="000000" w:themeColor="text1"/>
          <w:sz w:val="28"/>
          <w:szCs w:val="28"/>
          <w:highlight w:val="none"/>
          <w:lang w:val="en-US" w:eastAsia="zh-CN"/>
          <w14:textFill>
            <w14:solidFill>
              <w14:schemeClr w14:val="tx1"/>
            </w14:solidFill>
          </w14:textFill>
        </w:rPr>
        <w:t>阿瓦提县</w:t>
      </w:r>
      <w:r>
        <w:rPr>
          <w:rFonts w:hint="eastAsia" w:ascii="宋体" w:hAnsi="宋体"/>
          <w:color w:val="000000" w:themeColor="text1"/>
          <w:sz w:val="28"/>
          <w:szCs w:val="28"/>
          <w:highlight w:val="none"/>
          <w14:textFill>
            <w14:solidFill>
              <w14:schemeClr w14:val="tx1"/>
            </w14:solidFill>
          </w14:textFill>
        </w:rPr>
        <w:t>住房和城乡建设局的监督检查。</w:t>
      </w:r>
    </w:p>
    <w:p>
      <w:pPr>
        <w:spacing w:line="400" w:lineRule="exact"/>
        <w:ind w:firstLine="560" w:firstLineChars="200"/>
        <w:rPr>
          <w:rFonts w:ascii="宋体" w:hAnsi="宋体"/>
          <w:color w:val="000000" w:themeColor="text1"/>
          <w:sz w:val="28"/>
          <w:szCs w:val="28"/>
          <w:highlight w:val="none"/>
          <w14:textFill>
            <w14:solidFill>
              <w14:schemeClr w14:val="tx1"/>
            </w14:solidFill>
          </w14:textFill>
        </w:rPr>
      </w:pPr>
    </w:p>
    <w:p>
      <w:pPr>
        <w:spacing w:line="400" w:lineRule="exact"/>
        <w:ind w:firstLine="560" w:firstLineChars="200"/>
        <w:rPr>
          <w:rFonts w:ascii="宋体" w:hAnsi="宋体"/>
          <w:color w:val="000000" w:themeColor="text1"/>
          <w:sz w:val="28"/>
          <w:szCs w:val="28"/>
          <w:highlight w:val="none"/>
          <w14:textFill>
            <w14:solidFill>
              <w14:schemeClr w14:val="tx1"/>
            </w14:solidFill>
          </w14:textFill>
        </w:rPr>
      </w:pPr>
    </w:p>
    <w:p>
      <w:pPr>
        <w:spacing w:line="40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承诺单位（盖章）　　　　　法人代表（盖章）</w:t>
      </w:r>
    </w:p>
    <w:p>
      <w:pPr>
        <w:pStyle w:val="7"/>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7"/>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                                        年   月   日</w:t>
      </w:r>
    </w:p>
    <w:p>
      <w:pP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rPr>
          <w:rFonts w:asciiTheme="minorEastAsia" w:hAnsiTheme="minorEastAsia" w:eastAsiaTheme="minorEastAsia" w:cstheme="minorEastAsia"/>
          <w:color w:val="000000" w:themeColor="text1"/>
          <w:highlight w:val="none"/>
          <w14:textFill>
            <w14:solidFill>
              <w14:schemeClr w14:val="tx1"/>
            </w14:solidFill>
          </w14:textFill>
        </w:rPr>
      </w:pPr>
    </w:p>
    <w:p>
      <w:pPr>
        <w:spacing w:afterLines="200" w:line="440" w:lineRule="exact"/>
        <w:jc w:val="center"/>
        <w:outlineLvl w:val="0"/>
        <w:rPr>
          <w:color w:val="000000" w:themeColor="text1"/>
          <w:sz w:val="44"/>
          <w:szCs w:val="44"/>
          <w:highlight w:val="none"/>
          <w14:textFill>
            <w14:solidFill>
              <w14:schemeClr w14:val="tx1"/>
            </w14:solidFill>
          </w14:textFill>
        </w:rPr>
      </w:pPr>
      <w:bookmarkStart w:id="637" w:name="_Toc17554"/>
      <w:r>
        <w:rPr>
          <w:rFonts w:hint="eastAsia" w:ascii="宋体" w:hAnsi="宋体"/>
          <w:b/>
          <w:bCs/>
          <w:color w:val="000000" w:themeColor="text1"/>
          <w:sz w:val="44"/>
          <w:szCs w:val="44"/>
          <w:highlight w:val="none"/>
          <w14:textFill>
            <w14:solidFill>
              <w14:schemeClr w14:val="tx1"/>
            </w14:solidFill>
          </w14:textFill>
        </w:rPr>
        <w:t>第五章   采购需求</w:t>
      </w:r>
      <w:bookmarkEnd w:id="637"/>
    </w:p>
    <w:p>
      <w:pPr>
        <w:spacing w:line="360" w:lineRule="auto"/>
        <w:jc w:val="center"/>
        <w:rPr>
          <w:rFonts w:ascii="宋体" w:hAnsi="宋体" w:cs="宋体"/>
          <w:b/>
          <w:bCs/>
          <w:color w:val="000000" w:themeColor="text1"/>
          <w:sz w:val="32"/>
          <w:szCs w:val="32"/>
          <w:highlight w:val="none"/>
          <w14:textFill>
            <w14:solidFill>
              <w14:schemeClr w14:val="tx1"/>
            </w14:solidFill>
          </w14:textFill>
        </w:rPr>
      </w:pPr>
      <w:bookmarkStart w:id="638" w:name="_Toc247085856"/>
      <w:bookmarkStart w:id="639" w:name="_Toc152042555"/>
      <w:bookmarkStart w:id="640" w:name="_Toc144974835"/>
      <w:bookmarkStart w:id="641" w:name="_Toc246996341"/>
      <w:bookmarkStart w:id="642" w:name="_Toc152045773"/>
      <w:bookmarkStart w:id="643" w:name="_Toc246997084"/>
      <w:bookmarkStart w:id="644" w:name="_Toc179632790"/>
      <w:bookmarkStart w:id="645" w:name="_Toc9444"/>
      <w:r>
        <w:rPr>
          <w:rFonts w:hint="eastAsia" w:ascii="宋体" w:hAnsi="宋体" w:cs="宋体"/>
          <w:b/>
          <w:bCs/>
          <w:color w:val="000000" w:themeColor="text1"/>
          <w:sz w:val="32"/>
          <w:szCs w:val="32"/>
          <w:highlight w:val="none"/>
          <w14:textFill>
            <w14:solidFill>
              <w14:schemeClr w14:val="tx1"/>
            </w14:solidFill>
          </w14:textFill>
        </w:rPr>
        <w:t>1. 工程量清单说明</w:t>
      </w:r>
      <w:bookmarkEnd w:id="638"/>
      <w:bookmarkEnd w:id="639"/>
      <w:bookmarkEnd w:id="640"/>
      <w:bookmarkEnd w:id="641"/>
      <w:bookmarkEnd w:id="642"/>
      <w:bookmarkEnd w:id="643"/>
      <w:bookmarkEnd w:id="644"/>
      <w:bookmarkEnd w:id="645"/>
    </w:p>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工程概况：</w:t>
      </w:r>
    </w:p>
    <w:p>
      <w:pPr>
        <w:numPr>
          <w:ilvl w:val="0"/>
          <w:numId w:val="4"/>
        </w:num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建设规模：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本项目为阿瓦提县乡村振兴项目—乌鲁却勒镇红旗村污水处理项目，各村组已经建设村内污水收集支管，污水处理厂建设比较完善，有条件将各村组团污水统计汇集后至污水厂进行处理并达标排放或者采取中水回。建设重力流排水管网采用HDPE双壁波纹管，压力输污管采用PE10O管。设置地埋全自动一体化提升泵站。（具体详见工程量清单及图纸）。阀门井,根据该项目区地勘报告,工程区无区域性活动断裂,近期内无不稳定现象发生,区域构造稳定性较好;地下水水位埋深约为2.7~2.8m,拟建管线基础埋深为1.2m,故本工程可不考虑地下水的影响,给水、绿化给水不在本次范围内。排水管网施工完毕,需要对路面原状恢复.具体详见工程量清单及图纸）。</w:t>
      </w:r>
    </w:p>
    <w:p>
      <w:pPr>
        <w:numPr>
          <w:ilvl w:val="0"/>
          <w:numId w:val="4"/>
        </w:numPr>
        <w:spacing w:line="360" w:lineRule="auto"/>
        <w:ind w:left="0" w:leftChars="0" w:firstLine="0" w:firstLineChars="0"/>
        <w:jc w:val="both"/>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招标文件及答疑规定的全部内容。</w:t>
      </w:r>
    </w:p>
    <w:p>
      <w:pPr>
        <w:numPr>
          <w:ilvl w:val="0"/>
          <w:numId w:val="0"/>
        </w:numPr>
        <w:tabs>
          <w:tab w:val="left" w:pos="2467"/>
          <w:tab w:val="center" w:pos="4529"/>
        </w:tabs>
        <w:spacing w:line="240" w:lineRule="auto"/>
        <w:ind w:leftChars="0" w:right="0" w:rightChars="0"/>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3.</w:t>
      </w:r>
      <w:r>
        <w:rPr>
          <w:rFonts w:hint="eastAsia" w:ascii="宋体" w:hAnsi="宋体" w:cs="宋体"/>
          <w:b w:val="0"/>
          <w:bCs w:val="0"/>
          <w:color w:val="000000" w:themeColor="text1"/>
          <w:sz w:val="28"/>
          <w:szCs w:val="28"/>
          <w:highlight w:val="none"/>
          <w14:textFill>
            <w14:solidFill>
              <w14:schemeClr w14:val="tx1"/>
            </w14:solidFill>
          </w14:textFill>
        </w:rPr>
        <w:t>清单编制依据：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本工程全套施工图，与图纸配套的各种标准图集，以及《建设工程工程量清单计价规范》（GB50500-2013）和《房屋建筑与装饰工程工程量计算规范》（GB50854-2013）。</w:t>
      </w:r>
    </w:p>
    <w:p>
      <w:pPr>
        <w:numPr>
          <w:ilvl w:val="0"/>
          <w:numId w:val="0"/>
        </w:numPr>
        <w:spacing w:line="240" w:lineRule="auto"/>
        <w:ind w:leftChars="0"/>
        <w:jc w:val="both"/>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4.</w:t>
      </w:r>
      <w:r>
        <w:rPr>
          <w:rFonts w:hint="eastAsia" w:ascii="宋体" w:hAnsi="宋体" w:cs="宋体"/>
          <w:b w:val="0"/>
          <w:bCs w:val="0"/>
          <w:color w:val="000000" w:themeColor="text1"/>
          <w:sz w:val="28"/>
          <w:szCs w:val="28"/>
          <w:highlight w:val="none"/>
          <w14:textFill>
            <w14:solidFill>
              <w14:schemeClr w14:val="tx1"/>
            </w14:solidFill>
          </w14:textFill>
        </w:rPr>
        <w:t>规费包括：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工程排污费、养老保险费、失业保险费、医疗保险费、住房公积金、危险作业意外伤害保险;规费和税金必须按国家有关规定报价。</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5. 工程量清单表中任何内容不得随意删除和涂改，表中列明项目投标人均应如实填报，未填报的单价和合价视为已包含在工程量清单的其他项目单价和合价中。</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6. 凡是工程量清单报价表中与合价不符时以单价为准，大写和小写不符是以大写为准。</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7. 招标人提供的分部工程量清单，是投标人投标报价的基础；投标人填写的分部分项工程和单价措施项目清单与计价表，作为签订合同、拨付工程进度款和竣工结算的依据。结算工程量以合同约定为准。中标人由于自身原因造成工程量的增加不以任何形式调增。</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8. 本次招标工程项目的投标报价是有分部分项工程费、措施项目费、其他项目清单计价、规费及税金五项组成，投标人应根据招标文件中的工程清单及有关要求，结合和施工现场情况、自行制定的施工方案或施工组织设计，按照企业成本核算水平和市场价格自行组成工程项目综合单价。综合单价由完成单位工程清单项目所必需的人工费、材料费、机械费、管理费、利润、风险金等相关费用组成。</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9．本次招标工程项目的脚手架使用费、混凝土、钢筋混凝土模板及支架、临时设施费、安全措施费、文明施工费、配合费、垂直运输机械使用费、环境保护费、建筑物超高增加费、大型机械设备安装、拆除及进出场费以及其他费用，由投标人结合工地现场条件，企业管理水平等因素，在措施项目清单中填写此部分内容的投标报价。</w:t>
      </w:r>
    </w:p>
    <w:p>
      <w:pPr>
        <w:spacing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10.投标人在措施项目中未列入的项目，认为已被投标人计入分部分项工程量清单报价中。                                                                        11．本清单中叙述不到位的，由投标人根据施工组织设计﹑施工设计图答疑或变更、规范考虑在报价中。</w:t>
      </w:r>
    </w:p>
    <w:p>
      <w:pPr>
        <w:spacing w:line="360" w:lineRule="auto"/>
        <w:jc w:val="left"/>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12.工程量清单项目名称、项目特征所述内容为主要内容，投标人报价时应按照施工图纸、答疑及变更、施工组织设计及有关施工规范完成该项目的全部内容</w:t>
      </w:r>
      <w:r>
        <w:rPr>
          <w:rFonts w:hint="eastAsia" w:ascii="宋体" w:hAnsi="宋体" w:cs="宋体"/>
          <w:b w:val="0"/>
          <w:bCs w:val="0"/>
          <w:color w:val="000000" w:themeColor="text1"/>
          <w:sz w:val="28"/>
          <w:szCs w:val="28"/>
          <w:highlight w:val="none"/>
          <w:lang w:eastAsia="zh-CN"/>
          <w14:textFill>
            <w14:solidFill>
              <w14:schemeClr w14:val="tx1"/>
            </w14:solidFill>
          </w14:textFill>
        </w:rPr>
        <w:t>。</w:t>
      </w: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bookmarkStart w:id="646" w:name="_Toc152042558"/>
      <w:bookmarkStart w:id="647" w:name="_Toc152045776"/>
      <w:bookmarkStart w:id="648" w:name="_Toc246996344"/>
      <w:bookmarkStart w:id="649" w:name="_Toc246997087"/>
      <w:bookmarkStart w:id="650" w:name="_Toc144974838"/>
      <w:bookmarkStart w:id="651" w:name="_Toc247085859"/>
      <w:bookmarkStart w:id="652" w:name="_Toc179632793"/>
      <w:bookmarkStart w:id="653" w:name="_Toc7312"/>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both"/>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both"/>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both"/>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both"/>
        <w:rPr>
          <w:rFonts w:hint="eastAsia" w:ascii="宋体" w:hAnsi="宋体" w:cs="宋体"/>
          <w:b/>
          <w:bCs/>
          <w:color w:val="000000" w:themeColor="text1"/>
          <w:sz w:val="32"/>
          <w:szCs w:val="32"/>
          <w:highlight w:val="none"/>
          <w14:textFill>
            <w14:solidFill>
              <w14:schemeClr w14:val="tx1"/>
            </w14:solidFill>
          </w14:textFill>
        </w:rPr>
      </w:pPr>
    </w:p>
    <w:p>
      <w:pPr>
        <w:tabs>
          <w:tab w:val="left" w:pos="851"/>
        </w:tabs>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4. 工程量清单</w:t>
      </w:r>
      <w:bookmarkEnd w:id="646"/>
      <w:bookmarkEnd w:id="647"/>
      <w:bookmarkEnd w:id="648"/>
      <w:bookmarkEnd w:id="649"/>
      <w:bookmarkEnd w:id="650"/>
      <w:bookmarkEnd w:id="651"/>
      <w:bookmarkEnd w:id="652"/>
      <w:r>
        <w:rPr>
          <w:rFonts w:hint="eastAsia" w:ascii="宋体" w:hAnsi="宋体" w:cs="宋体"/>
          <w:b/>
          <w:bCs/>
          <w:color w:val="000000" w:themeColor="text1"/>
          <w:sz w:val="32"/>
          <w:szCs w:val="32"/>
          <w:highlight w:val="none"/>
          <w14:textFill>
            <w14:solidFill>
              <w14:schemeClr w14:val="tx1"/>
            </w14:solidFill>
          </w14:textFill>
        </w:rPr>
        <w:t>（另卷）</w:t>
      </w:r>
      <w:bookmarkEnd w:id="653"/>
    </w:p>
    <w:p>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654" w:name="_Toc247085870"/>
      <w:bookmarkStart w:id="655" w:name="_Toc28786"/>
      <w:bookmarkStart w:id="656" w:name="_Toc152042574"/>
      <w:bookmarkStart w:id="657" w:name="_Toc246997096"/>
      <w:bookmarkStart w:id="658" w:name="_Toc246996353"/>
      <w:bookmarkStart w:id="659" w:name="_Toc8136"/>
      <w:bookmarkStart w:id="660" w:name="_Toc144974854"/>
      <w:bookmarkStart w:id="661" w:name="_Toc14275"/>
      <w:bookmarkStart w:id="662" w:name="_Toc179632804"/>
      <w:bookmarkStart w:id="663" w:name="_Toc152045785"/>
      <w:r>
        <w:rPr>
          <w:rFonts w:hint="eastAsia"/>
          <w:color w:val="000000" w:themeColor="text1"/>
          <w:sz w:val="44"/>
          <w:szCs w:val="44"/>
          <w:highlight w:val="none"/>
          <w14:textFill>
            <w14:solidFill>
              <w14:schemeClr w14:val="tx1"/>
            </w14:solidFill>
          </w14:textFill>
        </w:rPr>
        <w:t>第六章</w:t>
      </w:r>
      <w:r>
        <w:rPr>
          <w:rFonts w:hint="eastAsia"/>
          <w:color w:val="000000" w:themeColor="text1"/>
          <w:sz w:val="44"/>
          <w:szCs w:val="44"/>
          <w:highlight w:val="none"/>
          <w:lang w:val="en-US" w:eastAsia="zh-CN"/>
          <w14:textFill>
            <w14:solidFill>
              <w14:schemeClr w14:val="tx1"/>
            </w14:solidFill>
          </w14:textFill>
        </w:rPr>
        <w:t xml:space="preserve">   </w:t>
      </w:r>
      <w:r>
        <w:rPr>
          <w:rFonts w:hint="eastAsia"/>
          <w:color w:val="000000" w:themeColor="text1"/>
          <w:sz w:val="44"/>
          <w:szCs w:val="44"/>
          <w:highlight w:val="none"/>
          <w14:textFill>
            <w14:solidFill>
              <w14:schemeClr w14:val="tx1"/>
            </w14:solidFill>
          </w14:textFill>
        </w:rPr>
        <w:t>技术标准和要求</w:t>
      </w:r>
      <w:bookmarkEnd w:id="654"/>
      <w:bookmarkEnd w:id="655"/>
      <w:bookmarkEnd w:id="656"/>
      <w:bookmarkEnd w:id="657"/>
      <w:bookmarkEnd w:id="658"/>
      <w:bookmarkEnd w:id="659"/>
      <w:bookmarkEnd w:id="660"/>
      <w:bookmarkEnd w:id="661"/>
      <w:bookmarkEnd w:id="662"/>
      <w:bookmarkEnd w:id="663"/>
    </w:p>
    <w:p>
      <w:pPr>
        <w:rPr>
          <w:rFonts w:ascii="Verdana" w:hAnsi="Verdana" w:eastAsia="楷体_GB2312"/>
          <w:b/>
          <w:i/>
          <w:iCs/>
          <w:color w:val="000000" w:themeColor="text1"/>
          <w:kern w:val="0"/>
          <w:sz w:val="20"/>
          <w:szCs w:val="20"/>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bookmarkStart w:id="664" w:name="_Toc262285101"/>
      <w:bookmarkStart w:id="665" w:name="_Toc8595"/>
      <w:bookmarkStart w:id="666" w:name="_Toc208317238"/>
      <w:r>
        <w:rPr>
          <w:rFonts w:hint="eastAsia" w:ascii="宋体" w:hAnsi="宋体" w:cs="宋体"/>
          <w:b/>
          <w:bCs/>
          <w:color w:val="000000" w:themeColor="text1"/>
          <w:sz w:val="32"/>
          <w:szCs w:val="32"/>
          <w:highlight w:val="none"/>
          <w14:textFill>
            <w14:solidFill>
              <w14:schemeClr w14:val="tx1"/>
            </w14:solidFill>
          </w14:textFill>
        </w:rPr>
        <w:t>第一节、技术标准</w:t>
      </w:r>
      <w:bookmarkEnd w:id="664"/>
      <w:bookmarkEnd w:id="665"/>
      <w:bookmarkEnd w:id="666"/>
    </w:p>
    <w:p>
      <w:pPr>
        <w:spacing w:line="36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本工程执行现行的技术标准。</w:t>
      </w:r>
    </w:p>
    <w:p>
      <w:pPr>
        <w:pStyle w:val="7"/>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bookmarkStart w:id="667" w:name="_Toc208317239"/>
      <w:bookmarkStart w:id="668" w:name="_Toc4950"/>
      <w:bookmarkStart w:id="669" w:name="_Toc262285102"/>
      <w:r>
        <w:rPr>
          <w:rFonts w:hint="eastAsia" w:ascii="宋体" w:hAnsi="宋体" w:cs="宋体"/>
          <w:b/>
          <w:bCs/>
          <w:color w:val="000000" w:themeColor="text1"/>
          <w:sz w:val="32"/>
          <w:szCs w:val="32"/>
          <w:highlight w:val="none"/>
          <w14:textFill>
            <w14:solidFill>
              <w14:schemeClr w14:val="tx1"/>
            </w14:solidFill>
          </w14:textFill>
        </w:rPr>
        <w:t>第二节、技术要求</w:t>
      </w:r>
      <w:bookmarkEnd w:id="667"/>
      <w:bookmarkEnd w:id="668"/>
      <w:bookmarkEnd w:id="669"/>
    </w:p>
    <w:p>
      <w:pPr>
        <w:spacing w:line="360" w:lineRule="auto"/>
        <w:rPr>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本工程执行现行的技术要求。</w:t>
      </w:r>
    </w:p>
    <w:p>
      <w:pPr>
        <w:pStyle w:val="7"/>
        <w:rPr>
          <w:color w:val="000000" w:themeColor="text1"/>
          <w:highlight w:val="none"/>
          <w14:textFill>
            <w14:solidFill>
              <w14:schemeClr w14:val="tx1"/>
            </w14:solidFill>
          </w14:textFill>
        </w:rPr>
      </w:pPr>
    </w:p>
    <w:p>
      <w:pPr>
        <w:pStyle w:val="2"/>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2"/>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2"/>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pPr>
        <w:pageBreakBefore/>
        <w:spacing w:line="440" w:lineRule="exact"/>
        <w:jc w:val="center"/>
        <w:outlineLvl w:val="0"/>
        <w:rPr>
          <w:rFonts w:ascii="宋体"/>
          <w:b/>
          <w:bCs/>
          <w:color w:val="000000" w:themeColor="text1"/>
          <w:sz w:val="44"/>
          <w:szCs w:val="44"/>
          <w:highlight w:val="none"/>
          <w14:textFill>
            <w14:solidFill>
              <w14:schemeClr w14:val="tx1"/>
            </w14:solidFill>
          </w14:textFill>
        </w:rPr>
      </w:pPr>
      <w:bookmarkStart w:id="670" w:name="_Toc21698"/>
      <w:r>
        <w:rPr>
          <w:rFonts w:hint="eastAsia" w:ascii="宋体" w:hAnsi="宋体"/>
          <w:b/>
          <w:bCs/>
          <w:color w:val="000000" w:themeColor="text1"/>
          <w:sz w:val="44"/>
          <w:szCs w:val="44"/>
          <w:highlight w:val="none"/>
          <w14:textFill>
            <w14:solidFill>
              <w14:schemeClr w14:val="tx1"/>
            </w14:solidFill>
          </w14:textFill>
        </w:rPr>
        <w:t>第七章</w:t>
      </w:r>
      <w:r>
        <w:rPr>
          <w:rFonts w:hint="eastAsia" w:ascii="宋体" w:hAnsi="宋体"/>
          <w:b/>
          <w:bCs/>
          <w:color w:val="000000" w:themeColor="text1"/>
          <w:sz w:val="44"/>
          <w:szCs w:val="44"/>
          <w:highlight w:val="none"/>
          <w:lang w:val="en-US" w:eastAsia="zh-CN"/>
          <w14:textFill>
            <w14:solidFill>
              <w14:schemeClr w14:val="tx1"/>
            </w14:solidFill>
          </w14:textFill>
        </w:rPr>
        <w:t xml:space="preserve">   </w:t>
      </w:r>
      <w:r>
        <w:rPr>
          <w:rFonts w:hint="eastAsia" w:ascii="宋体" w:hAnsi="宋体"/>
          <w:b/>
          <w:bCs/>
          <w:color w:val="000000" w:themeColor="text1"/>
          <w:sz w:val="44"/>
          <w:szCs w:val="44"/>
          <w:highlight w:val="none"/>
          <w14:textFill>
            <w14:solidFill>
              <w14:schemeClr w14:val="tx1"/>
            </w14:solidFill>
          </w14:textFill>
        </w:rPr>
        <w:t>响应文件格式</w:t>
      </w:r>
      <w:bookmarkEnd w:id="670"/>
    </w:p>
    <w:p>
      <w:pPr>
        <w:spacing w:line="440" w:lineRule="exact"/>
        <w:ind w:firstLine="280" w:firstLineChars="100"/>
        <w:jc w:val="center"/>
        <w:rPr>
          <w:rFonts w:hint="eastAsia" w:ascii="宋体" w:eastAsia="宋体"/>
          <w:color w:val="000000" w:themeColor="text1"/>
          <w:sz w:val="28"/>
          <w:szCs w:val="28"/>
          <w:highlight w:val="none"/>
          <w:u w:val="none"/>
          <w:lang w:eastAsia="zh-CN"/>
          <w14:textFill>
            <w14:solidFill>
              <w14:schemeClr w14:val="tx1"/>
            </w14:solidFill>
          </w14:textFill>
        </w:rPr>
      </w:pPr>
      <w:r>
        <w:rPr>
          <w:rFonts w:hint="eastAsia" w:ascii="宋体" w:hAnsi="宋体"/>
          <w:color w:val="000000" w:themeColor="text1"/>
          <w:sz w:val="28"/>
          <w:szCs w:val="28"/>
          <w:highlight w:val="none"/>
          <w:u w:val="none"/>
          <w:lang w:eastAsia="zh-CN"/>
          <w14:textFill>
            <w14:solidFill>
              <w14:schemeClr w14:val="tx1"/>
            </w14:solidFill>
          </w14:textFill>
        </w:rPr>
        <w:t>（</w:t>
      </w:r>
      <w:r>
        <w:rPr>
          <w:rFonts w:hint="eastAsia" w:ascii="宋体" w:hAnsi="宋体"/>
          <w:color w:val="000000" w:themeColor="text1"/>
          <w:sz w:val="28"/>
          <w:szCs w:val="28"/>
          <w:highlight w:val="none"/>
          <w:u w:val="none"/>
          <w14:textFill>
            <w14:solidFill>
              <w14:schemeClr w14:val="tx1"/>
            </w14:solidFill>
          </w14:textFill>
        </w:rPr>
        <w:t>响应文件封面示例</w:t>
      </w:r>
      <w:r>
        <w:rPr>
          <w:rFonts w:hint="eastAsia" w:ascii="宋体" w:hAnsi="宋体"/>
          <w:color w:val="000000" w:themeColor="text1"/>
          <w:sz w:val="28"/>
          <w:szCs w:val="28"/>
          <w:highlight w:val="none"/>
          <w:u w:val="none"/>
          <w:lang w:eastAsia="zh-CN"/>
          <w14:textFill>
            <w14:solidFill>
              <w14:schemeClr w14:val="tx1"/>
            </w14:solidFill>
          </w14:textFill>
        </w:rPr>
        <w:t>）</w:t>
      </w:r>
    </w:p>
    <w:p>
      <w:pPr>
        <w:spacing w:line="720" w:lineRule="auto"/>
        <w:jc w:val="right"/>
        <w:rPr>
          <w:rFonts w:asci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b/>
          <w:bCs/>
          <w:color w:val="000000" w:themeColor="text1"/>
          <w:sz w:val="36"/>
          <w:szCs w:val="36"/>
          <w:highlight w:val="none"/>
          <w14:textFill>
            <w14:solidFill>
              <w14:schemeClr w14:val="tx1"/>
            </w14:solidFill>
          </w14:textFill>
        </w:rPr>
        <w:t>正本或副本</w:t>
      </w:r>
    </w:p>
    <w:p>
      <w:pPr>
        <w:spacing w:line="720" w:lineRule="auto"/>
        <w:jc w:val="center"/>
        <w:rPr>
          <w:rFonts w:ascii="宋体" w:hAnsi="宋体"/>
          <w:b/>
          <w:bCs/>
          <w:color w:val="000000" w:themeColor="text1"/>
          <w:sz w:val="24"/>
          <w:szCs w:val="24"/>
          <w:highlight w:val="none"/>
          <w:u w:val="single"/>
          <w14:textFill>
            <w14:solidFill>
              <w14:schemeClr w14:val="tx1"/>
            </w14:solidFill>
          </w14:textFill>
        </w:rPr>
      </w:pPr>
      <w:bookmarkStart w:id="671" w:name="_Toc21009"/>
    </w:p>
    <w:p>
      <w:pPr>
        <w:spacing w:line="720" w:lineRule="auto"/>
        <w:jc w:val="center"/>
        <w:rPr>
          <w:rFonts w:asci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36"/>
          <w:szCs w:val="36"/>
          <w:highlight w:val="none"/>
          <w:u w:val="single"/>
          <w14:textFill>
            <w14:solidFill>
              <w14:schemeClr w14:val="tx1"/>
            </w14:solidFill>
          </w14:textFill>
        </w:rPr>
        <w:t>（项目名称）</w:t>
      </w:r>
      <w:bookmarkEnd w:id="671"/>
    </w:p>
    <w:p>
      <w:pPr>
        <w:spacing w:line="720" w:lineRule="auto"/>
        <w:jc w:val="center"/>
        <w:rPr>
          <w:rFonts w:ascii="宋体"/>
          <w:color w:val="000000" w:themeColor="text1"/>
          <w:sz w:val="28"/>
          <w:szCs w:val="28"/>
          <w:highlight w:val="none"/>
          <w14:textFill>
            <w14:solidFill>
              <w14:schemeClr w14:val="tx1"/>
            </w14:solidFill>
          </w14:textFill>
        </w:rPr>
      </w:pPr>
      <w:r>
        <w:rPr>
          <w:rFonts w:hint="eastAsia" w:ascii="宋体" w:hAnsi="宋体"/>
          <w:b/>
          <w:bCs/>
          <w:color w:val="000000" w:themeColor="text1"/>
          <w:spacing w:val="51"/>
          <w:sz w:val="56"/>
          <w:szCs w:val="56"/>
          <w:highlight w:val="none"/>
          <w14:textFill>
            <w14:solidFill>
              <w14:schemeClr w14:val="tx1"/>
            </w14:solidFill>
          </w14:textFill>
        </w:rPr>
        <w:t>响应文件</w:t>
      </w:r>
    </w:p>
    <w:p>
      <w:pPr>
        <w:spacing w:line="600" w:lineRule="auto"/>
        <w:rPr>
          <w:rFonts w:ascii="宋体" w:hAnsi="宋体"/>
          <w:color w:val="000000" w:themeColor="text1"/>
          <w:sz w:val="24"/>
          <w:szCs w:val="24"/>
          <w:highlight w:val="none"/>
          <w14:textFill>
            <w14:solidFill>
              <w14:schemeClr w14:val="tx1"/>
            </w14:solidFill>
          </w14:textFill>
        </w:rPr>
      </w:pPr>
    </w:p>
    <w:p>
      <w:pPr>
        <w:spacing w:line="600" w:lineRule="auto"/>
        <w:rPr>
          <w:rFonts w:ascii="宋体" w:hAnsi="宋体"/>
          <w:color w:val="000000" w:themeColor="text1"/>
          <w:sz w:val="24"/>
          <w:szCs w:val="24"/>
          <w:highlight w:val="none"/>
          <w14:textFill>
            <w14:solidFill>
              <w14:schemeClr w14:val="tx1"/>
            </w14:solidFill>
          </w14:textFill>
        </w:rPr>
      </w:pPr>
    </w:p>
    <w:p>
      <w:pPr>
        <w:spacing w:line="60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w:t>
      </w:r>
      <w:r>
        <w:rPr>
          <w:rFonts w:hint="eastAsia" w:ascii="宋体" w:hAnsi="宋体"/>
          <w:color w:val="000000" w:themeColor="text1"/>
          <w:sz w:val="28"/>
          <w:szCs w:val="28"/>
          <w:highlight w:val="none"/>
          <w:lang w:val="en-US" w:eastAsia="zh-CN"/>
          <w14:textFill>
            <w14:solidFill>
              <w14:schemeClr w14:val="tx1"/>
            </w14:solidFill>
          </w14:textFill>
        </w:rPr>
        <w:t>单位</w:t>
      </w:r>
      <w:r>
        <w:rPr>
          <w:rFonts w:hint="eastAsia" w:ascii="宋体" w:hAnsi="宋体"/>
          <w:color w:val="000000" w:themeColor="text1"/>
          <w:sz w:val="28"/>
          <w:szCs w:val="28"/>
          <w:highlight w:val="none"/>
          <w14:textFill>
            <w14:solidFill>
              <w14:schemeClr w14:val="tx1"/>
            </w14:solidFill>
          </w14:textFill>
        </w:rPr>
        <w:t>章）</w:t>
      </w:r>
    </w:p>
    <w:p>
      <w:pPr>
        <w:spacing w:line="60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签字或</w:t>
      </w:r>
      <w:r>
        <w:rPr>
          <w:rFonts w:hint="eastAsia" w:ascii="宋体" w:hAnsi="宋体"/>
          <w:color w:val="000000" w:themeColor="text1"/>
          <w:sz w:val="28"/>
          <w:szCs w:val="28"/>
          <w:highlight w:val="none"/>
          <w14:textFill>
            <w14:solidFill>
              <w14:schemeClr w14:val="tx1"/>
            </w14:solidFill>
          </w14:textFill>
        </w:rPr>
        <w:t>盖章）</w:t>
      </w:r>
    </w:p>
    <w:p>
      <w:pPr>
        <w:spacing w:line="600" w:lineRule="auto"/>
        <w:rPr>
          <w:rFonts w:hint="default" w:asci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单位地址：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600" w:lineRule="auto"/>
        <w:rPr>
          <w:rFonts w:hint="default" w:ascii="宋体"/>
          <w:color w:val="000000" w:themeColor="text1"/>
          <w:sz w:val="28"/>
          <w:szCs w:val="28"/>
          <w:highlight w:val="none"/>
          <w:lang w:val="en-US"/>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联系人：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60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联系电话：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300" w:lineRule="auto"/>
        <w:jc w:val="right"/>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r>
        <w:rPr>
          <w:rFonts w:hint="eastAsia" w:ascii="宋体"/>
          <w:color w:val="000000" w:themeColor="text1"/>
          <w:sz w:val="28"/>
          <w:szCs w:val="28"/>
          <w:highlight w:val="none"/>
          <w14:textFill>
            <w14:solidFill>
              <w14:schemeClr w14:val="tx1"/>
            </w14:solidFill>
          </w14:textFill>
        </w:rPr>
        <w:br w:type="page"/>
      </w:r>
    </w:p>
    <w:p>
      <w:pPr>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目    录</w:t>
      </w:r>
    </w:p>
    <w:p>
      <w:pPr>
        <w:spacing w:line="540" w:lineRule="exact"/>
        <w:rPr>
          <w:b/>
          <w:bCs/>
          <w:color w:val="000000" w:themeColor="text1"/>
          <w:highlight w:val="none"/>
          <w14:textFill>
            <w14:solidFill>
              <w14:schemeClr w14:val="tx1"/>
            </w14:solidFill>
          </w14:textFill>
        </w:rPr>
      </w:pPr>
    </w:p>
    <w:p>
      <w:pPr>
        <w:numPr>
          <w:ilvl w:val="0"/>
          <w:numId w:val="0"/>
        </w:numPr>
        <w:spacing w:line="360" w:lineRule="auto"/>
        <w:ind w:firstLine="562" w:firstLineChars="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一、</w:t>
      </w:r>
      <w:r>
        <w:rPr>
          <w:rFonts w:hint="eastAsia" w:ascii="宋体" w:hAnsi="宋体"/>
          <w:b/>
          <w:bCs/>
          <w:color w:val="000000" w:themeColor="text1"/>
          <w:sz w:val="28"/>
          <w:szCs w:val="28"/>
          <w:highlight w:val="none"/>
          <w14:textFill>
            <w14:solidFill>
              <w14:schemeClr w14:val="tx1"/>
            </w14:solidFill>
          </w14:textFill>
        </w:rPr>
        <w:t>投标函及投标函附录</w:t>
      </w:r>
    </w:p>
    <w:p>
      <w:pPr>
        <w:numPr>
          <w:ilvl w:val="0"/>
          <w:numId w:val="0"/>
        </w:numPr>
        <w:spacing w:line="360" w:lineRule="auto"/>
        <w:ind w:firstLine="843" w:firstLineChars="3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1-1</w:t>
      </w: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投标函</w:t>
      </w:r>
    </w:p>
    <w:p>
      <w:pPr>
        <w:numPr>
          <w:ilvl w:val="0"/>
          <w:numId w:val="0"/>
        </w:numPr>
        <w:spacing w:line="360" w:lineRule="auto"/>
        <w:ind w:firstLine="843" w:firstLineChars="3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1-2</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磋商</w:t>
      </w:r>
      <w:r>
        <w:rPr>
          <w:rFonts w:hint="eastAsia" w:ascii="宋体" w:hAnsi="宋体"/>
          <w:b/>
          <w:bCs/>
          <w:color w:val="000000" w:themeColor="text1"/>
          <w:sz w:val="28"/>
          <w:szCs w:val="28"/>
          <w:highlight w:val="none"/>
          <w14:textFill>
            <w14:solidFill>
              <w14:schemeClr w14:val="tx1"/>
            </w14:solidFill>
          </w14:textFill>
        </w:rPr>
        <w:t>报价表</w:t>
      </w:r>
    </w:p>
    <w:p>
      <w:pPr>
        <w:numPr>
          <w:ilvl w:val="0"/>
          <w:numId w:val="0"/>
        </w:numPr>
        <w:spacing w:line="360" w:lineRule="auto"/>
        <w:ind w:firstLine="843" w:firstLineChars="3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1-3</w:t>
      </w:r>
      <w:r>
        <w:rPr>
          <w:rFonts w:hint="eastAsia" w:ascii="宋体" w:hAnsi="宋体"/>
          <w:b/>
          <w:bCs/>
          <w:color w:val="000000" w:themeColor="text1"/>
          <w:sz w:val="28"/>
          <w:szCs w:val="28"/>
          <w:highlight w:val="none"/>
          <w14:textFill>
            <w14:solidFill>
              <w14:schemeClr w14:val="tx1"/>
            </w14:solidFill>
          </w14:textFill>
        </w:rPr>
        <w:t>）投标函附录</w:t>
      </w:r>
    </w:p>
    <w:p>
      <w:pPr>
        <w:spacing w:line="360" w:lineRule="auto"/>
        <w:ind w:firstLine="562" w:firstLineChars="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二、</w:t>
      </w:r>
      <w:r>
        <w:rPr>
          <w:rFonts w:hint="eastAsia" w:ascii="宋体" w:hAnsi="宋体"/>
          <w:b/>
          <w:bCs/>
          <w:color w:val="000000" w:themeColor="text1"/>
          <w:sz w:val="28"/>
          <w:szCs w:val="28"/>
          <w:highlight w:val="none"/>
          <w14:textFill>
            <w14:solidFill>
              <w14:schemeClr w14:val="tx1"/>
            </w14:solidFill>
          </w14:textFill>
        </w:rPr>
        <w:t>法定代表人身份证明或附有法定代表人身份证明的授权委托书</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（2-1）</w:t>
      </w:r>
      <w:r>
        <w:rPr>
          <w:rFonts w:hint="eastAsia" w:ascii="宋体" w:hAnsi="宋体"/>
          <w:b/>
          <w:bCs/>
          <w:color w:val="000000" w:themeColor="text1"/>
          <w:sz w:val="28"/>
          <w:szCs w:val="28"/>
          <w:highlight w:val="none"/>
          <w:lang w:eastAsia="zh-CN"/>
          <w14:textFill>
            <w14:solidFill>
              <w14:schemeClr w14:val="tx1"/>
            </w14:solidFill>
          </w14:textFill>
        </w:rPr>
        <w:t>法定代表人身份证明</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（2-2）</w:t>
      </w:r>
      <w:r>
        <w:rPr>
          <w:rFonts w:hint="eastAsia" w:ascii="宋体" w:hAnsi="宋体"/>
          <w:b/>
          <w:bCs/>
          <w:color w:val="000000" w:themeColor="text1"/>
          <w:sz w:val="28"/>
          <w:szCs w:val="28"/>
          <w:highlight w:val="none"/>
          <w:lang w:eastAsia="zh-CN"/>
          <w14:textFill>
            <w14:solidFill>
              <w14:schemeClr w14:val="tx1"/>
            </w14:solidFill>
          </w14:textFill>
        </w:rPr>
        <w:t>法定代表人的授权委托书</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三、</w:t>
      </w:r>
      <w:r>
        <w:rPr>
          <w:rFonts w:hint="eastAsia" w:ascii="宋体" w:hAnsi="宋体"/>
          <w:b/>
          <w:bCs/>
          <w:color w:val="000000" w:themeColor="text1"/>
          <w:sz w:val="28"/>
          <w:szCs w:val="28"/>
          <w:highlight w:val="none"/>
          <w:lang w:val="en-US" w:eastAsia="zh-CN"/>
          <w14:textFill>
            <w14:solidFill>
              <w14:schemeClr w14:val="tx1"/>
            </w14:solidFill>
          </w14:textFill>
        </w:rPr>
        <w:t>磋商</w:t>
      </w:r>
      <w:r>
        <w:rPr>
          <w:rFonts w:hint="eastAsia" w:ascii="宋体" w:hAnsi="宋体"/>
          <w:b/>
          <w:bCs/>
          <w:color w:val="000000" w:themeColor="text1"/>
          <w:sz w:val="28"/>
          <w:szCs w:val="28"/>
          <w:highlight w:val="none"/>
          <w14:textFill>
            <w14:solidFill>
              <w14:schemeClr w14:val="tx1"/>
            </w14:solidFill>
          </w14:textFill>
        </w:rPr>
        <w:t>保证金</w:t>
      </w:r>
    </w:p>
    <w:p>
      <w:pPr>
        <w:spacing w:line="360" w:lineRule="auto"/>
        <w:ind w:firstLine="562" w:firstLineChars="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四、</w:t>
      </w:r>
      <w:r>
        <w:rPr>
          <w:rFonts w:hint="eastAsia" w:ascii="宋体" w:hAnsi="宋体"/>
          <w:b/>
          <w:bCs/>
          <w:color w:val="000000" w:themeColor="text1"/>
          <w:sz w:val="28"/>
          <w:szCs w:val="28"/>
          <w:highlight w:val="none"/>
          <w14:textFill>
            <w14:solidFill>
              <w14:schemeClr w14:val="tx1"/>
            </w14:solidFill>
          </w14:textFill>
        </w:rPr>
        <w:t>已标价工程量清单</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（4.1）总说明</w:t>
      </w:r>
    </w:p>
    <w:p>
      <w:pPr>
        <w:spacing w:line="360" w:lineRule="auto"/>
        <w:ind w:firstLine="843" w:firstLineChars="3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（4.2）投标报价汇总表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（4.3）单项工程投标报价汇总表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（4.4）单位工程投标报价汇总表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（4.5）分部分项工程和单价措施项目清单与计价表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（4.6）总价措施项目清单与计价表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（4.7）其他项目清单与计价汇总表</w:t>
      </w:r>
    </w:p>
    <w:p>
      <w:pPr>
        <w:spacing w:line="360" w:lineRule="auto"/>
        <w:ind w:firstLine="1124" w:firstLineChars="4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（4.7.1）暂列金额明细表</w:t>
      </w:r>
    </w:p>
    <w:p>
      <w:pPr>
        <w:spacing w:line="360" w:lineRule="auto"/>
        <w:ind w:firstLine="1124" w:firstLineChars="4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（4.7.2）材料（工程设备）暂估单价及调整表</w:t>
      </w:r>
    </w:p>
    <w:p>
      <w:pPr>
        <w:spacing w:line="360" w:lineRule="auto"/>
        <w:ind w:firstLine="1124" w:firstLineChars="4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（4.7.3）专业工程暂估价及结算价表</w:t>
      </w:r>
    </w:p>
    <w:p>
      <w:pPr>
        <w:spacing w:line="360" w:lineRule="auto"/>
        <w:ind w:firstLine="1124" w:firstLineChars="4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（4.7.4）计日工表</w:t>
      </w:r>
    </w:p>
    <w:p>
      <w:pPr>
        <w:spacing w:line="360" w:lineRule="auto"/>
        <w:ind w:firstLine="1124" w:firstLineChars="4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（4.7.5）总承包服务费计价表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4.8</w:t>
      </w:r>
      <w:r>
        <w:rPr>
          <w:rFonts w:hint="eastAsia" w:ascii="宋体" w:hAnsi="宋体"/>
          <w:b/>
          <w:bCs/>
          <w:color w:val="000000" w:themeColor="text1"/>
          <w:sz w:val="28"/>
          <w:szCs w:val="28"/>
          <w:highlight w:val="none"/>
          <w14:textFill>
            <w14:solidFill>
              <w14:schemeClr w14:val="tx1"/>
            </w14:solidFill>
          </w14:textFill>
        </w:rPr>
        <w:t>）规费、税金项目计价表</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4.9</w:t>
      </w:r>
      <w:r>
        <w:rPr>
          <w:rFonts w:hint="eastAsia" w:ascii="宋体" w:hAnsi="宋体"/>
          <w:b/>
          <w:bCs/>
          <w:color w:val="000000" w:themeColor="text1"/>
          <w:sz w:val="28"/>
          <w:szCs w:val="28"/>
          <w:highlight w:val="none"/>
          <w14:textFill>
            <w14:solidFill>
              <w14:schemeClr w14:val="tx1"/>
            </w14:solidFill>
          </w14:textFill>
        </w:rPr>
        <w:t>）综合单价分析表</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五、</w:t>
      </w:r>
      <w:r>
        <w:rPr>
          <w:rFonts w:hint="eastAsia" w:ascii="宋体" w:hAnsi="宋体"/>
          <w:b/>
          <w:bCs/>
          <w:color w:val="000000" w:themeColor="text1"/>
          <w:sz w:val="28"/>
          <w:szCs w:val="28"/>
          <w:highlight w:val="none"/>
          <w:lang w:val="en-US" w:eastAsia="zh-CN"/>
          <w14:textFill>
            <w14:solidFill>
              <w14:schemeClr w14:val="tx1"/>
            </w14:solidFill>
          </w14:textFill>
        </w:rPr>
        <w:t>磋商</w:t>
      </w:r>
      <w:r>
        <w:rPr>
          <w:rFonts w:hint="eastAsia" w:ascii="宋体" w:hAnsi="宋体"/>
          <w:b/>
          <w:bCs/>
          <w:color w:val="000000" w:themeColor="text1"/>
          <w:sz w:val="28"/>
          <w:szCs w:val="28"/>
          <w:highlight w:val="none"/>
          <w14:textFill>
            <w14:solidFill>
              <w14:schemeClr w14:val="tx1"/>
            </w14:solidFill>
          </w14:textFill>
        </w:rPr>
        <w:t>报价需要的其他资料</w:t>
      </w:r>
    </w:p>
    <w:p>
      <w:pPr>
        <w:spacing w:line="360" w:lineRule="auto"/>
        <w:ind w:firstLine="562" w:firstLineChars="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六、</w:t>
      </w:r>
      <w:r>
        <w:rPr>
          <w:rFonts w:hint="eastAsia" w:ascii="宋体" w:hAnsi="宋体"/>
          <w:b/>
          <w:bCs/>
          <w:color w:val="000000" w:themeColor="text1"/>
          <w:sz w:val="28"/>
          <w:szCs w:val="28"/>
          <w:highlight w:val="none"/>
          <w14:textFill>
            <w14:solidFill>
              <w14:schemeClr w14:val="tx1"/>
            </w14:solidFill>
          </w14:textFill>
        </w:rPr>
        <w:t>项目管理机构</w:t>
      </w:r>
    </w:p>
    <w:p>
      <w:pPr>
        <w:spacing w:line="360" w:lineRule="auto"/>
        <w:ind w:firstLine="843" w:firstLineChars="3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6-1</w:t>
      </w:r>
      <w:r>
        <w:rPr>
          <w:rFonts w:hint="eastAsia" w:ascii="宋体" w:hAnsi="宋体"/>
          <w:b/>
          <w:bCs/>
          <w:color w:val="000000" w:themeColor="text1"/>
          <w:sz w:val="28"/>
          <w:szCs w:val="28"/>
          <w:highlight w:val="none"/>
          <w14:textFill>
            <w14:solidFill>
              <w14:schemeClr w14:val="tx1"/>
            </w14:solidFill>
          </w14:textFill>
        </w:rPr>
        <w:t>）项目管理机构组成表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6-2</w:t>
      </w:r>
      <w:r>
        <w:rPr>
          <w:rFonts w:hint="eastAsia" w:ascii="宋体" w:hAnsi="宋体"/>
          <w:b/>
          <w:bCs/>
          <w:color w:val="000000" w:themeColor="text1"/>
          <w:sz w:val="28"/>
          <w:szCs w:val="28"/>
          <w:highlight w:val="none"/>
          <w:lang w:eastAsia="zh-CN"/>
          <w14:textFill>
            <w14:solidFill>
              <w14:schemeClr w14:val="tx1"/>
            </w14:solidFill>
          </w14:textFill>
        </w:rPr>
        <w:t>）项目负责人简历表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6-3</w:t>
      </w:r>
      <w:r>
        <w:rPr>
          <w:rFonts w:hint="eastAsia" w:ascii="宋体" w:hAnsi="宋体"/>
          <w:b/>
          <w:bCs/>
          <w:color w:val="000000" w:themeColor="text1"/>
          <w:sz w:val="28"/>
          <w:szCs w:val="28"/>
          <w:highlight w:val="none"/>
          <w:lang w:eastAsia="zh-CN"/>
          <w14:textFill>
            <w14:solidFill>
              <w14:schemeClr w14:val="tx1"/>
            </w14:solidFill>
          </w14:textFill>
        </w:rPr>
        <w:t>）主要项目管理人员简历表</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七、</w:t>
      </w:r>
      <w:r>
        <w:rPr>
          <w:rFonts w:hint="eastAsia" w:ascii="宋体" w:hAnsi="宋体"/>
          <w:b/>
          <w:bCs/>
          <w:color w:val="000000" w:themeColor="text1"/>
          <w:sz w:val="28"/>
          <w:szCs w:val="28"/>
          <w:highlight w:val="none"/>
          <w14:textFill>
            <w14:solidFill>
              <w14:schemeClr w14:val="tx1"/>
            </w14:solidFill>
          </w14:textFill>
        </w:rPr>
        <w:t>资格审查资料</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7-1</w:t>
      </w: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供应商</w:t>
      </w:r>
      <w:r>
        <w:rPr>
          <w:rFonts w:hint="eastAsia" w:ascii="宋体" w:hAnsi="宋体"/>
          <w:b/>
          <w:bCs/>
          <w:color w:val="000000" w:themeColor="text1"/>
          <w:sz w:val="28"/>
          <w:szCs w:val="28"/>
          <w:highlight w:val="none"/>
          <w:lang w:eastAsia="zh-CN"/>
          <w14:textFill>
            <w14:solidFill>
              <w14:schemeClr w14:val="tx1"/>
            </w14:solidFill>
          </w14:textFill>
        </w:rPr>
        <w:t>基本情况表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7-2</w:t>
      </w:r>
      <w:r>
        <w:rPr>
          <w:rFonts w:hint="eastAsia" w:ascii="宋体" w:hAnsi="宋体"/>
          <w:b/>
          <w:bCs/>
          <w:color w:val="000000" w:themeColor="text1"/>
          <w:sz w:val="28"/>
          <w:szCs w:val="28"/>
          <w:highlight w:val="none"/>
          <w:lang w:eastAsia="zh-CN"/>
          <w14:textFill>
            <w14:solidFill>
              <w14:schemeClr w14:val="tx1"/>
            </w14:solidFill>
          </w14:textFill>
        </w:rPr>
        <w:t>）近三年财务状况表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7-3</w:t>
      </w:r>
      <w:r>
        <w:rPr>
          <w:rFonts w:hint="eastAsia" w:ascii="宋体" w:hAnsi="宋体"/>
          <w:b/>
          <w:bCs/>
          <w:color w:val="000000" w:themeColor="text1"/>
          <w:sz w:val="28"/>
          <w:szCs w:val="28"/>
          <w:highlight w:val="none"/>
          <w:lang w:eastAsia="zh-CN"/>
          <w14:textFill>
            <w14:solidFill>
              <w14:schemeClr w14:val="tx1"/>
            </w14:solidFill>
          </w14:textFill>
        </w:rPr>
        <w:t>）近三年度完成的类似项目情况表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7-4</w:t>
      </w:r>
      <w:r>
        <w:rPr>
          <w:rFonts w:hint="eastAsia" w:ascii="宋体" w:hAnsi="宋体"/>
          <w:b/>
          <w:bCs/>
          <w:color w:val="000000" w:themeColor="text1"/>
          <w:sz w:val="28"/>
          <w:szCs w:val="28"/>
          <w:highlight w:val="none"/>
          <w:lang w:eastAsia="zh-CN"/>
          <w14:textFill>
            <w14:solidFill>
              <w14:schemeClr w14:val="tx1"/>
            </w14:solidFill>
          </w14:textFill>
        </w:rPr>
        <w:t>）正在实施的和新承接的项目情况表</w:t>
      </w:r>
    </w:p>
    <w:p>
      <w:pPr>
        <w:spacing w:line="360" w:lineRule="auto"/>
        <w:ind w:firstLine="843" w:firstLineChars="300"/>
        <w:rPr>
          <w:rFonts w:hint="eastAsia" w:ascii="宋体" w:hAnsi="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7-5</w:t>
      </w:r>
      <w:r>
        <w:rPr>
          <w:rFonts w:hint="eastAsia" w:ascii="宋体" w:hAnsi="宋体"/>
          <w:b/>
          <w:bCs/>
          <w:color w:val="000000" w:themeColor="text1"/>
          <w:sz w:val="28"/>
          <w:szCs w:val="28"/>
          <w:highlight w:val="none"/>
          <w:lang w:eastAsia="zh-CN"/>
          <w14:textFill>
            <w14:solidFill>
              <w14:schemeClr w14:val="tx1"/>
            </w14:solidFill>
          </w14:textFill>
        </w:rPr>
        <w:t>）其他资格审查资料</w:t>
      </w:r>
    </w:p>
    <w:p>
      <w:pPr>
        <w:spacing w:line="360" w:lineRule="auto"/>
        <w:ind w:firstLine="562" w:firstLineChars="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八、</w:t>
      </w:r>
      <w:r>
        <w:rPr>
          <w:rFonts w:hint="eastAsia" w:ascii="宋体" w:hAnsi="宋体"/>
          <w:b/>
          <w:bCs/>
          <w:color w:val="000000" w:themeColor="text1"/>
          <w:sz w:val="28"/>
          <w:szCs w:val="28"/>
          <w:highlight w:val="none"/>
          <w14:textFill>
            <w14:solidFill>
              <w14:schemeClr w14:val="tx1"/>
            </w14:solidFill>
          </w14:textFill>
        </w:rPr>
        <w:t>工程投标廉政承诺书</w:t>
      </w:r>
    </w:p>
    <w:p>
      <w:pPr>
        <w:pStyle w:val="2"/>
        <w:ind w:firstLine="481"/>
        <w:rPr>
          <w:rFonts w:hint="eastAsia"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九、企业声明函</w:t>
      </w:r>
    </w:p>
    <w:p>
      <w:pPr>
        <w:pStyle w:val="2"/>
        <w:ind w:firstLine="481"/>
        <w:rPr>
          <w:rFonts w:hint="default"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十、反商业贿赂承诺书</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十一</w:t>
      </w:r>
      <w:r>
        <w:rPr>
          <w:rFonts w:hint="eastAsia" w:ascii="宋体" w:hAnsi="宋体"/>
          <w:b/>
          <w:bCs/>
          <w:color w:val="000000" w:themeColor="text1"/>
          <w:sz w:val="28"/>
          <w:szCs w:val="28"/>
          <w:highlight w:val="none"/>
          <w:lang w:eastAsia="zh-CN"/>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技术标</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1）施工方案与技术措施</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2）质量保证措施和创优计划</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3）施工总进度计划及保证措施</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4）施工安全措施计划</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5）文明施工措施计划</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6）施工场地治安保卫管理计划</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7）施工环保措施计划</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8）施工现场总平面布置（附图）</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9）项目组织管理机构</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10）成品保护和工程保修工作的管理和承诺</w:t>
      </w:r>
    </w:p>
    <w:p>
      <w:pPr>
        <w:spacing w:line="360" w:lineRule="auto"/>
        <w:ind w:firstLine="562" w:firstLineChars="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11）任何可能的紧急情况的处理措施、预案以及抵抗风险的措施</w:t>
      </w:r>
    </w:p>
    <w:p>
      <w:pPr>
        <w:spacing w:line="360" w:lineRule="auto"/>
        <w:jc w:val="left"/>
        <w:rPr>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 </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lang w:val="en-US" w:eastAsia="zh-CN"/>
          <w14:textFill>
            <w14:solidFill>
              <w14:schemeClr w14:val="tx1"/>
            </w14:solidFill>
          </w14:textFill>
        </w:rPr>
        <w:t>9-</w:t>
      </w:r>
      <w:r>
        <w:rPr>
          <w:rFonts w:hint="eastAsia" w:ascii="宋体" w:hAnsi="宋体"/>
          <w:b/>
          <w:bCs/>
          <w:color w:val="000000" w:themeColor="text1"/>
          <w:sz w:val="28"/>
          <w:szCs w:val="28"/>
          <w:highlight w:val="none"/>
          <w14:textFill>
            <w14:solidFill>
              <w14:schemeClr w14:val="tx1"/>
            </w14:solidFill>
          </w14:textFill>
        </w:rPr>
        <w:t>12）对总包管理的认识以及对专业分包工程的配合、协调、管理、服务方案</w:t>
      </w:r>
      <w:r>
        <w:rPr>
          <w:rFonts w:hint="eastAsia" w:ascii="宋体" w:hAnsi="宋体"/>
          <w:b/>
          <w:bCs/>
          <w:color w:val="000000" w:themeColor="text1"/>
          <w:sz w:val="28"/>
          <w:szCs w:val="28"/>
          <w:highlight w:val="none"/>
          <w:lang w:eastAsia="zh-CN"/>
          <w14:textFill>
            <w14:solidFill>
              <w14:schemeClr w14:val="tx1"/>
            </w14:solidFill>
          </w14:textFill>
        </w:rPr>
        <w:t>。</w:t>
      </w:r>
      <w:r>
        <w:rPr>
          <w:b/>
          <w:bCs/>
          <w:color w:val="000000" w:themeColor="text1"/>
          <w:sz w:val="28"/>
          <w:szCs w:val="28"/>
          <w:highlight w:val="none"/>
          <w14:textFill>
            <w14:solidFill>
              <w14:schemeClr w14:val="tx1"/>
            </w14:solidFill>
          </w14:textFill>
        </w:rPr>
        <w:br w:type="page"/>
      </w:r>
      <w:bookmarkStart w:id="672" w:name="_Toc152042577"/>
      <w:bookmarkStart w:id="673" w:name="_Toc144974857"/>
      <w:bookmarkStart w:id="674" w:name="_Toc179632808"/>
      <w:bookmarkStart w:id="675" w:name="_Toc247085874"/>
      <w:bookmarkStart w:id="676" w:name="_Toc152045788"/>
      <w:bookmarkStart w:id="677" w:name="_Toc246997099"/>
      <w:bookmarkStart w:id="678" w:name="_Toc246996356"/>
    </w:p>
    <w:p>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一、投标函及投标函附录</w:t>
      </w:r>
      <w:bookmarkEnd w:id="672"/>
      <w:bookmarkEnd w:id="673"/>
      <w:bookmarkEnd w:id="674"/>
      <w:bookmarkEnd w:id="675"/>
      <w:bookmarkEnd w:id="676"/>
      <w:bookmarkEnd w:id="677"/>
      <w:bookmarkEnd w:id="678"/>
    </w:p>
    <w:p>
      <w:pPr>
        <w:jc w:val="center"/>
        <w:rPr>
          <w:rFonts w:eastAsia="黑体"/>
          <w:color w:val="000000" w:themeColor="text1"/>
          <w:sz w:val="20"/>
          <w:szCs w:val="20"/>
          <w:highlight w:val="none"/>
          <w14:textFill>
            <w14:solidFill>
              <w14:schemeClr w14:val="tx1"/>
            </w14:solidFill>
          </w14:textFill>
        </w:rPr>
      </w:pPr>
      <w:bookmarkStart w:id="679" w:name="_Toc246997100"/>
      <w:bookmarkStart w:id="680" w:name="_Toc179632809"/>
      <w:bookmarkStart w:id="681" w:name="_Toc144974858"/>
      <w:bookmarkStart w:id="682" w:name="_Toc152042578"/>
      <w:bookmarkStart w:id="683" w:name="_Toc247085875"/>
      <w:bookmarkStart w:id="684" w:name="_Toc246996357"/>
      <w:bookmarkStart w:id="685" w:name="_Toc152045789"/>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1-1</w:t>
      </w:r>
      <w:r>
        <w:rPr>
          <w:rFonts w:hint="eastAsia" w:ascii="宋体" w:hAnsi="宋体" w:cs="宋体"/>
          <w:b/>
          <w:bCs/>
          <w:color w:val="000000" w:themeColor="text1"/>
          <w:sz w:val="32"/>
          <w:szCs w:val="32"/>
          <w:highlight w:val="none"/>
          <w14:textFill>
            <w14:solidFill>
              <w14:schemeClr w14:val="tx1"/>
            </w14:solidFill>
          </w14:textFill>
        </w:rPr>
        <w:t>）投标函</w:t>
      </w:r>
      <w:bookmarkEnd w:id="679"/>
      <w:bookmarkEnd w:id="680"/>
      <w:bookmarkEnd w:id="681"/>
      <w:bookmarkEnd w:id="682"/>
      <w:bookmarkEnd w:id="683"/>
      <w:bookmarkEnd w:id="684"/>
      <w:bookmarkEnd w:id="685"/>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采购</w:t>
      </w:r>
      <w:r>
        <w:rPr>
          <w:rFonts w:hint="eastAsia" w:ascii="宋体" w:hAnsi="宋体"/>
          <w:color w:val="000000" w:themeColor="text1"/>
          <w:sz w:val="28"/>
          <w:szCs w:val="28"/>
          <w:highlight w:val="none"/>
          <w14:textFill>
            <w14:solidFill>
              <w14:schemeClr w14:val="tx1"/>
            </w14:solidFill>
          </w14:textFill>
        </w:rPr>
        <w:t>人名称）：</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1．我方已仔细研究了</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（项目名称）</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文件的全部内容，愿意以人民币（大写）</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）的</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总报价，工期</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日历天，按合同约定实施和完成承包工程，修补工程中的任何缺陷，工程质量达到</w:t>
      </w:r>
      <w:r>
        <w:rPr>
          <w:rFonts w:hint="eastAsia" w:ascii="宋体" w:hAnsi="宋体"/>
          <w:color w:val="000000" w:themeColor="text1"/>
          <w:sz w:val="28"/>
          <w:szCs w:val="28"/>
          <w:highlight w:val="none"/>
          <w:u w:val="single"/>
          <w14:textFill>
            <w14:solidFill>
              <w14:schemeClr w14:val="tx1"/>
            </w14:solidFill>
          </w14:textFill>
        </w:rPr>
        <w:t xml:space="preserve">     合格      </w:t>
      </w:r>
      <w:r>
        <w:rPr>
          <w:rFonts w:hint="eastAsia" w:ascii="宋体" w:hAnsi="宋体"/>
          <w:color w:val="000000" w:themeColor="text1"/>
          <w:sz w:val="28"/>
          <w:szCs w:val="28"/>
          <w:highlight w:val="none"/>
          <w14:textFill>
            <w14:solidFill>
              <w14:schemeClr w14:val="tx1"/>
            </w14:solidFill>
          </w14:textFill>
        </w:rPr>
        <w:t>。</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2．我方承诺在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文件规定的</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有效期内不修改、撤销</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w:t>
      </w:r>
    </w:p>
    <w:p>
      <w:pPr>
        <w:spacing w:line="440" w:lineRule="exact"/>
        <w:ind w:left="839" w:leftChars="266" w:hanging="280" w:hangingChars="1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3．随同本投标函提交</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保证金一份，金额为人民币（大写）</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4．如我方中标：</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（1）我方承诺在收到中标通知书后，在中标通知书规定的期限内与你方签订合同。</w:t>
      </w:r>
    </w:p>
    <w:p>
      <w:pPr>
        <w:spacing w:line="440" w:lineRule="exact"/>
        <w:ind w:firstLine="560" w:firstLineChars="200"/>
        <w:rPr>
          <w:rFonts w:hint="eastAsia" w:ascii="宋体" w:hAnsi="宋体" w:eastAsia="宋体" w:cs="Times New Roman"/>
          <w:color w:val="000000" w:themeColor="text1"/>
          <w:sz w:val="28"/>
          <w:szCs w:val="28"/>
          <w:highlight w:val="none"/>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（2）随同本投标函递交的投标函附录属于合同文件的组成部分。</w:t>
      </w:r>
    </w:p>
    <w:p>
      <w:pPr>
        <w:spacing w:line="440" w:lineRule="exact"/>
        <w:ind w:firstLine="560" w:firstLineChars="200"/>
        <w:rPr>
          <w:rFonts w:hint="eastAsia" w:ascii="宋体" w:hAnsi="宋体" w:eastAsia="宋体" w:cs="Times New Roman"/>
          <w:color w:val="000000" w:themeColor="text1"/>
          <w:sz w:val="28"/>
          <w:szCs w:val="28"/>
          <w:highlight w:val="none"/>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（3）我方承诺按照</w:t>
      </w:r>
      <w:r>
        <w:rPr>
          <w:rFonts w:hint="eastAsia" w:ascii="宋体" w:hAnsi="宋体" w:cs="Times New Roman"/>
          <w:color w:val="000000" w:themeColor="text1"/>
          <w:sz w:val="28"/>
          <w:szCs w:val="28"/>
          <w:highlight w:val="none"/>
          <w:lang w:val="en-US" w:eastAsia="zh-CN"/>
          <w14:textFill>
            <w14:solidFill>
              <w14:schemeClr w14:val="tx1"/>
            </w14:solidFill>
          </w14:textFill>
        </w:rPr>
        <w:t>磋商</w:t>
      </w:r>
      <w:r>
        <w:rPr>
          <w:rFonts w:hint="eastAsia" w:ascii="宋体" w:hAnsi="宋体" w:eastAsia="宋体" w:cs="Times New Roman"/>
          <w:color w:val="000000" w:themeColor="text1"/>
          <w:sz w:val="28"/>
          <w:szCs w:val="28"/>
          <w:highlight w:val="none"/>
          <w14:textFill>
            <w14:solidFill>
              <w14:schemeClr w14:val="tx1"/>
            </w14:solidFill>
          </w14:textFill>
        </w:rPr>
        <w:t>文件规定向你方递交履约担保。</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（4）我</w:t>
      </w:r>
      <w:r>
        <w:rPr>
          <w:rFonts w:hint="eastAsia" w:ascii="宋体" w:hAnsi="宋体"/>
          <w:color w:val="000000" w:themeColor="text1"/>
          <w:sz w:val="28"/>
          <w:szCs w:val="28"/>
          <w:highlight w:val="none"/>
          <w14:textFill>
            <w14:solidFill>
              <w14:schemeClr w14:val="tx1"/>
            </w14:solidFill>
          </w14:textFill>
        </w:rPr>
        <w:t>方承诺在合同约定的期限内完成并移交全部合同工程。</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w:t>
      </w:r>
      <w:r>
        <w:rPr>
          <w:rFonts w:hint="eastAsia" w:ascii="宋体" w:hAnsi="宋体"/>
          <w:b/>
          <w:bCs/>
          <w:color w:val="000000" w:themeColor="text1"/>
          <w:sz w:val="28"/>
          <w:szCs w:val="28"/>
          <w:highlight w:val="none"/>
          <w14:textFill>
            <w14:solidFill>
              <w14:schemeClr w14:val="tx1"/>
            </w14:solidFill>
          </w14:textFill>
        </w:rPr>
        <w:t>我方在此声明，所递交的</w:t>
      </w:r>
      <w:r>
        <w:rPr>
          <w:rFonts w:hint="eastAsia" w:ascii="宋体" w:hAnsi="宋体"/>
          <w:b/>
          <w:bCs/>
          <w:color w:val="000000" w:themeColor="text1"/>
          <w:sz w:val="28"/>
          <w:szCs w:val="28"/>
          <w:highlight w:val="none"/>
          <w:lang w:val="en-US" w:eastAsia="zh-CN"/>
          <w14:textFill>
            <w14:solidFill>
              <w14:schemeClr w14:val="tx1"/>
            </w14:solidFill>
          </w14:textFill>
        </w:rPr>
        <w:t>响应</w:t>
      </w:r>
      <w:r>
        <w:rPr>
          <w:rFonts w:hint="eastAsia" w:ascii="宋体" w:hAnsi="宋体"/>
          <w:b/>
          <w:bCs/>
          <w:color w:val="000000" w:themeColor="text1"/>
          <w:sz w:val="28"/>
          <w:szCs w:val="28"/>
          <w:highlight w:val="none"/>
          <w14:textFill>
            <w14:solidFill>
              <w14:schemeClr w14:val="tx1"/>
            </w14:solidFill>
          </w14:textFill>
        </w:rPr>
        <w:t>文件及有关资料内容完整、真实和准确，且不存在第三章“投标人须知”第1.5项规定的任何一种情形</w:t>
      </w:r>
      <w:r>
        <w:rPr>
          <w:rFonts w:hint="eastAsia" w:ascii="宋体" w:hAnsi="宋体"/>
          <w:color w:val="000000" w:themeColor="text1"/>
          <w:sz w:val="28"/>
          <w:szCs w:val="28"/>
          <w:highlight w:val="none"/>
          <w14:textFill>
            <w14:solidFill>
              <w14:schemeClr w14:val="tx1"/>
            </w14:solidFill>
          </w14:textFill>
        </w:rPr>
        <w:t>。</w:t>
      </w:r>
    </w:p>
    <w:p>
      <w:pPr>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w:t>
      </w:r>
      <w:r>
        <w:rPr>
          <w:rFonts w:hint="eastAsia" w:ascii="宋体" w:hAnsi="宋体"/>
          <w:b/>
          <w:bCs/>
          <w:color w:val="000000" w:themeColor="text1"/>
          <w:sz w:val="28"/>
          <w:szCs w:val="28"/>
          <w:highlight w:val="none"/>
          <w14:textFill>
            <w14:solidFill>
              <w14:schemeClr w14:val="tx1"/>
            </w14:solidFill>
          </w14:textFill>
        </w:rPr>
        <w:t>其他补充说明：我方按要求向建设主管部门指定帐户交纳民工工资保证金、文明及安全施工保证金等费用</w:t>
      </w:r>
      <w:r>
        <w:rPr>
          <w:rFonts w:hint="eastAsia" w:ascii="宋体" w:hAnsi="宋体"/>
          <w:color w:val="000000" w:themeColor="text1"/>
          <w:sz w:val="28"/>
          <w:szCs w:val="28"/>
          <w:highlight w:val="none"/>
          <w14:textFill>
            <w14:solidFill>
              <w14:schemeClr w14:val="tx1"/>
            </w14:solidFill>
          </w14:textFill>
        </w:rPr>
        <w:t>。</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 应 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spacing w:line="440" w:lineRule="exact"/>
        <w:rPr>
          <w:rFonts w:hint="default" w:ascii="宋体" w:hAns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网址：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jc w:val="righ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jc w:val="center"/>
        <w:rPr>
          <w:rFonts w:ascii="黑体" w:eastAsia="黑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1-2</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磋商</w:t>
      </w:r>
      <w:r>
        <w:rPr>
          <w:rFonts w:hint="eastAsia" w:ascii="宋体" w:hAnsi="宋体" w:cs="宋体"/>
          <w:b/>
          <w:bCs/>
          <w:color w:val="000000" w:themeColor="text1"/>
          <w:sz w:val="32"/>
          <w:szCs w:val="32"/>
          <w:highlight w:val="none"/>
          <w14:textFill>
            <w14:solidFill>
              <w14:schemeClr w14:val="tx1"/>
            </w14:solidFill>
          </w14:textFill>
        </w:rPr>
        <w:t>报价</w:t>
      </w:r>
      <w:r>
        <w:rPr>
          <w:rFonts w:hint="eastAsia" w:ascii="宋体" w:hAnsi="宋体" w:cs="宋体"/>
          <w:b/>
          <w:bCs/>
          <w:color w:val="000000" w:themeColor="text1"/>
          <w:sz w:val="32"/>
          <w:szCs w:val="32"/>
          <w:highlight w:val="none"/>
          <w:lang w:eastAsia="zh-CN"/>
          <w14:textFill>
            <w14:solidFill>
              <w14:schemeClr w14:val="tx1"/>
            </w14:solidFill>
          </w14:textFill>
        </w:rPr>
        <w:t>一览</w:t>
      </w:r>
      <w:r>
        <w:rPr>
          <w:rFonts w:hint="eastAsia" w:ascii="宋体" w:hAnsi="宋体" w:cs="宋体"/>
          <w:b/>
          <w:bCs/>
          <w:color w:val="000000" w:themeColor="text1"/>
          <w:sz w:val="32"/>
          <w:szCs w:val="32"/>
          <w:highlight w:val="none"/>
          <w14:textFill>
            <w14:solidFill>
              <w14:schemeClr w14:val="tx1"/>
            </w14:solidFill>
          </w14:textFill>
        </w:rPr>
        <w:t>表</w:t>
      </w:r>
    </w:p>
    <w:p>
      <w:pPr>
        <w:spacing w:line="440" w:lineRule="exact"/>
        <w:jc w:val="center"/>
        <w:rPr>
          <w:rFonts w:ascii="宋体" w:hAnsi="宋体"/>
          <w:b/>
          <w:color w:val="000000" w:themeColor="text1"/>
          <w:sz w:val="28"/>
          <w:szCs w:val="28"/>
          <w:highlight w:val="none"/>
          <w14:textFill>
            <w14:solidFill>
              <w14:schemeClr w14:val="tx1"/>
            </w14:solidFill>
          </w14:textFill>
        </w:rPr>
      </w:pPr>
    </w:p>
    <w:tbl>
      <w:tblPr>
        <w:tblStyle w:val="2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24"/>
        <w:gridCol w:w="1565"/>
        <w:gridCol w:w="1681"/>
        <w:gridCol w:w="150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53"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序号</w:t>
            </w:r>
          </w:p>
        </w:tc>
        <w:tc>
          <w:tcPr>
            <w:tcW w:w="2424"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tc>
        <w:tc>
          <w:tcPr>
            <w:tcW w:w="1565"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建筑面积（㎡）</w:t>
            </w:r>
          </w:p>
        </w:tc>
        <w:tc>
          <w:tcPr>
            <w:tcW w:w="1681"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磋商</w:t>
            </w:r>
            <w:r>
              <w:rPr>
                <w:rFonts w:hint="eastAsia" w:ascii="宋体" w:hAnsi="宋体"/>
                <w:b/>
                <w:color w:val="000000" w:themeColor="text1"/>
                <w:sz w:val="28"/>
                <w:szCs w:val="28"/>
                <w:highlight w:val="none"/>
                <w14:textFill>
                  <w14:solidFill>
                    <w14:schemeClr w14:val="tx1"/>
                  </w14:solidFill>
                </w14:textFill>
              </w:rPr>
              <w:t>总价（元）</w:t>
            </w:r>
          </w:p>
        </w:tc>
        <w:tc>
          <w:tcPr>
            <w:tcW w:w="1506"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工程质量</w:t>
            </w:r>
          </w:p>
        </w:tc>
        <w:tc>
          <w:tcPr>
            <w:tcW w:w="1236" w:type="dxa"/>
            <w:noWrap/>
            <w:vAlign w:val="center"/>
          </w:tcPr>
          <w:p>
            <w:pPr>
              <w:spacing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p>
        </w:tc>
        <w:tc>
          <w:tcPr>
            <w:tcW w:w="2424"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06" w:type="dxa"/>
            <w:vMerge w:val="restart"/>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236" w:type="dxa"/>
            <w:vMerge w:val="restart"/>
            <w:noWrap/>
          </w:tcPr>
          <w:p>
            <w:pPr>
              <w:spacing w:line="4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w:t>
            </w:r>
          </w:p>
        </w:tc>
        <w:tc>
          <w:tcPr>
            <w:tcW w:w="2424"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p>
        </w:tc>
        <w:tc>
          <w:tcPr>
            <w:tcW w:w="2424"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p>
        </w:tc>
        <w:tc>
          <w:tcPr>
            <w:tcW w:w="2424"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ign w:val="center"/>
          </w:tcPr>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合计</w:t>
            </w:r>
          </w:p>
        </w:tc>
        <w:tc>
          <w:tcPr>
            <w:tcW w:w="1565"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65" w:type="dxa"/>
            <w:gridSpan w:val="6"/>
            <w:noWrap/>
            <w:vAlign w:val="center"/>
          </w:tcPr>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总价大写（人民币）：</w:t>
            </w:r>
          </w:p>
        </w:tc>
      </w:tr>
    </w:tbl>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注：</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总价应与已标价工程清单中“</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总报价”的金额一致。</w:t>
      </w: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 应 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spacing w:line="440" w:lineRule="exact"/>
        <w:rPr>
          <w:rFonts w:hint="default" w:ascii="宋体" w:hAns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网址：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jc w:val="right"/>
        <w:rPr>
          <w:color w:val="000000" w:themeColor="text1"/>
          <w:sz w:val="24"/>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r>
        <w:rPr>
          <w:rFonts w:ascii="宋体" w:hAnsi="宋体"/>
          <w:color w:val="000000" w:themeColor="text1"/>
          <w:sz w:val="28"/>
          <w:szCs w:val="28"/>
          <w:highlight w:val="none"/>
          <w14:textFill>
            <w14:solidFill>
              <w14:schemeClr w14:val="tx1"/>
            </w14:solidFill>
          </w14:textFill>
        </w:rPr>
        <w:br w:type="page"/>
      </w:r>
    </w:p>
    <w:p>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1-3</w:t>
      </w:r>
      <w:r>
        <w:rPr>
          <w:rFonts w:hint="eastAsia" w:ascii="宋体" w:hAnsi="宋体" w:cs="宋体"/>
          <w:b/>
          <w:bCs/>
          <w:color w:val="000000" w:themeColor="text1"/>
          <w:sz w:val="32"/>
          <w:szCs w:val="32"/>
          <w:highlight w:val="none"/>
          <w14:textFill>
            <w14:solidFill>
              <w14:schemeClr w14:val="tx1"/>
            </w14:solidFill>
          </w14:textFill>
        </w:rPr>
        <w:t>）投标函附录</w:t>
      </w:r>
    </w:p>
    <w:tbl>
      <w:tblPr>
        <w:tblStyle w:val="24"/>
        <w:tblpPr w:leftFromText="180" w:rightFromText="180" w:vertAnchor="text" w:horzAnchor="margin" w:tblpXSpec="center" w:tblpY="9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961"/>
        <w:gridCol w:w="2294"/>
        <w:gridCol w:w="172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序号</w:t>
            </w:r>
          </w:p>
        </w:tc>
        <w:tc>
          <w:tcPr>
            <w:tcW w:w="2961"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条款内容</w:t>
            </w:r>
          </w:p>
        </w:tc>
        <w:tc>
          <w:tcPr>
            <w:tcW w:w="2294"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lang w:val="en-US" w:eastAsia="zh-CN"/>
                <w14:textFill>
                  <w14:solidFill>
                    <w14:schemeClr w14:val="tx1"/>
                  </w14:solidFill>
                </w14:textFill>
              </w:rPr>
              <w:t>采购</w:t>
            </w:r>
            <w:r>
              <w:rPr>
                <w:rFonts w:hint="eastAsia" w:ascii="宋体" w:hAnsi="宋体"/>
                <w:b/>
                <w:iCs/>
                <w:color w:val="000000" w:themeColor="text1"/>
                <w:sz w:val="24"/>
                <w:highlight w:val="none"/>
                <w14:textFill>
                  <w14:solidFill>
                    <w14:schemeClr w14:val="tx1"/>
                  </w14:solidFill>
                </w14:textFill>
              </w:rPr>
              <w:t>人要求</w:t>
            </w:r>
          </w:p>
        </w:tc>
        <w:tc>
          <w:tcPr>
            <w:tcW w:w="1721"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lang w:val="en-US" w:eastAsia="zh-CN"/>
                <w14:textFill>
                  <w14:solidFill>
                    <w14:schemeClr w14:val="tx1"/>
                  </w14:solidFill>
                </w14:textFill>
              </w:rPr>
              <w:t>供应商</w:t>
            </w:r>
            <w:r>
              <w:rPr>
                <w:rFonts w:hint="eastAsia" w:ascii="宋体" w:hAnsi="宋体"/>
                <w:b/>
                <w:iCs/>
                <w:color w:val="000000" w:themeColor="text1"/>
                <w:sz w:val="24"/>
                <w:highlight w:val="none"/>
                <w14:textFill>
                  <w14:solidFill>
                    <w14:schemeClr w14:val="tx1"/>
                  </w14:solidFill>
                </w14:textFill>
              </w:rPr>
              <w:t xml:space="preserve">承诺 </w:t>
            </w:r>
          </w:p>
        </w:tc>
        <w:tc>
          <w:tcPr>
            <w:tcW w:w="884"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1</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项目负责人</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须知</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5.1</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姓名：</w:t>
            </w:r>
            <w:r>
              <w:rPr>
                <w:rFonts w:ascii="宋体" w:hAnsi="宋体"/>
                <w:iCs/>
                <w:color w:val="000000" w:themeColor="text1"/>
                <w:szCs w:val="21"/>
                <w:highlight w:val="none"/>
                <w:u w:val="single"/>
                <w14:textFill>
                  <w14:solidFill>
                    <w14:schemeClr w14:val="tx1"/>
                  </w14:solidFill>
                </w14:textFill>
              </w:rPr>
              <w:t xml:space="preserve">           </w:t>
            </w: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2</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工期</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天数：</w:t>
            </w:r>
            <w:r>
              <w:rPr>
                <w:rFonts w:hint="eastAsia" w:ascii="宋体" w:hAnsi="宋体"/>
                <w:iCs/>
                <w:color w:val="000000" w:themeColor="text1"/>
                <w:szCs w:val="21"/>
                <w:highlight w:val="none"/>
                <w:lang w:val="en-US" w:eastAsia="zh-CN"/>
                <w14:textFill>
                  <w14:solidFill>
                    <w14:schemeClr w14:val="tx1"/>
                  </w14:solidFill>
                </w14:textFill>
              </w:rPr>
              <w:t>32</w:t>
            </w:r>
            <w:r>
              <w:rPr>
                <w:rFonts w:ascii="宋体" w:hAnsi="宋体"/>
                <w:iCs/>
                <w:color w:val="000000" w:themeColor="text1"/>
                <w:szCs w:val="21"/>
                <w:highlight w:val="none"/>
                <w14:textFill>
                  <w14:solidFill>
                    <w14:schemeClr w14:val="tx1"/>
                  </w14:solidFill>
                </w14:textFill>
              </w:rPr>
              <w:t>日历天</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3</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承包人履约担保金额</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5</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逾期竣工违约金</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u w:val="single"/>
                <w:lang w:val="en-US" w:eastAsia="zh-CN"/>
                <w14:textFill>
                  <w14:solidFill>
                    <w14:schemeClr w14:val="tx1"/>
                  </w14:solidFill>
                </w14:textFill>
              </w:rPr>
              <w:t>2</w:t>
            </w:r>
            <w:r>
              <w:rPr>
                <w:rFonts w:hint="eastAsia" w:ascii="宋体" w:hAnsi="宋体"/>
                <w:iCs/>
                <w:color w:val="000000" w:themeColor="text1"/>
                <w:szCs w:val="21"/>
                <w:highlight w:val="none"/>
                <w:u w:val="single"/>
                <w14:textFill>
                  <w14:solidFill>
                    <w14:schemeClr w14:val="tx1"/>
                  </w14:solidFill>
                </w14:textFill>
              </w:rPr>
              <w:t xml:space="preserve">000 </w:t>
            </w:r>
            <w:r>
              <w:rPr>
                <w:rFonts w:hint="eastAsia" w:ascii="宋体" w:hAnsi="宋体"/>
                <w:iCs/>
                <w:color w:val="000000" w:themeColor="text1"/>
                <w:szCs w:val="21"/>
                <w:highlight w:val="none"/>
                <w14:textFill>
                  <w14:solidFill>
                    <w14:schemeClr w14:val="tx1"/>
                  </w14:solidFill>
                </w14:textFill>
              </w:rPr>
              <w:t>元/天</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6</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逾期竣工违约金最高限额</w:t>
            </w:r>
          </w:p>
        </w:tc>
        <w:tc>
          <w:tcPr>
            <w:tcW w:w="2294"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合同价款的</w:t>
            </w:r>
            <w:r>
              <w:rPr>
                <w:rFonts w:hint="eastAsia" w:ascii="宋体" w:hAnsi="宋体"/>
                <w:color w:val="000000" w:themeColor="text1"/>
                <w:kern w:val="0"/>
                <w:szCs w:val="21"/>
                <w:highlight w:val="none"/>
                <w:u w:val="single"/>
                <w:lang w:val="en-US" w:eastAsia="zh-CN"/>
                <w14:textFill>
                  <w14:solidFill>
                    <w14:schemeClr w14:val="tx1"/>
                  </w14:solidFill>
                </w14:textFill>
              </w:rPr>
              <w:t>2</w:t>
            </w:r>
            <w:r>
              <w:rPr>
                <w:rFonts w:hint="eastAsia" w:ascii="宋体" w:hAnsi="宋体"/>
                <w:color w:val="000000" w:themeColor="text1"/>
                <w:kern w:val="0"/>
                <w:szCs w:val="21"/>
                <w:highlight w:val="none"/>
                <w:u w:val="single"/>
                <w14:textFill>
                  <w14:solidFill>
                    <w14:schemeClr w14:val="tx1"/>
                  </w14:solidFill>
                </w14:textFill>
              </w:rPr>
              <w:t>%</w:t>
            </w:r>
            <w:r>
              <w:rPr>
                <w:rFonts w:hint="eastAsia" w:ascii="宋体" w:hAnsi="宋体"/>
                <w:iCs/>
                <w:color w:val="000000" w:themeColor="text1"/>
                <w:szCs w:val="21"/>
                <w:highlight w:val="none"/>
                <w:u w:val="single"/>
                <w14:textFill>
                  <w14:solidFill>
                    <w14:schemeClr w14:val="tx1"/>
                  </w14:solidFill>
                </w14:textFill>
              </w:rPr>
              <w:t xml:space="preserve">  </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7</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质量标准</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合格</w:t>
            </w:r>
          </w:p>
        </w:tc>
        <w:tc>
          <w:tcPr>
            <w:tcW w:w="1721"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8</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价格调整的差额计算</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9</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预付款额度</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lang w:eastAsia="zh-CN"/>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10</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预付款保函金额</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11</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质量保证金扣留百分比</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竣工结算造价的</w:t>
            </w:r>
            <w:r>
              <w:rPr>
                <w:rFonts w:hint="eastAsia" w:ascii="宋体" w:hAnsi="宋体"/>
                <w:iCs/>
                <w:color w:val="000000" w:themeColor="text1"/>
                <w:szCs w:val="21"/>
                <w:highlight w:val="none"/>
                <w:u w:val="single"/>
                <w:lang w:val="en-US" w:eastAsia="zh-CN"/>
                <w14:textFill>
                  <w14:solidFill>
                    <w14:schemeClr w14:val="tx1"/>
                  </w14:solidFill>
                </w14:textFill>
              </w:rPr>
              <w:t>3</w:t>
            </w: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12</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质量保证金额度</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2961" w:type="dxa"/>
            <w:noWrap/>
            <w:vAlign w:val="center"/>
          </w:tcPr>
          <w:p>
            <w:pPr>
              <w:spacing w:line="300" w:lineRule="atLeast"/>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工程质量保修期限</w:t>
            </w:r>
          </w:p>
        </w:tc>
        <w:tc>
          <w:tcPr>
            <w:tcW w:w="2294" w:type="dxa"/>
            <w:noWrap/>
            <w:vAlign w:val="center"/>
          </w:tcPr>
          <w:p>
            <w:pPr>
              <w:spacing w:line="300" w:lineRule="atLeast"/>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1年</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2961" w:type="dxa"/>
            <w:noWrap/>
            <w:vAlign w:val="center"/>
          </w:tcPr>
          <w:p>
            <w:pPr>
              <w:spacing w:line="300" w:lineRule="atLeast"/>
              <w:rPr>
                <w:rFonts w:ascii="宋体" w:hAnsi="宋体"/>
                <w:color w:val="000000" w:themeColor="text1"/>
                <w:sz w:val="28"/>
                <w:szCs w:val="28"/>
                <w:highlight w:val="none"/>
                <w14:textFill>
                  <w14:solidFill>
                    <w14:schemeClr w14:val="tx1"/>
                  </w14:solidFill>
                </w14:textFill>
              </w:rPr>
            </w:pPr>
          </w:p>
        </w:tc>
        <w:tc>
          <w:tcPr>
            <w:tcW w:w="2294"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1721"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8735" w:type="dxa"/>
            <w:gridSpan w:val="5"/>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备注：</w:t>
            </w:r>
            <w:r>
              <w:rPr>
                <w:rFonts w:hint="eastAsia" w:ascii="宋体" w:hAnsi="宋体"/>
                <w:iCs/>
                <w:color w:val="000000" w:themeColor="text1"/>
                <w:szCs w:val="21"/>
                <w:highlight w:val="none"/>
                <w:lang w:val="en-US" w:eastAsia="zh-CN"/>
                <w14:textFill>
                  <w14:solidFill>
                    <w14:schemeClr w14:val="tx1"/>
                  </w14:solidFill>
                </w14:textFill>
              </w:rPr>
              <w:t>供应商</w:t>
            </w:r>
            <w:r>
              <w:rPr>
                <w:rFonts w:hint="eastAsia" w:ascii="宋体" w:hAnsi="宋体"/>
                <w:iCs/>
                <w:color w:val="000000" w:themeColor="text1"/>
                <w:szCs w:val="21"/>
                <w:highlight w:val="none"/>
                <w14:textFill>
                  <w14:solidFill>
                    <w14:schemeClr w14:val="tx1"/>
                  </w14:solidFill>
                </w14:textFill>
              </w:rPr>
              <w:t>在响应</w:t>
            </w:r>
            <w:r>
              <w:rPr>
                <w:rFonts w:hint="eastAsia" w:ascii="宋体" w:hAnsi="宋体"/>
                <w:iCs/>
                <w:color w:val="000000" w:themeColor="text1"/>
                <w:szCs w:val="21"/>
                <w:highlight w:val="none"/>
                <w:lang w:val="en-US" w:eastAsia="zh-CN"/>
                <w14:textFill>
                  <w14:solidFill>
                    <w14:schemeClr w14:val="tx1"/>
                  </w14:solidFill>
                </w14:textFill>
              </w:rPr>
              <w:t>磋商</w:t>
            </w:r>
            <w:r>
              <w:rPr>
                <w:rFonts w:hint="eastAsia" w:ascii="宋体" w:hAnsi="宋体"/>
                <w:iCs/>
                <w:color w:val="000000" w:themeColor="text1"/>
                <w:szCs w:val="21"/>
                <w:highlight w:val="none"/>
                <w14:textFill>
                  <w14:solidFill>
                    <w14:schemeClr w14:val="tx1"/>
                  </w14:solidFill>
                </w14:textFill>
              </w:rPr>
              <w:t>文件中规定的实质性要求和条件的基础上，可做出其他有利于</w:t>
            </w:r>
            <w:r>
              <w:rPr>
                <w:rFonts w:hint="eastAsia" w:ascii="宋体" w:hAnsi="宋体"/>
                <w:iCs/>
                <w:color w:val="000000" w:themeColor="text1"/>
                <w:szCs w:val="21"/>
                <w:highlight w:val="none"/>
                <w:lang w:val="en-US" w:eastAsia="zh-CN"/>
                <w14:textFill>
                  <w14:solidFill>
                    <w14:schemeClr w14:val="tx1"/>
                  </w14:solidFill>
                </w14:textFill>
              </w:rPr>
              <w:t>采购</w:t>
            </w:r>
            <w:r>
              <w:rPr>
                <w:rFonts w:hint="eastAsia" w:ascii="宋体" w:hAnsi="宋体"/>
                <w:iCs/>
                <w:color w:val="000000" w:themeColor="text1"/>
                <w:szCs w:val="21"/>
                <w:highlight w:val="none"/>
                <w14:textFill>
                  <w14:solidFill>
                    <w14:schemeClr w14:val="tx1"/>
                  </w14:solidFill>
                </w14:textFill>
              </w:rPr>
              <w:t>人的承诺。此类承诺可在本表中予以补充填写。</w:t>
            </w:r>
          </w:p>
        </w:tc>
      </w:tr>
    </w:tbl>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bookmarkStart w:id="686" w:name="_Toc179632811"/>
      <w:bookmarkStart w:id="687" w:name="_Toc246996359"/>
      <w:bookmarkStart w:id="688" w:name="_Toc246997102"/>
      <w:bookmarkStart w:id="689" w:name="_Toc247085877"/>
      <w:bookmarkStart w:id="690" w:name="_Toc152045791"/>
      <w:bookmarkStart w:id="691" w:name="_Toc152042580"/>
      <w:bookmarkStart w:id="692" w:name="_Toc144974860"/>
      <w:r>
        <w:rPr>
          <w:rFonts w:hint="eastAsia" w:ascii="宋体" w:hAnsi="宋体"/>
          <w:color w:val="000000" w:themeColor="text1"/>
          <w:sz w:val="28"/>
          <w:szCs w:val="28"/>
          <w:highlight w:val="none"/>
          <w:lang w:val="en-US" w:eastAsia="zh-CN"/>
          <w14:textFill>
            <w14:solidFill>
              <w14:schemeClr w14:val="tx1"/>
            </w14:solidFill>
          </w14:textFill>
        </w:rPr>
        <w:t>供 应 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spacing w:line="440" w:lineRule="exact"/>
        <w:rPr>
          <w:rFonts w:hint="default" w:ascii="宋体" w:hAns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网址：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spacing w:line="440" w:lineRule="exact"/>
        <w:jc w:val="center"/>
        <w:rPr>
          <w:rFonts w:ascii="宋体" w:hAnsi="宋体"/>
          <w:color w:val="000000" w:themeColor="text1"/>
          <w:sz w:val="24"/>
          <w:highlight w:val="none"/>
          <w14:textFill>
            <w14:solidFill>
              <w14:schemeClr w14:val="tx1"/>
            </w14:solidFill>
          </w14:textFill>
        </w:rPr>
      </w:pPr>
    </w:p>
    <w:p>
      <w:pPr>
        <w:spacing w:line="440" w:lineRule="exact"/>
        <w:jc w:val="center"/>
        <w:rPr>
          <w:rFonts w:ascii="宋体" w:hAnsi="宋体"/>
          <w:color w:val="000000" w:themeColor="text1"/>
          <w:sz w:val="24"/>
          <w:highlight w:val="none"/>
          <w14:textFill>
            <w14:solidFill>
              <w14:schemeClr w14:val="tx1"/>
            </w14:solidFill>
          </w14:textFill>
        </w:rPr>
      </w:pPr>
    </w:p>
    <w:p>
      <w:pPr>
        <w:numPr>
          <w:ilvl w:val="0"/>
          <w:numId w:val="5"/>
        </w:numPr>
        <w:spacing w:line="440" w:lineRule="exact"/>
        <w:ind w:left="720" w:leftChars="0" w:hanging="720" w:firstLineChars="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法定代表人身份证明或附有法定代表人</w:t>
      </w:r>
    </w:p>
    <w:p>
      <w:pPr>
        <w:numPr>
          <w:ilvl w:val="0"/>
          <w:numId w:val="0"/>
        </w:numPr>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身份证明的授权委托书</w:t>
      </w:r>
    </w:p>
    <w:p>
      <w:pPr>
        <w:numPr>
          <w:ilvl w:val="0"/>
          <w:numId w:val="0"/>
        </w:numPr>
        <w:spacing w:line="440" w:lineRule="exact"/>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（2-1）</w:t>
      </w:r>
      <w:r>
        <w:rPr>
          <w:rFonts w:hint="eastAsia" w:ascii="宋体" w:hAnsi="宋体" w:cs="宋体"/>
          <w:b/>
          <w:bCs/>
          <w:color w:val="000000" w:themeColor="text1"/>
          <w:sz w:val="36"/>
          <w:szCs w:val="36"/>
          <w:highlight w:val="none"/>
          <w14:textFill>
            <w14:solidFill>
              <w14:schemeClr w14:val="tx1"/>
            </w14:solidFill>
          </w14:textFill>
        </w:rPr>
        <w:t>法定代表人身份证明</w:t>
      </w:r>
      <w:bookmarkEnd w:id="686"/>
      <w:bookmarkEnd w:id="687"/>
      <w:bookmarkEnd w:id="688"/>
      <w:bookmarkEnd w:id="689"/>
      <w:bookmarkEnd w:id="690"/>
      <w:bookmarkEnd w:id="691"/>
      <w:bookmarkEnd w:id="692"/>
    </w:p>
    <w:p>
      <w:pPr>
        <w:spacing w:line="440" w:lineRule="exact"/>
        <w:rPr>
          <w:color w:val="000000" w:themeColor="text1"/>
          <w:sz w:val="20"/>
          <w:szCs w:val="20"/>
          <w:highlight w:val="none"/>
          <w14:textFill>
            <w14:solidFill>
              <w14:schemeClr w14:val="tx1"/>
            </w14:solidFill>
          </w14:textFill>
        </w:rPr>
      </w:pPr>
    </w:p>
    <w:p>
      <w:pPr>
        <w:spacing w:line="440" w:lineRule="exact"/>
        <w:rPr>
          <w:rFonts w:ascii="宋体" w:hAnsi="宋体"/>
          <w:color w:val="000000" w:themeColor="text1"/>
          <w:sz w:val="24"/>
          <w:highlight w:val="none"/>
          <w14:textFill>
            <w14:solidFill>
              <w14:schemeClr w14:val="tx1"/>
            </w14:solidFill>
          </w14:textFill>
        </w:rPr>
      </w:pPr>
    </w:p>
    <w:p>
      <w:pPr>
        <w:spacing w:line="440" w:lineRule="exact"/>
        <w:rPr>
          <w:rFonts w:hint="default" w:ascii="宋体" w:hAns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olor w:val="000000" w:themeColor="text1"/>
          <w:sz w:val="28"/>
          <w:szCs w:val="28"/>
          <w:highlight w:val="none"/>
          <w:lang w:val="en-US" w:eastAsia="zh-CN"/>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单位性质：</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p>
    <w:p>
      <w:pPr>
        <w:spacing w:line="440" w:lineRule="exact"/>
        <w:rPr>
          <w:rFonts w:hint="default" w:ascii="宋体" w:hAnsi="宋体"/>
          <w:color w:val="000000" w:themeColor="text1"/>
          <w:sz w:val="28"/>
          <w:szCs w:val="28"/>
          <w:highlight w:val="none"/>
          <w:lang w:val="en-US"/>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成立时间：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日</w:t>
      </w:r>
    </w:p>
    <w:p>
      <w:pPr>
        <w:spacing w:line="440" w:lineRule="exact"/>
        <w:rPr>
          <w:rFonts w:hint="default" w:ascii="宋体" w:hAnsi="宋体"/>
          <w:color w:val="000000" w:themeColor="text1"/>
          <w:sz w:val="28"/>
          <w:szCs w:val="28"/>
          <w:highlight w:val="none"/>
          <w:lang w:val="en-US"/>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经营期限：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姓名：</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性别：</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年龄：</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职务：</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系</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的法定代表人。</w:t>
      </w: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特此证明。</w:t>
      </w: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ind w:firstLine="3360" w:firstLineChars="1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（盖单位章）</w:t>
      </w:r>
    </w:p>
    <w:p>
      <w:pPr>
        <w:spacing w:line="440" w:lineRule="exact"/>
        <w:jc w:val="right"/>
        <w:rPr>
          <w:rFonts w:hint="eastAsia" w:ascii="宋体" w:hAnsi="宋体"/>
          <w:color w:val="000000" w:themeColor="text1"/>
          <w:sz w:val="28"/>
          <w:szCs w:val="28"/>
          <w:highlight w:val="none"/>
          <w:u w:val="single"/>
          <w:lang w:val="en-US" w:eastAsia="zh-CN"/>
          <w14:textFill>
            <w14:solidFill>
              <w14:schemeClr w14:val="tx1"/>
            </w14:solidFill>
          </w14:textFill>
        </w:rPr>
      </w:pPr>
    </w:p>
    <w:p>
      <w:pPr>
        <w:spacing w:line="440" w:lineRule="exact"/>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 xml:space="preserve">日         </w:t>
      </w: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0"/>
          <w:szCs w:val="20"/>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（2-2）</w:t>
      </w:r>
      <w:r>
        <w:rPr>
          <w:rFonts w:hint="eastAsia" w:ascii="宋体" w:hAnsi="宋体" w:cs="宋体"/>
          <w:b/>
          <w:bCs/>
          <w:color w:val="000000" w:themeColor="text1"/>
          <w:sz w:val="36"/>
          <w:szCs w:val="36"/>
          <w:highlight w:val="none"/>
          <w14:textFill>
            <w14:solidFill>
              <w14:schemeClr w14:val="tx1"/>
            </w14:solidFill>
          </w14:textFill>
        </w:rPr>
        <w:t>法定代表人的授权委托书</w:t>
      </w:r>
    </w:p>
    <w:p>
      <w:pPr>
        <w:spacing w:line="44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本人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（姓名）系</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（投标人名称）的法定代表人，现委托</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（姓名）为我方代理人。代理人根据授权，以我方名义签署、澄清</w:t>
      </w:r>
      <w:r>
        <w:rPr>
          <w:rFonts w:hint="eastAsia" w:ascii="宋体" w:hAnsi="宋体"/>
          <w:color w:val="000000" w:themeColor="text1"/>
          <w:sz w:val="28"/>
          <w:szCs w:val="28"/>
          <w:highlight w:val="none"/>
          <w14:textFill>
            <w14:solidFill>
              <w14:schemeClr w14:val="tx1"/>
            </w14:solidFill>
          </w14:textFill>
        </w:rPr>
        <w:t>、说明、补正</w:t>
      </w:r>
      <w:r>
        <w:rPr>
          <w:rFonts w:ascii="宋体" w:hAnsi="宋体"/>
          <w:color w:val="000000" w:themeColor="text1"/>
          <w:sz w:val="28"/>
          <w:szCs w:val="28"/>
          <w:highlight w:val="none"/>
          <w14:textFill>
            <w14:solidFill>
              <w14:schemeClr w14:val="tx1"/>
            </w14:solidFill>
          </w14:textFill>
        </w:rPr>
        <w:t>、递交、撤回、修改</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（项目名称）</w:t>
      </w:r>
      <w:r>
        <w:rPr>
          <w:rFonts w:hint="eastAsia" w:ascii="宋体" w:hAnsi="宋体"/>
          <w:color w:val="000000" w:themeColor="text1"/>
          <w:sz w:val="28"/>
          <w:szCs w:val="28"/>
          <w:highlight w:val="none"/>
          <w:lang w:val="en-US" w:eastAsia="zh-CN"/>
          <w14:textFill>
            <w14:solidFill>
              <w14:schemeClr w14:val="tx1"/>
            </w14:solidFill>
          </w14:textFill>
        </w:rPr>
        <w:t>响应</w:t>
      </w:r>
      <w:r>
        <w:rPr>
          <w:rFonts w:ascii="宋体" w:hAnsi="宋体"/>
          <w:color w:val="000000" w:themeColor="text1"/>
          <w:sz w:val="28"/>
          <w:szCs w:val="28"/>
          <w:highlight w:val="none"/>
          <w14:textFill>
            <w14:solidFill>
              <w14:schemeClr w14:val="tx1"/>
            </w14:solidFill>
          </w14:textFill>
        </w:rPr>
        <w:t>文件、签订合同和处理有关事宜，其法律后果由我方承担。</w:t>
      </w:r>
    </w:p>
    <w:p>
      <w:pPr>
        <w:spacing w:line="440" w:lineRule="exact"/>
        <w:rPr>
          <w:rFonts w:hint="eastAsia" w:ascii="宋体" w:hAnsi="宋体" w:eastAsia="宋体"/>
          <w:color w:val="000000" w:themeColor="text1"/>
          <w:sz w:val="28"/>
          <w:szCs w:val="28"/>
          <w:highlight w:val="none"/>
          <w:lang w:eastAsia="zh-CN"/>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委托期限：</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代理人无转委托权。</w:t>
      </w:r>
    </w:p>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附：法定代表人身份证明及授权委托书证明</w:t>
      </w:r>
    </w:p>
    <w:tbl>
      <w:tblPr>
        <w:tblStyle w:val="24"/>
        <w:tblpPr w:leftFromText="180" w:rightFromText="180" w:vertAnchor="text" w:horzAnchor="page" w:tblpX="1720" w:tblpY="374"/>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452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授权人</w:t>
            </w:r>
            <w:r>
              <w:rPr>
                <w:rFonts w:hint="eastAsia" w:ascii="宋体" w:hAnsi="宋体"/>
                <w:color w:val="000000" w:themeColor="text1"/>
                <w:sz w:val="28"/>
                <w:szCs w:val="28"/>
                <w:highlight w:val="none"/>
                <w14:textFill>
                  <w14:solidFill>
                    <w14:schemeClr w14:val="tx1"/>
                  </w14:solidFill>
                </w14:textFill>
              </w:rPr>
              <w:t>身份证正面</w:t>
            </w:r>
          </w:p>
        </w:tc>
        <w:tc>
          <w:tcPr>
            <w:tcW w:w="4522"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被授权人</w:t>
            </w:r>
            <w:r>
              <w:rPr>
                <w:rFonts w:hint="eastAsia" w:ascii="宋体" w:hAnsi="宋体"/>
                <w:color w:val="000000" w:themeColor="text1"/>
                <w:sz w:val="28"/>
                <w:szCs w:val="28"/>
                <w:highlight w:val="none"/>
                <w14:textFill>
                  <w14:solidFill>
                    <w14:schemeClr w14:val="tx1"/>
                  </w14:solidFill>
                </w14:textFill>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452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授权人</w:t>
            </w:r>
            <w:r>
              <w:rPr>
                <w:rFonts w:hint="eastAsia" w:ascii="宋体" w:hAnsi="宋体"/>
                <w:color w:val="000000" w:themeColor="text1"/>
                <w:sz w:val="28"/>
                <w:szCs w:val="28"/>
                <w:highlight w:val="none"/>
                <w14:textFill>
                  <w14:solidFill>
                    <w14:schemeClr w14:val="tx1"/>
                  </w14:solidFill>
                </w14:textFill>
              </w:rPr>
              <w:t>身份证正面</w:t>
            </w:r>
          </w:p>
        </w:tc>
        <w:tc>
          <w:tcPr>
            <w:tcW w:w="4522"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被授权人</w:t>
            </w:r>
            <w:r>
              <w:rPr>
                <w:rFonts w:hint="eastAsia" w:ascii="宋体" w:hAnsi="宋体"/>
                <w:color w:val="000000" w:themeColor="text1"/>
                <w:sz w:val="28"/>
                <w:szCs w:val="28"/>
                <w:highlight w:val="none"/>
                <w14:textFill>
                  <w14:solidFill>
                    <w14:schemeClr w14:val="tx1"/>
                  </w14:solidFill>
                </w14:textFill>
              </w:rPr>
              <w:t>身份证背面</w:t>
            </w:r>
          </w:p>
        </w:tc>
      </w:tr>
    </w:tbl>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（盖单位章）</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签字或盖章</w:t>
      </w:r>
      <w:r>
        <w:rPr>
          <w:rFonts w:ascii="宋体" w:hAnsi="宋体"/>
          <w:color w:val="000000" w:themeColor="text1"/>
          <w:sz w:val="28"/>
          <w:szCs w:val="28"/>
          <w:highlight w:val="none"/>
          <w14:textFill>
            <w14:solidFill>
              <w14:schemeClr w14:val="tx1"/>
            </w14:solidFill>
          </w14:textFill>
        </w:rPr>
        <w:t>）</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身份证号码：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 xml:space="preserve">（签字） </w:t>
      </w:r>
    </w:p>
    <w:p>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身份证号码：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jc w:val="right"/>
        <w:rPr>
          <w:rFonts w:ascii="宋体" w:hAnsi="宋体" w:cs="宋体"/>
          <w:b/>
          <w:bCs/>
          <w:color w:val="000000" w:themeColor="text1"/>
          <w:sz w:val="36"/>
          <w:szCs w:val="36"/>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日</w:t>
      </w:r>
      <w:r>
        <w:rPr>
          <w:rFonts w:hint="eastAsia" w:ascii="宋体" w:hAnsi="宋体" w:cs="宋体"/>
          <w:b/>
          <w:bCs/>
          <w:color w:val="000000" w:themeColor="text1"/>
          <w:sz w:val="36"/>
          <w:szCs w:val="36"/>
          <w:highlight w:val="none"/>
          <w14:textFill>
            <w14:solidFill>
              <w14:schemeClr w14:val="tx1"/>
            </w14:solidFill>
          </w14:textFill>
        </w:rPr>
        <w:br w:type="page"/>
      </w:r>
    </w:p>
    <w:p>
      <w:pPr>
        <w:jc w:val="center"/>
        <w:rPr>
          <w:rFonts w:hint="eastAsia" w:ascii="黑体" w:eastAsia="宋体"/>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t>三</w:t>
      </w: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磋商</w:t>
      </w:r>
      <w:r>
        <w:rPr>
          <w:rFonts w:hint="eastAsia" w:ascii="宋体" w:hAnsi="宋体" w:cs="宋体"/>
          <w:b/>
          <w:bCs/>
          <w:color w:val="000000" w:themeColor="text1"/>
          <w:sz w:val="36"/>
          <w:szCs w:val="36"/>
          <w:highlight w:val="none"/>
          <w14:textFill>
            <w14:solidFill>
              <w14:schemeClr w14:val="tx1"/>
            </w14:solidFill>
          </w14:textFill>
        </w:rPr>
        <w:t>保证金</w:t>
      </w:r>
      <w:r>
        <w:rPr>
          <w:rFonts w:hint="eastAsia" w:ascii="宋体" w:hAnsi="宋体" w:cs="宋体"/>
          <w:b/>
          <w:bCs/>
          <w:color w:val="000000" w:themeColor="text1"/>
          <w:sz w:val="36"/>
          <w:szCs w:val="36"/>
          <w:highlight w:val="none"/>
          <w:lang w:eastAsia="zh-CN"/>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本项目不适用</w:t>
      </w:r>
      <w:r>
        <w:rPr>
          <w:rFonts w:hint="eastAsia" w:ascii="宋体" w:hAnsi="宋体" w:cs="宋体"/>
          <w:b/>
          <w:bCs/>
          <w:color w:val="000000" w:themeColor="text1"/>
          <w:sz w:val="36"/>
          <w:szCs w:val="36"/>
          <w:highlight w:val="none"/>
          <w:lang w:eastAsia="zh-CN"/>
          <w14:textFill>
            <w14:solidFill>
              <w14:schemeClr w14:val="tx1"/>
            </w14:solidFill>
          </w14:textFill>
        </w:rPr>
        <w:t>）</w:t>
      </w:r>
    </w:p>
    <w:p>
      <w:pPr>
        <w:jc w:val="center"/>
        <w:rPr>
          <w:rFonts w:hint="eastAsia" w:ascii="宋体" w:hAnsi="宋体" w:cs="宋体"/>
          <w:color w:val="000000" w:themeColor="text1"/>
          <w:sz w:val="24"/>
          <w:szCs w:val="24"/>
          <w:highlight w:val="none"/>
          <w14:textFill>
            <w14:solidFill>
              <w14:schemeClr w14:val="tx1"/>
            </w14:solidFill>
          </w14:textFill>
        </w:rPr>
      </w:pPr>
    </w:p>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（在此页附磋商保证金银行电汇或转账凭</w:t>
      </w:r>
      <w:r>
        <w:rPr>
          <w:rFonts w:hint="eastAsia" w:ascii="宋体" w:hAnsi="宋体" w:cs="宋体"/>
          <w:color w:val="000000" w:themeColor="text1"/>
          <w:sz w:val="24"/>
          <w:szCs w:val="24"/>
          <w:highlight w:val="none"/>
          <w:lang w:eastAsia="zh-CN"/>
          <w14:textFill>
            <w14:solidFill>
              <w14:schemeClr w14:val="tx1"/>
            </w14:solidFill>
          </w14:textFill>
        </w:rPr>
        <w:t>证</w:t>
      </w:r>
      <w:r>
        <w:rPr>
          <w:rFonts w:hint="eastAsia" w:ascii="宋体" w:hAnsi="宋体" w:cs="宋体"/>
          <w:color w:val="000000" w:themeColor="text1"/>
          <w:sz w:val="24"/>
          <w:szCs w:val="24"/>
          <w:highlight w:val="none"/>
          <w14:textFill>
            <w14:solidFill>
              <w14:schemeClr w14:val="tx1"/>
            </w14:solidFill>
          </w14:textFill>
        </w:rPr>
        <w:t>复印件，或银行保函复印件）</w:t>
      </w:r>
    </w:p>
    <w:p>
      <w:pPr>
        <w:pStyle w:val="7"/>
        <w:rPr>
          <w:color w:val="000000" w:themeColor="text1"/>
          <w:highlight w:val="none"/>
          <w14:textFill>
            <w14:solidFill>
              <w14:schemeClr w14:val="tx1"/>
            </w14:solidFill>
          </w14:textFill>
        </w:rPr>
      </w:pPr>
    </w:p>
    <w:p>
      <w:pPr>
        <w:pStyle w:val="7"/>
        <w:ind w:firstLine="562"/>
        <w:rPr>
          <w:rFonts w:ascii="宋体" w:hAnsi="宋体" w:cs="宋体"/>
          <w:b/>
          <w:bCs/>
          <w:color w:val="000000" w:themeColor="text1"/>
          <w:sz w:val="28"/>
          <w:szCs w:val="28"/>
          <w:highlight w:val="none"/>
          <w14:textFill>
            <w14:solidFill>
              <w14:schemeClr w14:val="tx1"/>
            </w14:solidFill>
          </w14:textFill>
        </w:rPr>
      </w:pPr>
    </w:p>
    <w:p>
      <w:pPr>
        <w:pStyle w:val="7"/>
        <w:ind w:firstLine="562"/>
        <w:rPr>
          <w:rFonts w:hint="eastAsia" w:ascii="宋体" w:hAnsi="宋体" w:cs="宋体"/>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注：</w:t>
      </w:r>
      <w:r>
        <w:rPr>
          <w:rFonts w:hint="eastAsia" w:ascii="宋体" w:hAnsi="宋体"/>
          <w:color w:val="000000" w:themeColor="text1"/>
          <w:sz w:val="28"/>
          <w:szCs w:val="28"/>
          <w:highlight w:val="none"/>
          <w14:textFill>
            <w14:solidFill>
              <w14:schemeClr w14:val="tx1"/>
            </w14:solidFill>
          </w14:textFill>
        </w:rPr>
        <w:t>使用银行保函的，必须从</w:t>
      </w: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基本账户开具，若是第三方代开的保函，开具保函时给第三方公司缴纳的保费必须从</w:t>
      </w:r>
      <w:r>
        <w:rPr>
          <w:rFonts w:hint="eastAsia" w:ascii="宋体" w:hAnsi="宋体"/>
          <w:color w:val="000000" w:themeColor="text1"/>
          <w:sz w:val="28"/>
          <w:szCs w:val="28"/>
          <w:highlight w:val="none"/>
          <w:lang w:eastAsia="zh-CN"/>
          <w14:textFill>
            <w14:solidFill>
              <w14:schemeClr w14:val="tx1"/>
            </w14:solidFill>
          </w14:textFill>
        </w:rPr>
        <w:t>其</w:t>
      </w:r>
      <w:r>
        <w:rPr>
          <w:rFonts w:hint="eastAsia" w:ascii="宋体" w:hAnsi="宋体"/>
          <w:color w:val="000000" w:themeColor="text1"/>
          <w:sz w:val="28"/>
          <w:szCs w:val="28"/>
          <w:highlight w:val="none"/>
          <w14:textFill>
            <w14:solidFill>
              <w14:schemeClr w14:val="tx1"/>
            </w14:solidFill>
          </w14:textFill>
        </w:rPr>
        <w:t>基本账户支付，否则视为未从基本户转出</w:t>
      </w:r>
      <w:r>
        <w:rPr>
          <w:rFonts w:hint="eastAsia" w:ascii="宋体" w:hAnsi="宋体"/>
          <w:color w:val="000000" w:themeColor="text1"/>
          <w:sz w:val="28"/>
          <w:szCs w:val="28"/>
          <w:highlight w:val="none"/>
          <w:lang w:val="en-US" w:eastAsia="zh-CN"/>
          <w14:textFill>
            <w14:solidFill>
              <w14:schemeClr w14:val="tx1"/>
            </w14:solidFill>
          </w14:textFill>
        </w:rPr>
        <w:t>磋商</w:t>
      </w:r>
      <w:r>
        <w:rPr>
          <w:rFonts w:hint="eastAsia" w:ascii="宋体" w:hAnsi="宋体"/>
          <w:color w:val="000000" w:themeColor="text1"/>
          <w:sz w:val="28"/>
          <w:szCs w:val="28"/>
          <w:highlight w:val="none"/>
          <w14:textFill>
            <w14:solidFill>
              <w14:schemeClr w14:val="tx1"/>
            </w14:solidFill>
          </w14:textFill>
        </w:rPr>
        <w:t>保证金</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出据企业注册地之外保函</w:t>
      </w:r>
      <w:r>
        <w:rPr>
          <w:rFonts w:hint="eastAsia" w:ascii="宋体" w:hAnsi="宋体" w:cs="宋体"/>
          <w:color w:val="000000" w:themeColor="text1"/>
          <w:sz w:val="28"/>
          <w:szCs w:val="28"/>
          <w:highlight w:val="none"/>
          <w:lang w:eastAsia="zh-CN"/>
          <w14:textFill>
            <w14:solidFill>
              <w14:schemeClr w14:val="tx1"/>
            </w14:solidFill>
          </w14:textFill>
        </w:rPr>
        <w:t>的，投标人还必须提供</w:t>
      </w:r>
      <w:r>
        <w:rPr>
          <w:rFonts w:hint="eastAsia" w:ascii="宋体" w:hAnsi="宋体"/>
          <w:color w:val="000000" w:themeColor="text1"/>
          <w:sz w:val="28"/>
          <w:szCs w:val="28"/>
          <w:highlight w:val="none"/>
          <w14:textFill>
            <w14:solidFill>
              <w14:schemeClr w14:val="tx1"/>
            </w14:solidFill>
          </w14:textFill>
        </w:rPr>
        <w:t>给第三方公司缴纳保费</w:t>
      </w:r>
      <w:r>
        <w:rPr>
          <w:rFonts w:hint="eastAsia" w:ascii="宋体" w:hAnsi="宋体"/>
          <w:color w:val="000000" w:themeColor="text1"/>
          <w:sz w:val="28"/>
          <w:szCs w:val="28"/>
          <w:highlight w:val="none"/>
          <w:lang w:eastAsia="zh-CN"/>
          <w14:textFill>
            <w14:solidFill>
              <w14:schemeClr w14:val="tx1"/>
            </w14:solidFill>
          </w14:textFill>
        </w:rPr>
        <w:t>的</w:t>
      </w:r>
      <w:r>
        <w:rPr>
          <w:rFonts w:hint="eastAsia" w:ascii="宋体" w:hAnsi="宋体" w:cs="宋体"/>
          <w:color w:val="000000" w:themeColor="text1"/>
          <w:sz w:val="28"/>
          <w:szCs w:val="28"/>
          <w:highlight w:val="none"/>
          <w:lang w:eastAsia="zh-CN"/>
          <w14:textFill>
            <w14:solidFill>
              <w14:schemeClr w14:val="tx1"/>
            </w14:solidFill>
          </w14:textFill>
        </w:rPr>
        <w:t>资金往来业务银行流水单并加盖银行行名条章。</w:t>
      </w:r>
      <w:r>
        <w:rPr>
          <w:rFonts w:hint="eastAsia" w:ascii="宋体" w:hAnsi="宋体"/>
          <w:color w:val="000000" w:themeColor="text1"/>
          <w:sz w:val="28"/>
          <w:szCs w:val="28"/>
          <w:highlight w:val="none"/>
          <w14:textFill>
            <w14:solidFill>
              <w14:schemeClr w14:val="tx1"/>
            </w14:solidFill>
          </w14:textFill>
        </w:rPr>
        <w:t>保费支付凭证与保函一并列入</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文件，由评标委员会查验。</w:t>
      </w:r>
    </w:p>
    <w:p>
      <w:pPr>
        <w:spacing w:line="440" w:lineRule="exact"/>
        <w:ind w:firstLine="6518" w:firstLineChars="2328"/>
        <w:rPr>
          <w:rFonts w:ascii="宋体" w:hAnsi="宋体" w:cs="宋体"/>
          <w:color w:val="000000" w:themeColor="text1"/>
          <w:sz w:val="28"/>
          <w:szCs w:val="28"/>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t>四</w:t>
      </w:r>
      <w:r>
        <w:rPr>
          <w:rFonts w:hint="eastAsia" w:ascii="宋体" w:hAnsi="宋体" w:cs="宋体"/>
          <w:b/>
          <w:bCs/>
          <w:color w:val="000000" w:themeColor="text1"/>
          <w:sz w:val="36"/>
          <w:szCs w:val="36"/>
          <w:highlight w:val="none"/>
          <w14:textFill>
            <w14:solidFill>
              <w14:schemeClr w14:val="tx1"/>
            </w14:solidFill>
          </w14:textFill>
        </w:rPr>
        <w:t>、已标价工程量清单</w:t>
      </w:r>
    </w:p>
    <w:p>
      <w:pPr>
        <w:rPr>
          <w:rFonts w:ascii="宋体" w:hAnsi="宋体"/>
          <w:bCs/>
          <w:color w:val="000000" w:themeColor="text1"/>
          <w:sz w:val="32"/>
          <w:szCs w:val="28"/>
          <w:highlight w:val="none"/>
          <w14:textFill>
            <w14:solidFill>
              <w14:schemeClr w14:val="tx1"/>
            </w14:solidFill>
          </w14:textFill>
        </w:rPr>
      </w:pP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（4.1）总说明</w:t>
      </w:r>
    </w:p>
    <w:p>
      <w:pPr>
        <w:jc w:val="both"/>
        <w:rPr>
          <w:rFonts w:hint="eastAsia"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（4.2）投标报价汇总表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（4.3）单项工程投标报价汇总表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（4.4）单位工程投标报价汇总表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（4.5）分部分项工程和单价措施项目清单与计价表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（4.6）总价措施项目清单与计价表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（4.7）其他项目清单与计价汇总表</w:t>
      </w:r>
    </w:p>
    <w:p>
      <w:pPr>
        <w:ind w:firstLine="280" w:firstLineChars="100"/>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（4.7.1）暂列金额明细表</w:t>
      </w:r>
    </w:p>
    <w:p>
      <w:pPr>
        <w:ind w:firstLine="280" w:firstLineChars="100"/>
        <w:jc w:val="both"/>
        <w:rPr>
          <w:rFonts w:hint="eastAsia"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（4.7.2）材料（工程设备）暂估单价及调整表</w:t>
      </w:r>
    </w:p>
    <w:p>
      <w:pPr>
        <w:ind w:firstLine="280" w:firstLineChars="100"/>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（4.7.3）专业工程暂估价及结算价表</w:t>
      </w:r>
    </w:p>
    <w:p>
      <w:pPr>
        <w:ind w:firstLine="280" w:firstLineChars="100"/>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（4.7.4）计日工表</w:t>
      </w:r>
    </w:p>
    <w:p>
      <w:pPr>
        <w:ind w:firstLine="280" w:firstLineChars="100"/>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（4.7.5）总承包服务费计价表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w:t>
      </w:r>
      <w:r>
        <w:rPr>
          <w:rFonts w:hint="eastAsia" w:ascii="宋体" w:hAnsi="宋体"/>
          <w:b w:val="0"/>
          <w:bCs/>
          <w:color w:val="000000" w:themeColor="text1"/>
          <w:sz w:val="28"/>
          <w:szCs w:val="20"/>
          <w:highlight w:val="none"/>
          <w:lang w:val="en-US" w:eastAsia="zh-CN"/>
          <w14:textFill>
            <w14:solidFill>
              <w14:schemeClr w14:val="tx1"/>
            </w14:solidFill>
          </w14:textFill>
        </w:rPr>
        <w:t>4.8</w:t>
      </w:r>
      <w:r>
        <w:rPr>
          <w:rFonts w:hint="eastAsia" w:ascii="宋体" w:hAnsi="宋体"/>
          <w:b w:val="0"/>
          <w:bCs/>
          <w:color w:val="000000" w:themeColor="text1"/>
          <w:sz w:val="28"/>
          <w:szCs w:val="20"/>
          <w:highlight w:val="none"/>
          <w14:textFill>
            <w14:solidFill>
              <w14:schemeClr w14:val="tx1"/>
            </w14:solidFill>
          </w14:textFill>
        </w:rPr>
        <w:t>）规费、税金项目计价表</w:t>
      </w:r>
    </w:p>
    <w:p>
      <w:pPr>
        <w:jc w:val="both"/>
        <w:rPr>
          <w:rFonts w:ascii="宋体" w:hAnsi="宋体"/>
          <w:b w:val="0"/>
          <w:bCs/>
          <w:color w:val="000000" w:themeColor="text1"/>
          <w:sz w:val="28"/>
          <w:szCs w:val="20"/>
          <w:highlight w:val="none"/>
          <w14:textFill>
            <w14:solidFill>
              <w14:schemeClr w14:val="tx1"/>
            </w14:solidFill>
          </w14:textFill>
        </w:rPr>
      </w:pPr>
      <w:r>
        <w:rPr>
          <w:rFonts w:hint="eastAsia" w:ascii="宋体" w:hAnsi="宋体"/>
          <w:b w:val="0"/>
          <w:bCs/>
          <w:color w:val="000000" w:themeColor="text1"/>
          <w:sz w:val="28"/>
          <w:szCs w:val="20"/>
          <w:highlight w:val="none"/>
          <w14:textFill>
            <w14:solidFill>
              <w14:schemeClr w14:val="tx1"/>
            </w14:solidFill>
          </w14:textFill>
        </w:rPr>
        <w:t>（</w:t>
      </w:r>
      <w:r>
        <w:rPr>
          <w:rFonts w:hint="eastAsia" w:ascii="宋体" w:hAnsi="宋体"/>
          <w:b w:val="0"/>
          <w:bCs/>
          <w:color w:val="000000" w:themeColor="text1"/>
          <w:sz w:val="28"/>
          <w:szCs w:val="20"/>
          <w:highlight w:val="none"/>
          <w:lang w:val="en-US" w:eastAsia="zh-CN"/>
          <w14:textFill>
            <w14:solidFill>
              <w14:schemeClr w14:val="tx1"/>
            </w14:solidFill>
          </w14:textFill>
        </w:rPr>
        <w:t>4.9</w:t>
      </w:r>
      <w:r>
        <w:rPr>
          <w:rFonts w:hint="eastAsia" w:ascii="宋体" w:hAnsi="宋体"/>
          <w:b w:val="0"/>
          <w:bCs/>
          <w:color w:val="000000" w:themeColor="text1"/>
          <w:sz w:val="28"/>
          <w:szCs w:val="20"/>
          <w:highlight w:val="none"/>
          <w14:textFill>
            <w14:solidFill>
              <w14:schemeClr w14:val="tx1"/>
            </w14:solidFill>
          </w14:textFill>
        </w:rPr>
        <w:t>）综合单价分析表</w:t>
      </w:r>
    </w:p>
    <w:p>
      <w:pPr>
        <w:jc w:val="both"/>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bookmarkStart w:id="693" w:name="_Toc247085887"/>
      <w:bookmarkStart w:id="694" w:name="_Toc152045803"/>
      <w:bookmarkStart w:id="695" w:name="_Toc246996369"/>
      <w:bookmarkStart w:id="696" w:name="_Toc246997112"/>
      <w:bookmarkStart w:id="697" w:name="_Toc179632823"/>
      <w:bookmarkStart w:id="698" w:name="_Toc144974871"/>
      <w:bookmarkStart w:id="699" w:name="_Toc152042592"/>
      <w:bookmarkStart w:id="700" w:name="_Toc152045796"/>
      <w:bookmarkStart w:id="701" w:name="_Toc144974864"/>
      <w:bookmarkStart w:id="702" w:name="_Toc179632816"/>
      <w:bookmarkStart w:id="703" w:name="_Toc152042585"/>
      <w:bookmarkStart w:id="704" w:name="_Toc247085882"/>
      <w:bookmarkStart w:id="705" w:name="_Toc246997107"/>
      <w:bookmarkStart w:id="706" w:name="_Toc246996364"/>
      <w:r>
        <w:rPr>
          <w:rFonts w:hint="eastAsia" w:ascii="宋体" w:hAnsi="宋体" w:cs="宋体"/>
          <w:b/>
          <w:bCs/>
          <w:color w:val="000000" w:themeColor="text1"/>
          <w:sz w:val="36"/>
          <w:szCs w:val="36"/>
          <w:highlight w:val="none"/>
          <w:lang w:eastAsia="zh-CN"/>
          <w14:textFill>
            <w14:solidFill>
              <w14:schemeClr w14:val="tx1"/>
            </w14:solidFill>
          </w14:textFill>
        </w:rPr>
        <w:t>五、</w:t>
      </w:r>
      <w:r>
        <w:rPr>
          <w:rFonts w:hint="eastAsia" w:ascii="宋体" w:hAnsi="宋体" w:cs="宋体"/>
          <w:b/>
          <w:bCs/>
          <w:color w:val="000000" w:themeColor="text1"/>
          <w:sz w:val="36"/>
          <w:szCs w:val="36"/>
          <w:highlight w:val="none"/>
          <w:lang w:val="en-US" w:eastAsia="zh-CN"/>
          <w14:textFill>
            <w14:solidFill>
              <w14:schemeClr w14:val="tx1"/>
            </w14:solidFill>
          </w14:textFill>
        </w:rPr>
        <w:t>磋商</w:t>
      </w:r>
      <w:r>
        <w:rPr>
          <w:rFonts w:hint="eastAsia" w:ascii="宋体" w:hAnsi="宋体" w:cs="宋体"/>
          <w:b/>
          <w:bCs/>
          <w:color w:val="000000" w:themeColor="text1"/>
          <w:sz w:val="36"/>
          <w:szCs w:val="36"/>
          <w:highlight w:val="none"/>
          <w:lang w:eastAsia="zh-CN"/>
          <w14:textFill>
            <w14:solidFill>
              <w14:schemeClr w14:val="tx1"/>
            </w14:solidFill>
          </w14:textFill>
        </w:rPr>
        <w:t>报价需要的其他资料</w:t>
      </w:r>
    </w:p>
    <w:p>
      <w:pPr>
        <w:numPr>
          <w:ilvl w:val="0"/>
          <w:numId w:val="0"/>
        </w:numPr>
        <w:jc w:val="both"/>
        <w:rPr>
          <w:rFonts w:ascii="宋体" w:hAnsi="宋体" w:cs="宋体"/>
          <w:b/>
          <w:bCs/>
          <w:color w:val="000000" w:themeColor="text1"/>
          <w:sz w:val="36"/>
          <w:szCs w:val="36"/>
          <w:highlight w:val="none"/>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t>六</w:t>
      </w:r>
      <w:r>
        <w:rPr>
          <w:rFonts w:hint="eastAsia" w:ascii="宋体" w:hAnsi="宋体" w:cs="宋体"/>
          <w:b/>
          <w:bCs/>
          <w:color w:val="000000" w:themeColor="text1"/>
          <w:sz w:val="36"/>
          <w:szCs w:val="36"/>
          <w:highlight w:val="none"/>
          <w14:textFill>
            <w14:solidFill>
              <w14:schemeClr w14:val="tx1"/>
            </w14:solidFill>
          </w14:textFill>
        </w:rPr>
        <w:t>、项目管理机构</w:t>
      </w:r>
    </w:p>
    <w:bookmarkEnd w:id="693"/>
    <w:bookmarkEnd w:id="694"/>
    <w:bookmarkEnd w:id="695"/>
    <w:bookmarkEnd w:id="696"/>
    <w:bookmarkEnd w:id="697"/>
    <w:bookmarkEnd w:id="698"/>
    <w:bookmarkEnd w:id="699"/>
    <w:p>
      <w:pPr>
        <w:jc w:val="center"/>
        <w:rPr>
          <w:rFonts w:ascii="宋体" w:hAnsi="宋体" w:cs="宋体"/>
          <w:b/>
          <w:bCs/>
          <w:color w:val="000000" w:themeColor="text1"/>
          <w:sz w:val="36"/>
          <w:szCs w:val="36"/>
          <w:highlight w:val="none"/>
          <w14:textFill>
            <w14:solidFill>
              <w14:schemeClr w14:val="tx1"/>
            </w14:solidFill>
          </w14:textFill>
        </w:rPr>
      </w:pPr>
      <w:bookmarkStart w:id="707" w:name="_Toc152045804"/>
      <w:bookmarkStart w:id="708" w:name="_Toc144974872"/>
      <w:bookmarkStart w:id="709" w:name="_Toc179632824"/>
      <w:bookmarkStart w:id="710" w:name="_Toc246996370"/>
      <w:bookmarkStart w:id="711" w:name="_Toc246997113"/>
      <w:bookmarkStart w:id="712" w:name="_Toc247085888"/>
      <w:bookmarkStart w:id="713" w:name="_Toc152042593"/>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6-1</w:t>
      </w:r>
      <w:r>
        <w:rPr>
          <w:rFonts w:hint="eastAsia" w:ascii="宋体" w:hAnsi="宋体" w:cs="宋体"/>
          <w:b/>
          <w:bCs/>
          <w:color w:val="000000" w:themeColor="text1"/>
          <w:sz w:val="36"/>
          <w:szCs w:val="36"/>
          <w:highlight w:val="none"/>
          <w14:textFill>
            <w14:solidFill>
              <w14:schemeClr w14:val="tx1"/>
            </w14:solidFill>
          </w14:textFill>
        </w:rPr>
        <w:t>）项目管理机构组成表</w:t>
      </w:r>
      <w:bookmarkEnd w:id="707"/>
      <w:bookmarkEnd w:id="708"/>
      <w:bookmarkEnd w:id="709"/>
      <w:bookmarkEnd w:id="710"/>
      <w:bookmarkEnd w:id="711"/>
      <w:bookmarkEnd w:id="712"/>
      <w:bookmarkEnd w:id="713"/>
    </w:p>
    <w:tbl>
      <w:tblPr>
        <w:tblStyle w:val="24"/>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53"/>
        <w:gridCol w:w="871"/>
        <w:gridCol w:w="1358"/>
        <w:gridCol w:w="912"/>
        <w:gridCol w:w="924"/>
        <w:gridCol w:w="864"/>
        <w:gridCol w:w="146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职务</w:t>
            </w:r>
          </w:p>
        </w:tc>
        <w:tc>
          <w:tcPr>
            <w:tcW w:w="953" w:type="dxa"/>
            <w:vMerge w:val="restart"/>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姓名</w:t>
            </w:r>
          </w:p>
        </w:tc>
        <w:tc>
          <w:tcPr>
            <w:tcW w:w="871" w:type="dxa"/>
            <w:vMerge w:val="restart"/>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职称</w:t>
            </w:r>
          </w:p>
        </w:tc>
        <w:tc>
          <w:tcPr>
            <w:tcW w:w="5523" w:type="dxa"/>
            <w:gridSpan w:val="5"/>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执业或职业资格证明</w:t>
            </w:r>
          </w:p>
        </w:tc>
        <w:tc>
          <w:tcPr>
            <w:tcW w:w="86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vMerge w:val="continue"/>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vMerge w:val="continue"/>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证书名称</w:t>
            </w:r>
          </w:p>
        </w:tc>
        <w:tc>
          <w:tcPr>
            <w:tcW w:w="912"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级别</w:t>
            </w:r>
          </w:p>
        </w:tc>
        <w:tc>
          <w:tcPr>
            <w:tcW w:w="92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证号</w:t>
            </w:r>
          </w:p>
        </w:tc>
        <w:tc>
          <w:tcPr>
            <w:tcW w:w="86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专业</w:t>
            </w:r>
          </w:p>
        </w:tc>
        <w:tc>
          <w:tcPr>
            <w:tcW w:w="1465" w:type="dxa"/>
            <w:noWrap/>
            <w:vAlign w:val="center"/>
          </w:tcPr>
          <w:p>
            <w:pPr>
              <w:spacing w:line="440" w:lineRule="exact"/>
              <w:ind w:right="109" w:rightChars="52"/>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养老保险</w:t>
            </w:r>
          </w:p>
        </w:tc>
        <w:tc>
          <w:tcPr>
            <w:tcW w:w="86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95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bCs/>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bCs/>
                <w:color w:val="000000" w:themeColor="text1"/>
                <w:sz w:val="28"/>
                <w:szCs w:val="28"/>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8"/>
                <w:szCs w:val="28"/>
                <w:highlight w:val="none"/>
                <w14:textFill>
                  <w14:solidFill>
                    <w14:schemeClr w14:val="tx1"/>
                  </w14:solidFill>
                </w14:textFill>
              </w:rPr>
            </w:pPr>
          </w:p>
        </w:tc>
      </w:tr>
    </w:tbl>
    <w:p>
      <w:pPr>
        <w:spacing w:line="42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注：本工程一旦我单位中标，将配备上述项目管理人员。上述填报内容真实，如不真实，将按照有关规定接受处理。</w:t>
      </w:r>
    </w:p>
    <w:p>
      <w:pPr>
        <w:spacing w:line="420" w:lineRule="exact"/>
        <w:ind w:firstLine="700" w:firstLineChars="250"/>
        <w:rPr>
          <w:rFonts w:hint="eastAsia" w:ascii="宋体" w:hAnsi="宋体"/>
          <w:color w:val="000000" w:themeColor="text1"/>
          <w:sz w:val="28"/>
          <w:szCs w:val="28"/>
          <w:highlight w:val="none"/>
          <w14:textFill>
            <w14:solidFill>
              <w14:schemeClr w14:val="tx1"/>
            </w14:solidFill>
          </w14:textFill>
        </w:rPr>
      </w:pPr>
    </w:p>
    <w:p>
      <w:pPr>
        <w:spacing w:line="42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2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jc w:val="right"/>
        <w:rPr>
          <w:rFonts w:ascii="宋体" w:hAnsi="宋体"/>
          <w:color w:val="000000" w:themeColor="text1"/>
          <w:sz w:val="28"/>
          <w:szCs w:val="28"/>
          <w:highlight w:val="none"/>
          <w14:textFill>
            <w14:solidFill>
              <w14:schemeClr w14:val="tx1"/>
            </w14:solidFill>
          </w14:textFill>
        </w:rPr>
      </w:pPr>
      <w:bookmarkStart w:id="714" w:name="_Toc247085889"/>
      <w:bookmarkStart w:id="715" w:name="_Toc152045805"/>
      <w:bookmarkStart w:id="716" w:name="_Toc144974873"/>
      <w:bookmarkStart w:id="717" w:name="_Toc246997114"/>
      <w:bookmarkStart w:id="718" w:name="_Toc246996371"/>
      <w:bookmarkStart w:id="719" w:name="_Toc152042594"/>
      <w:bookmarkStart w:id="720" w:name="_Toc179632825"/>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日</w:t>
      </w:r>
    </w:p>
    <w:p>
      <w:pP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pPr>
        <w:jc w:val="center"/>
        <w:rPr>
          <w:rFonts w:ascii="黑体" w:eastAsia="黑体"/>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6-2</w:t>
      </w:r>
      <w:r>
        <w:rPr>
          <w:rFonts w:hint="eastAsia" w:ascii="宋体" w:hAnsi="宋体" w:cs="宋体"/>
          <w:b/>
          <w:bCs/>
          <w:color w:val="000000" w:themeColor="text1"/>
          <w:sz w:val="36"/>
          <w:szCs w:val="36"/>
          <w:highlight w:val="none"/>
          <w14:textFill>
            <w14:solidFill>
              <w14:schemeClr w14:val="tx1"/>
            </w14:solidFill>
          </w14:textFill>
        </w:rPr>
        <w:t>）项目负责人简历表</w:t>
      </w:r>
      <w:bookmarkEnd w:id="714"/>
      <w:bookmarkEnd w:id="715"/>
      <w:bookmarkEnd w:id="716"/>
      <w:bookmarkEnd w:id="717"/>
      <w:bookmarkEnd w:id="718"/>
      <w:bookmarkEnd w:id="719"/>
      <w:bookmarkEnd w:id="720"/>
    </w:p>
    <w:p>
      <w:pPr>
        <w:spacing w:line="420" w:lineRule="exact"/>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负责人应附建造师注册证书、安全生产考核合格证书、身份证、养老保险复印件及未担任其他在施建设工程项目项目负责人的承诺书，管理过的项目业绩须附中标通知书、合同协议书和竣工验收或备案登记表复印件。</w:t>
      </w:r>
    </w:p>
    <w:p>
      <w:pPr>
        <w:spacing w:line="420" w:lineRule="exact"/>
        <w:ind w:firstLine="960" w:firstLineChars="400"/>
        <w:rPr>
          <w:rFonts w:ascii="宋体" w:hAnsi="宋体"/>
          <w:color w:val="000000" w:themeColor="text1"/>
          <w:sz w:val="24"/>
          <w:highlight w:val="none"/>
          <w14:textFill>
            <w14:solidFill>
              <w14:schemeClr w14:val="tx1"/>
            </w14:solidFill>
          </w14:textFill>
        </w:rPr>
      </w:pPr>
    </w:p>
    <w:tbl>
      <w:tblPr>
        <w:tblStyle w:val="2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  名</w:t>
            </w: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  龄</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学历</w:t>
            </w:r>
          </w:p>
        </w:tc>
        <w:tc>
          <w:tcPr>
            <w:tcW w:w="2126" w:type="dxa"/>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  称</w:t>
            </w: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  务</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拟在本工程任职</w:t>
            </w:r>
          </w:p>
        </w:tc>
        <w:tc>
          <w:tcPr>
            <w:tcW w:w="2126"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注册建造师执业资格等级</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级</w:t>
            </w: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建造师专业</w:t>
            </w: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安全生产考核合格证书</w:t>
            </w:r>
          </w:p>
        </w:tc>
        <w:tc>
          <w:tcPr>
            <w:tcW w:w="5751" w:type="dxa"/>
            <w:gridSpan w:val="6"/>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毕业学校</w:t>
            </w:r>
          </w:p>
        </w:tc>
        <w:tc>
          <w:tcPr>
            <w:tcW w:w="7920" w:type="dxa"/>
            <w:gridSpan w:val="10"/>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时  间</w:t>
            </w:r>
          </w:p>
        </w:tc>
        <w:tc>
          <w:tcPr>
            <w:tcW w:w="3444" w:type="dxa"/>
            <w:gridSpan w:val="6"/>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参加过的类似项目名称</w:t>
            </w: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工程概况说明</w:t>
            </w: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bl>
    <w:p>
      <w:pPr>
        <w:pStyle w:val="14"/>
        <w:spacing w:line="240" w:lineRule="auto"/>
        <w:ind w:left="1" w:leftChars="-28" w:hanging="60"/>
        <w:rPr>
          <w:color w:val="000000" w:themeColor="text1"/>
          <w:sz w:val="21"/>
          <w:szCs w:val="21"/>
          <w:highlight w:val="none"/>
          <w14:textFill>
            <w14:solidFill>
              <w14:schemeClr w14:val="tx1"/>
            </w14:solidFill>
          </w14:textFill>
        </w:rPr>
      </w:pP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注：本工程一旦我单位中标，将配备上述项目管理人员。上述填报内容真实，如不真实，将按照有关规定接受处理。</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spacing w:line="420" w:lineRule="exact"/>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jc w:val="center"/>
        <w:rPr>
          <w:rFonts w:ascii="宋体" w:hAnsi="宋体" w:cs="宋体"/>
          <w:b/>
          <w:bCs/>
          <w:color w:val="000000" w:themeColor="text1"/>
          <w:sz w:val="36"/>
          <w:szCs w:val="36"/>
          <w:highlight w:val="none"/>
          <w14:textFill>
            <w14:solidFill>
              <w14:schemeClr w14:val="tx1"/>
            </w14:solidFill>
          </w14:textFill>
        </w:rPr>
      </w:pPr>
      <w:bookmarkStart w:id="721" w:name="_Toc246996372"/>
      <w:bookmarkStart w:id="722" w:name="_Toc152042596"/>
      <w:bookmarkStart w:id="723" w:name="_Toc246997115"/>
      <w:bookmarkStart w:id="724" w:name="_Toc179632827"/>
      <w:bookmarkStart w:id="725" w:name="_Toc152045807"/>
      <w:bookmarkStart w:id="726" w:name="_Toc144974875"/>
      <w:bookmarkStart w:id="727" w:name="_Toc247085890"/>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6-3</w:t>
      </w:r>
      <w:r>
        <w:rPr>
          <w:rFonts w:hint="eastAsia" w:ascii="宋体" w:hAnsi="宋体" w:cs="宋体"/>
          <w:b/>
          <w:bCs/>
          <w:color w:val="000000" w:themeColor="text1"/>
          <w:sz w:val="36"/>
          <w:szCs w:val="36"/>
          <w:highlight w:val="none"/>
          <w14:textFill>
            <w14:solidFill>
              <w14:schemeClr w14:val="tx1"/>
            </w14:solidFill>
          </w14:textFill>
        </w:rPr>
        <w:t>）主要项目管理人员简历表</w:t>
      </w:r>
    </w:p>
    <w:p>
      <w:pPr>
        <w:spacing w:line="42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主要项目管理人员指安全生产管理人员等岗位人员。应附岗位证书、身份证、养老保险复印件，安全生产管理人员还应附安全生产考核合格证书，主要业绩须附合同协议书。</w:t>
      </w:r>
    </w:p>
    <w:tbl>
      <w:tblPr>
        <w:tblStyle w:val="24"/>
        <w:tblpPr w:leftFromText="180" w:rightFromText="180" w:vertAnchor="text" w:horzAnchor="page" w:tblpXSpec="center" w:tblpY="179"/>
        <w:tblOverlap w:val="never"/>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37"/>
        <w:gridCol w:w="3194"/>
        <w:gridCol w:w="152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0" w:type="dxa"/>
            <w:gridSpan w:val="5"/>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3194"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年龄</w:t>
            </w:r>
          </w:p>
        </w:tc>
        <w:tc>
          <w:tcPr>
            <w:tcW w:w="1807"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性别</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毕业学校</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学历和专业</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毕业时间</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拥有的执业资格</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专业职称</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执业资格证书编号</w:t>
            </w:r>
          </w:p>
        </w:tc>
        <w:tc>
          <w:tcPr>
            <w:tcW w:w="3194"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工作年限</w:t>
            </w:r>
          </w:p>
        </w:tc>
        <w:tc>
          <w:tcPr>
            <w:tcW w:w="1807"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559"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主要工作业绩及担任的主要工作</w:t>
            </w:r>
          </w:p>
          <w:p>
            <w:pPr>
              <w:spacing w:line="440" w:lineRule="exact"/>
              <w:rPr>
                <w:rFonts w:ascii="宋体" w:hAnsi="宋体"/>
                <w:color w:val="000000" w:themeColor="text1"/>
                <w:sz w:val="24"/>
                <w:szCs w:val="24"/>
                <w:highlight w:val="none"/>
                <w14:textFill>
                  <w14:solidFill>
                    <w14:schemeClr w14:val="tx1"/>
                  </w14:solidFill>
                </w14:textFill>
              </w:rPr>
            </w:pPr>
          </w:p>
        </w:tc>
        <w:tc>
          <w:tcPr>
            <w:tcW w:w="7761" w:type="dxa"/>
            <w:gridSpan w:val="4"/>
            <w:noWrap/>
            <w:vAlign w:val="center"/>
          </w:tcPr>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tc>
      </w:tr>
    </w:tbl>
    <w:p>
      <w:pPr>
        <w:topLinePunct/>
        <w:spacing w:line="440" w:lineRule="exact"/>
        <w:jc w:val="center"/>
        <w:rPr>
          <w:rFonts w:ascii="宋体" w:hAnsi="宋体"/>
          <w:color w:val="000000" w:themeColor="text1"/>
          <w:sz w:val="28"/>
          <w:szCs w:val="28"/>
          <w:highlight w:val="none"/>
          <w14:textFill>
            <w14:solidFill>
              <w14:schemeClr w14:val="tx1"/>
            </w14:solidFill>
          </w14:textFill>
        </w:rPr>
      </w:pPr>
    </w:p>
    <w:p>
      <w:pP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br w:type="page"/>
      </w: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七、资格审查资料</w:t>
      </w:r>
      <w:bookmarkEnd w:id="721"/>
      <w:bookmarkEnd w:id="722"/>
      <w:bookmarkEnd w:id="723"/>
      <w:bookmarkEnd w:id="724"/>
      <w:bookmarkEnd w:id="725"/>
      <w:bookmarkEnd w:id="726"/>
      <w:bookmarkEnd w:id="727"/>
    </w:p>
    <w:p>
      <w:pPr>
        <w:jc w:val="center"/>
        <w:rPr>
          <w:rFonts w:ascii="宋体" w:hAnsi="宋体" w:cs="宋体"/>
          <w:b/>
          <w:bCs/>
          <w:color w:val="000000" w:themeColor="text1"/>
          <w:sz w:val="36"/>
          <w:szCs w:val="36"/>
          <w:highlight w:val="none"/>
          <w14:textFill>
            <w14:solidFill>
              <w14:schemeClr w14:val="tx1"/>
            </w14:solidFill>
          </w14:textFill>
        </w:rPr>
      </w:pPr>
      <w:bookmarkStart w:id="728" w:name="_Toc247085891"/>
      <w:bookmarkStart w:id="729" w:name="_Toc144974876"/>
      <w:bookmarkStart w:id="730" w:name="_Toc152042597"/>
      <w:bookmarkStart w:id="731" w:name="_Toc152045808"/>
      <w:bookmarkStart w:id="732" w:name="_Toc246997116"/>
      <w:bookmarkStart w:id="733" w:name="_Toc246996373"/>
      <w:bookmarkStart w:id="734" w:name="_Toc179632828"/>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7-1</w:t>
      </w: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供应商</w:t>
      </w:r>
      <w:r>
        <w:rPr>
          <w:rFonts w:hint="eastAsia" w:ascii="宋体" w:hAnsi="宋体" w:cs="宋体"/>
          <w:b/>
          <w:bCs/>
          <w:color w:val="000000" w:themeColor="text1"/>
          <w:sz w:val="36"/>
          <w:szCs w:val="36"/>
          <w:highlight w:val="none"/>
          <w14:textFill>
            <w14:solidFill>
              <w14:schemeClr w14:val="tx1"/>
            </w14:solidFill>
          </w14:textFill>
        </w:rPr>
        <w:t>基本情况表</w:t>
      </w:r>
      <w:bookmarkEnd w:id="728"/>
      <w:bookmarkEnd w:id="729"/>
      <w:bookmarkEnd w:id="730"/>
      <w:bookmarkEnd w:id="731"/>
      <w:bookmarkEnd w:id="732"/>
      <w:bookmarkEnd w:id="733"/>
      <w:bookmarkEnd w:id="734"/>
    </w:p>
    <w:tbl>
      <w:tblPr>
        <w:tblStyle w:val="24"/>
        <w:tblW w:w="95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color w:val="000000" w:themeColor="text1"/>
                <w:highlight w:val="none"/>
                <w14:textFill>
                  <w14:solidFill>
                    <w14:schemeClr w14:val="tx1"/>
                  </w14:solidFill>
                </w14:textFill>
              </w:rPr>
              <w:t>名称</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邮政编码</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 话</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 址</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组织结构</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5977"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项目经理</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高级职称人员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初级职称人员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技工</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经营范围</w:t>
            </w:r>
          </w:p>
        </w:tc>
        <w:tc>
          <w:tcPr>
            <w:tcW w:w="7826" w:type="dxa"/>
            <w:gridSpan w:val="9"/>
            <w:tcBorders>
              <w:top w:val="single" w:color="auto" w:sz="4" w:space="0"/>
              <w:left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p>
            <w:pPr>
              <w:topLinePunct/>
              <w:spacing w:line="440" w:lineRule="exact"/>
              <w:rPr>
                <w:color w:val="000000" w:themeColor="text1"/>
                <w:highlight w:val="none"/>
                <w14:textFill>
                  <w14:solidFill>
                    <w14:schemeClr w14:val="tx1"/>
                  </w14:solidFill>
                </w14:textFill>
              </w:rPr>
            </w:pPr>
          </w:p>
          <w:p>
            <w:pPr>
              <w:topLinePunct/>
              <w:spacing w:line="440" w:lineRule="exac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bl>
    <w:p>
      <w:pPr>
        <w:topLinePunct/>
        <w:spacing w:line="440" w:lineRule="exact"/>
        <w:rPr>
          <w:color w:val="000000" w:themeColor="text1"/>
          <w:sz w:val="20"/>
          <w:highlight w:val="none"/>
          <w14:textFill>
            <w14:solidFill>
              <w14:schemeClr w14:val="tx1"/>
            </w14:solidFill>
          </w14:textFill>
        </w:rPr>
      </w:pPr>
      <w:r>
        <w:rPr>
          <w:rFonts w:hint="eastAsia"/>
          <w:color w:val="000000" w:themeColor="text1"/>
          <w:sz w:val="20"/>
          <w:highlight w:val="none"/>
          <w14:textFill>
            <w14:solidFill>
              <w14:schemeClr w14:val="tx1"/>
            </w14:solidFill>
          </w14:textFill>
        </w:rPr>
        <w:t>附：营业执照、资质证书、安全生产许可证、疆外企业的进疆备案资料</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bookmarkStart w:id="735" w:name="_Toc152042598"/>
      <w:bookmarkStart w:id="736" w:name="_Toc144974877"/>
      <w:bookmarkStart w:id="737" w:name="_Toc265953295"/>
      <w:bookmarkStart w:id="738" w:name="_Toc247527849"/>
      <w:bookmarkStart w:id="739" w:name="_Toc152045809"/>
      <w:bookmarkStart w:id="740" w:name="_Toc247514301"/>
      <w:bookmarkStart w:id="741" w:name="_Toc144974881"/>
      <w:bookmarkStart w:id="742" w:name="_Toc152042602"/>
      <w:bookmarkStart w:id="743" w:name="_Toc179632833"/>
      <w:bookmarkStart w:id="744" w:name="_Toc152045813"/>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jc w:val="right"/>
        <w:rPr>
          <w:rFonts w:ascii="宋体" w:hAnsi="宋体" w:cs="宋体"/>
          <w:b/>
          <w:bCs/>
          <w:color w:val="000000" w:themeColor="text1"/>
          <w:sz w:val="36"/>
          <w:szCs w:val="36"/>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s="宋体"/>
          <w:b/>
          <w:bCs/>
          <w:color w:val="000000" w:themeColor="text1"/>
          <w:sz w:val="36"/>
          <w:szCs w:val="36"/>
          <w:highlight w:val="none"/>
          <w14:textFill>
            <w14:solidFill>
              <w14:schemeClr w14:val="tx1"/>
            </w14:solidFill>
          </w14:textFill>
        </w:rPr>
        <w:br w:type="page"/>
      </w: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7-2</w:t>
      </w:r>
      <w:r>
        <w:rPr>
          <w:rFonts w:hint="eastAsia" w:ascii="宋体" w:hAnsi="宋体" w:cs="宋体"/>
          <w:b/>
          <w:bCs/>
          <w:color w:val="000000" w:themeColor="text1"/>
          <w:sz w:val="36"/>
          <w:szCs w:val="36"/>
          <w:highlight w:val="none"/>
          <w14:textFill>
            <w14:solidFill>
              <w14:schemeClr w14:val="tx1"/>
            </w14:solidFill>
          </w14:textFill>
        </w:rPr>
        <w:t>）近三年财务状况</w:t>
      </w:r>
      <w:bookmarkEnd w:id="735"/>
      <w:bookmarkEnd w:id="736"/>
      <w:bookmarkEnd w:id="737"/>
      <w:bookmarkEnd w:id="738"/>
      <w:bookmarkEnd w:id="739"/>
      <w:bookmarkEnd w:id="740"/>
    </w:p>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在此附</w:t>
      </w:r>
      <w:r>
        <w:rPr>
          <w:rFonts w:hint="eastAsia" w:ascii="宋体" w:hAnsi="宋体"/>
          <w:color w:val="000000" w:themeColor="text1"/>
          <w:sz w:val="28"/>
          <w:szCs w:val="28"/>
          <w:highlight w:val="none"/>
          <w:lang w:val="en-US" w:eastAsia="zh-CN"/>
          <w14:textFill>
            <w14:solidFill>
              <w14:schemeClr w14:val="tx1"/>
            </w14:solidFill>
          </w14:textFill>
        </w:rPr>
        <w:t>财务报表或</w:t>
      </w:r>
      <w:r>
        <w:rPr>
          <w:rFonts w:hint="eastAsia" w:ascii="宋体" w:hAnsi="宋体"/>
          <w:color w:val="000000" w:themeColor="text1"/>
          <w:sz w:val="28"/>
          <w:szCs w:val="28"/>
          <w:highlight w:val="none"/>
          <w14:textFill>
            <w14:solidFill>
              <w14:schemeClr w14:val="tx1"/>
            </w14:solidFill>
          </w14:textFill>
        </w:rPr>
        <w:t>经会计师事务所或审计机构审计的财务报</w:t>
      </w:r>
      <w:r>
        <w:rPr>
          <w:rFonts w:hint="eastAsia" w:ascii="宋体" w:hAnsi="宋体"/>
          <w:color w:val="000000" w:themeColor="text1"/>
          <w:sz w:val="28"/>
          <w:szCs w:val="28"/>
          <w:highlight w:val="none"/>
          <w:lang w:eastAsia="zh-CN"/>
          <w14:textFill>
            <w14:solidFill>
              <w14:schemeClr w14:val="tx1"/>
            </w14:solidFill>
          </w14:textFill>
        </w:rPr>
        <w:t>告</w:t>
      </w:r>
      <w:r>
        <w:rPr>
          <w:rFonts w:hint="eastAsia" w:ascii="宋体" w:hAnsi="宋体"/>
          <w:color w:val="000000" w:themeColor="text1"/>
          <w:sz w:val="28"/>
          <w:szCs w:val="28"/>
          <w:highlight w:val="none"/>
          <w14:textFill>
            <w14:solidFill>
              <w14:schemeClr w14:val="tx1"/>
            </w14:solidFill>
          </w14:textFill>
        </w:rPr>
        <w:t>。</w:t>
      </w: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spacing w:line="440" w:lineRule="exact"/>
        <w:jc w:val="righ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spacing w:line="440" w:lineRule="exact"/>
        <w:rPr>
          <w:rFonts w:hint="eastAsia" w:ascii="宋体" w:hAnsi="宋体"/>
          <w:color w:val="000000" w:themeColor="text1"/>
          <w:sz w:val="23"/>
          <w:szCs w:val="23"/>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bookmarkStart w:id="745" w:name="_Toc247527850"/>
      <w:bookmarkStart w:id="746" w:name="_Toc247514302"/>
      <w:bookmarkStart w:id="747" w:name="_Toc265953296"/>
      <w:bookmarkStart w:id="748" w:name="_Toc144974878"/>
      <w:bookmarkStart w:id="749" w:name="_Toc152042599"/>
      <w:bookmarkStart w:id="750" w:name="_Toc152045810"/>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7-3</w:t>
      </w:r>
      <w:r>
        <w:rPr>
          <w:rFonts w:hint="eastAsia" w:ascii="宋体" w:hAnsi="宋体" w:cs="宋体"/>
          <w:b/>
          <w:bCs/>
          <w:color w:val="000000" w:themeColor="text1"/>
          <w:sz w:val="36"/>
          <w:szCs w:val="36"/>
          <w:highlight w:val="none"/>
          <w14:textFill>
            <w14:solidFill>
              <w14:schemeClr w14:val="tx1"/>
            </w14:solidFill>
          </w14:textFill>
        </w:rPr>
        <w:t>）近三年度完成的类似项目情况表</w:t>
      </w:r>
      <w:bookmarkEnd w:id="745"/>
      <w:bookmarkEnd w:id="746"/>
      <w:bookmarkEnd w:id="747"/>
      <w:bookmarkEnd w:id="748"/>
      <w:bookmarkEnd w:id="749"/>
      <w:bookmarkEnd w:id="750"/>
    </w:p>
    <w:tbl>
      <w:tblPr>
        <w:tblStyle w:val="24"/>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项目名称</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项目所在地</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发包人名称</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发包人地址</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发包人电话</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合同价格</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开工日期</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竣工</w:t>
            </w:r>
            <w:r>
              <w:rPr>
                <w:color w:val="000000" w:themeColor="text1"/>
                <w:sz w:val="28"/>
                <w:szCs w:val="28"/>
                <w:highlight w:val="none"/>
                <w14:textFill>
                  <w14:solidFill>
                    <w14:schemeClr w14:val="tx1"/>
                  </w14:solidFill>
                </w14:textFill>
              </w:rPr>
              <w:t>日期</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承担的工作</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工程质量</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项目经理</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技术负责人</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项目描述</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备注</w:t>
            </w:r>
          </w:p>
        </w:tc>
        <w:tc>
          <w:tcPr>
            <w:tcW w:w="7031" w:type="dxa"/>
            <w:noWrap/>
          </w:tcPr>
          <w:p>
            <w:pPr>
              <w:topLinePunct/>
              <w:spacing w:line="440" w:lineRule="exact"/>
              <w:rPr>
                <w:color w:val="000000" w:themeColor="text1"/>
                <w:sz w:val="28"/>
                <w:szCs w:val="28"/>
                <w:highlight w:val="none"/>
                <w14:textFill>
                  <w14:solidFill>
                    <w14:schemeClr w14:val="tx1"/>
                  </w14:solidFill>
                </w14:textFill>
              </w:rPr>
            </w:pPr>
          </w:p>
        </w:tc>
      </w:tr>
    </w:tbl>
    <w:p>
      <w:pPr>
        <w:pStyle w:val="10"/>
        <w:topLinePunct/>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附：本表后附中标通知书、合同协议书或工程接收证书（工程竣工验收证书）的复印件，具体年份要求见</w:t>
      </w:r>
      <w:r>
        <w:rPr>
          <w:rFonts w:hint="eastAsia" w:cs="Times New Roman"/>
          <w:color w:val="000000" w:themeColor="text1"/>
          <w:kern w:val="2"/>
          <w:sz w:val="28"/>
          <w:szCs w:val="28"/>
          <w:highlight w:val="none"/>
          <w:lang w:val="en-US" w:eastAsia="zh-CN" w:bidi="ar-SA"/>
          <w14:textFill>
            <w14:solidFill>
              <w14:schemeClr w14:val="tx1"/>
            </w14:solidFill>
          </w14:textFill>
        </w:rPr>
        <w:t>磋商</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须知前附表。每张表格只填写一个项目，并标明序号。</w:t>
      </w:r>
    </w:p>
    <w:p>
      <w:pPr>
        <w:jc w:val="center"/>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jc w:val="right"/>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jc w:val="center"/>
        <w:rPr>
          <w:rFonts w:eastAsia="黑体"/>
          <w:color w:val="000000" w:themeColor="text1"/>
          <w:sz w:val="23"/>
          <w:szCs w:val="23"/>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jc w:val="center"/>
        <w:rPr>
          <w:rFonts w:ascii="宋体" w:hAnsi="宋体" w:cs="宋体"/>
          <w:b/>
          <w:bCs/>
          <w:color w:val="000000" w:themeColor="text1"/>
          <w:sz w:val="36"/>
          <w:szCs w:val="36"/>
          <w:highlight w:val="none"/>
          <w14:textFill>
            <w14:solidFill>
              <w14:schemeClr w14:val="tx1"/>
            </w14:solidFill>
          </w14:textFill>
        </w:rPr>
      </w:pPr>
      <w:bookmarkStart w:id="751" w:name="_Toc152042600"/>
      <w:bookmarkStart w:id="752" w:name="_Toc265953297"/>
      <w:bookmarkStart w:id="753" w:name="_Toc247527851"/>
      <w:bookmarkStart w:id="754" w:name="_Toc247514303"/>
      <w:bookmarkStart w:id="755" w:name="_Toc152045811"/>
      <w:bookmarkStart w:id="756" w:name="_Toc144974879"/>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7-4</w:t>
      </w:r>
      <w:r>
        <w:rPr>
          <w:rFonts w:hint="eastAsia" w:ascii="宋体" w:hAnsi="宋体" w:cs="宋体"/>
          <w:b/>
          <w:bCs/>
          <w:color w:val="000000" w:themeColor="text1"/>
          <w:sz w:val="36"/>
          <w:szCs w:val="36"/>
          <w:highlight w:val="none"/>
          <w14:textFill>
            <w14:solidFill>
              <w14:schemeClr w14:val="tx1"/>
            </w14:solidFill>
          </w14:textFill>
        </w:rPr>
        <w:t>）正在实施的和新承接的项目情况表</w:t>
      </w:r>
      <w:bookmarkEnd w:id="751"/>
      <w:bookmarkEnd w:id="752"/>
      <w:bookmarkEnd w:id="753"/>
      <w:bookmarkEnd w:id="754"/>
      <w:bookmarkEnd w:id="755"/>
      <w:bookmarkEnd w:id="756"/>
    </w:p>
    <w:tbl>
      <w:tblPr>
        <w:tblStyle w:val="24"/>
        <w:tblpPr w:leftFromText="180" w:rightFromText="180" w:vertAnchor="text" w:horzAnchor="page" w:tblpXSpec="center" w:tblpY="227"/>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项目名称</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项目所在地</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发包人名称</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发包人地址</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发包人电话</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签约合同价</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开工日期</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计划</w:t>
            </w:r>
            <w:r>
              <w:rPr>
                <w:rFonts w:hint="eastAsia"/>
                <w:color w:val="000000" w:themeColor="text1"/>
                <w:sz w:val="28"/>
                <w:szCs w:val="28"/>
                <w:highlight w:val="none"/>
                <w14:textFill>
                  <w14:solidFill>
                    <w14:schemeClr w14:val="tx1"/>
                  </w14:solidFill>
                </w14:textFill>
              </w:rPr>
              <w:t>竣工</w:t>
            </w:r>
            <w:r>
              <w:rPr>
                <w:color w:val="000000" w:themeColor="text1"/>
                <w:sz w:val="28"/>
                <w:szCs w:val="28"/>
                <w:highlight w:val="none"/>
                <w14:textFill>
                  <w14:solidFill>
                    <w14:schemeClr w14:val="tx1"/>
                  </w14:solidFill>
                </w14:textFill>
              </w:rPr>
              <w:t>日期</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承担的工作</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工程质量</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项目经理</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技术负责人</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项目描述</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p>
            <w:pPr>
              <w:topLinePunct/>
              <w:spacing w:line="440" w:lineRule="exact"/>
              <w:rPr>
                <w:color w:val="000000" w:themeColor="text1"/>
                <w:sz w:val="28"/>
                <w:szCs w:val="28"/>
                <w:highlight w:val="none"/>
                <w14:textFill>
                  <w14:solidFill>
                    <w14:schemeClr w14:val="tx1"/>
                  </w14:solidFill>
                </w14:textFill>
              </w:rPr>
            </w:pPr>
          </w:p>
          <w:p>
            <w:pPr>
              <w:topLinePunct/>
              <w:spacing w:line="440" w:lineRule="exact"/>
              <w:rPr>
                <w:color w:val="000000" w:themeColor="text1"/>
                <w:sz w:val="28"/>
                <w:szCs w:val="28"/>
                <w:highlight w:val="none"/>
                <w14:textFill>
                  <w14:solidFill>
                    <w14:schemeClr w14:val="tx1"/>
                  </w14:solidFill>
                </w14:textFill>
              </w:rPr>
            </w:pPr>
          </w:p>
          <w:p>
            <w:pPr>
              <w:topLinePunct/>
              <w:spacing w:line="440" w:lineRule="exact"/>
              <w:rPr>
                <w:color w:val="000000" w:themeColor="text1"/>
                <w:sz w:val="28"/>
                <w:szCs w:val="28"/>
                <w:highlight w:val="none"/>
                <w14:textFill>
                  <w14:solidFill>
                    <w14:schemeClr w14:val="tx1"/>
                  </w14:solidFill>
                </w14:textFill>
              </w:rPr>
            </w:pPr>
          </w:p>
          <w:p>
            <w:pPr>
              <w:topLinePunct/>
              <w:spacing w:line="440" w:lineRule="exact"/>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备注</w:t>
            </w:r>
          </w:p>
        </w:tc>
        <w:tc>
          <w:tcPr>
            <w:tcW w:w="7410" w:type="dxa"/>
            <w:noWrap/>
          </w:tcPr>
          <w:p>
            <w:pPr>
              <w:topLinePunct/>
              <w:spacing w:line="440" w:lineRule="exact"/>
              <w:rPr>
                <w:color w:val="000000" w:themeColor="text1"/>
                <w:sz w:val="28"/>
                <w:szCs w:val="28"/>
                <w:highlight w:val="none"/>
                <w14:textFill>
                  <w14:solidFill>
                    <w14:schemeClr w14:val="tx1"/>
                  </w14:solidFill>
                </w14:textFill>
              </w:rPr>
            </w:pPr>
          </w:p>
        </w:tc>
      </w:tr>
    </w:tbl>
    <w:p>
      <w:pPr>
        <w:spacing w:line="440" w:lineRule="exact"/>
        <w:ind w:left="-619" w:leftChars="-295"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附：中标通知书或合同协议书复印件。每张表格只填写一个项目，并标明序号。</w:t>
      </w:r>
    </w:p>
    <w:p>
      <w:pPr>
        <w:spacing w:line="440" w:lineRule="exact"/>
        <w:rPr>
          <w:rFonts w:hint="eastAsia" w:ascii="宋体" w:hAnsi="宋体"/>
          <w:color w:val="000000" w:themeColor="text1"/>
          <w:sz w:val="28"/>
          <w:szCs w:val="28"/>
          <w:highlight w:val="none"/>
          <w14:textFill>
            <w14:solidFill>
              <w14:schemeClr w14:val="tx1"/>
            </w14:solidFill>
          </w14:textFill>
        </w:rPr>
      </w:pPr>
      <w:bookmarkStart w:id="757" w:name="_Toc246996374"/>
      <w:bookmarkStart w:id="758" w:name="_Toc246997117"/>
      <w:bookmarkStart w:id="759" w:name="_Toc247085892"/>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jc w:val="right"/>
        <w:rPr>
          <w:rFonts w:ascii="黑体" w:eastAsia="黑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jc w:val="center"/>
        <w:rPr>
          <w:rFonts w:ascii="黑体" w:eastAsia="黑体"/>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val="en-US" w:eastAsia="zh-CN"/>
          <w14:textFill>
            <w14:solidFill>
              <w14:schemeClr w14:val="tx1"/>
            </w14:solidFill>
          </w14:textFill>
        </w:rPr>
        <w:t>7-5</w:t>
      </w:r>
      <w:r>
        <w:rPr>
          <w:rFonts w:hint="eastAsia" w:ascii="宋体" w:hAnsi="宋体" w:cs="宋体"/>
          <w:b/>
          <w:bCs/>
          <w:color w:val="000000" w:themeColor="text1"/>
          <w:sz w:val="36"/>
          <w:szCs w:val="36"/>
          <w:highlight w:val="none"/>
          <w14:textFill>
            <w14:solidFill>
              <w14:schemeClr w14:val="tx1"/>
            </w14:solidFill>
          </w14:textFill>
        </w:rPr>
        <w:t>）其他资格审查资料</w:t>
      </w:r>
      <w:bookmarkEnd w:id="741"/>
      <w:bookmarkEnd w:id="742"/>
      <w:bookmarkEnd w:id="743"/>
      <w:bookmarkEnd w:id="744"/>
      <w:bookmarkEnd w:id="757"/>
      <w:bookmarkEnd w:id="758"/>
      <w:bookmarkEnd w:id="759"/>
    </w:p>
    <w:p>
      <w:pPr>
        <w:ind w:left="178"/>
        <w:rPr>
          <w:color w:val="000000" w:themeColor="text1"/>
          <w:highlight w:val="none"/>
          <w14:textFill>
            <w14:solidFill>
              <w14:schemeClr w14:val="tx1"/>
            </w14:solidFill>
          </w14:textFill>
        </w:rPr>
      </w:pPr>
    </w:p>
    <w:p>
      <w:pPr>
        <w:ind w:left="178"/>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left="178"/>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7"/>
        <w:rPr>
          <w:rFonts w:hint="eastAsia"/>
          <w:color w:val="000000" w:themeColor="text1"/>
          <w:highlight w:val="none"/>
          <w14:textFill>
            <w14:solidFill>
              <w14:schemeClr w14:val="tx1"/>
            </w14:solidFill>
          </w14:textFill>
        </w:rPr>
      </w:pPr>
    </w:p>
    <w:p>
      <w:pPr>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rPr>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附件1：</w:t>
      </w:r>
    </w:p>
    <w:p>
      <w:pPr>
        <w:jc w:val="center"/>
        <w:rPr>
          <w:b/>
          <w:color w:val="000000" w:themeColor="text1"/>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潜在</w:t>
      </w:r>
      <w:r>
        <w:rPr>
          <w:rFonts w:hint="eastAsia" w:ascii="宋体" w:hAnsi="宋体" w:cs="宋体"/>
          <w:b/>
          <w:bCs/>
          <w:color w:val="000000" w:themeColor="text1"/>
          <w:sz w:val="36"/>
          <w:szCs w:val="36"/>
          <w:highlight w:val="none"/>
          <w:lang w:val="en-US" w:eastAsia="zh-CN"/>
          <w14:textFill>
            <w14:solidFill>
              <w14:schemeClr w14:val="tx1"/>
            </w14:solidFill>
          </w14:textFill>
        </w:rPr>
        <w:t>供应商</w:t>
      </w:r>
      <w:r>
        <w:rPr>
          <w:rFonts w:hint="eastAsia" w:ascii="宋体" w:hAnsi="宋体" w:cs="宋体"/>
          <w:b/>
          <w:bCs/>
          <w:color w:val="000000" w:themeColor="text1"/>
          <w:sz w:val="36"/>
          <w:szCs w:val="36"/>
          <w:highlight w:val="none"/>
          <w14:textFill>
            <w14:solidFill>
              <w14:schemeClr w14:val="tx1"/>
            </w14:solidFill>
          </w14:textFill>
        </w:rPr>
        <w:t>情况表</w:t>
      </w:r>
    </w:p>
    <w:tbl>
      <w:tblPr>
        <w:tblStyle w:val="24"/>
        <w:tblpPr w:leftFromText="180" w:rightFromText="180" w:vertAnchor="text" w:horzAnchor="page" w:tblpX="1405" w:tblpY="28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443"/>
        <w:gridCol w:w="1183"/>
        <w:gridCol w:w="1014"/>
        <w:gridCol w:w="508"/>
        <w:gridCol w:w="846"/>
        <w:gridCol w:w="1013"/>
        <w:gridCol w:w="340"/>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潜在</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（全称）</w:t>
            </w:r>
          </w:p>
        </w:tc>
        <w:tc>
          <w:tcPr>
            <w:tcW w:w="2705" w:type="dxa"/>
            <w:gridSpan w:val="3"/>
            <w:noWrap/>
            <w:vAlign w:val="center"/>
          </w:tcPr>
          <w:p>
            <w:pPr>
              <w:jc w:val="center"/>
              <w:rPr>
                <w:color w:val="000000" w:themeColor="text1"/>
                <w:sz w:val="28"/>
                <w:szCs w:val="28"/>
                <w:highlight w:val="none"/>
                <w14:textFill>
                  <w14:solidFill>
                    <w14:schemeClr w14:val="tx1"/>
                  </w14:solidFill>
                </w14:textFill>
              </w:rPr>
            </w:pPr>
          </w:p>
        </w:tc>
        <w:tc>
          <w:tcPr>
            <w:tcW w:w="1859"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 系 人</w:t>
            </w:r>
          </w:p>
        </w:tc>
        <w:tc>
          <w:tcPr>
            <w:tcW w:w="2978" w:type="dxa"/>
            <w:gridSpan w:val="2"/>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    址</w:t>
            </w:r>
          </w:p>
        </w:tc>
        <w:tc>
          <w:tcPr>
            <w:tcW w:w="2705" w:type="dxa"/>
            <w:gridSpan w:val="3"/>
            <w:noWrap/>
            <w:vAlign w:val="center"/>
          </w:tcPr>
          <w:p>
            <w:pPr>
              <w:jc w:val="center"/>
              <w:rPr>
                <w:color w:val="000000" w:themeColor="text1"/>
                <w:sz w:val="28"/>
                <w:szCs w:val="28"/>
                <w:highlight w:val="none"/>
                <w14:textFill>
                  <w14:solidFill>
                    <w14:schemeClr w14:val="tx1"/>
                  </w14:solidFill>
                </w14:textFill>
              </w:rPr>
            </w:pPr>
          </w:p>
        </w:tc>
        <w:tc>
          <w:tcPr>
            <w:tcW w:w="1859"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联系电话</w:t>
            </w:r>
          </w:p>
        </w:tc>
        <w:tc>
          <w:tcPr>
            <w:tcW w:w="2978" w:type="dxa"/>
            <w:gridSpan w:val="2"/>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代理机构（全称）</w:t>
            </w:r>
          </w:p>
        </w:tc>
        <w:tc>
          <w:tcPr>
            <w:tcW w:w="2705" w:type="dxa"/>
            <w:gridSpan w:val="3"/>
            <w:noWrap/>
            <w:vAlign w:val="center"/>
          </w:tcPr>
          <w:p>
            <w:pPr>
              <w:jc w:val="center"/>
              <w:rPr>
                <w:color w:val="000000" w:themeColor="text1"/>
                <w:sz w:val="28"/>
                <w:szCs w:val="28"/>
                <w:highlight w:val="none"/>
                <w14:textFill>
                  <w14:solidFill>
                    <w14:schemeClr w14:val="tx1"/>
                  </w14:solidFill>
                </w14:textFill>
              </w:rPr>
            </w:pPr>
          </w:p>
        </w:tc>
        <w:tc>
          <w:tcPr>
            <w:tcW w:w="1859"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 系 人</w:t>
            </w:r>
          </w:p>
        </w:tc>
        <w:tc>
          <w:tcPr>
            <w:tcW w:w="2978" w:type="dxa"/>
            <w:gridSpan w:val="2"/>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    址</w:t>
            </w:r>
          </w:p>
        </w:tc>
        <w:tc>
          <w:tcPr>
            <w:tcW w:w="2705" w:type="dxa"/>
            <w:gridSpan w:val="3"/>
            <w:noWrap/>
            <w:vAlign w:val="center"/>
          </w:tcPr>
          <w:p>
            <w:pPr>
              <w:jc w:val="center"/>
              <w:rPr>
                <w:color w:val="000000" w:themeColor="text1"/>
                <w:sz w:val="28"/>
                <w:szCs w:val="28"/>
                <w:highlight w:val="none"/>
                <w14:textFill>
                  <w14:solidFill>
                    <w14:schemeClr w14:val="tx1"/>
                  </w14:solidFill>
                </w14:textFill>
              </w:rPr>
            </w:pPr>
          </w:p>
        </w:tc>
        <w:tc>
          <w:tcPr>
            <w:tcW w:w="1859"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联系电话</w:t>
            </w:r>
          </w:p>
        </w:tc>
        <w:tc>
          <w:tcPr>
            <w:tcW w:w="2978" w:type="dxa"/>
            <w:gridSpan w:val="2"/>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项目</w:t>
            </w:r>
          </w:p>
        </w:tc>
        <w:tc>
          <w:tcPr>
            <w:tcW w:w="7542" w:type="dxa"/>
            <w:gridSpan w:val="7"/>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966"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磋商</w:t>
            </w:r>
            <w:r>
              <w:rPr>
                <w:rFonts w:hint="eastAsia"/>
                <w:color w:val="000000" w:themeColor="text1"/>
                <w:sz w:val="28"/>
                <w:szCs w:val="28"/>
                <w:highlight w:val="none"/>
                <w14:textFill>
                  <w14:solidFill>
                    <w14:schemeClr w14:val="tx1"/>
                  </w14:solidFill>
                </w14:textFill>
              </w:rPr>
              <w:t>公告时间</w:t>
            </w:r>
          </w:p>
        </w:tc>
        <w:tc>
          <w:tcPr>
            <w:tcW w:w="2705" w:type="dxa"/>
            <w:gridSpan w:val="3"/>
            <w:noWrap/>
            <w:vAlign w:val="center"/>
          </w:tcPr>
          <w:p>
            <w:pPr>
              <w:jc w:val="center"/>
              <w:rPr>
                <w:color w:val="000000" w:themeColor="text1"/>
                <w:sz w:val="28"/>
                <w:szCs w:val="28"/>
                <w:highlight w:val="none"/>
                <w14:textFill>
                  <w14:solidFill>
                    <w14:schemeClr w14:val="tx1"/>
                  </w14:solidFill>
                </w14:textFill>
              </w:rPr>
            </w:pPr>
          </w:p>
        </w:tc>
        <w:tc>
          <w:tcPr>
            <w:tcW w:w="1859"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开标时间</w:t>
            </w:r>
          </w:p>
        </w:tc>
        <w:tc>
          <w:tcPr>
            <w:tcW w:w="2978" w:type="dxa"/>
            <w:gridSpan w:val="2"/>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23" w:type="dxa"/>
            <w:vMerge w:val="restart"/>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潜在</w:t>
            </w: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信息</w:t>
            </w:r>
          </w:p>
        </w:tc>
        <w:tc>
          <w:tcPr>
            <w:tcW w:w="2626" w:type="dxa"/>
            <w:gridSpan w:val="2"/>
            <w:vMerge w:val="restart"/>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（全称）及工商注册号或机构代码证号</w:t>
            </w:r>
          </w:p>
        </w:tc>
        <w:tc>
          <w:tcPr>
            <w:tcW w:w="2368" w:type="dxa"/>
            <w:gridSpan w:val="3"/>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w:t>
            </w:r>
          </w:p>
        </w:tc>
        <w:tc>
          <w:tcPr>
            <w:tcW w:w="3991" w:type="dxa"/>
            <w:gridSpan w:val="3"/>
            <w:noWrap/>
            <w:vAlign w:val="center"/>
          </w:tcPr>
          <w:p>
            <w:pPr>
              <w:ind w:firstLine="560" w:firstLineChars="2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23" w:type="dxa"/>
            <w:vMerge w:val="continue"/>
            <w:noWrap/>
            <w:vAlign w:val="center"/>
          </w:tcPr>
          <w:p>
            <w:pPr>
              <w:jc w:val="center"/>
              <w:rPr>
                <w:color w:val="000000" w:themeColor="text1"/>
                <w:sz w:val="28"/>
                <w:szCs w:val="28"/>
                <w:highlight w:val="none"/>
                <w14:textFill>
                  <w14:solidFill>
                    <w14:schemeClr w14:val="tx1"/>
                  </w14:solidFill>
                </w14:textFill>
              </w:rPr>
            </w:pPr>
          </w:p>
        </w:tc>
        <w:tc>
          <w:tcPr>
            <w:tcW w:w="2626" w:type="dxa"/>
            <w:gridSpan w:val="2"/>
            <w:vMerge w:val="continue"/>
            <w:noWrap/>
            <w:vAlign w:val="center"/>
          </w:tcPr>
          <w:p>
            <w:pPr>
              <w:jc w:val="center"/>
              <w:rPr>
                <w:color w:val="000000" w:themeColor="text1"/>
                <w:sz w:val="28"/>
                <w:szCs w:val="28"/>
                <w:highlight w:val="none"/>
                <w14:textFill>
                  <w14:solidFill>
                    <w14:schemeClr w14:val="tx1"/>
                  </w14:solidFill>
                </w14:textFill>
              </w:rPr>
            </w:pPr>
          </w:p>
        </w:tc>
        <w:tc>
          <w:tcPr>
            <w:tcW w:w="1014"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354"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w:t>
            </w:r>
          </w:p>
        </w:tc>
        <w:tc>
          <w:tcPr>
            <w:tcW w:w="1353" w:type="dxa"/>
            <w:gridSpan w:val="2"/>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2638"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23" w:type="dxa"/>
            <w:vMerge w:val="continue"/>
            <w:noWrap/>
            <w:vAlign w:val="center"/>
          </w:tcPr>
          <w:p>
            <w:pPr>
              <w:jc w:val="center"/>
              <w:rPr>
                <w:color w:val="000000" w:themeColor="text1"/>
                <w:sz w:val="28"/>
                <w:szCs w:val="28"/>
                <w:highlight w:val="none"/>
                <w14:textFill>
                  <w14:solidFill>
                    <w14:schemeClr w14:val="tx1"/>
                  </w14:solidFill>
                </w14:textFill>
              </w:rPr>
            </w:pPr>
          </w:p>
        </w:tc>
        <w:tc>
          <w:tcPr>
            <w:tcW w:w="2626" w:type="dxa"/>
            <w:gridSpan w:val="2"/>
            <w:tcBorders>
              <w:top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4"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3"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2638"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23" w:type="dxa"/>
            <w:vMerge w:val="continue"/>
            <w:noWrap/>
            <w:vAlign w:val="center"/>
          </w:tcPr>
          <w:p>
            <w:pPr>
              <w:jc w:val="center"/>
              <w:rPr>
                <w:color w:val="000000" w:themeColor="text1"/>
                <w:sz w:val="28"/>
                <w:szCs w:val="28"/>
                <w:highlight w:val="none"/>
                <w14:textFill>
                  <w14:solidFill>
                    <w14:schemeClr w14:val="tx1"/>
                  </w14:solidFill>
                </w14:textFill>
              </w:rPr>
            </w:pPr>
          </w:p>
        </w:tc>
        <w:tc>
          <w:tcPr>
            <w:tcW w:w="2626" w:type="dxa"/>
            <w:gridSpan w:val="2"/>
            <w:tcBorders>
              <w:top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4"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3"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2638"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23" w:type="dxa"/>
            <w:vMerge w:val="continue"/>
            <w:noWrap/>
            <w:vAlign w:val="center"/>
          </w:tcPr>
          <w:p>
            <w:pPr>
              <w:jc w:val="center"/>
              <w:rPr>
                <w:color w:val="000000" w:themeColor="text1"/>
                <w:sz w:val="28"/>
                <w:szCs w:val="28"/>
                <w:highlight w:val="none"/>
                <w14:textFill>
                  <w14:solidFill>
                    <w14:schemeClr w14:val="tx1"/>
                  </w14:solidFill>
                </w14:textFill>
              </w:rPr>
            </w:pPr>
          </w:p>
        </w:tc>
        <w:tc>
          <w:tcPr>
            <w:tcW w:w="2626" w:type="dxa"/>
            <w:gridSpan w:val="2"/>
            <w:tcBorders>
              <w:top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4"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3"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2638"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23" w:type="dxa"/>
            <w:vMerge w:val="continue"/>
            <w:tcBorders>
              <w:bottom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2626" w:type="dxa"/>
            <w:gridSpan w:val="2"/>
            <w:tcBorders>
              <w:top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4"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1353"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c>
          <w:tcPr>
            <w:tcW w:w="2638"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bookmarkEnd w:id="700"/>
    <w:bookmarkEnd w:id="701"/>
    <w:bookmarkEnd w:id="702"/>
    <w:bookmarkEnd w:id="703"/>
    <w:bookmarkEnd w:id="704"/>
    <w:bookmarkEnd w:id="705"/>
    <w:bookmarkEnd w:id="706"/>
    <w:p>
      <w:pPr>
        <w:spacing w:line="360" w:lineRule="auto"/>
        <w:jc w:val="center"/>
        <w:rPr>
          <w:rFonts w:hint="eastAsia" w:ascii="宋体" w:hAnsi="宋体"/>
          <w:b/>
          <w:bCs/>
          <w:color w:val="000000" w:themeColor="text1"/>
          <w:sz w:val="36"/>
          <w:szCs w:val="36"/>
          <w:highlight w:val="none"/>
          <w14:textFill>
            <w14:solidFill>
              <w14:schemeClr w14:val="tx1"/>
            </w14:solidFill>
          </w14:textFill>
        </w:rPr>
      </w:pPr>
      <w:bookmarkStart w:id="760" w:name="_Toc18404"/>
      <w:r>
        <w:rPr>
          <w:rFonts w:hint="eastAsia" w:ascii="宋体" w:hAnsi="宋体" w:cs="宋体"/>
          <w:b/>
          <w:bCs/>
          <w:color w:val="000000" w:themeColor="text1"/>
          <w:sz w:val="36"/>
          <w:szCs w:val="36"/>
          <w:highlight w:val="none"/>
          <w14:textFill>
            <w14:solidFill>
              <w14:schemeClr w14:val="tx1"/>
            </w14:solidFill>
          </w14:textFill>
        </w:rPr>
        <w:t>八、</w:t>
      </w:r>
      <w:r>
        <w:rPr>
          <w:rFonts w:hint="eastAsia" w:ascii="宋体" w:hAnsi="宋体"/>
          <w:b/>
          <w:bCs/>
          <w:color w:val="000000" w:themeColor="text1"/>
          <w:sz w:val="36"/>
          <w:szCs w:val="36"/>
          <w:highlight w:val="none"/>
          <w14:textFill>
            <w14:solidFill>
              <w14:schemeClr w14:val="tx1"/>
            </w14:solidFill>
          </w14:textFill>
        </w:rPr>
        <w:t>工程投标廉政承诺书</w:t>
      </w: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sectPr>
          <w:headerReference r:id="rId6" w:type="default"/>
          <w:footerReference r:id="rId7" w:type="default"/>
          <w:pgSz w:w="11906" w:h="16838"/>
          <w:pgMar w:top="1440" w:right="1587" w:bottom="1440" w:left="1800" w:header="851" w:footer="992" w:gutter="0"/>
          <w:pgNumType w:start="1"/>
          <w:cols w:space="0" w:num="1"/>
          <w:rtlGutter w:val="0"/>
          <w:docGrid w:type="lines" w:linePitch="312" w:charSpace="0"/>
        </w:sectPr>
      </w:pPr>
    </w:p>
    <w:p>
      <w:pPr>
        <w:pStyle w:val="57"/>
        <w:jc w:val="center"/>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企业声明函（若有）</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w:t>
      </w:r>
      <w:r>
        <w:rPr>
          <w:rFonts w:hint="eastAsia" w:ascii="宋体" w:hAnsi="宋体" w:eastAsia="宋体" w:cs="宋体"/>
          <w:sz w:val="24"/>
          <w:u w:val="single"/>
        </w:rPr>
        <w:t xml:space="preserve">      </w:t>
      </w:r>
      <w:r>
        <w:rPr>
          <w:rFonts w:hint="eastAsia" w:ascii="宋体" w:hAnsi="宋体" w:eastAsia="宋体" w:cs="宋体"/>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(请填写：小型、微型)企业。</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2、本公司参加______单位的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项目政府采购活动提供本企业制造的服务或产品，由本企业承担工程、提供服务，或者提供其他</w:t>
      </w:r>
      <w:r>
        <w:rPr>
          <w:rFonts w:hint="eastAsia" w:ascii="宋体" w:hAnsi="宋体" w:eastAsia="宋体" w:cs="宋体"/>
          <w:sz w:val="24"/>
          <w:u w:val="single"/>
        </w:rPr>
        <w:t xml:space="preserve">    </w:t>
      </w:r>
      <w:r>
        <w:rPr>
          <w:rFonts w:hint="eastAsia" w:ascii="宋体" w:hAnsi="宋体" w:eastAsia="宋体" w:cs="宋体"/>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3、本公司在本次政府采购活动中提供的小微型企业产品报价合计为人民币（大写）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 xml:space="preserve"> 圆整（￥：</w:t>
      </w:r>
      <w:r>
        <w:rPr>
          <w:rFonts w:hint="eastAsia" w:ascii="宋体" w:hAnsi="宋体" w:eastAsia="宋体" w:cs="宋体"/>
          <w:sz w:val="24"/>
          <w:u w:val="single"/>
        </w:rPr>
        <w:t xml:space="preserve">     </w:t>
      </w:r>
      <w:r>
        <w:rPr>
          <w:rFonts w:hint="eastAsia" w:ascii="宋体" w:hAnsi="宋体" w:eastAsia="宋体" w:cs="宋体"/>
          <w:sz w:val="24"/>
        </w:rPr>
        <w:t>）。</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23"/>
        <w:rPr>
          <w:rFonts w:hint="eastAsia"/>
        </w:rPr>
      </w:pPr>
    </w:p>
    <w:p>
      <w:pPr>
        <w:spacing w:before="145" w:beforeLines="50" w:after="145" w:afterLines="50" w:line="300" w:lineRule="auto"/>
        <w:ind w:firstLine="360" w:firstLineChars="150"/>
        <w:jc w:val="center"/>
        <w:rPr>
          <w:rFonts w:hint="eastAsia" w:ascii="宋体" w:hAnsi="宋体" w:eastAsia="宋体" w:cs="宋体"/>
          <w:sz w:val="24"/>
          <w:u w:val="single"/>
          <w:lang w:val="en-US" w:eastAsia="zh-CN"/>
        </w:rPr>
      </w:pP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spacing w:before="145" w:beforeLines="50" w:after="145" w:afterLines="50" w:line="300" w:lineRule="auto"/>
        <w:rPr>
          <w:rFonts w:hint="eastAsia" w:ascii="宋体" w:hAnsi="宋体" w:eastAsia="宋体" w:cs="宋体"/>
          <w:bCs/>
          <w:sz w:val="24"/>
        </w:rPr>
      </w:pPr>
    </w:p>
    <w:p>
      <w:pPr>
        <w:pStyle w:val="2"/>
        <w:rPr>
          <w:rFonts w:hint="eastAsia"/>
        </w:rPr>
        <w:sectPr>
          <w:pgSz w:w="11906" w:h="16838"/>
          <w:pgMar w:top="1440" w:right="1587" w:bottom="1440" w:left="1800" w:header="851" w:footer="992" w:gutter="0"/>
          <w:pgNumType w:start="1"/>
          <w:cols w:space="0" w:num="1"/>
          <w:rtlGutter w:val="0"/>
          <w:docGrid w:type="lines" w:linePitch="312" w:charSpace="0"/>
        </w:sectPr>
      </w:pPr>
    </w:p>
    <w:p>
      <w:pPr>
        <w:pStyle w:val="2"/>
        <w:rPr>
          <w:rFonts w:hint="eastAsia"/>
        </w:rPr>
      </w:pPr>
    </w:p>
    <w:p>
      <w:pPr>
        <w:spacing w:line="360" w:lineRule="auto"/>
        <w:jc w:val="center"/>
        <w:rPr>
          <w:rFonts w:ascii="宋体" w:hAnsi="宋体"/>
          <w:b/>
          <w:sz w:val="32"/>
          <w:szCs w:val="32"/>
        </w:rPr>
      </w:pPr>
      <w:r>
        <w:rPr>
          <w:rFonts w:hint="eastAsia" w:ascii="宋体" w:hAnsi="宋体"/>
          <w:b/>
          <w:sz w:val="32"/>
          <w:szCs w:val="32"/>
        </w:rPr>
        <w:t>反商业贿赂承诺书</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（采购人）</w:t>
      </w:r>
    </w:p>
    <w:p>
      <w:pPr>
        <w:spacing w:line="360" w:lineRule="auto"/>
        <w:ind w:firstLine="480" w:firstLineChars="200"/>
        <w:rPr>
          <w:rFonts w:ascii="宋体" w:hAnsi="宋体"/>
          <w:sz w:val="24"/>
          <w:szCs w:val="24"/>
        </w:rPr>
      </w:pPr>
      <w:r>
        <w:rPr>
          <w:rFonts w:hint="eastAsia" w:ascii="宋体" w:hAnsi="宋体"/>
          <w:sz w:val="24"/>
          <w:szCs w:val="24"/>
        </w:rPr>
        <w:t>为了进一步营造公平竞争的市场环境，维保市场秩序，我方在政府采购活动中郑重承诺：</w:t>
      </w:r>
    </w:p>
    <w:p>
      <w:pPr>
        <w:spacing w:line="360" w:lineRule="auto"/>
        <w:ind w:firstLine="480" w:firstLineChars="200"/>
        <w:rPr>
          <w:rFonts w:ascii="宋体" w:hAnsi="宋体"/>
          <w:sz w:val="24"/>
          <w:szCs w:val="24"/>
        </w:rPr>
      </w:pPr>
      <w:r>
        <w:rPr>
          <w:rFonts w:hint="eastAsia" w:ascii="宋体" w:hAnsi="宋体"/>
          <w:sz w:val="24"/>
          <w:szCs w:val="24"/>
        </w:rPr>
        <w:t>一、依法参与政府采购活动，遵纪守法，诚信经营，公平竞争。</w:t>
      </w:r>
    </w:p>
    <w:p>
      <w:pPr>
        <w:spacing w:line="360" w:lineRule="auto"/>
        <w:ind w:firstLine="480" w:firstLineChars="200"/>
        <w:rPr>
          <w:rFonts w:ascii="宋体" w:hAnsi="宋体"/>
          <w:sz w:val="24"/>
          <w:szCs w:val="24"/>
        </w:rPr>
      </w:pPr>
      <w:r>
        <w:rPr>
          <w:rFonts w:hint="eastAsia" w:ascii="宋体" w:hAnsi="宋体"/>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sz w:val="24"/>
          <w:szCs w:val="24"/>
        </w:rPr>
      </w:pPr>
      <w:r>
        <w:rPr>
          <w:rFonts w:hint="eastAsia" w:ascii="宋体" w:hAnsi="宋体"/>
          <w:sz w:val="24"/>
          <w:szCs w:val="24"/>
        </w:rPr>
        <w:t>三、坚决做到不提供虚假资质文件和虚假材料谋取中标。</w:t>
      </w:r>
    </w:p>
    <w:p>
      <w:pPr>
        <w:spacing w:line="360" w:lineRule="auto"/>
        <w:ind w:firstLine="480" w:firstLineChars="200"/>
        <w:rPr>
          <w:rFonts w:ascii="宋体" w:hAnsi="宋体"/>
          <w:sz w:val="24"/>
          <w:szCs w:val="24"/>
        </w:rPr>
      </w:pPr>
      <w:r>
        <w:rPr>
          <w:rFonts w:hint="eastAsia" w:ascii="宋体" w:hAnsi="宋体"/>
          <w:sz w:val="24"/>
          <w:szCs w:val="24"/>
        </w:rPr>
        <w:t>四、不采取不正当手段诋毁、排挤其他投标人，与其他投标人保持公平的竞争关系。</w:t>
      </w:r>
    </w:p>
    <w:p>
      <w:pPr>
        <w:spacing w:line="360" w:lineRule="auto"/>
        <w:ind w:firstLine="480" w:firstLineChars="200"/>
        <w:rPr>
          <w:rFonts w:ascii="宋体" w:hAnsi="宋体"/>
          <w:sz w:val="24"/>
          <w:szCs w:val="24"/>
        </w:rPr>
      </w:pPr>
      <w:r>
        <w:rPr>
          <w:rFonts w:hint="eastAsia" w:ascii="宋体" w:hAnsi="宋体"/>
          <w:sz w:val="24"/>
          <w:szCs w:val="24"/>
        </w:rPr>
        <w:t>五、不与采购单位、集中采购机构和政府采购评审专家串通，自觉维保政府采购公平竞争的市场秩序。</w:t>
      </w:r>
    </w:p>
    <w:p>
      <w:pPr>
        <w:spacing w:line="360" w:lineRule="auto"/>
        <w:ind w:firstLine="480" w:firstLineChars="200"/>
        <w:rPr>
          <w:rFonts w:ascii="宋体" w:hAnsi="宋体"/>
          <w:sz w:val="24"/>
          <w:szCs w:val="24"/>
        </w:rPr>
      </w:pPr>
      <w:r>
        <w:rPr>
          <w:rFonts w:hint="eastAsia" w:ascii="宋体" w:hAnsi="宋体"/>
          <w:sz w:val="24"/>
          <w:szCs w:val="24"/>
        </w:rPr>
        <w:t>六、不与其他投标人串通采取围标、陪标等商业欺诈手段谋取中标，积极维保国家利益、社会公共利益和采购单位的合法权益。</w:t>
      </w:r>
    </w:p>
    <w:p>
      <w:pPr>
        <w:spacing w:line="360" w:lineRule="auto"/>
        <w:ind w:firstLine="480" w:firstLineChars="200"/>
        <w:rPr>
          <w:rFonts w:ascii="宋体" w:hAnsi="宋体"/>
          <w:sz w:val="24"/>
          <w:szCs w:val="24"/>
        </w:rPr>
      </w:pPr>
      <w:r>
        <w:rPr>
          <w:rFonts w:hint="eastAsia" w:ascii="宋体" w:hAnsi="宋体"/>
          <w:sz w:val="24"/>
          <w:szCs w:val="24"/>
        </w:rPr>
        <w:t>七、严格履行政府采购合同约定的责任和义务，保质保量地完成采购合同规定的任务，准确兑现售后服务承诺。</w:t>
      </w:r>
    </w:p>
    <w:p>
      <w:pPr>
        <w:spacing w:line="360" w:lineRule="auto"/>
        <w:ind w:firstLine="480" w:firstLineChars="200"/>
        <w:rPr>
          <w:rFonts w:ascii="宋体" w:hAnsi="宋体"/>
          <w:sz w:val="24"/>
          <w:szCs w:val="24"/>
        </w:rPr>
      </w:pPr>
      <w:r>
        <w:rPr>
          <w:rFonts w:hint="eastAsia" w:ascii="宋体" w:hAnsi="宋体"/>
          <w:sz w:val="24"/>
          <w:szCs w:val="24"/>
        </w:rPr>
        <w:t>八、自觉接受并积极配合财政部门和纪检监察机关依法实施的监督检查，如实反映情况，及时提供有关证明材料。</w:t>
      </w:r>
    </w:p>
    <w:p>
      <w:pPr>
        <w:spacing w:line="360" w:lineRule="auto"/>
        <w:ind w:firstLine="3000" w:firstLineChars="1250"/>
        <w:rPr>
          <w:rFonts w:ascii="宋体" w:hAnsi="宋体"/>
          <w:sz w:val="24"/>
          <w:szCs w:val="24"/>
        </w:rPr>
      </w:pPr>
      <w:r>
        <w:rPr>
          <w:rFonts w:hint="eastAsia" w:ascii="宋体" w:hAnsi="宋体"/>
          <w:sz w:val="24"/>
          <w:szCs w:val="24"/>
        </w:rPr>
        <w:t xml:space="preserve">  投标单位全称：</w:t>
      </w:r>
    </w:p>
    <w:p>
      <w:pPr>
        <w:spacing w:line="360" w:lineRule="auto"/>
        <w:ind w:firstLine="4920" w:firstLineChars="2050"/>
        <w:rPr>
          <w:rFonts w:ascii="宋体" w:hAnsi="宋体"/>
          <w:sz w:val="24"/>
          <w:szCs w:val="24"/>
        </w:rPr>
      </w:pPr>
      <w:r>
        <w:rPr>
          <w:rFonts w:hint="eastAsia" w:ascii="宋体" w:hAnsi="宋体"/>
          <w:sz w:val="24"/>
          <w:szCs w:val="24"/>
        </w:rPr>
        <w:t>（加盖单位公章）</w:t>
      </w:r>
    </w:p>
    <w:p>
      <w:pPr>
        <w:spacing w:line="360" w:lineRule="auto"/>
        <w:ind w:firstLine="3240" w:firstLineChars="1350"/>
        <w:rPr>
          <w:rFonts w:ascii="宋体" w:hAnsi="宋体"/>
          <w:sz w:val="24"/>
          <w:szCs w:val="24"/>
        </w:rPr>
      </w:pPr>
      <w:r>
        <w:rPr>
          <w:rFonts w:hint="eastAsia" w:ascii="宋体" w:hAnsi="宋体"/>
          <w:sz w:val="24"/>
          <w:szCs w:val="24"/>
        </w:rPr>
        <w:t>签署日期：      年     月     日</w:t>
      </w: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14:textFill>
            <w14:solidFill>
              <w14:schemeClr w14:val="tx1"/>
            </w14:solidFill>
          </w14:textFill>
        </w:rPr>
      </w:pPr>
    </w:p>
    <w:p>
      <w:pPr>
        <w:jc w:val="both"/>
        <w:rPr>
          <w:rFonts w:hint="eastAsia" w:ascii="宋体" w:hAnsi="宋体" w:cs="宋体"/>
          <w:b/>
          <w:bCs/>
          <w:color w:val="000000" w:themeColor="text1"/>
          <w:sz w:val="36"/>
          <w:szCs w:val="36"/>
          <w:highlight w:val="none"/>
          <w14:textFill>
            <w14:solidFill>
              <w14:schemeClr w14:val="tx1"/>
            </w14:solidFill>
          </w14:textFill>
        </w:rPr>
      </w:pP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t>九、</w:t>
      </w:r>
      <w:r>
        <w:rPr>
          <w:rFonts w:hint="eastAsia" w:ascii="宋体" w:hAnsi="宋体" w:cs="宋体"/>
          <w:b/>
          <w:bCs/>
          <w:color w:val="000000" w:themeColor="text1"/>
          <w:sz w:val="36"/>
          <w:szCs w:val="36"/>
          <w:highlight w:val="none"/>
          <w14:textFill>
            <w14:solidFill>
              <w14:schemeClr w14:val="tx1"/>
            </w14:solidFill>
          </w14:textFill>
        </w:rPr>
        <w:t>技术标投标格式</w:t>
      </w:r>
      <w:bookmarkEnd w:id="760"/>
    </w:p>
    <w:p>
      <w:pPr>
        <w:jc w:val="center"/>
        <w:rPr>
          <w:rFonts w:ascii="黑体" w:eastAsia="黑体"/>
          <w:color w:val="000000" w:themeColor="text1"/>
          <w:sz w:val="32"/>
          <w:szCs w:val="32"/>
          <w:highlight w:val="none"/>
          <w14:textFill>
            <w14:solidFill>
              <w14:schemeClr w14:val="tx1"/>
            </w14:solidFill>
          </w14:textFill>
        </w:rPr>
      </w:pP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9-1</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施工方案与技术措施</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9-2</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质量保证措施和创优计划</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9-3</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施工总进度计划及保证措施</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9-4</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施工安全措施计划</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9-5</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文明施工措施计划</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9-6</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施工场地治安保卫管理计划</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9-7</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施工环保措施计划</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9-8</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施工现场总平面布置（附图）</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9-9</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项目组织管理机构</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9-10</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成品保护和工程保修工作的管理和承诺</w:t>
      </w:r>
    </w:p>
    <w:p>
      <w:pPr>
        <w:autoSpaceDE w:val="0"/>
        <w:autoSpaceDN w:val="0"/>
        <w:adjustRightIn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9-11</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任何可能的紧急情况的处理措施、预案以及抵抗风险的措施</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9-12</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对总包管理的认识以及对专业分包工程的配合、协调、管理、服务方案</w:t>
      </w:r>
    </w:p>
    <w:p>
      <w:pPr>
        <w:spacing w:line="360" w:lineRule="auto"/>
        <w:rPr>
          <w:rFonts w:ascii="宋体" w:hAnsi="宋体"/>
          <w:sz w:val="24"/>
          <w:szCs w:val="24"/>
        </w:rPr>
      </w:pPr>
    </w:p>
    <w:p>
      <w:pPr>
        <w:rPr>
          <w:rFonts w:ascii="宋体" w:hAnsi="宋体"/>
          <w:sz w:val="24"/>
          <w:szCs w:val="24"/>
        </w:rPr>
      </w:pPr>
    </w:p>
    <w:p>
      <w:pPr>
        <w:rPr>
          <w:rFonts w:ascii="宋体"/>
          <w:b/>
          <w:sz w:val="24"/>
          <w:szCs w:val="24"/>
        </w:rPr>
      </w:pPr>
    </w:p>
    <w:p>
      <w:pPr>
        <w:rPr>
          <w:rFonts w:ascii="宋体"/>
          <w:b/>
          <w:sz w:val="24"/>
          <w:szCs w:val="24"/>
        </w:rPr>
      </w:pPr>
    </w:p>
    <w:p>
      <w:pPr>
        <w:rPr>
          <w:rFonts w:ascii="宋体"/>
          <w:b/>
          <w:sz w:val="24"/>
          <w:szCs w:val="24"/>
        </w:rPr>
      </w:pPr>
    </w:p>
    <w:p>
      <w:pPr>
        <w:widowControl/>
        <w:jc w:val="left"/>
        <w:rPr>
          <w:rFonts w:ascii="宋体" w:hAnsi="宋体"/>
          <w:kern w:val="0"/>
          <w:sz w:val="24"/>
          <w:szCs w:val="24"/>
        </w:rPr>
      </w:pPr>
    </w:p>
    <w:sectPr>
      <w:pgSz w:w="11906" w:h="16838"/>
      <w:pgMar w:top="1440" w:right="1587"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B2B525-2837-403F-8A92-2C05154978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ó×.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embedRegular r:id="rId2" w:fontKey="{7C29BA9F-D5EB-437B-9C9B-6D508000C081}"/>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0EDD23B0-BF3E-40F6-82BE-56D213AAAB09}"/>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4" w:fontKey="{2F6F2824-A624-41C3-9B04-82BC67EA819C}"/>
  </w:font>
  <w:font w:name="MingLiU_HKSCS">
    <w:altName w:val="PMingLiU-ExtB"/>
    <w:panose1 w:val="02020500000000000000"/>
    <w:charset w:val="88"/>
    <w:family w:val="roman"/>
    <w:pitch w:val="default"/>
    <w:sig w:usb0="00000000" w:usb1="00000000" w:usb2="00000016" w:usb3="00000000" w:csb0="00100001" w:csb1="00000000"/>
    <w:embedRegular r:id="rId5" w:fontKey="{DF552037-1158-40D2-928F-FA53796F2C97}"/>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embedRegular r:id="rId6" w:fontKey="{D188BAE3-D2AA-410F-B0C3-A022436810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s>
      <w:ind w:left="180" w:hanging="180" w:hangingChars="100"/>
      <w:jc w:val="right"/>
      <w:rPr>
        <w:rFonts w:hint="eastAsia" w:eastAsia="楷体_GB2312"/>
      </w:rPr>
    </w:pPr>
    <w:r>
      <w:rPr>
        <w:rFonts w:hint="eastAsia" w:eastAsia="楷体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Bdr>
        <w:bottom w:val="single" w:color="auto" w:sz="4" w:space="1"/>
      </w:pBdr>
      <w:ind w:firstLine="5580" w:firstLineChars="31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left" w:pos="2460"/>
        <w:tab w:val="left" w:pos="4587"/>
      </w:tabs>
      <w:ind w:left="5949" w:leftChars="2805" w:hanging="59" w:hangingChars="33"/>
      <w:rPr>
        <w:szCs w:val="18"/>
      </w:rPr>
    </w:pP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p>
  <w:p>
    <w:pPr>
      <w:pStyle w:val="17"/>
      <w:pBdr>
        <w:bottom w:val="single" w:color="auto" w:sz="4" w:space="0"/>
      </w:pBdr>
      <w:tabs>
        <w:tab w:val="left" w:pos="4587"/>
      </w:tabs>
      <w:ind w:firstLine="5200" w:firstLineChars="2600"/>
      <w:rPr>
        <w:i/>
        <w:iCs/>
        <w:sz w:val="2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0F65B"/>
    <w:multiLevelType w:val="singleLevel"/>
    <w:tmpl w:val="9F70F65B"/>
    <w:lvl w:ilvl="0" w:tentative="0">
      <w:start w:val="1"/>
      <w:numFmt w:val="decimal"/>
      <w:lvlText w:val="(%1)"/>
      <w:lvlJc w:val="left"/>
      <w:pPr>
        <w:tabs>
          <w:tab w:val="left" w:pos="312"/>
        </w:tabs>
      </w:pPr>
    </w:lvl>
  </w:abstractNum>
  <w:abstractNum w:abstractNumId="1">
    <w:nsid w:val="F62DD21A"/>
    <w:multiLevelType w:val="singleLevel"/>
    <w:tmpl w:val="F62DD21A"/>
    <w:lvl w:ilvl="0" w:tentative="0">
      <w:start w:val="1"/>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3"/>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7A0230F"/>
    <w:multiLevelType w:val="multilevel"/>
    <w:tmpl w:val="07A0230F"/>
    <w:lvl w:ilvl="0" w:tentative="0">
      <w:start w:val="1"/>
      <w:numFmt w:val="japaneseCounting"/>
      <w:lvlText w:val="%1、"/>
      <w:lvlJc w:val="left"/>
      <w:pPr>
        <w:tabs>
          <w:tab w:val="left" w:pos="720"/>
        </w:tabs>
        <w:ind w:left="720" w:hanging="720"/>
      </w:pPr>
      <w:rPr>
        <w:rFonts w:hint="default"/>
        <w:b/>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3C604A"/>
    <w:multiLevelType w:val="singleLevel"/>
    <w:tmpl w:val="183C604A"/>
    <w:lvl w:ilvl="0" w:tentative="0">
      <w:start w:val="1"/>
      <w:numFmt w:val="japaneseCounting"/>
      <w:pStyle w:val="47"/>
      <w:lvlText w:val="%1、"/>
      <w:lvlJc w:val="left"/>
      <w:pPr>
        <w:tabs>
          <w:tab w:val="left" w:pos="960"/>
        </w:tabs>
        <w:ind w:left="960" w:hanging="480"/>
      </w:pPr>
      <w:rPr>
        <w:rFonts w:hint="eastAsia"/>
        <w:b/>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NjM5ZDdmMDA5Mjk2NDNlY2M3MDg2NGE2NzNhZDgifQ=="/>
  </w:docVars>
  <w:rsids>
    <w:rsidRoot w:val="008E18C1"/>
    <w:rsid w:val="00000EFF"/>
    <w:rsid w:val="000013B4"/>
    <w:rsid w:val="000020AF"/>
    <w:rsid w:val="0000213E"/>
    <w:rsid w:val="000028B9"/>
    <w:rsid w:val="00002B3E"/>
    <w:rsid w:val="00002D60"/>
    <w:rsid w:val="000053B6"/>
    <w:rsid w:val="000053DB"/>
    <w:rsid w:val="000065C4"/>
    <w:rsid w:val="00006BC2"/>
    <w:rsid w:val="000104FD"/>
    <w:rsid w:val="00012AC0"/>
    <w:rsid w:val="00013027"/>
    <w:rsid w:val="000130FB"/>
    <w:rsid w:val="0001346E"/>
    <w:rsid w:val="00013A7D"/>
    <w:rsid w:val="00014FF0"/>
    <w:rsid w:val="0001538B"/>
    <w:rsid w:val="00016D78"/>
    <w:rsid w:val="0001717F"/>
    <w:rsid w:val="000173C6"/>
    <w:rsid w:val="00017CD5"/>
    <w:rsid w:val="00020C8E"/>
    <w:rsid w:val="000215D8"/>
    <w:rsid w:val="00021764"/>
    <w:rsid w:val="0002254A"/>
    <w:rsid w:val="00023B0B"/>
    <w:rsid w:val="00023DFB"/>
    <w:rsid w:val="00023EE2"/>
    <w:rsid w:val="00024809"/>
    <w:rsid w:val="00025F34"/>
    <w:rsid w:val="00026553"/>
    <w:rsid w:val="000276E1"/>
    <w:rsid w:val="00030983"/>
    <w:rsid w:val="00030E10"/>
    <w:rsid w:val="000324D8"/>
    <w:rsid w:val="00033D1C"/>
    <w:rsid w:val="00034E27"/>
    <w:rsid w:val="00035EBF"/>
    <w:rsid w:val="000366DC"/>
    <w:rsid w:val="000374AA"/>
    <w:rsid w:val="00037B31"/>
    <w:rsid w:val="000400E1"/>
    <w:rsid w:val="0004015A"/>
    <w:rsid w:val="00040163"/>
    <w:rsid w:val="0004020A"/>
    <w:rsid w:val="00040A67"/>
    <w:rsid w:val="00042616"/>
    <w:rsid w:val="000427D6"/>
    <w:rsid w:val="0004286E"/>
    <w:rsid w:val="000429A1"/>
    <w:rsid w:val="00043399"/>
    <w:rsid w:val="00043508"/>
    <w:rsid w:val="00043776"/>
    <w:rsid w:val="00043DC3"/>
    <w:rsid w:val="00044357"/>
    <w:rsid w:val="00044C21"/>
    <w:rsid w:val="0004587A"/>
    <w:rsid w:val="00046801"/>
    <w:rsid w:val="00050E49"/>
    <w:rsid w:val="00051DD7"/>
    <w:rsid w:val="00052231"/>
    <w:rsid w:val="000528C7"/>
    <w:rsid w:val="00053415"/>
    <w:rsid w:val="000535CA"/>
    <w:rsid w:val="00053C09"/>
    <w:rsid w:val="000540E0"/>
    <w:rsid w:val="0005411F"/>
    <w:rsid w:val="00054412"/>
    <w:rsid w:val="0005522C"/>
    <w:rsid w:val="000559D3"/>
    <w:rsid w:val="000560AF"/>
    <w:rsid w:val="00056BD8"/>
    <w:rsid w:val="00056E22"/>
    <w:rsid w:val="000622D7"/>
    <w:rsid w:val="0006270F"/>
    <w:rsid w:val="000635F4"/>
    <w:rsid w:val="00063C34"/>
    <w:rsid w:val="00064104"/>
    <w:rsid w:val="000648E0"/>
    <w:rsid w:val="00064CAD"/>
    <w:rsid w:val="00065D99"/>
    <w:rsid w:val="000666AA"/>
    <w:rsid w:val="0006671A"/>
    <w:rsid w:val="00066CC7"/>
    <w:rsid w:val="00067678"/>
    <w:rsid w:val="00073458"/>
    <w:rsid w:val="00073733"/>
    <w:rsid w:val="00073AE4"/>
    <w:rsid w:val="000747F4"/>
    <w:rsid w:val="00074A91"/>
    <w:rsid w:val="000755A7"/>
    <w:rsid w:val="00076EB5"/>
    <w:rsid w:val="00077025"/>
    <w:rsid w:val="00077470"/>
    <w:rsid w:val="0007781D"/>
    <w:rsid w:val="00077A79"/>
    <w:rsid w:val="00080548"/>
    <w:rsid w:val="00080BF5"/>
    <w:rsid w:val="00080EE4"/>
    <w:rsid w:val="00082D07"/>
    <w:rsid w:val="0008312B"/>
    <w:rsid w:val="00083D25"/>
    <w:rsid w:val="0008511B"/>
    <w:rsid w:val="00085D56"/>
    <w:rsid w:val="00086FD7"/>
    <w:rsid w:val="00087416"/>
    <w:rsid w:val="00090E20"/>
    <w:rsid w:val="00090EFB"/>
    <w:rsid w:val="00093BB4"/>
    <w:rsid w:val="00094183"/>
    <w:rsid w:val="0009440F"/>
    <w:rsid w:val="00094D10"/>
    <w:rsid w:val="00095879"/>
    <w:rsid w:val="00095CEE"/>
    <w:rsid w:val="0009690D"/>
    <w:rsid w:val="00096CE5"/>
    <w:rsid w:val="00096DE9"/>
    <w:rsid w:val="0009777A"/>
    <w:rsid w:val="000A25F6"/>
    <w:rsid w:val="000A27C6"/>
    <w:rsid w:val="000A280C"/>
    <w:rsid w:val="000A28ED"/>
    <w:rsid w:val="000A314A"/>
    <w:rsid w:val="000A39C0"/>
    <w:rsid w:val="000A3B7C"/>
    <w:rsid w:val="000A63C3"/>
    <w:rsid w:val="000A7BAC"/>
    <w:rsid w:val="000B05AA"/>
    <w:rsid w:val="000B245E"/>
    <w:rsid w:val="000B2DC4"/>
    <w:rsid w:val="000B4F1A"/>
    <w:rsid w:val="000B5E21"/>
    <w:rsid w:val="000B6A57"/>
    <w:rsid w:val="000B719B"/>
    <w:rsid w:val="000B74E0"/>
    <w:rsid w:val="000C324D"/>
    <w:rsid w:val="000C46D7"/>
    <w:rsid w:val="000C5A54"/>
    <w:rsid w:val="000C69C2"/>
    <w:rsid w:val="000C74DB"/>
    <w:rsid w:val="000C750A"/>
    <w:rsid w:val="000D027D"/>
    <w:rsid w:val="000D21E6"/>
    <w:rsid w:val="000D2880"/>
    <w:rsid w:val="000D45F3"/>
    <w:rsid w:val="000D4DD6"/>
    <w:rsid w:val="000D6290"/>
    <w:rsid w:val="000D64CB"/>
    <w:rsid w:val="000D7130"/>
    <w:rsid w:val="000D784C"/>
    <w:rsid w:val="000D79A1"/>
    <w:rsid w:val="000E0083"/>
    <w:rsid w:val="000E0893"/>
    <w:rsid w:val="000E0B79"/>
    <w:rsid w:val="000E33D7"/>
    <w:rsid w:val="000E365C"/>
    <w:rsid w:val="000E6956"/>
    <w:rsid w:val="000E77F2"/>
    <w:rsid w:val="000F2CC7"/>
    <w:rsid w:val="000F3FBF"/>
    <w:rsid w:val="000F4A82"/>
    <w:rsid w:val="00100B2E"/>
    <w:rsid w:val="0010116A"/>
    <w:rsid w:val="001025E1"/>
    <w:rsid w:val="00105877"/>
    <w:rsid w:val="00107D89"/>
    <w:rsid w:val="00110121"/>
    <w:rsid w:val="00110D51"/>
    <w:rsid w:val="0011193B"/>
    <w:rsid w:val="00111A8D"/>
    <w:rsid w:val="00112987"/>
    <w:rsid w:val="00113921"/>
    <w:rsid w:val="00115F18"/>
    <w:rsid w:val="00116456"/>
    <w:rsid w:val="001171A3"/>
    <w:rsid w:val="00120242"/>
    <w:rsid w:val="00120A43"/>
    <w:rsid w:val="001213DA"/>
    <w:rsid w:val="001220DF"/>
    <w:rsid w:val="0012229D"/>
    <w:rsid w:val="0012338C"/>
    <w:rsid w:val="00123F73"/>
    <w:rsid w:val="00124000"/>
    <w:rsid w:val="00124E48"/>
    <w:rsid w:val="001251EC"/>
    <w:rsid w:val="001252A8"/>
    <w:rsid w:val="001264F2"/>
    <w:rsid w:val="00127586"/>
    <w:rsid w:val="00127C1E"/>
    <w:rsid w:val="0013017C"/>
    <w:rsid w:val="00131CE9"/>
    <w:rsid w:val="00132BA3"/>
    <w:rsid w:val="001335A5"/>
    <w:rsid w:val="00133E58"/>
    <w:rsid w:val="0013599A"/>
    <w:rsid w:val="00135E9E"/>
    <w:rsid w:val="001363EA"/>
    <w:rsid w:val="00136DE7"/>
    <w:rsid w:val="00137579"/>
    <w:rsid w:val="00137673"/>
    <w:rsid w:val="00137C3C"/>
    <w:rsid w:val="00137EA9"/>
    <w:rsid w:val="001407A4"/>
    <w:rsid w:val="001448A2"/>
    <w:rsid w:val="00144960"/>
    <w:rsid w:val="001453A0"/>
    <w:rsid w:val="00145D96"/>
    <w:rsid w:val="001463A7"/>
    <w:rsid w:val="00150365"/>
    <w:rsid w:val="00150E19"/>
    <w:rsid w:val="00151B96"/>
    <w:rsid w:val="001525B0"/>
    <w:rsid w:val="00153675"/>
    <w:rsid w:val="001537F3"/>
    <w:rsid w:val="00153952"/>
    <w:rsid w:val="001542E4"/>
    <w:rsid w:val="001544E2"/>
    <w:rsid w:val="0015530A"/>
    <w:rsid w:val="00156190"/>
    <w:rsid w:val="0015642D"/>
    <w:rsid w:val="001574CB"/>
    <w:rsid w:val="00157D04"/>
    <w:rsid w:val="00160DD0"/>
    <w:rsid w:val="00161A20"/>
    <w:rsid w:val="00162B9D"/>
    <w:rsid w:val="00164282"/>
    <w:rsid w:val="00164EDC"/>
    <w:rsid w:val="001650C2"/>
    <w:rsid w:val="00165132"/>
    <w:rsid w:val="00165638"/>
    <w:rsid w:val="001668A6"/>
    <w:rsid w:val="00170987"/>
    <w:rsid w:val="00170B9A"/>
    <w:rsid w:val="001714DC"/>
    <w:rsid w:val="00172277"/>
    <w:rsid w:val="001724BD"/>
    <w:rsid w:val="001736E0"/>
    <w:rsid w:val="00174C42"/>
    <w:rsid w:val="00174E2B"/>
    <w:rsid w:val="00175369"/>
    <w:rsid w:val="00175BDB"/>
    <w:rsid w:val="001803D5"/>
    <w:rsid w:val="00181243"/>
    <w:rsid w:val="00183BD2"/>
    <w:rsid w:val="001846D8"/>
    <w:rsid w:val="00184B13"/>
    <w:rsid w:val="00185728"/>
    <w:rsid w:val="00185BF2"/>
    <w:rsid w:val="0018622F"/>
    <w:rsid w:val="00186CFA"/>
    <w:rsid w:val="00186EEB"/>
    <w:rsid w:val="00190F17"/>
    <w:rsid w:val="00191835"/>
    <w:rsid w:val="00191FB7"/>
    <w:rsid w:val="001925E1"/>
    <w:rsid w:val="00192F12"/>
    <w:rsid w:val="00193953"/>
    <w:rsid w:val="00193F94"/>
    <w:rsid w:val="001956B9"/>
    <w:rsid w:val="0019683A"/>
    <w:rsid w:val="00197650"/>
    <w:rsid w:val="001A0077"/>
    <w:rsid w:val="001A0876"/>
    <w:rsid w:val="001A234F"/>
    <w:rsid w:val="001A32F2"/>
    <w:rsid w:val="001A42CB"/>
    <w:rsid w:val="001A4A9E"/>
    <w:rsid w:val="001A6051"/>
    <w:rsid w:val="001A61F4"/>
    <w:rsid w:val="001A73DB"/>
    <w:rsid w:val="001B0312"/>
    <w:rsid w:val="001B04E8"/>
    <w:rsid w:val="001B0D2E"/>
    <w:rsid w:val="001B1530"/>
    <w:rsid w:val="001B3766"/>
    <w:rsid w:val="001B3ABB"/>
    <w:rsid w:val="001B4FBA"/>
    <w:rsid w:val="001B5051"/>
    <w:rsid w:val="001B6313"/>
    <w:rsid w:val="001B6B5A"/>
    <w:rsid w:val="001B6F4A"/>
    <w:rsid w:val="001B708E"/>
    <w:rsid w:val="001B716A"/>
    <w:rsid w:val="001B7624"/>
    <w:rsid w:val="001C0731"/>
    <w:rsid w:val="001C1921"/>
    <w:rsid w:val="001C1D7E"/>
    <w:rsid w:val="001C2070"/>
    <w:rsid w:val="001C36B6"/>
    <w:rsid w:val="001C3A29"/>
    <w:rsid w:val="001C6EC7"/>
    <w:rsid w:val="001C7610"/>
    <w:rsid w:val="001D017C"/>
    <w:rsid w:val="001D0F9E"/>
    <w:rsid w:val="001D130C"/>
    <w:rsid w:val="001D2159"/>
    <w:rsid w:val="001D2CBE"/>
    <w:rsid w:val="001D2D60"/>
    <w:rsid w:val="001D495A"/>
    <w:rsid w:val="001D5ACD"/>
    <w:rsid w:val="001D7BC4"/>
    <w:rsid w:val="001E0861"/>
    <w:rsid w:val="001E1ED7"/>
    <w:rsid w:val="001E2262"/>
    <w:rsid w:val="001E2334"/>
    <w:rsid w:val="001E2762"/>
    <w:rsid w:val="001E2B70"/>
    <w:rsid w:val="001E3251"/>
    <w:rsid w:val="001E3806"/>
    <w:rsid w:val="001E4E51"/>
    <w:rsid w:val="001E5210"/>
    <w:rsid w:val="001E62CD"/>
    <w:rsid w:val="001E75CB"/>
    <w:rsid w:val="001E7E4F"/>
    <w:rsid w:val="001F008B"/>
    <w:rsid w:val="001F0290"/>
    <w:rsid w:val="001F0D86"/>
    <w:rsid w:val="001F1325"/>
    <w:rsid w:val="001F1D78"/>
    <w:rsid w:val="001F2FE3"/>
    <w:rsid w:val="001F3335"/>
    <w:rsid w:val="001F3A3C"/>
    <w:rsid w:val="001F3FAF"/>
    <w:rsid w:val="001F4297"/>
    <w:rsid w:val="001F49D2"/>
    <w:rsid w:val="001F4EE2"/>
    <w:rsid w:val="001F7FB3"/>
    <w:rsid w:val="00201894"/>
    <w:rsid w:val="002021B3"/>
    <w:rsid w:val="00203362"/>
    <w:rsid w:val="00203D09"/>
    <w:rsid w:val="00204854"/>
    <w:rsid w:val="00204E05"/>
    <w:rsid w:val="002051BC"/>
    <w:rsid w:val="002056E5"/>
    <w:rsid w:val="002061BA"/>
    <w:rsid w:val="002069A5"/>
    <w:rsid w:val="00206EC0"/>
    <w:rsid w:val="00206F96"/>
    <w:rsid w:val="002110E1"/>
    <w:rsid w:val="00211D98"/>
    <w:rsid w:val="00213104"/>
    <w:rsid w:val="00213183"/>
    <w:rsid w:val="002139B1"/>
    <w:rsid w:val="0021497C"/>
    <w:rsid w:val="00216F17"/>
    <w:rsid w:val="002208E2"/>
    <w:rsid w:val="002220E2"/>
    <w:rsid w:val="002247E0"/>
    <w:rsid w:val="00225739"/>
    <w:rsid w:val="00226840"/>
    <w:rsid w:val="0023011B"/>
    <w:rsid w:val="002304A5"/>
    <w:rsid w:val="0023153C"/>
    <w:rsid w:val="0023191F"/>
    <w:rsid w:val="00231E7A"/>
    <w:rsid w:val="00231E98"/>
    <w:rsid w:val="00232F4A"/>
    <w:rsid w:val="00233DE1"/>
    <w:rsid w:val="00234B00"/>
    <w:rsid w:val="00234E2C"/>
    <w:rsid w:val="002431A4"/>
    <w:rsid w:val="00243421"/>
    <w:rsid w:val="00244119"/>
    <w:rsid w:val="002441E4"/>
    <w:rsid w:val="00244359"/>
    <w:rsid w:val="00244754"/>
    <w:rsid w:val="002450FA"/>
    <w:rsid w:val="002453E2"/>
    <w:rsid w:val="00245D0B"/>
    <w:rsid w:val="00246259"/>
    <w:rsid w:val="002462F4"/>
    <w:rsid w:val="0024672D"/>
    <w:rsid w:val="002501F6"/>
    <w:rsid w:val="00250C24"/>
    <w:rsid w:val="00250CA6"/>
    <w:rsid w:val="0025130F"/>
    <w:rsid w:val="002515E7"/>
    <w:rsid w:val="00254412"/>
    <w:rsid w:val="002549B6"/>
    <w:rsid w:val="002560AA"/>
    <w:rsid w:val="002570E1"/>
    <w:rsid w:val="00257F3B"/>
    <w:rsid w:val="00260907"/>
    <w:rsid w:val="00260F48"/>
    <w:rsid w:val="00261348"/>
    <w:rsid w:val="00261D75"/>
    <w:rsid w:val="00261E0D"/>
    <w:rsid w:val="00261FE2"/>
    <w:rsid w:val="0026264D"/>
    <w:rsid w:val="00262761"/>
    <w:rsid w:val="0026340C"/>
    <w:rsid w:val="002639B3"/>
    <w:rsid w:val="00264814"/>
    <w:rsid w:val="00264D2F"/>
    <w:rsid w:val="00266026"/>
    <w:rsid w:val="00266451"/>
    <w:rsid w:val="00272E44"/>
    <w:rsid w:val="00272E58"/>
    <w:rsid w:val="002737F0"/>
    <w:rsid w:val="00273E19"/>
    <w:rsid w:val="002753AC"/>
    <w:rsid w:val="002771A0"/>
    <w:rsid w:val="002800C5"/>
    <w:rsid w:val="00282BE6"/>
    <w:rsid w:val="00283ECA"/>
    <w:rsid w:val="002841CD"/>
    <w:rsid w:val="002852F5"/>
    <w:rsid w:val="00290B13"/>
    <w:rsid w:val="00291664"/>
    <w:rsid w:val="002917C8"/>
    <w:rsid w:val="002922FC"/>
    <w:rsid w:val="00292F4B"/>
    <w:rsid w:val="00293C69"/>
    <w:rsid w:val="00294E69"/>
    <w:rsid w:val="00295053"/>
    <w:rsid w:val="002950B9"/>
    <w:rsid w:val="00295267"/>
    <w:rsid w:val="00295829"/>
    <w:rsid w:val="00295A52"/>
    <w:rsid w:val="00295C11"/>
    <w:rsid w:val="002970F6"/>
    <w:rsid w:val="00297512"/>
    <w:rsid w:val="002A1F1B"/>
    <w:rsid w:val="002A307D"/>
    <w:rsid w:val="002A32EF"/>
    <w:rsid w:val="002A3505"/>
    <w:rsid w:val="002A356F"/>
    <w:rsid w:val="002A402D"/>
    <w:rsid w:val="002A6FC1"/>
    <w:rsid w:val="002B2296"/>
    <w:rsid w:val="002B3DDA"/>
    <w:rsid w:val="002B6980"/>
    <w:rsid w:val="002C066D"/>
    <w:rsid w:val="002C3402"/>
    <w:rsid w:val="002C3528"/>
    <w:rsid w:val="002C48EF"/>
    <w:rsid w:val="002C4E42"/>
    <w:rsid w:val="002C6B9A"/>
    <w:rsid w:val="002C7EDB"/>
    <w:rsid w:val="002D0089"/>
    <w:rsid w:val="002D05A3"/>
    <w:rsid w:val="002D061B"/>
    <w:rsid w:val="002D0B89"/>
    <w:rsid w:val="002D4C3A"/>
    <w:rsid w:val="002D4CCB"/>
    <w:rsid w:val="002D4F1B"/>
    <w:rsid w:val="002D63D9"/>
    <w:rsid w:val="002D67A8"/>
    <w:rsid w:val="002E1136"/>
    <w:rsid w:val="002E126C"/>
    <w:rsid w:val="002E31C3"/>
    <w:rsid w:val="002E400A"/>
    <w:rsid w:val="002E5B3E"/>
    <w:rsid w:val="002E66BF"/>
    <w:rsid w:val="002E7A30"/>
    <w:rsid w:val="002F0105"/>
    <w:rsid w:val="002F299F"/>
    <w:rsid w:val="002F2ECD"/>
    <w:rsid w:val="002F2F6B"/>
    <w:rsid w:val="002F4996"/>
    <w:rsid w:val="002F7BAE"/>
    <w:rsid w:val="0030227D"/>
    <w:rsid w:val="00303B35"/>
    <w:rsid w:val="00304601"/>
    <w:rsid w:val="003050F1"/>
    <w:rsid w:val="0030520B"/>
    <w:rsid w:val="0030560D"/>
    <w:rsid w:val="00305FBE"/>
    <w:rsid w:val="0030651F"/>
    <w:rsid w:val="003068D5"/>
    <w:rsid w:val="00307A96"/>
    <w:rsid w:val="00307E20"/>
    <w:rsid w:val="003102CD"/>
    <w:rsid w:val="0031149A"/>
    <w:rsid w:val="003117A3"/>
    <w:rsid w:val="0031229E"/>
    <w:rsid w:val="00312656"/>
    <w:rsid w:val="00314BE1"/>
    <w:rsid w:val="0031534E"/>
    <w:rsid w:val="003157DC"/>
    <w:rsid w:val="003167B2"/>
    <w:rsid w:val="00316DF9"/>
    <w:rsid w:val="003170FC"/>
    <w:rsid w:val="0031790E"/>
    <w:rsid w:val="00317E75"/>
    <w:rsid w:val="00320821"/>
    <w:rsid w:val="00320BA0"/>
    <w:rsid w:val="00321131"/>
    <w:rsid w:val="0032570A"/>
    <w:rsid w:val="00325DBF"/>
    <w:rsid w:val="003266F4"/>
    <w:rsid w:val="00326B0C"/>
    <w:rsid w:val="00326B7B"/>
    <w:rsid w:val="0033135E"/>
    <w:rsid w:val="003323B8"/>
    <w:rsid w:val="00333A9C"/>
    <w:rsid w:val="00333AB9"/>
    <w:rsid w:val="00334C40"/>
    <w:rsid w:val="00334D33"/>
    <w:rsid w:val="00335AA0"/>
    <w:rsid w:val="00337B7C"/>
    <w:rsid w:val="003413A3"/>
    <w:rsid w:val="00343C18"/>
    <w:rsid w:val="00344D9D"/>
    <w:rsid w:val="0034573C"/>
    <w:rsid w:val="00345C4F"/>
    <w:rsid w:val="0034693F"/>
    <w:rsid w:val="00346A7F"/>
    <w:rsid w:val="003500FB"/>
    <w:rsid w:val="003523EC"/>
    <w:rsid w:val="003524EE"/>
    <w:rsid w:val="00353BF9"/>
    <w:rsid w:val="00354EF3"/>
    <w:rsid w:val="003551C5"/>
    <w:rsid w:val="00355BD6"/>
    <w:rsid w:val="00355C3F"/>
    <w:rsid w:val="003560A4"/>
    <w:rsid w:val="00356ED2"/>
    <w:rsid w:val="0035703B"/>
    <w:rsid w:val="00360737"/>
    <w:rsid w:val="0036099B"/>
    <w:rsid w:val="00360A8F"/>
    <w:rsid w:val="00361DB9"/>
    <w:rsid w:val="0036255E"/>
    <w:rsid w:val="0036316C"/>
    <w:rsid w:val="003661E3"/>
    <w:rsid w:val="00371059"/>
    <w:rsid w:val="0037107B"/>
    <w:rsid w:val="0037186D"/>
    <w:rsid w:val="00371B5D"/>
    <w:rsid w:val="0037291E"/>
    <w:rsid w:val="00373DB0"/>
    <w:rsid w:val="00374867"/>
    <w:rsid w:val="0037486B"/>
    <w:rsid w:val="00375623"/>
    <w:rsid w:val="003758E2"/>
    <w:rsid w:val="00375E01"/>
    <w:rsid w:val="00376A28"/>
    <w:rsid w:val="00377225"/>
    <w:rsid w:val="00377BA6"/>
    <w:rsid w:val="00377D71"/>
    <w:rsid w:val="0038012A"/>
    <w:rsid w:val="003815C4"/>
    <w:rsid w:val="003816E1"/>
    <w:rsid w:val="00381D09"/>
    <w:rsid w:val="0038227D"/>
    <w:rsid w:val="003828F5"/>
    <w:rsid w:val="00382E0B"/>
    <w:rsid w:val="0038377D"/>
    <w:rsid w:val="00384008"/>
    <w:rsid w:val="003854CB"/>
    <w:rsid w:val="00385853"/>
    <w:rsid w:val="00386A36"/>
    <w:rsid w:val="00387389"/>
    <w:rsid w:val="00387CED"/>
    <w:rsid w:val="00390713"/>
    <w:rsid w:val="00390AF4"/>
    <w:rsid w:val="0039360E"/>
    <w:rsid w:val="003946C8"/>
    <w:rsid w:val="00394CFE"/>
    <w:rsid w:val="0039689A"/>
    <w:rsid w:val="00397FF3"/>
    <w:rsid w:val="003A04D6"/>
    <w:rsid w:val="003A2552"/>
    <w:rsid w:val="003A2658"/>
    <w:rsid w:val="003A524F"/>
    <w:rsid w:val="003A6A2A"/>
    <w:rsid w:val="003A7158"/>
    <w:rsid w:val="003A78A1"/>
    <w:rsid w:val="003A7B86"/>
    <w:rsid w:val="003B09E0"/>
    <w:rsid w:val="003B1316"/>
    <w:rsid w:val="003B18BC"/>
    <w:rsid w:val="003B300F"/>
    <w:rsid w:val="003B3FB1"/>
    <w:rsid w:val="003B5774"/>
    <w:rsid w:val="003B5D98"/>
    <w:rsid w:val="003B612A"/>
    <w:rsid w:val="003B708F"/>
    <w:rsid w:val="003B76BC"/>
    <w:rsid w:val="003B7E31"/>
    <w:rsid w:val="003C0D59"/>
    <w:rsid w:val="003C1563"/>
    <w:rsid w:val="003C1C39"/>
    <w:rsid w:val="003C2E2F"/>
    <w:rsid w:val="003C4FB1"/>
    <w:rsid w:val="003C5453"/>
    <w:rsid w:val="003C66DE"/>
    <w:rsid w:val="003C67BC"/>
    <w:rsid w:val="003C7193"/>
    <w:rsid w:val="003C743D"/>
    <w:rsid w:val="003D2073"/>
    <w:rsid w:val="003D3A98"/>
    <w:rsid w:val="003D4073"/>
    <w:rsid w:val="003D408C"/>
    <w:rsid w:val="003D4612"/>
    <w:rsid w:val="003D5235"/>
    <w:rsid w:val="003D5D36"/>
    <w:rsid w:val="003D5DD0"/>
    <w:rsid w:val="003D6CB4"/>
    <w:rsid w:val="003D7DE3"/>
    <w:rsid w:val="003E07E4"/>
    <w:rsid w:val="003E112A"/>
    <w:rsid w:val="003E1469"/>
    <w:rsid w:val="003E237E"/>
    <w:rsid w:val="003E24B1"/>
    <w:rsid w:val="003E296B"/>
    <w:rsid w:val="003E2E4B"/>
    <w:rsid w:val="003E4995"/>
    <w:rsid w:val="003E4DD1"/>
    <w:rsid w:val="003E5BA5"/>
    <w:rsid w:val="003E6EEE"/>
    <w:rsid w:val="003E777E"/>
    <w:rsid w:val="003F1662"/>
    <w:rsid w:val="003F2835"/>
    <w:rsid w:val="003F3B2D"/>
    <w:rsid w:val="003F3BF4"/>
    <w:rsid w:val="003F3FB1"/>
    <w:rsid w:val="003F41E5"/>
    <w:rsid w:val="003F4389"/>
    <w:rsid w:val="003F4509"/>
    <w:rsid w:val="003F4CEC"/>
    <w:rsid w:val="003F52D5"/>
    <w:rsid w:val="003F54FF"/>
    <w:rsid w:val="003F6723"/>
    <w:rsid w:val="003F7B44"/>
    <w:rsid w:val="00400D7C"/>
    <w:rsid w:val="00403D19"/>
    <w:rsid w:val="004047E9"/>
    <w:rsid w:val="00404C55"/>
    <w:rsid w:val="004057D2"/>
    <w:rsid w:val="00407F9A"/>
    <w:rsid w:val="004120C9"/>
    <w:rsid w:val="004124ED"/>
    <w:rsid w:val="004135C0"/>
    <w:rsid w:val="00414837"/>
    <w:rsid w:val="004151EB"/>
    <w:rsid w:val="00415846"/>
    <w:rsid w:val="00415884"/>
    <w:rsid w:val="00415CB2"/>
    <w:rsid w:val="00415CBA"/>
    <w:rsid w:val="004167B9"/>
    <w:rsid w:val="00416E4A"/>
    <w:rsid w:val="004175AE"/>
    <w:rsid w:val="00417C27"/>
    <w:rsid w:val="0042121B"/>
    <w:rsid w:val="004214BB"/>
    <w:rsid w:val="00423192"/>
    <w:rsid w:val="00424D04"/>
    <w:rsid w:val="00425A8E"/>
    <w:rsid w:val="00425E33"/>
    <w:rsid w:val="00427003"/>
    <w:rsid w:val="004308D4"/>
    <w:rsid w:val="004328F2"/>
    <w:rsid w:val="00433024"/>
    <w:rsid w:val="004331AB"/>
    <w:rsid w:val="0043558B"/>
    <w:rsid w:val="00435894"/>
    <w:rsid w:val="0043630A"/>
    <w:rsid w:val="0043687C"/>
    <w:rsid w:val="00436FDD"/>
    <w:rsid w:val="00437B98"/>
    <w:rsid w:val="004400DD"/>
    <w:rsid w:val="004404B2"/>
    <w:rsid w:val="00440725"/>
    <w:rsid w:val="0044081A"/>
    <w:rsid w:val="00440BBA"/>
    <w:rsid w:val="00440BC7"/>
    <w:rsid w:val="004411EF"/>
    <w:rsid w:val="00441858"/>
    <w:rsid w:val="00441ADE"/>
    <w:rsid w:val="00442B51"/>
    <w:rsid w:val="004436BA"/>
    <w:rsid w:val="00444FC9"/>
    <w:rsid w:val="004456FB"/>
    <w:rsid w:val="004461EB"/>
    <w:rsid w:val="00447860"/>
    <w:rsid w:val="00447DAD"/>
    <w:rsid w:val="00452A10"/>
    <w:rsid w:val="004537CF"/>
    <w:rsid w:val="00454356"/>
    <w:rsid w:val="0045440E"/>
    <w:rsid w:val="00454698"/>
    <w:rsid w:val="00455AF9"/>
    <w:rsid w:val="00455BC9"/>
    <w:rsid w:val="00462AA5"/>
    <w:rsid w:val="00462DA8"/>
    <w:rsid w:val="004638D5"/>
    <w:rsid w:val="004642F6"/>
    <w:rsid w:val="00466617"/>
    <w:rsid w:val="00466AFE"/>
    <w:rsid w:val="004712A8"/>
    <w:rsid w:val="00471AFA"/>
    <w:rsid w:val="00472017"/>
    <w:rsid w:val="0047205C"/>
    <w:rsid w:val="00472143"/>
    <w:rsid w:val="00472755"/>
    <w:rsid w:val="00472C0F"/>
    <w:rsid w:val="00472D9C"/>
    <w:rsid w:val="00476988"/>
    <w:rsid w:val="00477542"/>
    <w:rsid w:val="00481D33"/>
    <w:rsid w:val="004826D8"/>
    <w:rsid w:val="0048278F"/>
    <w:rsid w:val="00482ACB"/>
    <w:rsid w:val="0048372E"/>
    <w:rsid w:val="0048428F"/>
    <w:rsid w:val="0048463F"/>
    <w:rsid w:val="0048482D"/>
    <w:rsid w:val="004849D9"/>
    <w:rsid w:val="00485D4D"/>
    <w:rsid w:val="00485D51"/>
    <w:rsid w:val="0048690E"/>
    <w:rsid w:val="00490B1E"/>
    <w:rsid w:val="0049112B"/>
    <w:rsid w:val="004911EC"/>
    <w:rsid w:val="00493346"/>
    <w:rsid w:val="0049446E"/>
    <w:rsid w:val="00495025"/>
    <w:rsid w:val="0049603A"/>
    <w:rsid w:val="004960F5"/>
    <w:rsid w:val="0049717D"/>
    <w:rsid w:val="0049727B"/>
    <w:rsid w:val="0049755F"/>
    <w:rsid w:val="00497793"/>
    <w:rsid w:val="00497BA1"/>
    <w:rsid w:val="004A02ED"/>
    <w:rsid w:val="004A0BBD"/>
    <w:rsid w:val="004A1C7B"/>
    <w:rsid w:val="004A1CAB"/>
    <w:rsid w:val="004A294A"/>
    <w:rsid w:val="004A3026"/>
    <w:rsid w:val="004A3C1B"/>
    <w:rsid w:val="004A43D4"/>
    <w:rsid w:val="004A4AC5"/>
    <w:rsid w:val="004A50C5"/>
    <w:rsid w:val="004A6595"/>
    <w:rsid w:val="004A66FC"/>
    <w:rsid w:val="004A70E9"/>
    <w:rsid w:val="004A7203"/>
    <w:rsid w:val="004A72FB"/>
    <w:rsid w:val="004B1570"/>
    <w:rsid w:val="004B2021"/>
    <w:rsid w:val="004B4C62"/>
    <w:rsid w:val="004B795A"/>
    <w:rsid w:val="004C0842"/>
    <w:rsid w:val="004C1992"/>
    <w:rsid w:val="004C19A7"/>
    <w:rsid w:val="004C2A03"/>
    <w:rsid w:val="004C2C2D"/>
    <w:rsid w:val="004C39B5"/>
    <w:rsid w:val="004C44BE"/>
    <w:rsid w:val="004C5D16"/>
    <w:rsid w:val="004D3967"/>
    <w:rsid w:val="004D57C0"/>
    <w:rsid w:val="004D608F"/>
    <w:rsid w:val="004D7CD2"/>
    <w:rsid w:val="004E125A"/>
    <w:rsid w:val="004E1FB3"/>
    <w:rsid w:val="004E1FE0"/>
    <w:rsid w:val="004E5596"/>
    <w:rsid w:val="004E6341"/>
    <w:rsid w:val="004F0E65"/>
    <w:rsid w:val="004F1C93"/>
    <w:rsid w:val="004F2A07"/>
    <w:rsid w:val="004F2A35"/>
    <w:rsid w:val="004F68E6"/>
    <w:rsid w:val="004F6AE7"/>
    <w:rsid w:val="00500183"/>
    <w:rsid w:val="00500E30"/>
    <w:rsid w:val="005014B9"/>
    <w:rsid w:val="00504F71"/>
    <w:rsid w:val="005055D0"/>
    <w:rsid w:val="00506758"/>
    <w:rsid w:val="005067AD"/>
    <w:rsid w:val="00506861"/>
    <w:rsid w:val="00506A33"/>
    <w:rsid w:val="00506D55"/>
    <w:rsid w:val="005106AE"/>
    <w:rsid w:val="00510A62"/>
    <w:rsid w:val="0051172D"/>
    <w:rsid w:val="00512EDF"/>
    <w:rsid w:val="00515A7D"/>
    <w:rsid w:val="00515BCE"/>
    <w:rsid w:val="005170AD"/>
    <w:rsid w:val="00517828"/>
    <w:rsid w:val="00520AD6"/>
    <w:rsid w:val="00520AFC"/>
    <w:rsid w:val="00521218"/>
    <w:rsid w:val="00521282"/>
    <w:rsid w:val="005230C5"/>
    <w:rsid w:val="005238A3"/>
    <w:rsid w:val="00523A83"/>
    <w:rsid w:val="00524F9C"/>
    <w:rsid w:val="005252AB"/>
    <w:rsid w:val="005253F3"/>
    <w:rsid w:val="00525BB7"/>
    <w:rsid w:val="00526BEE"/>
    <w:rsid w:val="00526C41"/>
    <w:rsid w:val="0053031B"/>
    <w:rsid w:val="005330EE"/>
    <w:rsid w:val="005336AC"/>
    <w:rsid w:val="005338C6"/>
    <w:rsid w:val="00533A9F"/>
    <w:rsid w:val="00534651"/>
    <w:rsid w:val="0053508A"/>
    <w:rsid w:val="00536FF1"/>
    <w:rsid w:val="00540B12"/>
    <w:rsid w:val="00540E26"/>
    <w:rsid w:val="005416AA"/>
    <w:rsid w:val="00542177"/>
    <w:rsid w:val="005422D4"/>
    <w:rsid w:val="00544997"/>
    <w:rsid w:val="00546308"/>
    <w:rsid w:val="0054735C"/>
    <w:rsid w:val="00550D4F"/>
    <w:rsid w:val="00551AF6"/>
    <w:rsid w:val="00551B0B"/>
    <w:rsid w:val="00553AAB"/>
    <w:rsid w:val="00555128"/>
    <w:rsid w:val="005569F3"/>
    <w:rsid w:val="00557DEA"/>
    <w:rsid w:val="0056037E"/>
    <w:rsid w:val="0056184F"/>
    <w:rsid w:val="0056247A"/>
    <w:rsid w:val="00562B5B"/>
    <w:rsid w:val="00563080"/>
    <w:rsid w:val="005631C5"/>
    <w:rsid w:val="0056495A"/>
    <w:rsid w:val="00566CAA"/>
    <w:rsid w:val="0057177E"/>
    <w:rsid w:val="00571CB6"/>
    <w:rsid w:val="00571CD4"/>
    <w:rsid w:val="00572006"/>
    <w:rsid w:val="0057274D"/>
    <w:rsid w:val="00573037"/>
    <w:rsid w:val="00573A63"/>
    <w:rsid w:val="00573BC1"/>
    <w:rsid w:val="00573C95"/>
    <w:rsid w:val="00574ED9"/>
    <w:rsid w:val="00575F99"/>
    <w:rsid w:val="005773B6"/>
    <w:rsid w:val="005825B8"/>
    <w:rsid w:val="005838E5"/>
    <w:rsid w:val="00584FA4"/>
    <w:rsid w:val="005851CF"/>
    <w:rsid w:val="0058560C"/>
    <w:rsid w:val="00586486"/>
    <w:rsid w:val="00586CD3"/>
    <w:rsid w:val="00590399"/>
    <w:rsid w:val="00591D9F"/>
    <w:rsid w:val="00591DB3"/>
    <w:rsid w:val="005920B2"/>
    <w:rsid w:val="0059260C"/>
    <w:rsid w:val="005933D8"/>
    <w:rsid w:val="0059480B"/>
    <w:rsid w:val="00594C24"/>
    <w:rsid w:val="00597355"/>
    <w:rsid w:val="00597546"/>
    <w:rsid w:val="00597A65"/>
    <w:rsid w:val="00597CC0"/>
    <w:rsid w:val="005A00BF"/>
    <w:rsid w:val="005A01E0"/>
    <w:rsid w:val="005A2084"/>
    <w:rsid w:val="005A28ED"/>
    <w:rsid w:val="005A30E3"/>
    <w:rsid w:val="005A571A"/>
    <w:rsid w:val="005A72D8"/>
    <w:rsid w:val="005A7649"/>
    <w:rsid w:val="005B50B9"/>
    <w:rsid w:val="005B5591"/>
    <w:rsid w:val="005B6F0C"/>
    <w:rsid w:val="005C08F0"/>
    <w:rsid w:val="005C0FB5"/>
    <w:rsid w:val="005C178C"/>
    <w:rsid w:val="005C2D57"/>
    <w:rsid w:val="005C3CBB"/>
    <w:rsid w:val="005C4060"/>
    <w:rsid w:val="005C5A42"/>
    <w:rsid w:val="005C5C75"/>
    <w:rsid w:val="005C63A3"/>
    <w:rsid w:val="005C6A6B"/>
    <w:rsid w:val="005C6D34"/>
    <w:rsid w:val="005D1291"/>
    <w:rsid w:val="005D1549"/>
    <w:rsid w:val="005D18DE"/>
    <w:rsid w:val="005D36CA"/>
    <w:rsid w:val="005D471D"/>
    <w:rsid w:val="005D615C"/>
    <w:rsid w:val="005E099C"/>
    <w:rsid w:val="005E1838"/>
    <w:rsid w:val="005E446B"/>
    <w:rsid w:val="005E5511"/>
    <w:rsid w:val="005E5FD4"/>
    <w:rsid w:val="005E69CB"/>
    <w:rsid w:val="005E6AFB"/>
    <w:rsid w:val="005F286F"/>
    <w:rsid w:val="005F42DC"/>
    <w:rsid w:val="005F5F3B"/>
    <w:rsid w:val="0060054B"/>
    <w:rsid w:val="00600DBD"/>
    <w:rsid w:val="006035F3"/>
    <w:rsid w:val="0060389A"/>
    <w:rsid w:val="006047BD"/>
    <w:rsid w:val="00604CCE"/>
    <w:rsid w:val="00604FC6"/>
    <w:rsid w:val="006055DA"/>
    <w:rsid w:val="006073EC"/>
    <w:rsid w:val="00610525"/>
    <w:rsid w:val="00610BA0"/>
    <w:rsid w:val="00610EA8"/>
    <w:rsid w:val="00610F22"/>
    <w:rsid w:val="00610F62"/>
    <w:rsid w:val="00612A3D"/>
    <w:rsid w:val="00614EF7"/>
    <w:rsid w:val="00616881"/>
    <w:rsid w:val="00616AF5"/>
    <w:rsid w:val="00616F0D"/>
    <w:rsid w:val="00620D45"/>
    <w:rsid w:val="00621654"/>
    <w:rsid w:val="00621A8B"/>
    <w:rsid w:val="006228EF"/>
    <w:rsid w:val="00622B4F"/>
    <w:rsid w:val="00623F34"/>
    <w:rsid w:val="006242C6"/>
    <w:rsid w:val="006246D7"/>
    <w:rsid w:val="006246F4"/>
    <w:rsid w:val="00624CC8"/>
    <w:rsid w:val="00624F8A"/>
    <w:rsid w:val="00625C9E"/>
    <w:rsid w:val="006266D1"/>
    <w:rsid w:val="00626D0E"/>
    <w:rsid w:val="0062757D"/>
    <w:rsid w:val="00627FB8"/>
    <w:rsid w:val="00631201"/>
    <w:rsid w:val="0063242D"/>
    <w:rsid w:val="006341E2"/>
    <w:rsid w:val="00634F3F"/>
    <w:rsid w:val="00635893"/>
    <w:rsid w:val="0063612D"/>
    <w:rsid w:val="006362F5"/>
    <w:rsid w:val="006400C7"/>
    <w:rsid w:val="0064037E"/>
    <w:rsid w:val="00641D32"/>
    <w:rsid w:val="006427C6"/>
    <w:rsid w:val="00642C66"/>
    <w:rsid w:val="00643172"/>
    <w:rsid w:val="00644457"/>
    <w:rsid w:val="00644526"/>
    <w:rsid w:val="0064563E"/>
    <w:rsid w:val="006468B9"/>
    <w:rsid w:val="006504D4"/>
    <w:rsid w:val="00650A3B"/>
    <w:rsid w:val="00650DC3"/>
    <w:rsid w:val="0065300A"/>
    <w:rsid w:val="006542C9"/>
    <w:rsid w:val="00655D7C"/>
    <w:rsid w:val="0065788D"/>
    <w:rsid w:val="00657D20"/>
    <w:rsid w:val="006602FD"/>
    <w:rsid w:val="006604AB"/>
    <w:rsid w:val="00662725"/>
    <w:rsid w:val="00662F3A"/>
    <w:rsid w:val="006641D0"/>
    <w:rsid w:val="00664A4E"/>
    <w:rsid w:val="00665D13"/>
    <w:rsid w:val="00666BEA"/>
    <w:rsid w:val="00672D7D"/>
    <w:rsid w:val="00672E13"/>
    <w:rsid w:val="00672F9B"/>
    <w:rsid w:val="006737D5"/>
    <w:rsid w:val="006757FD"/>
    <w:rsid w:val="0067647F"/>
    <w:rsid w:val="006767CC"/>
    <w:rsid w:val="006769F8"/>
    <w:rsid w:val="00676E1B"/>
    <w:rsid w:val="006771CB"/>
    <w:rsid w:val="006819C4"/>
    <w:rsid w:val="00682017"/>
    <w:rsid w:val="006822AE"/>
    <w:rsid w:val="0068376F"/>
    <w:rsid w:val="0068405A"/>
    <w:rsid w:val="00684274"/>
    <w:rsid w:val="00684B7F"/>
    <w:rsid w:val="00687154"/>
    <w:rsid w:val="00687C4E"/>
    <w:rsid w:val="00690E09"/>
    <w:rsid w:val="006911DF"/>
    <w:rsid w:val="00691286"/>
    <w:rsid w:val="00692262"/>
    <w:rsid w:val="006936B0"/>
    <w:rsid w:val="00695656"/>
    <w:rsid w:val="00696064"/>
    <w:rsid w:val="00696A16"/>
    <w:rsid w:val="006A05CD"/>
    <w:rsid w:val="006A1E1F"/>
    <w:rsid w:val="006A205C"/>
    <w:rsid w:val="006A298F"/>
    <w:rsid w:val="006A2DD6"/>
    <w:rsid w:val="006A3E31"/>
    <w:rsid w:val="006A4101"/>
    <w:rsid w:val="006A4EDE"/>
    <w:rsid w:val="006B0094"/>
    <w:rsid w:val="006B018E"/>
    <w:rsid w:val="006B1ECC"/>
    <w:rsid w:val="006B1FB9"/>
    <w:rsid w:val="006B31BE"/>
    <w:rsid w:val="006B32C1"/>
    <w:rsid w:val="006B4043"/>
    <w:rsid w:val="006B5453"/>
    <w:rsid w:val="006B685A"/>
    <w:rsid w:val="006B76E9"/>
    <w:rsid w:val="006C09F0"/>
    <w:rsid w:val="006C3278"/>
    <w:rsid w:val="006C4409"/>
    <w:rsid w:val="006C5C84"/>
    <w:rsid w:val="006C6695"/>
    <w:rsid w:val="006C7DCA"/>
    <w:rsid w:val="006D18A2"/>
    <w:rsid w:val="006D2608"/>
    <w:rsid w:val="006D2F23"/>
    <w:rsid w:val="006D3314"/>
    <w:rsid w:val="006D3758"/>
    <w:rsid w:val="006D3BDE"/>
    <w:rsid w:val="006D4964"/>
    <w:rsid w:val="006D5EE5"/>
    <w:rsid w:val="006D6156"/>
    <w:rsid w:val="006D6970"/>
    <w:rsid w:val="006D7BC3"/>
    <w:rsid w:val="006E0D52"/>
    <w:rsid w:val="006E3633"/>
    <w:rsid w:val="006E39A2"/>
    <w:rsid w:val="006E54F4"/>
    <w:rsid w:val="006E5936"/>
    <w:rsid w:val="006E6056"/>
    <w:rsid w:val="006E608B"/>
    <w:rsid w:val="006F0016"/>
    <w:rsid w:val="006F1A25"/>
    <w:rsid w:val="006F2053"/>
    <w:rsid w:val="006F60BC"/>
    <w:rsid w:val="006F72C5"/>
    <w:rsid w:val="006F7D6F"/>
    <w:rsid w:val="00700131"/>
    <w:rsid w:val="00700197"/>
    <w:rsid w:val="00700209"/>
    <w:rsid w:val="00705808"/>
    <w:rsid w:val="007064DD"/>
    <w:rsid w:val="00706990"/>
    <w:rsid w:val="00707A12"/>
    <w:rsid w:val="00711C44"/>
    <w:rsid w:val="0071234A"/>
    <w:rsid w:val="00712EDE"/>
    <w:rsid w:val="00713DBE"/>
    <w:rsid w:val="007143E7"/>
    <w:rsid w:val="007156ED"/>
    <w:rsid w:val="007160AC"/>
    <w:rsid w:val="0071626C"/>
    <w:rsid w:val="007201F3"/>
    <w:rsid w:val="00720813"/>
    <w:rsid w:val="00721731"/>
    <w:rsid w:val="00721EC0"/>
    <w:rsid w:val="0072363E"/>
    <w:rsid w:val="00724B0F"/>
    <w:rsid w:val="00725126"/>
    <w:rsid w:val="007258BA"/>
    <w:rsid w:val="00725DB9"/>
    <w:rsid w:val="00725FF4"/>
    <w:rsid w:val="00727027"/>
    <w:rsid w:val="00727D68"/>
    <w:rsid w:val="00731D3B"/>
    <w:rsid w:val="007320C3"/>
    <w:rsid w:val="00732618"/>
    <w:rsid w:val="00733115"/>
    <w:rsid w:val="00734E7B"/>
    <w:rsid w:val="007359A4"/>
    <w:rsid w:val="007363CA"/>
    <w:rsid w:val="007365D0"/>
    <w:rsid w:val="00737441"/>
    <w:rsid w:val="00737462"/>
    <w:rsid w:val="00737983"/>
    <w:rsid w:val="00740827"/>
    <w:rsid w:val="007424B1"/>
    <w:rsid w:val="0074365D"/>
    <w:rsid w:val="0074490D"/>
    <w:rsid w:val="00745C21"/>
    <w:rsid w:val="00745DD5"/>
    <w:rsid w:val="00746134"/>
    <w:rsid w:val="00747A9A"/>
    <w:rsid w:val="00750533"/>
    <w:rsid w:val="007507E8"/>
    <w:rsid w:val="007512F1"/>
    <w:rsid w:val="007524A5"/>
    <w:rsid w:val="00752524"/>
    <w:rsid w:val="007532A7"/>
    <w:rsid w:val="0075397E"/>
    <w:rsid w:val="00753CEB"/>
    <w:rsid w:val="0075507B"/>
    <w:rsid w:val="007552B9"/>
    <w:rsid w:val="00755E04"/>
    <w:rsid w:val="00756167"/>
    <w:rsid w:val="007561FC"/>
    <w:rsid w:val="00761978"/>
    <w:rsid w:val="00761D8C"/>
    <w:rsid w:val="00761ECC"/>
    <w:rsid w:val="00762190"/>
    <w:rsid w:val="0076371D"/>
    <w:rsid w:val="00764810"/>
    <w:rsid w:val="00764DD6"/>
    <w:rsid w:val="00766840"/>
    <w:rsid w:val="00766AC2"/>
    <w:rsid w:val="007673D3"/>
    <w:rsid w:val="0076785A"/>
    <w:rsid w:val="00767CD6"/>
    <w:rsid w:val="00770C72"/>
    <w:rsid w:val="007720E0"/>
    <w:rsid w:val="00773B32"/>
    <w:rsid w:val="007740A2"/>
    <w:rsid w:val="007754E9"/>
    <w:rsid w:val="00776467"/>
    <w:rsid w:val="00777A5B"/>
    <w:rsid w:val="00780215"/>
    <w:rsid w:val="00784CF2"/>
    <w:rsid w:val="00786236"/>
    <w:rsid w:val="007867D3"/>
    <w:rsid w:val="007868DF"/>
    <w:rsid w:val="0079116D"/>
    <w:rsid w:val="00791498"/>
    <w:rsid w:val="00791844"/>
    <w:rsid w:val="00793171"/>
    <w:rsid w:val="00793191"/>
    <w:rsid w:val="00793536"/>
    <w:rsid w:val="0079528C"/>
    <w:rsid w:val="007A0351"/>
    <w:rsid w:val="007A13E9"/>
    <w:rsid w:val="007A154F"/>
    <w:rsid w:val="007A4120"/>
    <w:rsid w:val="007A46A3"/>
    <w:rsid w:val="007A54A2"/>
    <w:rsid w:val="007A5BF8"/>
    <w:rsid w:val="007A6A5C"/>
    <w:rsid w:val="007A78B2"/>
    <w:rsid w:val="007A7CF2"/>
    <w:rsid w:val="007B082B"/>
    <w:rsid w:val="007B1361"/>
    <w:rsid w:val="007B1525"/>
    <w:rsid w:val="007B1709"/>
    <w:rsid w:val="007B2F77"/>
    <w:rsid w:val="007B365E"/>
    <w:rsid w:val="007B3AF1"/>
    <w:rsid w:val="007B4692"/>
    <w:rsid w:val="007B5789"/>
    <w:rsid w:val="007B5B81"/>
    <w:rsid w:val="007B70A4"/>
    <w:rsid w:val="007B7C6D"/>
    <w:rsid w:val="007C1513"/>
    <w:rsid w:val="007C1ADC"/>
    <w:rsid w:val="007C2377"/>
    <w:rsid w:val="007C269B"/>
    <w:rsid w:val="007C2A6B"/>
    <w:rsid w:val="007C2D4C"/>
    <w:rsid w:val="007C3391"/>
    <w:rsid w:val="007C43D9"/>
    <w:rsid w:val="007C5C46"/>
    <w:rsid w:val="007C6153"/>
    <w:rsid w:val="007C6E84"/>
    <w:rsid w:val="007D0AB7"/>
    <w:rsid w:val="007D22B6"/>
    <w:rsid w:val="007D3F83"/>
    <w:rsid w:val="007D5705"/>
    <w:rsid w:val="007D63E4"/>
    <w:rsid w:val="007E0702"/>
    <w:rsid w:val="007E144F"/>
    <w:rsid w:val="007E2743"/>
    <w:rsid w:val="007E3694"/>
    <w:rsid w:val="007E394F"/>
    <w:rsid w:val="007E4C75"/>
    <w:rsid w:val="007E4F39"/>
    <w:rsid w:val="007E553E"/>
    <w:rsid w:val="007F05BC"/>
    <w:rsid w:val="007F08C0"/>
    <w:rsid w:val="007F1057"/>
    <w:rsid w:val="007F30B5"/>
    <w:rsid w:val="007F36A6"/>
    <w:rsid w:val="007F3AD0"/>
    <w:rsid w:val="007F3F3C"/>
    <w:rsid w:val="007F5DF5"/>
    <w:rsid w:val="007F7D29"/>
    <w:rsid w:val="008000AD"/>
    <w:rsid w:val="00800D9E"/>
    <w:rsid w:val="00801563"/>
    <w:rsid w:val="008019E1"/>
    <w:rsid w:val="00802334"/>
    <w:rsid w:val="00802E86"/>
    <w:rsid w:val="0080452B"/>
    <w:rsid w:val="00805769"/>
    <w:rsid w:val="00806EAD"/>
    <w:rsid w:val="008076F7"/>
    <w:rsid w:val="00807858"/>
    <w:rsid w:val="00810675"/>
    <w:rsid w:val="00810ACA"/>
    <w:rsid w:val="00811721"/>
    <w:rsid w:val="00811E79"/>
    <w:rsid w:val="0081463B"/>
    <w:rsid w:val="0081527D"/>
    <w:rsid w:val="0081599E"/>
    <w:rsid w:val="00815E1B"/>
    <w:rsid w:val="008170B4"/>
    <w:rsid w:val="00820239"/>
    <w:rsid w:val="00821A26"/>
    <w:rsid w:val="00822F55"/>
    <w:rsid w:val="00823110"/>
    <w:rsid w:val="00825A6E"/>
    <w:rsid w:val="0083026C"/>
    <w:rsid w:val="00830B4E"/>
    <w:rsid w:val="00831077"/>
    <w:rsid w:val="00832A39"/>
    <w:rsid w:val="00833780"/>
    <w:rsid w:val="0083533F"/>
    <w:rsid w:val="00836620"/>
    <w:rsid w:val="00837537"/>
    <w:rsid w:val="008413B5"/>
    <w:rsid w:val="00841FBE"/>
    <w:rsid w:val="00845330"/>
    <w:rsid w:val="00850096"/>
    <w:rsid w:val="00850C32"/>
    <w:rsid w:val="00851193"/>
    <w:rsid w:val="008513A2"/>
    <w:rsid w:val="00851531"/>
    <w:rsid w:val="008517B8"/>
    <w:rsid w:val="00851A67"/>
    <w:rsid w:val="00852E20"/>
    <w:rsid w:val="008533D4"/>
    <w:rsid w:val="00853439"/>
    <w:rsid w:val="00853EE2"/>
    <w:rsid w:val="008548E5"/>
    <w:rsid w:val="0085561E"/>
    <w:rsid w:val="00855A96"/>
    <w:rsid w:val="008567E4"/>
    <w:rsid w:val="00857600"/>
    <w:rsid w:val="0085777E"/>
    <w:rsid w:val="00860282"/>
    <w:rsid w:val="00860BCC"/>
    <w:rsid w:val="00862401"/>
    <w:rsid w:val="00862833"/>
    <w:rsid w:val="00862BE5"/>
    <w:rsid w:val="00862F6B"/>
    <w:rsid w:val="008633FC"/>
    <w:rsid w:val="00864585"/>
    <w:rsid w:val="00864BF2"/>
    <w:rsid w:val="0086662D"/>
    <w:rsid w:val="00867042"/>
    <w:rsid w:val="00867583"/>
    <w:rsid w:val="0086783C"/>
    <w:rsid w:val="00867D00"/>
    <w:rsid w:val="00871F10"/>
    <w:rsid w:val="00874224"/>
    <w:rsid w:val="0087466A"/>
    <w:rsid w:val="008746DF"/>
    <w:rsid w:val="008746F5"/>
    <w:rsid w:val="00874AC4"/>
    <w:rsid w:val="008763AD"/>
    <w:rsid w:val="00877131"/>
    <w:rsid w:val="00877C15"/>
    <w:rsid w:val="00877CF7"/>
    <w:rsid w:val="008808E2"/>
    <w:rsid w:val="00880FA7"/>
    <w:rsid w:val="0088151F"/>
    <w:rsid w:val="00881D95"/>
    <w:rsid w:val="00883253"/>
    <w:rsid w:val="0088325A"/>
    <w:rsid w:val="00883527"/>
    <w:rsid w:val="00883997"/>
    <w:rsid w:val="00883F8C"/>
    <w:rsid w:val="00884A05"/>
    <w:rsid w:val="00887A56"/>
    <w:rsid w:val="0089343E"/>
    <w:rsid w:val="0089382E"/>
    <w:rsid w:val="00895353"/>
    <w:rsid w:val="008954AF"/>
    <w:rsid w:val="0089584F"/>
    <w:rsid w:val="00895E66"/>
    <w:rsid w:val="00896588"/>
    <w:rsid w:val="00896EC1"/>
    <w:rsid w:val="008978A7"/>
    <w:rsid w:val="008A0E8E"/>
    <w:rsid w:val="008A0F34"/>
    <w:rsid w:val="008A2FAB"/>
    <w:rsid w:val="008A397C"/>
    <w:rsid w:val="008A5292"/>
    <w:rsid w:val="008A5886"/>
    <w:rsid w:val="008A5A33"/>
    <w:rsid w:val="008A5AFE"/>
    <w:rsid w:val="008A5B19"/>
    <w:rsid w:val="008A71BA"/>
    <w:rsid w:val="008B3457"/>
    <w:rsid w:val="008B401A"/>
    <w:rsid w:val="008B48DC"/>
    <w:rsid w:val="008B4AB5"/>
    <w:rsid w:val="008B4C3C"/>
    <w:rsid w:val="008B53FE"/>
    <w:rsid w:val="008B6382"/>
    <w:rsid w:val="008B6C15"/>
    <w:rsid w:val="008B7575"/>
    <w:rsid w:val="008B79D8"/>
    <w:rsid w:val="008C0459"/>
    <w:rsid w:val="008C17F4"/>
    <w:rsid w:val="008C1F97"/>
    <w:rsid w:val="008C2EF8"/>
    <w:rsid w:val="008C3516"/>
    <w:rsid w:val="008C3E4E"/>
    <w:rsid w:val="008C59E3"/>
    <w:rsid w:val="008C5BFA"/>
    <w:rsid w:val="008C60A5"/>
    <w:rsid w:val="008C6878"/>
    <w:rsid w:val="008C706A"/>
    <w:rsid w:val="008C7AD5"/>
    <w:rsid w:val="008D044E"/>
    <w:rsid w:val="008D0C0B"/>
    <w:rsid w:val="008D1C6A"/>
    <w:rsid w:val="008D1DF5"/>
    <w:rsid w:val="008D2A74"/>
    <w:rsid w:val="008D4A5C"/>
    <w:rsid w:val="008D4CE6"/>
    <w:rsid w:val="008D53DC"/>
    <w:rsid w:val="008D5A5D"/>
    <w:rsid w:val="008D6169"/>
    <w:rsid w:val="008E0F79"/>
    <w:rsid w:val="008E18C1"/>
    <w:rsid w:val="008E1F35"/>
    <w:rsid w:val="008E2717"/>
    <w:rsid w:val="008E2C6B"/>
    <w:rsid w:val="008E3BC6"/>
    <w:rsid w:val="008E3F87"/>
    <w:rsid w:val="008E554D"/>
    <w:rsid w:val="008E577F"/>
    <w:rsid w:val="008E5A71"/>
    <w:rsid w:val="008E5F01"/>
    <w:rsid w:val="008E5F5E"/>
    <w:rsid w:val="008E64F8"/>
    <w:rsid w:val="008E7309"/>
    <w:rsid w:val="008E7F21"/>
    <w:rsid w:val="008F07CB"/>
    <w:rsid w:val="008F1CE6"/>
    <w:rsid w:val="008F4235"/>
    <w:rsid w:val="008F4367"/>
    <w:rsid w:val="008F6A15"/>
    <w:rsid w:val="008F6DB4"/>
    <w:rsid w:val="008F7628"/>
    <w:rsid w:val="008F7874"/>
    <w:rsid w:val="00900E3B"/>
    <w:rsid w:val="00902D4F"/>
    <w:rsid w:val="0090397B"/>
    <w:rsid w:val="00904DA5"/>
    <w:rsid w:val="00906392"/>
    <w:rsid w:val="00906B16"/>
    <w:rsid w:val="00907498"/>
    <w:rsid w:val="0091106B"/>
    <w:rsid w:val="0091214D"/>
    <w:rsid w:val="00912650"/>
    <w:rsid w:val="00912C83"/>
    <w:rsid w:val="0091391E"/>
    <w:rsid w:val="00914329"/>
    <w:rsid w:val="009173AD"/>
    <w:rsid w:val="009173FC"/>
    <w:rsid w:val="0092103C"/>
    <w:rsid w:val="00921057"/>
    <w:rsid w:val="00921EFD"/>
    <w:rsid w:val="009229E6"/>
    <w:rsid w:val="00922DE6"/>
    <w:rsid w:val="00923724"/>
    <w:rsid w:val="009237B1"/>
    <w:rsid w:val="00923BAF"/>
    <w:rsid w:val="00923E9D"/>
    <w:rsid w:val="00926CFD"/>
    <w:rsid w:val="00930488"/>
    <w:rsid w:val="00933E70"/>
    <w:rsid w:val="00934DC3"/>
    <w:rsid w:val="009373D3"/>
    <w:rsid w:val="00940AA0"/>
    <w:rsid w:val="009416B7"/>
    <w:rsid w:val="00941F07"/>
    <w:rsid w:val="00942441"/>
    <w:rsid w:val="0094296F"/>
    <w:rsid w:val="00942B4E"/>
    <w:rsid w:val="00943224"/>
    <w:rsid w:val="009435F7"/>
    <w:rsid w:val="00944193"/>
    <w:rsid w:val="00945256"/>
    <w:rsid w:val="00945B10"/>
    <w:rsid w:val="00945B23"/>
    <w:rsid w:val="00945FC2"/>
    <w:rsid w:val="0094640C"/>
    <w:rsid w:val="009473F3"/>
    <w:rsid w:val="00947A78"/>
    <w:rsid w:val="00947F6A"/>
    <w:rsid w:val="00950073"/>
    <w:rsid w:val="00950B23"/>
    <w:rsid w:val="00950E40"/>
    <w:rsid w:val="00950EC9"/>
    <w:rsid w:val="009511C9"/>
    <w:rsid w:val="00951DBC"/>
    <w:rsid w:val="00951E64"/>
    <w:rsid w:val="00952E3C"/>
    <w:rsid w:val="00954FF9"/>
    <w:rsid w:val="00955C19"/>
    <w:rsid w:val="009617F0"/>
    <w:rsid w:val="00962F3C"/>
    <w:rsid w:val="009638BC"/>
    <w:rsid w:val="009649E9"/>
    <w:rsid w:val="00964C78"/>
    <w:rsid w:val="009653E8"/>
    <w:rsid w:val="00965614"/>
    <w:rsid w:val="009664CE"/>
    <w:rsid w:val="009667B6"/>
    <w:rsid w:val="009669BE"/>
    <w:rsid w:val="00966A81"/>
    <w:rsid w:val="009711A9"/>
    <w:rsid w:val="009715C1"/>
    <w:rsid w:val="00971AB2"/>
    <w:rsid w:val="00972C61"/>
    <w:rsid w:val="00973582"/>
    <w:rsid w:val="009736BD"/>
    <w:rsid w:val="00973839"/>
    <w:rsid w:val="00975040"/>
    <w:rsid w:val="00975263"/>
    <w:rsid w:val="00975C1E"/>
    <w:rsid w:val="009760DF"/>
    <w:rsid w:val="00976847"/>
    <w:rsid w:val="00977353"/>
    <w:rsid w:val="00977B61"/>
    <w:rsid w:val="00981204"/>
    <w:rsid w:val="00981AB4"/>
    <w:rsid w:val="00981E2B"/>
    <w:rsid w:val="00984667"/>
    <w:rsid w:val="00985528"/>
    <w:rsid w:val="009873A6"/>
    <w:rsid w:val="0099069E"/>
    <w:rsid w:val="00991C53"/>
    <w:rsid w:val="009920EB"/>
    <w:rsid w:val="009927B4"/>
    <w:rsid w:val="00993761"/>
    <w:rsid w:val="00993D56"/>
    <w:rsid w:val="0099476B"/>
    <w:rsid w:val="00994810"/>
    <w:rsid w:val="00994AFF"/>
    <w:rsid w:val="0099668E"/>
    <w:rsid w:val="009966F0"/>
    <w:rsid w:val="00997880"/>
    <w:rsid w:val="009A0256"/>
    <w:rsid w:val="009A0D12"/>
    <w:rsid w:val="009A145E"/>
    <w:rsid w:val="009A380B"/>
    <w:rsid w:val="009A47C9"/>
    <w:rsid w:val="009A4B69"/>
    <w:rsid w:val="009A5250"/>
    <w:rsid w:val="009A52B3"/>
    <w:rsid w:val="009A5441"/>
    <w:rsid w:val="009A5F35"/>
    <w:rsid w:val="009A71AA"/>
    <w:rsid w:val="009A737D"/>
    <w:rsid w:val="009A75F5"/>
    <w:rsid w:val="009A7E00"/>
    <w:rsid w:val="009B2024"/>
    <w:rsid w:val="009B2550"/>
    <w:rsid w:val="009B262D"/>
    <w:rsid w:val="009B266B"/>
    <w:rsid w:val="009B3467"/>
    <w:rsid w:val="009B39EC"/>
    <w:rsid w:val="009B3CD3"/>
    <w:rsid w:val="009B5603"/>
    <w:rsid w:val="009C01CF"/>
    <w:rsid w:val="009C0357"/>
    <w:rsid w:val="009C09C1"/>
    <w:rsid w:val="009C118A"/>
    <w:rsid w:val="009C193E"/>
    <w:rsid w:val="009C1CB2"/>
    <w:rsid w:val="009C2359"/>
    <w:rsid w:val="009C4A11"/>
    <w:rsid w:val="009C5100"/>
    <w:rsid w:val="009C57AC"/>
    <w:rsid w:val="009C77D2"/>
    <w:rsid w:val="009C7BFB"/>
    <w:rsid w:val="009D19E1"/>
    <w:rsid w:val="009D1A23"/>
    <w:rsid w:val="009D1FA6"/>
    <w:rsid w:val="009D4EA1"/>
    <w:rsid w:val="009D5808"/>
    <w:rsid w:val="009D5A56"/>
    <w:rsid w:val="009E0083"/>
    <w:rsid w:val="009E28DF"/>
    <w:rsid w:val="009E3091"/>
    <w:rsid w:val="009E3178"/>
    <w:rsid w:val="009E34E7"/>
    <w:rsid w:val="009E3BB4"/>
    <w:rsid w:val="009E4D65"/>
    <w:rsid w:val="009E5E7A"/>
    <w:rsid w:val="009E6638"/>
    <w:rsid w:val="009E7ED8"/>
    <w:rsid w:val="009F00D7"/>
    <w:rsid w:val="009F1024"/>
    <w:rsid w:val="009F2C45"/>
    <w:rsid w:val="009F331F"/>
    <w:rsid w:val="009F385B"/>
    <w:rsid w:val="009F67F9"/>
    <w:rsid w:val="009F7CEF"/>
    <w:rsid w:val="00A02248"/>
    <w:rsid w:val="00A0320A"/>
    <w:rsid w:val="00A03AB2"/>
    <w:rsid w:val="00A03B81"/>
    <w:rsid w:val="00A049B2"/>
    <w:rsid w:val="00A04AB4"/>
    <w:rsid w:val="00A0608F"/>
    <w:rsid w:val="00A06CBC"/>
    <w:rsid w:val="00A06E5E"/>
    <w:rsid w:val="00A076BA"/>
    <w:rsid w:val="00A07A43"/>
    <w:rsid w:val="00A07E38"/>
    <w:rsid w:val="00A07FC7"/>
    <w:rsid w:val="00A1208E"/>
    <w:rsid w:val="00A1368B"/>
    <w:rsid w:val="00A140E0"/>
    <w:rsid w:val="00A1443E"/>
    <w:rsid w:val="00A14C53"/>
    <w:rsid w:val="00A14FAD"/>
    <w:rsid w:val="00A158D8"/>
    <w:rsid w:val="00A15B2D"/>
    <w:rsid w:val="00A15DB8"/>
    <w:rsid w:val="00A163B4"/>
    <w:rsid w:val="00A171E7"/>
    <w:rsid w:val="00A17735"/>
    <w:rsid w:val="00A17C5B"/>
    <w:rsid w:val="00A21EA6"/>
    <w:rsid w:val="00A21F28"/>
    <w:rsid w:val="00A2207D"/>
    <w:rsid w:val="00A224F7"/>
    <w:rsid w:val="00A238A0"/>
    <w:rsid w:val="00A24782"/>
    <w:rsid w:val="00A24961"/>
    <w:rsid w:val="00A249CE"/>
    <w:rsid w:val="00A254D5"/>
    <w:rsid w:val="00A263D3"/>
    <w:rsid w:val="00A27DC9"/>
    <w:rsid w:val="00A30D78"/>
    <w:rsid w:val="00A319BC"/>
    <w:rsid w:val="00A32426"/>
    <w:rsid w:val="00A32607"/>
    <w:rsid w:val="00A33B28"/>
    <w:rsid w:val="00A33BDB"/>
    <w:rsid w:val="00A33D2E"/>
    <w:rsid w:val="00A340A5"/>
    <w:rsid w:val="00A3434F"/>
    <w:rsid w:val="00A34EC5"/>
    <w:rsid w:val="00A352EC"/>
    <w:rsid w:val="00A3586B"/>
    <w:rsid w:val="00A379DB"/>
    <w:rsid w:val="00A42CC0"/>
    <w:rsid w:val="00A43E76"/>
    <w:rsid w:val="00A43F05"/>
    <w:rsid w:val="00A44DAB"/>
    <w:rsid w:val="00A45CE7"/>
    <w:rsid w:val="00A47F3B"/>
    <w:rsid w:val="00A558F5"/>
    <w:rsid w:val="00A56262"/>
    <w:rsid w:val="00A567C7"/>
    <w:rsid w:val="00A56B63"/>
    <w:rsid w:val="00A57986"/>
    <w:rsid w:val="00A6099C"/>
    <w:rsid w:val="00A6102F"/>
    <w:rsid w:val="00A610D6"/>
    <w:rsid w:val="00A615CB"/>
    <w:rsid w:val="00A619D4"/>
    <w:rsid w:val="00A61A89"/>
    <w:rsid w:val="00A62957"/>
    <w:rsid w:val="00A63276"/>
    <w:rsid w:val="00A65574"/>
    <w:rsid w:val="00A66229"/>
    <w:rsid w:val="00A67BBC"/>
    <w:rsid w:val="00A7158B"/>
    <w:rsid w:val="00A716B7"/>
    <w:rsid w:val="00A73B74"/>
    <w:rsid w:val="00A74118"/>
    <w:rsid w:val="00A777F6"/>
    <w:rsid w:val="00A77961"/>
    <w:rsid w:val="00A77AC1"/>
    <w:rsid w:val="00A80726"/>
    <w:rsid w:val="00A80B3E"/>
    <w:rsid w:val="00A80E24"/>
    <w:rsid w:val="00A82B9F"/>
    <w:rsid w:val="00A82FAF"/>
    <w:rsid w:val="00A8431C"/>
    <w:rsid w:val="00A85E75"/>
    <w:rsid w:val="00A8756F"/>
    <w:rsid w:val="00A90416"/>
    <w:rsid w:val="00A910DD"/>
    <w:rsid w:val="00A915D1"/>
    <w:rsid w:val="00A91790"/>
    <w:rsid w:val="00A91C0F"/>
    <w:rsid w:val="00A920D6"/>
    <w:rsid w:val="00A93D78"/>
    <w:rsid w:val="00A94ECD"/>
    <w:rsid w:val="00A96EAF"/>
    <w:rsid w:val="00AA0366"/>
    <w:rsid w:val="00AA0999"/>
    <w:rsid w:val="00AA14F7"/>
    <w:rsid w:val="00AA15DB"/>
    <w:rsid w:val="00AA1B57"/>
    <w:rsid w:val="00AA3941"/>
    <w:rsid w:val="00AA55F2"/>
    <w:rsid w:val="00AA6BCC"/>
    <w:rsid w:val="00AA6EE0"/>
    <w:rsid w:val="00AA7139"/>
    <w:rsid w:val="00AB0FED"/>
    <w:rsid w:val="00AB1438"/>
    <w:rsid w:val="00AB1D85"/>
    <w:rsid w:val="00AB2521"/>
    <w:rsid w:val="00AB2AA3"/>
    <w:rsid w:val="00AB3A80"/>
    <w:rsid w:val="00AB48D5"/>
    <w:rsid w:val="00AB58EF"/>
    <w:rsid w:val="00AB7F05"/>
    <w:rsid w:val="00AC0098"/>
    <w:rsid w:val="00AC2E55"/>
    <w:rsid w:val="00AC391F"/>
    <w:rsid w:val="00AC3DE6"/>
    <w:rsid w:val="00AC66A8"/>
    <w:rsid w:val="00AC72A6"/>
    <w:rsid w:val="00AD24F6"/>
    <w:rsid w:val="00AD463B"/>
    <w:rsid w:val="00AD4FC2"/>
    <w:rsid w:val="00AD5587"/>
    <w:rsid w:val="00AD5F68"/>
    <w:rsid w:val="00AD652C"/>
    <w:rsid w:val="00AD65B6"/>
    <w:rsid w:val="00AD779B"/>
    <w:rsid w:val="00AE006F"/>
    <w:rsid w:val="00AE04A8"/>
    <w:rsid w:val="00AE1E45"/>
    <w:rsid w:val="00AE2524"/>
    <w:rsid w:val="00AE2577"/>
    <w:rsid w:val="00AE33AF"/>
    <w:rsid w:val="00AE3AB3"/>
    <w:rsid w:val="00AE52A4"/>
    <w:rsid w:val="00AE5668"/>
    <w:rsid w:val="00AE56C0"/>
    <w:rsid w:val="00AF00C9"/>
    <w:rsid w:val="00AF1EF3"/>
    <w:rsid w:val="00AF277E"/>
    <w:rsid w:val="00AF2AB6"/>
    <w:rsid w:val="00AF33DC"/>
    <w:rsid w:val="00AF4337"/>
    <w:rsid w:val="00AF4E6A"/>
    <w:rsid w:val="00AF4F14"/>
    <w:rsid w:val="00AF66B1"/>
    <w:rsid w:val="00B0097F"/>
    <w:rsid w:val="00B01145"/>
    <w:rsid w:val="00B01A6A"/>
    <w:rsid w:val="00B03720"/>
    <w:rsid w:val="00B04A34"/>
    <w:rsid w:val="00B07492"/>
    <w:rsid w:val="00B078A2"/>
    <w:rsid w:val="00B1030A"/>
    <w:rsid w:val="00B10B0B"/>
    <w:rsid w:val="00B10E2E"/>
    <w:rsid w:val="00B13287"/>
    <w:rsid w:val="00B134DF"/>
    <w:rsid w:val="00B1393A"/>
    <w:rsid w:val="00B13CA1"/>
    <w:rsid w:val="00B13DAA"/>
    <w:rsid w:val="00B14305"/>
    <w:rsid w:val="00B15142"/>
    <w:rsid w:val="00B152AE"/>
    <w:rsid w:val="00B1631D"/>
    <w:rsid w:val="00B1677E"/>
    <w:rsid w:val="00B16B49"/>
    <w:rsid w:val="00B16D47"/>
    <w:rsid w:val="00B20B17"/>
    <w:rsid w:val="00B2145A"/>
    <w:rsid w:val="00B21856"/>
    <w:rsid w:val="00B22719"/>
    <w:rsid w:val="00B22D96"/>
    <w:rsid w:val="00B22FB3"/>
    <w:rsid w:val="00B22FC1"/>
    <w:rsid w:val="00B250FF"/>
    <w:rsid w:val="00B2607A"/>
    <w:rsid w:val="00B261AD"/>
    <w:rsid w:val="00B27913"/>
    <w:rsid w:val="00B27C1B"/>
    <w:rsid w:val="00B27D26"/>
    <w:rsid w:val="00B31ACA"/>
    <w:rsid w:val="00B33843"/>
    <w:rsid w:val="00B3398F"/>
    <w:rsid w:val="00B34392"/>
    <w:rsid w:val="00B34565"/>
    <w:rsid w:val="00B34F86"/>
    <w:rsid w:val="00B353A3"/>
    <w:rsid w:val="00B35A78"/>
    <w:rsid w:val="00B37400"/>
    <w:rsid w:val="00B37D79"/>
    <w:rsid w:val="00B40096"/>
    <w:rsid w:val="00B40434"/>
    <w:rsid w:val="00B419AF"/>
    <w:rsid w:val="00B42A30"/>
    <w:rsid w:val="00B42FB9"/>
    <w:rsid w:val="00B436C0"/>
    <w:rsid w:val="00B440C8"/>
    <w:rsid w:val="00B44AB2"/>
    <w:rsid w:val="00B45782"/>
    <w:rsid w:val="00B46383"/>
    <w:rsid w:val="00B46F1F"/>
    <w:rsid w:val="00B47E8E"/>
    <w:rsid w:val="00B529FF"/>
    <w:rsid w:val="00B53095"/>
    <w:rsid w:val="00B53C54"/>
    <w:rsid w:val="00B546BB"/>
    <w:rsid w:val="00B54DFD"/>
    <w:rsid w:val="00B5517A"/>
    <w:rsid w:val="00B570DC"/>
    <w:rsid w:val="00B57457"/>
    <w:rsid w:val="00B5747E"/>
    <w:rsid w:val="00B5748D"/>
    <w:rsid w:val="00B57FC2"/>
    <w:rsid w:val="00B601E7"/>
    <w:rsid w:val="00B61544"/>
    <w:rsid w:val="00B61B1D"/>
    <w:rsid w:val="00B61D5A"/>
    <w:rsid w:val="00B65B51"/>
    <w:rsid w:val="00B66714"/>
    <w:rsid w:val="00B6720E"/>
    <w:rsid w:val="00B675BB"/>
    <w:rsid w:val="00B70BAD"/>
    <w:rsid w:val="00B7121C"/>
    <w:rsid w:val="00B71CB0"/>
    <w:rsid w:val="00B71CC0"/>
    <w:rsid w:val="00B71EE1"/>
    <w:rsid w:val="00B72F48"/>
    <w:rsid w:val="00B7331A"/>
    <w:rsid w:val="00B73B82"/>
    <w:rsid w:val="00B74046"/>
    <w:rsid w:val="00B74155"/>
    <w:rsid w:val="00B75880"/>
    <w:rsid w:val="00B75B49"/>
    <w:rsid w:val="00B760B3"/>
    <w:rsid w:val="00B768A3"/>
    <w:rsid w:val="00B80993"/>
    <w:rsid w:val="00B81474"/>
    <w:rsid w:val="00B81DA9"/>
    <w:rsid w:val="00B83D9D"/>
    <w:rsid w:val="00B84CDB"/>
    <w:rsid w:val="00B867C1"/>
    <w:rsid w:val="00B86E9B"/>
    <w:rsid w:val="00B87642"/>
    <w:rsid w:val="00B91554"/>
    <w:rsid w:val="00B92F11"/>
    <w:rsid w:val="00B9357B"/>
    <w:rsid w:val="00B944A7"/>
    <w:rsid w:val="00B944C2"/>
    <w:rsid w:val="00B944DE"/>
    <w:rsid w:val="00B9494C"/>
    <w:rsid w:val="00B94C2E"/>
    <w:rsid w:val="00B96DCA"/>
    <w:rsid w:val="00B970DA"/>
    <w:rsid w:val="00BA1388"/>
    <w:rsid w:val="00BA1842"/>
    <w:rsid w:val="00BA2A17"/>
    <w:rsid w:val="00BA2A2A"/>
    <w:rsid w:val="00BA3CE5"/>
    <w:rsid w:val="00BA4807"/>
    <w:rsid w:val="00BA50F2"/>
    <w:rsid w:val="00BA5289"/>
    <w:rsid w:val="00BA6E01"/>
    <w:rsid w:val="00BA6E63"/>
    <w:rsid w:val="00BA71FE"/>
    <w:rsid w:val="00BA7AB6"/>
    <w:rsid w:val="00BB23BF"/>
    <w:rsid w:val="00BB2B83"/>
    <w:rsid w:val="00BB30BC"/>
    <w:rsid w:val="00BB44E4"/>
    <w:rsid w:val="00BB4DD2"/>
    <w:rsid w:val="00BB5D15"/>
    <w:rsid w:val="00BB61A8"/>
    <w:rsid w:val="00BB7954"/>
    <w:rsid w:val="00BC0358"/>
    <w:rsid w:val="00BC0C28"/>
    <w:rsid w:val="00BC1E6E"/>
    <w:rsid w:val="00BC200B"/>
    <w:rsid w:val="00BC326A"/>
    <w:rsid w:val="00BC3CA8"/>
    <w:rsid w:val="00BC5093"/>
    <w:rsid w:val="00BC5865"/>
    <w:rsid w:val="00BC6EBD"/>
    <w:rsid w:val="00BC7DA8"/>
    <w:rsid w:val="00BD2045"/>
    <w:rsid w:val="00BD24FA"/>
    <w:rsid w:val="00BD2A90"/>
    <w:rsid w:val="00BD4249"/>
    <w:rsid w:val="00BD4402"/>
    <w:rsid w:val="00BD4726"/>
    <w:rsid w:val="00BD4823"/>
    <w:rsid w:val="00BD53D9"/>
    <w:rsid w:val="00BD5525"/>
    <w:rsid w:val="00BD58D0"/>
    <w:rsid w:val="00BD73C7"/>
    <w:rsid w:val="00BE0AB8"/>
    <w:rsid w:val="00BE22E1"/>
    <w:rsid w:val="00BE2A26"/>
    <w:rsid w:val="00BE4E55"/>
    <w:rsid w:val="00BE5AE1"/>
    <w:rsid w:val="00BE5E0F"/>
    <w:rsid w:val="00BE5F73"/>
    <w:rsid w:val="00BE64DF"/>
    <w:rsid w:val="00BE682A"/>
    <w:rsid w:val="00BE6A35"/>
    <w:rsid w:val="00BF0E2D"/>
    <w:rsid w:val="00BF150B"/>
    <w:rsid w:val="00BF1AE8"/>
    <w:rsid w:val="00BF1C63"/>
    <w:rsid w:val="00BF2628"/>
    <w:rsid w:val="00BF2E0F"/>
    <w:rsid w:val="00BF380E"/>
    <w:rsid w:val="00BF4485"/>
    <w:rsid w:val="00BF712E"/>
    <w:rsid w:val="00C000BE"/>
    <w:rsid w:val="00C0048A"/>
    <w:rsid w:val="00C00E16"/>
    <w:rsid w:val="00C025FF"/>
    <w:rsid w:val="00C041FB"/>
    <w:rsid w:val="00C117E5"/>
    <w:rsid w:val="00C11A1F"/>
    <w:rsid w:val="00C12702"/>
    <w:rsid w:val="00C150A8"/>
    <w:rsid w:val="00C161F6"/>
    <w:rsid w:val="00C16479"/>
    <w:rsid w:val="00C1708D"/>
    <w:rsid w:val="00C17B0F"/>
    <w:rsid w:val="00C17B32"/>
    <w:rsid w:val="00C17CEF"/>
    <w:rsid w:val="00C22DB6"/>
    <w:rsid w:val="00C2353D"/>
    <w:rsid w:val="00C23920"/>
    <w:rsid w:val="00C248F1"/>
    <w:rsid w:val="00C24B7B"/>
    <w:rsid w:val="00C25269"/>
    <w:rsid w:val="00C3022B"/>
    <w:rsid w:val="00C31474"/>
    <w:rsid w:val="00C317C5"/>
    <w:rsid w:val="00C31E7A"/>
    <w:rsid w:val="00C329C4"/>
    <w:rsid w:val="00C33207"/>
    <w:rsid w:val="00C33EE8"/>
    <w:rsid w:val="00C344C8"/>
    <w:rsid w:val="00C35422"/>
    <w:rsid w:val="00C35747"/>
    <w:rsid w:val="00C3590E"/>
    <w:rsid w:val="00C3594B"/>
    <w:rsid w:val="00C36897"/>
    <w:rsid w:val="00C40AF5"/>
    <w:rsid w:val="00C41352"/>
    <w:rsid w:val="00C43C55"/>
    <w:rsid w:val="00C45214"/>
    <w:rsid w:val="00C46604"/>
    <w:rsid w:val="00C466AE"/>
    <w:rsid w:val="00C468C8"/>
    <w:rsid w:val="00C468EF"/>
    <w:rsid w:val="00C477DE"/>
    <w:rsid w:val="00C47B03"/>
    <w:rsid w:val="00C501AA"/>
    <w:rsid w:val="00C511D6"/>
    <w:rsid w:val="00C516F1"/>
    <w:rsid w:val="00C51E50"/>
    <w:rsid w:val="00C53624"/>
    <w:rsid w:val="00C53714"/>
    <w:rsid w:val="00C54466"/>
    <w:rsid w:val="00C54825"/>
    <w:rsid w:val="00C553C3"/>
    <w:rsid w:val="00C6143A"/>
    <w:rsid w:val="00C616C7"/>
    <w:rsid w:val="00C63095"/>
    <w:rsid w:val="00C650F6"/>
    <w:rsid w:val="00C65C41"/>
    <w:rsid w:val="00C668F5"/>
    <w:rsid w:val="00C705C5"/>
    <w:rsid w:val="00C706EF"/>
    <w:rsid w:val="00C707F4"/>
    <w:rsid w:val="00C7130C"/>
    <w:rsid w:val="00C7180D"/>
    <w:rsid w:val="00C72A27"/>
    <w:rsid w:val="00C72DCA"/>
    <w:rsid w:val="00C741D0"/>
    <w:rsid w:val="00C74673"/>
    <w:rsid w:val="00C75067"/>
    <w:rsid w:val="00C75305"/>
    <w:rsid w:val="00C80FF1"/>
    <w:rsid w:val="00C81307"/>
    <w:rsid w:val="00C81475"/>
    <w:rsid w:val="00C81D3C"/>
    <w:rsid w:val="00C81D42"/>
    <w:rsid w:val="00C827CE"/>
    <w:rsid w:val="00C82C76"/>
    <w:rsid w:val="00C83BC0"/>
    <w:rsid w:val="00C83C9B"/>
    <w:rsid w:val="00C856BD"/>
    <w:rsid w:val="00C858AC"/>
    <w:rsid w:val="00C86EE2"/>
    <w:rsid w:val="00C8705E"/>
    <w:rsid w:val="00C870B8"/>
    <w:rsid w:val="00C8791A"/>
    <w:rsid w:val="00C90928"/>
    <w:rsid w:val="00C91764"/>
    <w:rsid w:val="00C92751"/>
    <w:rsid w:val="00C92830"/>
    <w:rsid w:val="00C929BE"/>
    <w:rsid w:val="00C932DB"/>
    <w:rsid w:val="00C93D63"/>
    <w:rsid w:val="00C94609"/>
    <w:rsid w:val="00C947D6"/>
    <w:rsid w:val="00C9491C"/>
    <w:rsid w:val="00C94984"/>
    <w:rsid w:val="00C95051"/>
    <w:rsid w:val="00C96E65"/>
    <w:rsid w:val="00CA172C"/>
    <w:rsid w:val="00CA236E"/>
    <w:rsid w:val="00CA3151"/>
    <w:rsid w:val="00CA4CED"/>
    <w:rsid w:val="00CA68E5"/>
    <w:rsid w:val="00CA7946"/>
    <w:rsid w:val="00CB0030"/>
    <w:rsid w:val="00CB0F0B"/>
    <w:rsid w:val="00CB1243"/>
    <w:rsid w:val="00CB176C"/>
    <w:rsid w:val="00CB264F"/>
    <w:rsid w:val="00CB2D6E"/>
    <w:rsid w:val="00CB3415"/>
    <w:rsid w:val="00CB43A2"/>
    <w:rsid w:val="00CB4457"/>
    <w:rsid w:val="00CB61E4"/>
    <w:rsid w:val="00CB6C4A"/>
    <w:rsid w:val="00CB6DDA"/>
    <w:rsid w:val="00CC018E"/>
    <w:rsid w:val="00CC0479"/>
    <w:rsid w:val="00CC1AA4"/>
    <w:rsid w:val="00CC225C"/>
    <w:rsid w:val="00CC2526"/>
    <w:rsid w:val="00CC25D8"/>
    <w:rsid w:val="00CC346F"/>
    <w:rsid w:val="00CC3803"/>
    <w:rsid w:val="00CC4599"/>
    <w:rsid w:val="00CC4A1E"/>
    <w:rsid w:val="00CC4D47"/>
    <w:rsid w:val="00CC5427"/>
    <w:rsid w:val="00CC5EAF"/>
    <w:rsid w:val="00CD02B6"/>
    <w:rsid w:val="00CD02CF"/>
    <w:rsid w:val="00CD0A6D"/>
    <w:rsid w:val="00CD173D"/>
    <w:rsid w:val="00CD1DF2"/>
    <w:rsid w:val="00CD1FCC"/>
    <w:rsid w:val="00CD2A30"/>
    <w:rsid w:val="00CD2DA3"/>
    <w:rsid w:val="00CD3037"/>
    <w:rsid w:val="00CD306A"/>
    <w:rsid w:val="00CD48F0"/>
    <w:rsid w:val="00CD691D"/>
    <w:rsid w:val="00CE039D"/>
    <w:rsid w:val="00CE2361"/>
    <w:rsid w:val="00CE3B57"/>
    <w:rsid w:val="00CE3E64"/>
    <w:rsid w:val="00CE4A6A"/>
    <w:rsid w:val="00CE56DC"/>
    <w:rsid w:val="00CE57EB"/>
    <w:rsid w:val="00CF067C"/>
    <w:rsid w:val="00CF06CC"/>
    <w:rsid w:val="00CF0CCF"/>
    <w:rsid w:val="00CF1635"/>
    <w:rsid w:val="00CF2095"/>
    <w:rsid w:val="00CF275D"/>
    <w:rsid w:val="00CF296D"/>
    <w:rsid w:val="00CF2DBF"/>
    <w:rsid w:val="00CF2F69"/>
    <w:rsid w:val="00CF3103"/>
    <w:rsid w:val="00CF38F5"/>
    <w:rsid w:val="00CF3C83"/>
    <w:rsid w:val="00CF536B"/>
    <w:rsid w:val="00CF5DF3"/>
    <w:rsid w:val="00CF637D"/>
    <w:rsid w:val="00CF71A6"/>
    <w:rsid w:val="00D00483"/>
    <w:rsid w:val="00D00AC3"/>
    <w:rsid w:val="00D0127E"/>
    <w:rsid w:val="00D02E2D"/>
    <w:rsid w:val="00D03075"/>
    <w:rsid w:val="00D030C2"/>
    <w:rsid w:val="00D03634"/>
    <w:rsid w:val="00D05E9F"/>
    <w:rsid w:val="00D06EB2"/>
    <w:rsid w:val="00D1298D"/>
    <w:rsid w:val="00D137BA"/>
    <w:rsid w:val="00D13825"/>
    <w:rsid w:val="00D13CAE"/>
    <w:rsid w:val="00D13DA7"/>
    <w:rsid w:val="00D154B2"/>
    <w:rsid w:val="00D156DF"/>
    <w:rsid w:val="00D1587B"/>
    <w:rsid w:val="00D16816"/>
    <w:rsid w:val="00D17132"/>
    <w:rsid w:val="00D17DC5"/>
    <w:rsid w:val="00D2055D"/>
    <w:rsid w:val="00D20A18"/>
    <w:rsid w:val="00D2138D"/>
    <w:rsid w:val="00D22760"/>
    <w:rsid w:val="00D23966"/>
    <w:rsid w:val="00D23C7F"/>
    <w:rsid w:val="00D2451D"/>
    <w:rsid w:val="00D24FFF"/>
    <w:rsid w:val="00D26360"/>
    <w:rsid w:val="00D2667E"/>
    <w:rsid w:val="00D27901"/>
    <w:rsid w:val="00D30F45"/>
    <w:rsid w:val="00D31FDC"/>
    <w:rsid w:val="00D33CBA"/>
    <w:rsid w:val="00D356AF"/>
    <w:rsid w:val="00D410D7"/>
    <w:rsid w:val="00D4139C"/>
    <w:rsid w:val="00D4171D"/>
    <w:rsid w:val="00D43FED"/>
    <w:rsid w:val="00D450F8"/>
    <w:rsid w:val="00D4532B"/>
    <w:rsid w:val="00D4547C"/>
    <w:rsid w:val="00D4583C"/>
    <w:rsid w:val="00D4660A"/>
    <w:rsid w:val="00D477CF"/>
    <w:rsid w:val="00D50DB6"/>
    <w:rsid w:val="00D50F0F"/>
    <w:rsid w:val="00D51F07"/>
    <w:rsid w:val="00D52949"/>
    <w:rsid w:val="00D53783"/>
    <w:rsid w:val="00D53DAD"/>
    <w:rsid w:val="00D53F49"/>
    <w:rsid w:val="00D54927"/>
    <w:rsid w:val="00D55AE3"/>
    <w:rsid w:val="00D55C0D"/>
    <w:rsid w:val="00D56757"/>
    <w:rsid w:val="00D56D81"/>
    <w:rsid w:val="00D572FA"/>
    <w:rsid w:val="00D57C71"/>
    <w:rsid w:val="00D605AC"/>
    <w:rsid w:val="00D617A8"/>
    <w:rsid w:val="00D6239B"/>
    <w:rsid w:val="00D62660"/>
    <w:rsid w:val="00D62D25"/>
    <w:rsid w:val="00D6314D"/>
    <w:rsid w:val="00D64218"/>
    <w:rsid w:val="00D64E8E"/>
    <w:rsid w:val="00D65E91"/>
    <w:rsid w:val="00D6667B"/>
    <w:rsid w:val="00D66F4E"/>
    <w:rsid w:val="00D71E6C"/>
    <w:rsid w:val="00D71E81"/>
    <w:rsid w:val="00D728A3"/>
    <w:rsid w:val="00D739F1"/>
    <w:rsid w:val="00D7498E"/>
    <w:rsid w:val="00D74EA4"/>
    <w:rsid w:val="00D760DC"/>
    <w:rsid w:val="00D7678E"/>
    <w:rsid w:val="00D76A23"/>
    <w:rsid w:val="00D76BD7"/>
    <w:rsid w:val="00D77D9A"/>
    <w:rsid w:val="00D85B7E"/>
    <w:rsid w:val="00D86CA0"/>
    <w:rsid w:val="00D8755D"/>
    <w:rsid w:val="00D87E8A"/>
    <w:rsid w:val="00D87F60"/>
    <w:rsid w:val="00D90744"/>
    <w:rsid w:val="00D92C6B"/>
    <w:rsid w:val="00D92F69"/>
    <w:rsid w:val="00D93644"/>
    <w:rsid w:val="00D95D9D"/>
    <w:rsid w:val="00D966BF"/>
    <w:rsid w:val="00D96859"/>
    <w:rsid w:val="00DA054F"/>
    <w:rsid w:val="00DA0792"/>
    <w:rsid w:val="00DA0CC5"/>
    <w:rsid w:val="00DA18D1"/>
    <w:rsid w:val="00DA2B00"/>
    <w:rsid w:val="00DA2BA7"/>
    <w:rsid w:val="00DA36EE"/>
    <w:rsid w:val="00DA39E6"/>
    <w:rsid w:val="00DA3DF8"/>
    <w:rsid w:val="00DA49B2"/>
    <w:rsid w:val="00DB29B6"/>
    <w:rsid w:val="00DB47A1"/>
    <w:rsid w:val="00DC4FEC"/>
    <w:rsid w:val="00DC57DE"/>
    <w:rsid w:val="00DC5C20"/>
    <w:rsid w:val="00DC5F25"/>
    <w:rsid w:val="00DC78D9"/>
    <w:rsid w:val="00DC7CB4"/>
    <w:rsid w:val="00DD04FB"/>
    <w:rsid w:val="00DD2127"/>
    <w:rsid w:val="00DD57A6"/>
    <w:rsid w:val="00DD59AF"/>
    <w:rsid w:val="00DD5B6D"/>
    <w:rsid w:val="00DD7253"/>
    <w:rsid w:val="00DE164F"/>
    <w:rsid w:val="00DE350A"/>
    <w:rsid w:val="00DE3BD6"/>
    <w:rsid w:val="00DE4B82"/>
    <w:rsid w:val="00DE74D0"/>
    <w:rsid w:val="00DE76E2"/>
    <w:rsid w:val="00DF0692"/>
    <w:rsid w:val="00DF0B5B"/>
    <w:rsid w:val="00DF1350"/>
    <w:rsid w:val="00DF24E0"/>
    <w:rsid w:val="00DF4C84"/>
    <w:rsid w:val="00DF6195"/>
    <w:rsid w:val="00DF62E7"/>
    <w:rsid w:val="00DF6BA0"/>
    <w:rsid w:val="00DF6C6F"/>
    <w:rsid w:val="00DF7A41"/>
    <w:rsid w:val="00DF7CFB"/>
    <w:rsid w:val="00E000A0"/>
    <w:rsid w:val="00E00FD6"/>
    <w:rsid w:val="00E0557F"/>
    <w:rsid w:val="00E06130"/>
    <w:rsid w:val="00E1034C"/>
    <w:rsid w:val="00E10513"/>
    <w:rsid w:val="00E12455"/>
    <w:rsid w:val="00E1331B"/>
    <w:rsid w:val="00E13A46"/>
    <w:rsid w:val="00E13BAF"/>
    <w:rsid w:val="00E1674C"/>
    <w:rsid w:val="00E20F9A"/>
    <w:rsid w:val="00E22C51"/>
    <w:rsid w:val="00E238A7"/>
    <w:rsid w:val="00E23B8D"/>
    <w:rsid w:val="00E24221"/>
    <w:rsid w:val="00E2541B"/>
    <w:rsid w:val="00E254B7"/>
    <w:rsid w:val="00E27EA6"/>
    <w:rsid w:val="00E30BC6"/>
    <w:rsid w:val="00E3109F"/>
    <w:rsid w:val="00E310D7"/>
    <w:rsid w:val="00E312E0"/>
    <w:rsid w:val="00E3176C"/>
    <w:rsid w:val="00E31B80"/>
    <w:rsid w:val="00E31EE3"/>
    <w:rsid w:val="00E330DB"/>
    <w:rsid w:val="00E33392"/>
    <w:rsid w:val="00E3348A"/>
    <w:rsid w:val="00E34303"/>
    <w:rsid w:val="00E35ACF"/>
    <w:rsid w:val="00E36D60"/>
    <w:rsid w:val="00E37005"/>
    <w:rsid w:val="00E37B2B"/>
    <w:rsid w:val="00E405D1"/>
    <w:rsid w:val="00E417C9"/>
    <w:rsid w:val="00E43CCB"/>
    <w:rsid w:val="00E443DB"/>
    <w:rsid w:val="00E45804"/>
    <w:rsid w:val="00E466CD"/>
    <w:rsid w:val="00E47FE8"/>
    <w:rsid w:val="00E510AD"/>
    <w:rsid w:val="00E51B5E"/>
    <w:rsid w:val="00E533AB"/>
    <w:rsid w:val="00E540A3"/>
    <w:rsid w:val="00E543BC"/>
    <w:rsid w:val="00E55220"/>
    <w:rsid w:val="00E57665"/>
    <w:rsid w:val="00E57B40"/>
    <w:rsid w:val="00E60114"/>
    <w:rsid w:val="00E60454"/>
    <w:rsid w:val="00E606D2"/>
    <w:rsid w:val="00E645AF"/>
    <w:rsid w:val="00E64EDC"/>
    <w:rsid w:val="00E64F71"/>
    <w:rsid w:val="00E66C06"/>
    <w:rsid w:val="00E670F3"/>
    <w:rsid w:val="00E703D2"/>
    <w:rsid w:val="00E714D8"/>
    <w:rsid w:val="00E71705"/>
    <w:rsid w:val="00E72B43"/>
    <w:rsid w:val="00E746BC"/>
    <w:rsid w:val="00E74B10"/>
    <w:rsid w:val="00E753C1"/>
    <w:rsid w:val="00E762C0"/>
    <w:rsid w:val="00E76634"/>
    <w:rsid w:val="00E772FE"/>
    <w:rsid w:val="00E779CE"/>
    <w:rsid w:val="00E80DC4"/>
    <w:rsid w:val="00E80EC8"/>
    <w:rsid w:val="00E815FF"/>
    <w:rsid w:val="00E81CE9"/>
    <w:rsid w:val="00E82DB5"/>
    <w:rsid w:val="00E83470"/>
    <w:rsid w:val="00E85FA5"/>
    <w:rsid w:val="00E86BBE"/>
    <w:rsid w:val="00E87F4F"/>
    <w:rsid w:val="00E9093F"/>
    <w:rsid w:val="00E9135B"/>
    <w:rsid w:val="00E91763"/>
    <w:rsid w:val="00E92A15"/>
    <w:rsid w:val="00E93244"/>
    <w:rsid w:val="00E9350D"/>
    <w:rsid w:val="00E96F28"/>
    <w:rsid w:val="00EA175D"/>
    <w:rsid w:val="00EA1E8B"/>
    <w:rsid w:val="00EA37BF"/>
    <w:rsid w:val="00EA45D8"/>
    <w:rsid w:val="00EA4C27"/>
    <w:rsid w:val="00EA4DC7"/>
    <w:rsid w:val="00EA5516"/>
    <w:rsid w:val="00EA5649"/>
    <w:rsid w:val="00EA5ED8"/>
    <w:rsid w:val="00EA5F07"/>
    <w:rsid w:val="00EA5F28"/>
    <w:rsid w:val="00EA7D05"/>
    <w:rsid w:val="00EB0555"/>
    <w:rsid w:val="00EB0AE3"/>
    <w:rsid w:val="00EB2BDD"/>
    <w:rsid w:val="00EB3152"/>
    <w:rsid w:val="00EB46D5"/>
    <w:rsid w:val="00EB6A01"/>
    <w:rsid w:val="00EB79BF"/>
    <w:rsid w:val="00EC0A83"/>
    <w:rsid w:val="00EC23BB"/>
    <w:rsid w:val="00EC4A02"/>
    <w:rsid w:val="00EC4FA7"/>
    <w:rsid w:val="00EC5643"/>
    <w:rsid w:val="00EC6393"/>
    <w:rsid w:val="00EC69D2"/>
    <w:rsid w:val="00ED044A"/>
    <w:rsid w:val="00ED098B"/>
    <w:rsid w:val="00ED0E40"/>
    <w:rsid w:val="00ED1B23"/>
    <w:rsid w:val="00ED47B4"/>
    <w:rsid w:val="00ED4E83"/>
    <w:rsid w:val="00ED4EE2"/>
    <w:rsid w:val="00ED65AC"/>
    <w:rsid w:val="00ED6ACE"/>
    <w:rsid w:val="00ED78F4"/>
    <w:rsid w:val="00EE0AAC"/>
    <w:rsid w:val="00EE190A"/>
    <w:rsid w:val="00EE19C1"/>
    <w:rsid w:val="00EE1C31"/>
    <w:rsid w:val="00EE2418"/>
    <w:rsid w:val="00EE2BEB"/>
    <w:rsid w:val="00EE3202"/>
    <w:rsid w:val="00EE3409"/>
    <w:rsid w:val="00EE3862"/>
    <w:rsid w:val="00EE3E01"/>
    <w:rsid w:val="00EE4BF4"/>
    <w:rsid w:val="00EE540C"/>
    <w:rsid w:val="00EE6B13"/>
    <w:rsid w:val="00EE6C7B"/>
    <w:rsid w:val="00EE7073"/>
    <w:rsid w:val="00EE73B6"/>
    <w:rsid w:val="00EF0C60"/>
    <w:rsid w:val="00EF2554"/>
    <w:rsid w:val="00EF399E"/>
    <w:rsid w:val="00EF40FD"/>
    <w:rsid w:val="00EF4840"/>
    <w:rsid w:val="00EF4878"/>
    <w:rsid w:val="00EF59BC"/>
    <w:rsid w:val="00EF6278"/>
    <w:rsid w:val="00F0072E"/>
    <w:rsid w:val="00F0234E"/>
    <w:rsid w:val="00F03A11"/>
    <w:rsid w:val="00F0491A"/>
    <w:rsid w:val="00F049BE"/>
    <w:rsid w:val="00F04B4C"/>
    <w:rsid w:val="00F05315"/>
    <w:rsid w:val="00F115AA"/>
    <w:rsid w:val="00F12151"/>
    <w:rsid w:val="00F13632"/>
    <w:rsid w:val="00F13D1F"/>
    <w:rsid w:val="00F15F39"/>
    <w:rsid w:val="00F17A56"/>
    <w:rsid w:val="00F17EDD"/>
    <w:rsid w:val="00F20136"/>
    <w:rsid w:val="00F20D88"/>
    <w:rsid w:val="00F20EC9"/>
    <w:rsid w:val="00F21F49"/>
    <w:rsid w:val="00F23FC2"/>
    <w:rsid w:val="00F24350"/>
    <w:rsid w:val="00F24806"/>
    <w:rsid w:val="00F25434"/>
    <w:rsid w:val="00F260C4"/>
    <w:rsid w:val="00F26E24"/>
    <w:rsid w:val="00F26FE0"/>
    <w:rsid w:val="00F27660"/>
    <w:rsid w:val="00F2783D"/>
    <w:rsid w:val="00F329D7"/>
    <w:rsid w:val="00F34950"/>
    <w:rsid w:val="00F34F2D"/>
    <w:rsid w:val="00F35E3C"/>
    <w:rsid w:val="00F3677F"/>
    <w:rsid w:val="00F378CF"/>
    <w:rsid w:val="00F40208"/>
    <w:rsid w:val="00F409E9"/>
    <w:rsid w:val="00F413DD"/>
    <w:rsid w:val="00F413DE"/>
    <w:rsid w:val="00F417AD"/>
    <w:rsid w:val="00F4308C"/>
    <w:rsid w:val="00F43D74"/>
    <w:rsid w:val="00F442E9"/>
    <w:rsid w:val="00F444CE"/>
    <w:rsid w:val="00F4535F"/>
    <w:rsid w:val="00F45DD7"/>
    <w:rsid w:val="00F46147"/>
    <w:rsid w:val="00F469C4"/>
    <w:rsid w:val="00F46B53"/>
    <w:rsid w:val="00F47466"/>
    <w:rsid w:val="00F47BF0"/>
    <w:rsid w:val="00F47CC0"/>
    <w:rsid w:val="00F50329"/>
    <w:rsid w:val="00F51158"/>
    <w:rsid w:val="00F52187"/>
    <w:rsid w:val="00F54CE6"/>
    <w:rsid w:val="00F550DA"/>
    <w:rsid w:val="00F5631E"/>
    <w:rsid w:val="00F5652A"/>
    <w:rsid w:val="00F5783D"/>
    <w:rsid w:val="00F60FC5"/>
    <w:rsid w:val="00F615F2"/>
    <w:rsid w:val="00F61739"/>
    <w:rsid w:val="00F6277A"/>
    <w:rsid w:val="00F643BB"/>
    <w:rsid w:val="00F64B82"/>
    <w:rsid w:val="00F64E7C"/>
    <w:rsid w:val="00F65467"/>
    <w:rsid w:val="00F661D7"/>
    <w:rsid w:val="00F67CCB"/>
    <w:rsid w:val="00F71B0E"/>
    <w:rsid w:val="00F71E0A"/>
    <w:rsid w:val="00F72D20"/>
    <w:rsid w:val="00F736F5"/>
    <w:rsid w:val="00F73D5B"/>
    <w:rsid w:val="00F73F57"/>
    <w:rsid w:val="00F74108"/>
    <w:rsid w:val="00F747B4"/>
    <w:rsid w:val="00F74B74"/>
    <w:rsid w:val="00F754CC"/>
    <w:rsid w:val="00F75635"/>
    <w:rsid w:val="00F759D4"/>
    <w:rsid w:val="00F75F80"/>
    <w:rsid w:val="00F764B6"/>
    <w:rsid w:val="00F771F8"/>
    <w:rsid w:val="00F82CAD"/>
    <w:rsid w:val="00F859C1"/>
    <w:rsid w:val="00F85E84"/>
    <w:rsid w:val="00F875F1"/>
    <w:rsid w:val="00F877BE"/>
    <w:rsid w:val="00F90452"/>
    <w:rsid w:val="00F90721"/>
    <w:rsid w:val="00F91E79"/>
    <w:rsid w:val="00F9265A"/>
    <w:rsid w:val="00F94240"/>
    <w:rsid w:val="00F94BAE"/>
    <w:rsid w:val="00F96F2C"/>
    <w:rsid w:val="00F971B6"/>
    <w:rsid w:val="00F979C4"/>
    <w:rsid w:val="00FA1B64"/>
    <w:rsid w:val="00FA2156"/>
    <w:rsid w:val="00FA3769"/>
    <w:rsid w:val="00FA4320"/>
    <w:rsid w:val="00FA4531"/>
    <w:rsid w:val="00FA5BE5"/>
    <w:rsid w:val="00FA5E94"/>
    <w:rsid w:val="00FA6FA4"/>
    <w:rsid w:val="00FA701C"/>
    <w:rsid w:val="00FB06C1"/>
    <w:rsid w:val="00FB2927"/>
    <w:rsid w:val="00FB464B"/>
    <w:rsid w:val="00FB47D6"/>
    <w:rsid w:val="00FB4F4A"/>
    <w:rsid w:val="00FB5068"/>
    <w:rsid w:val="00FB5DE8"/>
    <w:rsid w:val="00FB70D8"/>
    <w:rsid w:val="00FB74B5"/>
    <w:rsid w:val="00FB75BC"/>
    <w:rsid w:val="00FC14DE"/>
    <w:rsid w:val="00FC24F6"/>
    <w:rsid w:val="00FC3233"/>
    <w:rsid w:val="00FC32FA"/>
    <w:rsid w:val="00FC350C"/>
    <w:rsid w:val="00FC48EF"/>
    <w:rsid w:val="00FC4A17"/>
    <w:rsid w:val="00FC4E16"/>
    <w:rsid w:val="00FC5113"/>
    <w:rsid w:val="00FC63BF"/>
    <w:rsid w:val="00FC6BE4"/>
    <w:rsid w:val="00FC6DB7"/>
    <w:rsid w:val="00FC749B"/>
    <w:rsid w:val="00FD0842"/>
    <w:rsid w:val="00FD0B6C"/>
    <w:rsid w:val="00FD3EB3"/>
    <w:rsid w:val="00FD6587"/>
    <w:rsid w:val="00FD65D2"/>
    <w:rsid w:val="00FD6C5B"/>
    <w:rsid w:val="00FD7208"/>
    <w:rsid w:val="00FD7C87"/>
    <w:rsid w:val="00FE0A6A"/>
    <w:rsid w:val="00FE0F35"/>
    <w:rsid w:val="00FE1046"/>
    <w:rsid w:val="00FE12FD"/>
    <w:rsid w:val="00FE1617"/>
    <w:rsid w:val="00FE16F4"/>
    <w:rsid w:val="00FE1A36"/>
    <w:rsid w:val="00FE232B"/>
    <w:rsid w:val="00FE2AC4"/>
    <w:rsid w:val="00FE31D6"/>
    <w:rsid w:val="00FE3327"/>
    <w:rsid w:val="00FE3AF2"/>
    <w:rsid w:val="00FE4BA8"/>
    <w:rsid w:val="00FE5598"/>
    <w:rsid w:val="00FE656C"/>
    <w:rsid w:val="00FE69C3"/>
    <w:rsid w:val="00FE7BA3"/>
    <w:rsid w:val="00FE7C90"/>
    <w:rsid w:val="00FF006F"/>
    <w:rsid w:val="00FF01A8"/>
    <w:rsid w:val="00FF0CEF"/>
    <w:rsid w:val="00FF1EA6"/>
    <w:rsid w:val="00FF30B6"/>
    <w:rsid w:val="00FF312E"/>
    <w:rsid w:val="00FF3A22"/>
    <w:rsid w:val="00FF42C7"/>
    <w:rsid w:val="00FF4B11"/>
    <w:rsid w:val="00FF4C30"/>
    <w:rsid w:val="00FF5386"/>
    <w:rsid w:val="00FF5575"/>
    <w:rsid w:val="00FF58EF"/>
    <w:rsid w:val="00FF5E55"/>
    <w:rsid w:val="00FF6470"/>
    <w:rsid w:val="00FF7635"/>
    <w:rsid w:val="00FF7692"/>
    <w:rsid w:val="01C11628"/>
    <w:rsid w:val="01DE57D4"/>
    <w:rsid w:val="02173D5F"/>
    <w:rsid w:val="028B5F4D"/>
    <w:rsid w:val="028E5282"/>
    <w:rsid w:val="02DC2C05"/>
    <w:rsid w:val="02F55C3C"/>
    <w:rsid w:val="02F7296B"/>
    <w:rsid w:val="036D34E4"/>
    <w:rsid w:val="038350BE"/>
    <w:rsid w:val="03961071"/>
    <w:rsid w:val="03AD125A"/>
    <w:rsid w:val="041161CF"/>
    <w:rsid w:val="04202E06"/>
    <w:rsid w:val="042237EA"/>
    <w:rsid w:val="04B85211"/>
    <w:rsid w:val="056E6490"/>
    <w:rsid w:val="05974257"/>
    <w:rsid w:val="05FF36F5"/>
    <w:rsid w:val="06181294"/>
    <w:rsid w:val="06AE5424"/>
    <w:rsid w:val="06C857C7"/>
    <w:rsid w:val="06E4103A"/>
    <w:rsid w:val="06FB7DF9"/>
    <w:rsid w:val="070457D8"/>
    <w:rsid w:val="072E0435"/>
    <w:rsid w:val="07342006"/>
    <w:rsid w:val="07AB365B"/>
    <w:rsid w:val="07EA3499"/>
    <w:rsid w:val="08770B8A"/>
    <w:rsid w:val="09B77FEF"/>
    <w:rsid w:val="09DA51D9"/>
    <w:rsid w:val="09DE4680"/>
    <w:rsid w:val="0B580D3D"/>
    <w:rsid w:val="0BD3354A"/>
    <w:rsid w:val="0C627BC6"/>
    <w:rsid w:val="0CB36F04"/>
    <w:rsid w:val="0D180878"/>
    <w:rsid w:val="0D272D35"/>
    <w:rsid w:val="0DFD103F"/>
    <w:rsid w:val="0E370220"/>
    <w:rsid w:val="0E5E7FDF"/>
    <w:rsid w:val="0E7E4827"/>
    <w:rsid w:val="0EC16A0A"/>
    <w:rsid w:val="0FB0474F"/>
    <w:rsid w:val="0FD72796"/>
    <w:rsid w:val="1057636D"/>
    <w:rsid w:val="10AD30C0"/>
    <w:rsid w:val="10E01AB7"/>
    <w:rsid w:val="10E3052A"/>
    <w:rsid w:val="10F2263F"/>
    <w:rsid w:val="1123100B"/>
    <w:rsid w:val="11573B28"/>
    <w:rsid w:val="118C0244"/>
    <w:rsid w:val="119A213A"/>
    <w:rsid w:val="129A0E2E"/>
    <w:rsid w:val="12F82D00"/>
    <w:rsid w:val="13365D31"/>
    <w:rsid w:val="135D699C"/>
    <w:rsid w:val="137141F5"/>
    <w:rsid w:val="137F7B64"/>
    <w:rsid w:val="13E55124"/>
    <w:rsid w:val="140F5B24"/>
    <w:rsid w:val="14A44FE9"/>
    <w:rsid w:val="14F50E56"/>
    <w:rsid w:val="153D4B0D"/>
    <w:rsid w:val="158C13DB"/>
    <w:rsid w:val="15902C5E"/>
    <w:rsid w:val="15BE4EA6"/>
    <w:rsid w:val="15D95ABA"/>
    <w:rsid w:val="16030E27"/>
    <w:rsid w:val="165A0DAE"/>
    <w:rsid w:val="16747D7A"/>
    <w:rsid w:val="16953ED5"/>
    <w:rsid w:val="16992586"/>
    <w:rsid w:val="17452E9C"/>
    <w:rsid w:val="176D1177"/>
    <w:rsid w:val="17944187"/>
    <w:rsid w:val="17E85CD2"/>
    <w:rsid w:val="18015B7C"/>
    <w:rsid w:val="182D6223"/>
    <w:rsid w:val="185470FB"/>
    <w:rsid w:val="18A52A18"/>
    <w:rsid w:val="18DC15AC"/>
    <w:rsid w:val="18F57676"/>
    <w:rsid w:val="197220DE"/>
    <w:rsid w:val="1A2E4BEE"/>
    <w:rsid w:val="1A4A5F14"/>
    <w:rsid w:val="1B0911B7"/>
    <w:rsid w:val="1B0970FC"/>
    <w:rsid w:val="1B1C0AB7"/>
    <w:rsid w:val="1B9C2B0C"/>
    <w:rsid w:val="1BEE25F7"/>
    <w:rsid w:val="1C222ABA"/>
    <w:rsid w:val="1C4A61AF"/>
    <w:rsid w:val="1C597F1C"/>
    <w:rsid w:val="1C705605"/>
    <w:rsid w:val="1D0641B0"/>
    <w:rsid w:val="1D646407"/>
    <w:rsid w:val="1D72653D"/>
    <w:rsid w:val="1DB9679F"/>
    <w:rsid w:val="1E1F741B"/>
    <w:rsid w:val="1E634988"/>
    <w:rsid w:val="1E7C1F60"/>
    <w:rsid w:val="1EAC053B"/>
    <w:rsid w:val="1EC520DA"/>
    <w:rsid w:val="1F5B28E8"/>
    <w:rsid w:val="1FF53A6C"/>
    <w:rsid w:val="202118DB"/>
    <w:rsid w:val="202B10AF"/>
    <w:rsid w:val="206448C4"/>
    <w:rsid w:val="21223285"/>
    <w:rsid w:val="220F4246"/>
    <w:rsid w:val="230B12EA"/>
    <w:rsid w:val="231D6AB6"/>
    <w:rsid w:val="23546D2B"/>
    <w:rsid w:val="23B3444A"/>
    <w:rsid w:val="23C77474"/>
    <w:rsid w:val="23DB633C"/>
    <w:rsid w:val="23DE20DC"/>
    <w:rsid w:val="2405196B"/>
    <w:rsid w:val="240B5FA0"/>
    <w:rsid w:val="241620EE"/>
    <w:rsid w:val="2433669C"/>
    <w:rsid w:val="24B11A43"/>
    <w:rsid w:val="24CC7259"/>
    <w:rsid w:val="24E90C72"/>
    <w:rsid w:val="25217B15"/>
    <w:rsid w:val="25AC27CD"/>
    <w:rsid w:val="25B3069D"/>
    <w:rsid w:val="26176830"/>
    <w:rsid w:val="26506A84"/>
    <w:rsid w:val="26561342"/>
    <w:rsid w:val="26923BE3"/>
    <w:rsid w:val="2696757D"/>
    <w:rsid w:val="269D5B87"/>
    <w:rsid w:val="270938BC"/>
    <w:rsid w:val="27487765"/>
    <w:rsid w:val="27CA0A48"/>
    <w:rsid w:val="28161DA2"/>
    <w:rsid w:val="28451740"/>
    <w:rsid w:val="28757B55"/>
    <w:rsid w:val="28A511B1"/>
    <w:rsid w:val="2959158C"/>
    <w:rsid w:val="29854FEC"/>
    <w:rsid w:val="29F30535"/>
    <w:rsid w:val="2A5A2EDB"/>
    <w:rsid w:val="2A5F123E"/>
    <w:rsid w:val="2A66461F"/>
    <w:rsid w:val="2A6B63EF"/>
    <w:rsid w:val="2A7137B4"/>
    <w:rsid w:val="2A93597E"/>
    <w:rsid w:val="2AB32FA1"/>
    <w:rsid w:val="2AD53AEA"/>
    <w:rsid w:val="2B0F26DF"/>
    <w:rsid w:val="2B18633F"/>
    <w:rsid w:val="2B9C2AAC"/>
    <w:rsid w:val="2BD52AAA"/>
    <w:rsid w:val="2BE9510C"/>
    <w:rsid w:val="2C0B24F1"/>
    <w:rsid w:val="2CC3583C"/>
    <w:rsid w:val="2CD13375"/>
    <w:rsid w:val="2D26708E"/>
    <w:rsid w:val="2D584691"/>
    <w:rsid w:val="2D717E14"/>
    <w:rsid w:val="2D7417C5"/>
    <w:rsid w:val="2E200FD3"/>
    <w:rsid w:val="2E43424D"/>
    <w:rsid w:val="2E8657FB"/>
    <w:rsid w:val="2EC17066"/>
    <w:rsid w:val="2EE32D07"/>
    <w:rsid w:val="2F59745A"/>
    <w:rsid w:val="2F67093B"/>
    <w:rsid w:val="2FA74419"/>
    <w:rsid w:val="2FBD76FB"/>
    <w:rsid w:val="2FDB0F1C"/>
    <w:rsid w:val="2FDC1BB4"/>
    <w:rsid w:val="300F11FB"/>
    <w:rsid w:val="30305381"/>
    <w:rsid w:val="30331C7C"/>
    <w:rsid w:val="309237F9"/>
    <w:rsid w:val="30D53BBD"/>
    <w:rsid w:val="311975EB"/>
    <w:rsid w:val="315077ED"/>
    <w:rsid w:val="316C266D"/>
    <w:rsid w:val="31A041CB"/>
    <w:rsid w:val="31D46956"/>
    <w:rsid w:val="31D503C8"/>
    <w:rsid w:val="31E013A8"/>
    <w:rsid w:val="32C0614C"/>
    <w:rsid w:val="32FC4F06"/>
    <w:rsid w:val="337640FC"/>
    <w:rsid w:val="33F11EF8"/>
    <w:rsid w:val="342B687A"/>
    <w:rsid w:val="34733EB0"/>
    <w:rsid w:val="347656B7"/>
    <w:rsid w:val="34A34F69"/>
    <w:rsid w:val="34B005CC"/>
    <w:rsid w:val="34DD15FF"/>
    <w:rsid w:val="35FE4B7A"/>
    <w:rsid w:val="363E2514"/>
    <w:rsid w:val="36446D6A"/>
    <w:rsid w:val="36DB4EFF"/>
    <w:rsid w:val="36DC2BF9"/>
    <w:rsid w:val="36EA0683"/>
    <w:rsid w:val="38177737"/>
    <w:rsid w:val="383450E2"/>
    <w:rsid w:val="38D8626A"/>
    <w:rsid w:val="39220CD4"/>
    <w:rsid w:val="3924052D"/>
    <w:rsid w:val="395509E8"/>
    <w:rsid w:val="39D0429E"/>
    <w:rsid w:val="39F76FF2"/>
    <w:rsid w:val="3A084061"/>
    <w:rsid w:val="3A282FB0"/>
    <w:rsid w:val="3A3000B7"/>
    <w:rsid w:val="3A7A655D"/>
    <w:rsid w:val="3A8478BC"/>
    <w:rsid w:val="3AA60945"/>
    <w:rsid w:val="3AC746E0"/>
    <w:rsid w:val="3AD9637F"/>
    <w:rsid w:val="3AEB65AF"/>
    <w:rsid w:val="3AF11BD6"/>
    <w:rsid w:val="3AF960F2"/>
    <w:rsid w:val="3AFC7CC0"/>
    <w:rsid w:val="3B3933FA"/>
    <w:rsid w:val="3B92444F"/>
    <w:rsid w:val="3BAF50A6"/>
    <w:rsid w:val="3BB97329"/>
    <w:rsid w:val="3BC65B0A"/>
    <w:rsid w:val="3BDC3F46"/>
    <w:rsid w:val="3BEB2AF8"/>
    <w:rsid w:val="3C077D76"/>
    <w:rsid w:val="3C34731D"/>
    <w:rsid w:val="3C6F15CA"/>
    <w:rsid w:val="3C7F70D3"/>
    <w:rsid w:val="3C842CE6"/>
    <w:rsid w:val="3C874E4D"/>
    <w:rsid w:val="3CBA2DB5"/>
    <w:rsid w:val="3CDC448E"/>
    <w:rsid w:val="3CF257A2"/>
    <w:rsid w:val="3D05458F"/>
    <w:rsid w:val="3D165F4D"/>
    <w:rsid w:val="3D1B2B97"/>
    <w:rsid w:val="3D50024B"/>
    <w:rsid w:val="3D60231E"/>
    <w:rsid w:val="3D7C52F9"/>
    <w:rsid w:val="3DEA1B3A"/>
    <w:rsid w:val="3ECE6BF5"/>
    <w:rsid w:val="3F516222"/>
    <w:rsid w:val="3F632996"/>
    <w:rsid w:val="3F802EF7"/>
    <w:rsid w:val="3FD84101"/>
    <w:rsid w:val="40315F6B"/>
    <w:rsid w:val="40CD5FD0"/>
    <w:rsid w:val="41706254"/>
    <w:rsid w:val="417C6EDD"/>
    <w:rsid w:val="41853359"/>
    <w:rsid w:val="418C037D"/>
    <w:rsid w:val="41D56D4F"/>
    <w:rsid w:val="420673B7"/>
    <w:rsid w:val="420A43C0"/>
    <w:rsid w:val="420A6D94"/>
    <w:rsid w:val="4210636D"/>
    <w:rsid w:val="423E03C4"/>
    <w:rsid w:val="42575AF0"/>
    <w:rsid w:val="42B80EA4"/>
    <w:rsid w:val="43074FE4"/>
    <w:rsid w:val="43152960"/>
    <w:rsid w:val="43413E3A"/>
    <w:rsid w:val="43A41496"/>
    <w:rsid w:val="440B2FA4"/>
    <w:rsid w:val="441A5F83"/>
    <w:rsid w:val="442D40CA"/>
    <w:rsid w:val="44987B1F"/>
    <w:rsid w:val="44C63003"/>
    <w:rsid w:val="45244CBC"/>
    <w:rsid w:val="452D77C9"/>
    <w:rsid w:val="456308BC"/>
    <w:rsid w:val="45985A35"/>
    <w:rsid w:val="46052DA1"/>
    <w:rsid w:val="461778B5"/>
    <w:rsid w:val="462F64D4"/>
    <w:rsid w:val="46D143BA"/>
    <w:rsid w:val="46F76B85"/>
    <w:rsid w:val="475E6EEB"/>
    <w:rsid w:val="479A0442"/>
    <w:rsid w:val="479B0A45"/>
    <w:rsid w:val="484F7B9C"/>
    <w:rsid w:val="48512CF3"/>
    <w:rsid w:val="48540E7C"/>
    <w:rsid w:val="48C5744D"/>
    <w:rsid w:val="48F44CE2"/>
    <w:rsid w:val="4912716D"/>
    <w:rsid w:val="49B51920"/>
    <w:rsid w:val="4A1344F7"/>
    <w:rsid w:val="4A965D14"/>
    <w:rsid w:val="4B243D50"/>
    <w:rsid w:val="4BA97CC9"/>
    <w:rsid w:val="4C18437E"/>
    <w:rsid w:val="4C3B3389"/>
    <w:rsid w:val="4C482282"/>
    <w:rsid w:val="4CB96B38"/>
    <w:rsid w:val="4CED2244"/>
    <w:rsid w:val="4CF876A2"/>
    <w:rsid w:val="4CFE5DF2"/>
    <w:rsid w:val="4D070456"/>
    <w:rsid w:val="4D0C141B"/>
    <w:rsid w:val="4D2770F7"/>
    <w:rsid w:val="4D951676"/>
    <w:rsid w:val="4DC26F73"/>
    <w:rsid w:val="4E127E5B"/>
    <w:rsid w:val="4E6040BC"/>
    <w:rsid w:val="4E605DCE"/>
    <w:rsid w:val="4E9274EB"/>
    <w:rsid w:val="4E962427"/>
    <w:rsid w:val="4EC903B6"/>
    <w:rsid w:val="4F42646A"/>
    <w:rsid w:val="4F611EB4"/>
    <w:rsid w:val="502213EB"/>
    <w:rsid w:val="509B70E8"/>
    <w:rsid w:val="50C42818"/>
    <w:rsid w:val="50FC2166"/>
    <w:rsid w:val="5109613B"/>
    <w:rsid w:val="51497AB9"/>
    <w:rsid w:val="51C27C43"/>
    <w:rsid w:val="51FF6118"/>
    <w:rsid w:val="52467917"/>
    <w:rsid w:val="52CD0AAA"/>
    <w:rsid w:val="52F47D38"/>
    <w:rsid w:val="53491A98"/>
    <w:rsid w:val="537C5C4C"/>
    <w:rsid w:val="53B306DC"/>
    <w:rsid w:val="53BA03E3"/>
    <w:rsid w:val="541019B2"/>
    <w:rsid w:val="543B125C"/>
    <w:rsid w:val="547370C6"/>
    <w:rsid w:val="54B777B7"/>
    <w:rsid w:val="54DD1D76"/>
    <w:rsid w:val="54DE2F59"/>
    <w:rsid w:val="550010C9"/>
    <w:rsid w:val="551522B7"/>
    <w:rsid w:val="55256612"/>
    <w:rsid w:val="55575EFE"/>
    <w:rsid w:val="558570B1"/>
    <w:rsid w:val="55A84165"/>
    <w:rsid w:val="55D67578"/>
    <w:rsid w:val="56C86CD9"/>
    <w:rsid w:val="56C87298"/>
    <w:rsid w:val="574B3C2E"/>
    <w:rsid w:val="574C52EA"/>
    <w:rsid w:val="57544F8D"/>
    <w:rsid w:val="57D93498"/>
    <w:rsid w:val="58201313"/>
    <w:rsid w:val="58B46561"/>
    <w:rsid w:val="58CF5213"/>
    <w:rsid w:val="58EB06F0"/>
    <w:rsid w:val="58F644AA"/>
    <w:rsid w:val="594A1861"/>
    <w:rsid w:val="59A57D21"/>
    <w:rsid w:val="59DC33C9"/>
    <w:rsid w:val="59F40D0A"/>
    <w:rsid w:val="5A3D1D1B"/>
    <w:rsid w:val="5A547003"/>
    <w:rsid w:val="5A634913"/>
    <w:rsid w:val="5AB06EE3"/>
    <w:rsid w:val="5AD45C89"/>
    <w:rsid w:val="5AF21B1B"/>
    <w:rsid w:val="5B07641E"/>
    <w:rsid w:val="5B62364B"/>
    <w:rsid w:val="5BD14DA8"/>
    <w:rsid w:val="5BF84571"/>
    <w:rsid w:val="5C38160B"/>
    <w:rsid w:val="5CDD5420"/>
    <w:rsid w:val="5D380EAD"/>
    <w:rsid w:val="5D8B3D4D"/>
    <w:rsid w:val="5E630E11"/>
    <w:rsid w:val="5EA21991"/>
    <w:rsid w:val="5EBD78BB"/>
    <w:rsid w:val="5EC43D52"/>
    <w:rsid w:val="5EC97FDF"/>
    <w:rsid w:val="5EFE300C"/>
    <w:rsid w:val="5F265461"/>
    <w:rsid w:val="5FB66E1B"/>
    <w:rsid w:val="5FBB111A"/>
    <w:rsid w:val="602947D5"/>
    <w:rsid w:val="60CB47D9"/>
    <w:rsid w:val="61626EA1"/>
    <w:rsid w:val="61634CEE"/>
    <w:rsid w:val="62127D6D"/>
    <w:rsid w:val="62143C96"/>
    <w:rsid w:val="624A1A9D"/>
    <w:rsid w:val="62EE44E7"/>
    <w:rsid w:val="632C5010"/>
    <w:rsid w:val="633839C1"/>
    <w:rsid w:val="635F3000"/>
    <w:rsid w:val="63A24A17"/>
    <w:rsid w:val="63BA1F16"/>
    <w:rsid w:val="648755BC"/>
    <w:rsid w:val="64E20497"/>
    <w:rsid w:val="65040840"/>
    <w:rsid w:val="650A4D0F"/>
    <w:rsid w:val="651637E0"/>
    <w:rsid w:val="6546583B"/>
    <w:rsid w:val="65734661"/>
    <w:rsid w:val="65A1504D"/>
    <w:rsid w:val="65BA57D9"/>
    <w:rsid w:val="65BE4FD3"/>
    <w:rsid w:val="65DF0D7A"/>
    <w:rsid w:val="661748E0"/>
    <w:rsid w:val="66185286"/>
    <w:rsid w:val="66B47F96"/>
    <w:rsid w:val="66C426AE"/>
    <w:rsid w:val="66FC2049"/>
    <w:rsid w:val="675F58FD"/>
    <w:rsid w:val="67BD320B"/>
    <w:rsid w:val="680C547B"/>
    <w:rsid w:val="686E229F"/>
    <w:rsid w:val="6887773A"/>
    <w:rsid w:val="68B86421"/>
    <w:rsid w:val="68B875A6"/>
    <w:rsid w:val="6941041F"/>
    <w:rsid w:val="6A0B2918"/>
    <w:rsid w:val="6A6D5061"/>
    <w:rsid w:val="6B5275DD"/>
    <w:rsid w:val="6B6C069F"/>
    <w:rsid w:val="6B6F2366"/>
    <w:rsid w:val="6B7D3BB0"/>
    <w:rsid w:val="6B885A34"/>
    <w:rsid w:val="6CBB0A42"/>
    <w:rsid w:val="6CFC22DB"/>
    <w:rsid w:val="6D001733"/>
    <w:rsid w:val="6D090C74"/>
    <w:rsid w:val="6D547FF6"/>
    <w:rsid w:val="6DC85344"/>
    <w:rsid w:val="6E0A4F6F"/>
    <w:rsid w:val="6E444DF2"/>
    <w:rsid w:val="6E663ACB"/>
    <w:rsid w:val="6E767EF1"/>
    <w:rsid w:val="6EE31E36"/>
    <w:rsid w:val="6F43671D"/>
    <w:rsid w:val="6FB2689C"/>
    <w:rsid w:val="6FFA242C"/>
    <w:rsid w:val="701B2694"/>
    <w:rsid w:val="709F3245"/>
    <w:rsid w:val="70A21896"/>
    <w:rsid w:val="70CE5C34"/>
    <w:rsid w:val="70F5350B"/>
    <w:rsid w:val="713F4804"/>
    <w:rsid w:val="715C2135"/>
    <w:rsid w:val="719C68F6"/>
    <w:rsid w:val="71AE1C4D"/>
    <w:rsid w:val="71DA3437"/>
    <w:rsid w:val="71E00F5D"/>
    <w:rsid w:val="71E1551C"/>
    <w:rsid w:val="720B3347"/>
    <w:rsid w:val="7226007F"/>
    <w:rsid w:val="725B0E16"/>
    <w:rsid w:val="72625275"/>
    <w:rsid w:val="729329B5"/>
    <w:rsid w:val="72C138B3"/>
    <w:rsid w:val="736D4262"/>
    <w:rsid w:val="73886EE8"/>
    <w:rsid w:val="739778EE"/>
    <w:rsid w:val="73A25EC5"/>
    <w:rsid w:val="73CC0E7F"/>
    <w:rsid w:val="73D04E0A"/>
    <w:rsid w:val="73FE10AC"/>
    <w:rsid w:val="747E3C82"/>
    <w:rsid w:val="748208B6"/>
    <w:rsid w:val="748808A3"/>
    <w:rsid w:val="74A0259C"/>
    <w:rsid w:val="74BB4730"/>
    <w:rsid w:val="74D01F15"/>
    <w:rsid w:val="750E27C7"/>
    <w:rsid w:val="7535509A"/>
    <w:rsid w:val="757F42DA"/>
    <w:rsid w:val="7593325C"/>
    <w:rsid w:val="75A63C71"/>
    <w:rsid w:val="75BC2223"/>
    <w:rsid w:val="75C051C1"/>
    <w:rsid w:val="761E5A91"/>
    <w:rsid w:val="762252A0"/>
    <w:rsid w:val="76B8728A"/>
    <w:rsid w:val="773E756E"/>
    <w:rsid w:val="77972D43"/>
    <w:rsid w:val="77DB0F37"/>
    <w:rsid w:val="77FE64D0"/>
    <w:rsid w:val="78016613"/>
    <w:rsid w:val="780C605D"/>
    <w:rsid w:val="78230B58"/>
    <w:rsid w:val="785457A3"/>
    <w:rsid w:val="78693D2C"/>
    <w:rsid w:val="78973A12"/>
    <w:rsid w:val="78DB6E64"/>
    <w:rsid w:val="78E13B0D"/>
    <w:rsid w:val="78EF18A8"/>
    <w:rsid w:val="78F8561F"/>
    <w:rsid w:val="790B7E5A"/>
    <w:rsid w:val="791A4064"/>
    <w:rsid w:val="79214124"/>
    <w:rsid w:val="793D1708"/>
    <w:rsid w:val="79874F95"/>
    <w:rsid w:val="79A845C3"/>
    <w:rsid w:val="79BC0A44"/>
    <w:rsid w:val="79CB0C87"/>
    <w:rsid w:val="79E03E89"/>
    <w:rsid w:val="79F21A74"/>
    <w:rsid w:val="79F3650F"/>
    <w:rsid w:val="7A960A70"/>
    <w:rsid w:val="7AAA2BEA"/>
    <w:rsid w:val="7AC44BD2"/>
    <w:rsid w:val="7ADA450E"/>
    <w:rsid w:val="7ADE632A"/>
    <w:rsid w:val="7AE27664"/>
    <w:rsid w:val="7B243E99"/>
    <w:rsid w:val="7B6B6B32"/>
    <w:rsid w:val="7B7B66DC"/>
    <w:rsid w:val="7BB523AE"/>
    <w:rsid w:val="7C4367C4"/>
    <w:rsid w:val="7CCC4787"/>
    <w:rsid w:val="7D200846"/>
    <w:rsid w:val="7D2859C3"/>
    <w:rsid w:val="7D3E79C1"/>
    <w:rsid w:val="7D982F4B"/>
    <w:rsid w:val="7DB26C64"/>
    <w:rsid w:val="7E56446E"/>
    <w:rsid w:val="7E654371"/>
    <w:rsid w:val="7E7321B0"/>
    <w:rsid w:val="7E854859"/>
    <w:rsid w:val="7E867872"/>
    <w:rsid w:val="7E891110"/>
    <w:rsid w:val="7EEC37A0"/>
    <w:rsid w:val="7F320790"/>
    <w:rsid w:val="7F3A4409"/>
    <w:rsid w:val="7FAF40C1"/>
    <w:rsid w:val="7FE54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8"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30"/>
    <w:qFormat/>
    <w:uiPriority w:val="99"/>
    <w:pPr>
      <w:spacing w:before="260" w:after="260"/>
      <w:ind w:left="576" w:hanging="576"/>
      <w:jc w:val="left"/>
      <w:outlineLvl w:val="1"/>
    </w:pPr>
    <w:rPr>
      <w:rFonts w:ascii="华文细黑" w:hAnsi="Arial" w:eastAsia="华文细黑"/>
      <w:b/>
      <w:bCs/>
      <w:kern w:val="0"/>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ó×.2" w:hAnsi="Times New Roman" w:eastAsia="ó×.2" w:cs="ó×.2"/>
      <w:color w:val="000000"/>
      <w:sz w:val="24"/>
      <w:szCs w:val="24"/>
      <w:lang w:val="en-US" w:eastAsia="zh-CN" w:bidi="ar-SA"/>
    </w:rPr>
  </w:style>
  <w:style w:type="paragraph" w:styleId="7">
    <w:name w:val="Normal Indent"/>
    <w:basedOn w:val="1"/>
    <w:next w:val="1"/>
    <w:unhideWhenUsed/>
    <w:qFormat/>
    <w:uiPriority w:val="99"/>
    <w:pPr>
      <w:ind w:firstLine="420" w:firstLineChars="200"/>
    </w:pPr>
    <w:rPr>
      <w:rFonts w:ascii="Calibri" w:hAnsi="Calibri"/>
    </w:rPr>
  </w:style>
  <w:style w:type="paragraph" w:styleId="8">
    <w:name w:val="caption"/>
    <w:basedOn w:val="1"/>
    <w:next w:val="1"/>
    <w:qFormat/>
    <w:uiPriority w:val="35"/>
    <w:rPr>
      <w:rFonts w:ascii="Arial" w:hAnsi="Arial" w:eastAsia="黑体" w:cs="Arial"/>
      <w:sz w:val="20"/>
    </w:rPr>
  </w:style>
  <w:style w:type="paragraph" w:styleId="9">
    <w:name w:val="toa heading"/>
    <w:basedOn w:val="1"/>
    <w:next w:val="1"/>
    <w:qFormat/>
    <w:uiPriority w:val="0"/>
    <w:rPr>
      <w:rFonts w:ascii="Arial" w:hAnsi="Arial"/>
      <w:b/>
      <w:bCs/>
    </w:r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tabs>
        <w:tab w:val="left" w:pos="567"/>
      </w:tabs>
      <w:spacing w:before="120" w:line="22" w:lineRule="atLeast"/>
    </w:pPr>
    <w:rPr>
      <w:rFonts w:ascii="宋体" w:hAnsi="宋体"/>
      <w:sz w:val="24"/>
    </w:rPr>
  </w:style>
  <w:style w:type="paragraph" w:styleId="12">
    <w:name w:val="Body Text Indent"/>
    <w:basedOn w:val="1"/>
    <w:link w:val="35"/>
    <w:unhideWhenUsed/>
    <w:qFormat/>
    <w:uiPriority w:val="99"/>
    <w:pPr>
      <w:ind w:firstLine="630"/>
    </w:pPr>
    <w:rPr>
      <w:rFonts w:eastAsia="楷体_GB2312"/>
      <w:kern w:val="0"/>
      <w:sz w:val="30"/>
      <w:szCs w:val="30"/>
    </w:r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line="360" w:lineRule="auto"/>
      <w:ind w:firstLine="570"/>
    </w:pPr>
    <w:rPr>
      <w:rFonts w:ascii="宋体" w:hAnsi="宋体"/>
      <w:iCs/>
      <w:sz w:val="28"/>
      <w:szCs w:val="20"/>
    </w:rPr>
  </w:style>
  <w:style w:type="paragraph" w:styleId="15">
    <w:name w:val="Balloon Text"/>
    <w:basedOn w:val="1"/>
    <w:link w:val="52"/>
    <w:semiHidden/>
    <w:unhideWhenUsed/>
    <w:qFormat/>
    <w:uiPriority w:val="99"/>
    <w:rPr>
      <w:sz w:val="18"/>
      <w:szCs w:val="18"/>
    </w:rPr>
  </w:style>
  <w:style w:type="paragraph" w:styleId="16">
    <w:name w:val="footer"/>
    <w:basedOn w:val="1"/>
    <w:link w:val="38"/>
    <w:unhideWhenUsed/>
    <w:qFormat/>
    <w:uiPriority w:val="99"/>
    <w:pPr>
      <w:snapToGrid w:val="0"/>
      <w:jc w:val="left"/>
    </w:pPr>
    <w:rPr>
      <w:kern w:val="0"/>
      <w:sz w:val="18"/>
      <w:szCs w:val="18"/>
    </w:rPr>
  </w:style>
  <w:style w:type="paragraph" w:styleId="1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unhideWhenUsed/>
    <w:qFormat/>
    <w:uiPriority w:val="39"/>
  </w:style>
  <w:style w:type="paragraph" w:styleId="19">
    <w:name w:val="footnote text"/>
    <w:basedOn w:val="1"/>
    <w:qFormat/>
    <w:uiPriority w:val="0"/>
    <w:pPr>
      <w:snapToGrid w:val="0"/>
      <w:jc w:val="left"/>
    </w:pPr>
    <w:rPr>
      <w:sz w:val="18"/>
    </w:rPr>
  </w:style>
  <w:style w:type="paragraph" w:styleId="20">
    <w:name w:val="Body Text Indent 3"/>
    <w:basedOn w:val="1"/>
    <w:link w:val="31"/>
    <w:unhideWhenUsed/>
    <w:qFormat/>
    <w:uiPriority w:val="99"/>
    <w:pPr>
      <w:spacing w:line="440" w:lineRule="exact"/>
      <w:ind w:firstLine="412" w:firstLineChars="200"/>
    </w:pPr>
    <w:rPr>
      <w:rFonts w:ascii="宋体" w:hAnsi="宋体"/>
      <w:kern w:val="0"/>
      <w:sz w:val="20"/>
      <w:szCs w:val="20"/>
    </w:rPr>
  </w:style>
  <w:style w:type="paragraph" w:styleId="21">
    <w:name w:val="toc 2"/>
    <w:basedOn w:val="1"/>
    <w:next w:val="1"/>
    <w:semiHidden/>
    <w:unhideWhenUsed/>
    <w:qFormat/>
    <w:uiPriority w:val="39"/>
    <w:pPr>
      <w:ind w:left="420" w:leftChars="200"/>
    </w:pPr>
  </w:style>
  <w:style w:type="paragraph" w:styleId="22">
    <w:name w:val="Normal (Web)"/>
    <w:basedOn w:val="1"/>
    <w:qFormat/>
    <w:uiPriority w:val="99"/>
    <w:pPr>
      <w:spacing w:before="100" w:beforeAutospacing="1" w:after="100" w:afterAutospacing="1"/>
    </w:pPr>
    <w:rPr>
      <w:rFonts w:ascii="宋体" w:hAnsi="宋体"/>
      <w:kern w:val="1"/>
      <w:sz w:val="24"/>
      <w:szCs w:val="20"/>
    </w:rPr>
  </w:style>
  <w:style w:type="paragraph" w:styleId="23">
    <w:name w:val="Body Text First Indent 2"/>
    <w:basedOn w:val="12"/>
    <w:qFormat/>
    <w:uiPriority w:val="0"/>
    <w:pPr>
      <w:ind w:left="0" w:leftChars="0" w:firstLine="210"/>
    </w:pPr>
    <w:rPr>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kern w:val="0"/>
      <w:sz w:val="20"/>
      <w:lang w:val="en-US" w:eastAsia="zh-CN" w:bidi="ar-SA"/>
    </w:rPr>
  </w:style>
  <w:style w:type="character" w:styleId="28">
    <w:name w:val="FollowedHyperlink"/>
    <w:basedOn w:val="26"/>
    <w:unhideWhenUsed/>
    <w:qFormat/>
    <w:uiPriority w:val="99"/>
    <w:rPr>
      <w:color w:val="800080"/>
      <w:u w:val="single"/>
    </w:rPr>
  </w:style>
  <w:style w:type="character" w:styleId="29">
    <w:name w:val="Hyperlink"/>
    <w:basedOn w:val="26"/>
    <w:unhideWhenUsed/>
    <w:qFormat/>
    <w:uiPriority w:val="99"/>
    <w:rPr>
      <w:color w:val="0000FF"/>
      <w:u w:val="single"/>
    </w:rPr>
  </w:style>
  <w:style w:type="character" w:customStyle="1" w:styleId="30">
    <w:name w:val="标题 2 Char"/>
    <w:basedOn w:val="26"/>
    <w:link w:val="4"/>
    <w:qFormat/>
    <w:uiPriority w:val="99"/>
    <w:rPr>
      <w:rFonts w:ascii="华文细黑" w:hAnsi="Arial" w:eastAsia="华文细黑" w:cs="Times New Roman"/>
      <w:b/>
      <w:bCs/>
      <w:kern w:val="0"/>
      <w:sz w:val="44"/>
      <w:szCs w:val="44"/>
    </w:rPr>
  </w:style>
  <w:style w:type="character" w:customStyle="1" w:styleId="31">
    <w:name w:val="正文文本缩进 3 Char"/>
    <w:basedOn w:val="26"/>
    <w:link w:val="20"/>
    <w:qFormat/>
    <w:uiPriority w:val="99"/>
    <w:rPr>
      <w:rFonts w:ascii="宋体" w:hAnsi="宋体" w:eastAsia="宋体" w:cs="Times New Roman"/>
      <w:kern w:val="0"/>
      <w:sz w:val="20"/>
      <w:szCs w:val="20"/>
    </w:rPr>
  </w:style>
  <w:style w:type="paragraph" w:customStyle="1" w:styleId="32">
    <w:name w:val="列出段落1"/>
    <w:basedOn w:val="1"/>
    <w:qFormat/>
    <w:uiPriority w:val="0"/>
    <w:pPr>
      <w:ind w:firstLine="420" w:firstLineChars="200"/>
    </w:pPr>
  </w:style>
  <w:style w:type="paragraph" w:customStyle="1" w:styleId="33">
    <w:name w:val="_Style 1"/>
    <w:basedOn w:val="1"/>
    <w:qFormat/>
    <w:uiPriority w:val="0"/>
    <w:pPr>
      <w:widowControl/>
      <w:adjustRightInd w:val="0"/>
      <w:snapToGrid w:val="0"/>
      <w:jc w:val="left"/>
    </w:pPr>
    <w:rPr>
      <w:rFonts w:ascii="Tahoma" w:hAnsi="Tahoma"/>
      <w:kern w:val="0"/>
      <w:sz w:val="22"/>
      <w:szCs w:val="22"/>
    </w:rPr>
  </w:style>
  <w:style w:type="paragraph" w:customStyle="1" w:styleId="34">
    <w:name w:val="列出段落2"/>
    <w:basedOn w:val="1"/>
    <w:semiHidden/>
    <w:qFormat/>
    <w:uiPriority w:val="0"/>
    <w:pPr>
      <w:ind w:firstLine="420" w:firstLineChars="200"/>
    </w:pPr>
  </w:style>
  <w:style w:type="character" w:customStyle="1" w:styleId="35">
    <w:name w:val="正文文本缩进 Char"/>
    <w:basedOn w:val="26"/>
    <w:link w:val="12"/>
    <w:qFormat/>
    <w:uiPriority w:val="99"/>
    <w:rPr>
      <w:rFonts w:ascii="Times New Roman" w:hAnsi="Times New Roman" w:eastAsia="楷体_GB2312" w:cs="Times New Roman"/>
      <w:kern w:val="0"/>
      <w:sz w:val="30"/>
      <w:szCs w:val="30"/>
    </w:rPr>
  </w:style>
  <w:style w:type="paragraph" w:customStyle="1" w:styleId="36">
    <w:name w:val="List Paragraph1"/>
    <w:basedOn w:val="1"/>
    <w:qFormat/>
    <w:uiPriority w:val="0"/>
    <w:pPr>
      <w:ind w:firstLine="420" w:firstLineChars="200"/>
    </w:pPr>
  </w:style>
  <w:style w:type="paragraph" w:customStyle="1" w:styleId="37">
    <w:name w:val="Text"/>
    <w:basedOn w:val="1"/>
    <w:qFormat/>
    <w:uiPriority w:val="0"/>
    <w:pPr>
      <w:widowControl/>
      <w:spacing w:before="120" w:after="240"/>
      <w:outlineLvl w:val="1"/>
    </w:pPr>
    <w:rPr>
      <w:rFonts w:ascii="Arial" w:hAnsi="Arial"/>
      <w:kern w:val="28"/>
      <w:sz w:val="20"/>
      <w:szCs w:val="20"/>
    </w:rPr>
  </w:style>
  <w:style w:type="character" w:customStyle="1" w:styleId="38">
    <w:name w:val="页脚 Char"/>
    <w:basedOn w:val="26"/>
    <w:link w:val="16"/>
    <w:qFormat/>
    <w:uiPriority w:val="99"/>
    <w:rPr>
      <w:rFonts w:ascii="Times New Roman" w:hAnsi="Times New Roman" w:eastAsia="宋体" w:cs="Times New Roman"/>
      <w:kern w:val="0"/>
      <w:sz w:val="18"/>
      <w:szCs w:val="18"/>
    </w:rPr>
  </w:style>
  <w:style w:type="character" w:customStyle="1" w:styleId="39">
    <w:name w:val="15"/>
    <w:basedOn w:val="26"/>
    <w:qFormat/>
    <w:uiPriority w:val="0"/>
    <w:rPr>
      <w:rFonts w:hint="default" w:ascii="Times New Roman" w:hAnsi="Times New Roman" w:cs="Times New Roman"/>
      <w:color w:val="0000FF"/>
      <w:u w:val="single"/>
    </w:rPr>
  </w:style>
  <w:style w:type="paragraph" w:customStyle="1" w:styleId="4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1">
    <w:name w:val="标题 4 字符"/>
    <w:qFormat/>
    <w:uiPriority w:val="0"/>
    <w:rPr>
      <w:rFonts w:ascii="等线 Light" w:hAnsi="等线 Light" w:eastAsia="等线 Light" w:cs="Times New Roman"/>
      <w:b/>
      <w:bCs/>
      <w:kern w:val="2"/>
      <w:sz w:val="28"/>
      <w:szCs w:val="28"/>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a"/>
    <w:basedOn w:val="1"/>
    <w:qFormat/>
    <w:uiPriority w:val="0"/>
    <w:pPr>
      <w:widowControl/>
      <w:jc w:val="left"/>
    </w:pPr>
    <w:rPr>
      <w:rFonts w:ascii="宋体" w:hAnsi="宋体" w:cs="宋体"/>
      <w:kern w:val="0"/>
      <w:sz w:val="24"/>
    </w:rPr>
  </w:style>
  <w:style w:type="character" w:customStyle="1" w:styleId="44">
    <w:name w:val="font01"/>
    <w:basedOn w:val="26"/>
    <w:qFormat/>
    <w:uiPriority w:val="0"/>
    <w:rPr>
      <w:rFonts w:hint="eastAsia" w:ascii="仿宋" w:hAnsi="仿宋" w:eastAsia="仿宋" w:cs="仿宋"/>
      <w:color w:val="000000"/>
      <w:sz w:val="24"/>
      <w:szCs w:val="24"/>
      <w:u w:val="none"/>
    </w:rPr>
  </w:style>
  <w:style w:type="paragraph" w:customStyle="1" w:styleId="45">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46">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47">
    <w:name w:val="Item List in Table"/>
    <w:basedOn w:val="1"/>
    <w:qFormat/>
    <w:uiPriority w:val="0"/>
    <w:pPr>
      <w:numPr>
        <w:ilvl w:val="0"/>
        <w:numId w:val="1"/>
      </w:numPr>
      <w:tabs>
        <w:tab w:val="left" w:pos="420"/>
        <w:tab w:val="clear" w:pos="960"/>
      </w:tabs>
      <w:jc w:val="left"/>
    </w:pPr>
    <w:rPr>
      <w:szCs w:val="24"/>
    </w:rPr>
  </w:style>
  <w:style w:type="paragraph" w:customStyle="1" w:styleId="48">
    <w:name w:val="采购一级"/>
    <w:qFormat/>
    <w:uiPriority w:val="0"/>
    <w:pPr>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0">
    <w:name w:val="题注4"/>
    <w:basedOn w:val="1"/>
    <w:next w:val="8"/>
    <w:qFormat/>
    <w:uiPriority w:val="0"/>
    <w:pPr>
      <w:ind w:left="-132" w:leftChars="-64" w:right="-105" w:rightChars="-50" w:hanging="2"/>
      <w:jc w:val="center"/>
    </w:pPr>
    <w:rPr>
      <w:b/>
      <w:color w:val="FF0000"/>
      <w:lang w:val="en-GB"/>
    </w:rPr>
  </w:style>
  <w:style w:type="paragraph" w:customStyle="1" w:styleId="51">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character" w:customStyle="1" w:styleId="52">
    <w:name w:val="批注框文本 Char"/>
    <w:basedOn w:val="26"/>
    <w:link w:val="15"/>
    <w:semiHidden/>
    <w:qFormat/>
    <w:uiPriority w:val="99"/>
    <w:rPr>
      <w:kern w:val="2"/>
      <w:sz w:val="18"/>
      <w:szCs w:val="18"/>
    </w:rPr>
  </w:style>
  <w:style w:type="paragraph" w:customStyle="1" w:styleId="53">
    <w:name w:val="(符号)五标题1.1.1"/>
    <w:basedOn w:val="1"/>
    <w:qFormat/>
    <w:uiPriority w:val="0"/>
    <w:pPr>
      <w:numPr>
        <w:ilvl w:val="2"/>
        <w:numId w:val="2"/>
      </w:numPr>
      <w:suppressAutoHyphens w:val="0"/>
      <w:spacing w:line="500" w:lineRule="exact"/>
    </w:pPr>
    <w:rPr>
      <w:rFonts w:ascii="宋体" w:hAnsi="宋体" w:cs="宋体"/>
      <w:color w:val="000000"/>
      <w:kern w:val="2"/>
      <w:sz w:val="24"/>
      <w:szCs w:val="20"/>
      <w:lang w:eastAsia="zh-CN"/>
    </w:rPr>
  </w:style>
  <w:style w:type="paragraph" w:styleId="54">
    <w:name w:val="No Spacing"/>
    <w:basedOn w:val="1"/>
    <w:qFormat/>
    <w:uiPriority w:val="1"/>
    <w:pPr>
      <w:widowControl w:val="0"/>
      <w:jc w:val="both"/>
    </w:pPr>
    <w:rPr>
      <w:kern w:val="2"/>
      <w:sz w:val="21"/>
      <w:szCs w:val="24"/>
      <w:lang w:val="en-US" w:eastAsia="zh-CN" w:bidi="ar-SA"/>
    </w:rPr>
  </w:style>
  <w:style w:type="character" w:customStyle="1" w:styleId="55">
    <w:name w:val="NormalCharacter"/>
    <w:qFormat/>
    <w:uiPriority w:val="0"/>
    <w:rPr>
      <w:kern w:val="2"/>
      <w:sz w:val="21"/>
      <w:szCs w:val="24"/>
      <w:lang w:val="en-US" w:eastAsia="zh-CN" w:bidi="ar-SA"/>
    </w:rPr>
  </w:style>
  <w:style w:type="paragraph" w:customStyle="1" w:styleId="56">
    <w:name w:val="WPS Plain"/>
    <w:qFormat/>
    <w:uiPriority w:val="0"/>
    <w:rPr>
      <w:rFonts w:ascii="Times New Roman" w:hAnsi="Times New Roman" w:eastAsia="宋体" w:cs="Times New Roman"/>
      <w:lang w:val="en-US" w:eastAsia="zh-CN" w:bidi="ar-SA"/>
    </w:rPr>
  </w:style>
  <w:style w:type="paragraph" w:customStyle="1" w:styleId="57">
    <w:name w:val="Normal_11"/>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115</Pages>
  <Words>38566</Words>
  <Characters>41206</Characters>
  <Lines>293</Lines>
  <Paragraphs>82</Paragraphs>
  <TotalTime>30</TotalTime>
  <ScaleCrop>false</ScaleCrop>
  <LinksUpToDate>false</LinksUpToDate>
  <CharactersWithSpaces>47150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2021-04-28T12:03:00Z</dcterms:created>
  <dc:creator>桑三博客</dc:creator>
  <cp:lastModifiedBy>WPS_435008077</cp:lastModifiedBy>
  <cp:lastPrinted>2021-03-22T02:50:00Z</cp:lastPrinted>
  <dcterms:modified xsi:type="dcterms:W3CDTF">2022-06-20T04:27:46Z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CC961F170D9940549093BED3EEA8E8EC</vt:lpwstr>
  </property>
</Properties>
</file>