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jc w:val="center"/>
        <w:rPr>
          <w:rFonts w:hint="eastAsia" w:ascii="宋体" w:hAnsi="宋体" w:eastAsia="宋体" w:cs="宋体"/>
          <w:b/>
          <w:bCs/>
          <w:color w:val="000000"/>
          <w:sz w:val="48"/>
          <w:szCs w:val="48"/>
          <w:lang w:val="zh-CN"/>
        </w:rPr>
      </w:pPr>
    </w:p>
    <w:p>
      <w:pPr>
        <w:pStyle w:val="23"/>
        <w:ind w:left="400" w:firstLine="480"/>
        <w:rPr>
          <w:rFonts w:hint="eastAsia" w:ascii="宋体" w:hAnsi="宋体" w:eastAsia="宋体" w:cs="宋体"/>
          <w:lang w:val="zh-CN"/>
        </w:rPr>
      </w:pPr>
    </w:p>
    <w:p>
      <w:pPr>
        <w:autoSpaceDE w:val="0"/>
        <w:autoSpaceDN w:val="0"/>
        <w:adjustRightInd w:val="0"/>
        <w:spacing w:line="300" w:lineRule="auto"/>
        <w:jc w:val="center"/>
        <w:rPr>
          <w:rFonts w:hint="eastAsia" w:ascii="宋体" w:hAnsi="宋体" w:eastAsia="宋体" w:cs="宋体"/>
          <w:b/>
          <w:bCs/>
          <w:color w:val="000000"/>
          <w:sz w:val="48"/>
          <w:szCs w:val="48"/>
          <w:lang w:val="zh-CN"/>
        </w:rPr>
      </w:pPr>
      <w:r>
        <w:rPr>
          <w:rFonts w:hint="eastAsia" w:ascii="宋体" w:hAnsi="宋体" w:eastAsia="宋体" w:cs="宋体"/>
          <w:b/>
          <w:bCs/>
          <w:color w:val="000000"/>
          <w:sz w:val="48"/>
          <w:szCs w:val="48"/>
          <w:lang w:val="zh-CN"/>
        </w:rPr>
        <w:t>新疆吉木乃民用运输机场选址阶段空域</w:t>
      </w:r>
    </w:p>
    <w:p>
      <w:pPr>
        <w:autoSpaceDE w:val="0"/>
        <w:autoSpaceDN w:val="0"/>
        <w:adjustRightInd w:val="0"/>
        <w:spacing w:line="300" w:lineRule="auto"/>
        <w:jc w:val="center"/>
        <w:rPr>
          <w:rFonts w:hint="eastAsia" w:ascii="宋体" w:hAnsi="宋体" w:eastAsia="宋体" w:cs="宋体"/>
          <w:b/>
          <w:bCs/>
          <w:color w:val="000000"/>
          <w:sz w:val="48"/>
          <w:szCs w:val="48"/>
          <w:lang w:val="zh-CN"/>
        </w:rPr>
      </w:pPr>
      <w:r>
        <w:rPr>
          <w:rFonts w:hint="eastAsia" w:ascii="宋体" w:hAnsi="宋体" w:eastAsia="宋体" w:cs="宋体"/>
          <w:b/>
          <w:bCs/>
          <w:color w:val="000000"/>
          <w:sz w:val="48"/>
          <w:szCs w:val="48"/>
          <w:lang w:val="zh-CN"/>
        </w:rPr>
        <w:t>分析报告</w:t>
      </w:r>
    </w:p>
    <w:p>
      <w:pPr>
        <w:pStyle w:val="23"/>
        <w:rPr>
          <w:rFonts w:hint="eastAsia" w:ascii="宋体" w:hAnsi="宋体" w:eastAsia="宋体" w:cs="宋体"/>
          <w:b/>
          <w:bCs/>
          <w:color w:val="000000"/>
          <w:sz w:val="48"/>
          <w:szCs w:val="48"/>
          <w:lang w:val="zh-CN"/>
        </w:rPr>
      </w:pPr>
    </w:p>
    <w:p>
      <w:pPr>
        <w:pStyle w:val="23"/>
        <w:rPr>
          <w:rFonts w:hint="eastAsia" w:ascii="宋体" w:hAnsi="宋体" w:eastAsia="宋体" w:cs="宋体"/>
          <w:b/>
          <w:bCs/>
          <w:color w:val="000000"/>
          <w:sz w:val="48"/>
          <w:szCs w:val="48"/>
          <w:lang w:val="zh-CN"/>
        </w:rPr>
      </w:pPr>
    </w:p>
    <w:p>
      <w:pPr>
        <w:autoSpaceDE w:val="0"/>
        <w:autoSpaceDN w:val="0"/>
        <w:adjustRightInd w:val="0"/>
        <w:spacing w:line="300" w:lineRule="auto"/>
        <w:jc w:val="center"/>
        <w:rPr>
          <w:rFonts w:hint="eastAsia" w:ascii="宋体" w:hAnsi="宋体" w:eastAsia="宋体" w:cs="宋体"/>
          <w:b/>
          <w:bCs/>
          <w:color w:val="000000"/>
          <w:sz w:val="48"/>
          <w:szCs w:val="48"/>
          <w:lang w:val="zh-CN"/>
        </w:rPr>
      </w:pPr>
      <w:r>
        <w:rPr>
          <w:rFonts w:hint="eastAsia" w:ascii="宋体" w:hAnsi="宋体" w:eastAsia="宋体" w:cs="宋体"/>
          <w:b/>
          <w:bCs/>
          <w:color w:val="000000"/>
          <w:sz w:val="48"/>
          <w:szCs w:val="48"/>
          <w:lang w:val="zh-CN"/>
        </w:rPr>
        <w:t>竞争性磋商文件</w:t>
      </w:r>
    </w:p>
    <w:p>
      <w:pPr>
        <w:autoSpaceDE w:val="0"/>
        <w:autoSpaceDN w:val="0"/>
        <w:adjustRightInd w:val="0"/>
        <w:spacing w:line="300" w:lineRule="auto"/>
        <w:jc w:val="center"/>
        <w:rPr>
          <w:rFonts w:hint="eastAsia" w:ascii="宋体" w:hAnsi="宋体" w:eastAsia="宋体" w:cs="宋体"/>
          <w:b/>
          <w:bCs/>
          <w:color w:val="000000"/>
          <w:sz w:val="48"/>
          <w:szCs w:val="48"/>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pStyle w:val="23"/>
        <w:ind w:left="400" w:firstLine="425"/>
        <w:rPr>
          <w:rFonts w:hint="eastAsia" w:ascii="宋体" w:hAnsi="宋体" w:eastAsia="宋体" w:cs="宋体"/>
          <w:b/>
          <w:bCs/>
          <w:color w:val="000000"/>
          <w:sz w:val="21"/>
          <w:szCs w:val="21"/>
          <w:lang w:val="zh-CN"/>
        </w:rPr>
      </w:pPr>
    </w:p>
    <w:p>
      <w:pPr>
        <w:pStyle w:val="23"/>
        <w:ind w:left="0" w:leftChars="0" w:firstLine="0" w:firstLineChars="0"/>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spacing w:line="560" w:lineRule="exact"/>
        <w:rPr>
          <w:rFonts w:hint="eastAsia" w:ascii="宋体" w:hAnsi="宋体" w:eastAsia="宋体" w:cs="宋体"/>
          <w:spacing w:val="-20"/>
          <w:sz w:val="32"/>
          <w:szCs w:val="32"/>
        </w:rPr>
      </w:pPr>
      <w:r>
        <w:rPr>
          <w:rFonts w:hint="eastAsia" w:ascii="宋体" w:hAnsi="宋体" w:eastAsia="宋体" w:cs="宋体"/>
          <w:spacing w:val="-20"/>
          <w:sz w:val="32"/>
          <w:szCs w:val="32"/>
        </w:rPr>
        <w:t>项目名称：新疆吉木乃民用运输机场选址阶段空域分析报告</w:t>
      </w:r>
    </w:p>
    <w:p>
      <w:pPr>
        <w:spacing w:line="560" w:lineRule="exact"/>
        <w:rPr>
          <w:rFonts w:hint="eastAsia" w:ascii="宋体" w:hAnsi="宋体" w:eastAsia="宋体" w:cs="宋体"/>
          <w:spacing w:val="26"/>
          <w:sz w:val="32"/>
          <w:szCs w:val="32"/>
        </w:rPr>
      </w:pPr>
      <w:r>
        <w:rPr>
          <w:rFonts w:hint="eastAsia" w:ascii="宋体" w:hAnsi="宋体" w:eastAsia="宋体" w:cs="宋体"/>
          <w:sz w:val="32"/>
          <w:szCs w:val="32"/>
        </w:rPr>
        <w:t>项目编号：ZFCGHY2022014 </w:t>
      </w:r>
    </w:p>
    <w:p>
      <w:pPr>
        <w:spacing w:line="560" w:lineRule="exact"/>
        <w:rPr>
          <w:rFonts w:hint="eastAsia" w:ascii="宋体" w:hAnsi="宋体" w:eastAsia="宋体" w:cs="宋体"/>
          <w:sz w:val="32"/>
          <w:szCs w:val="32"/>
        </w:rPr>
      </w:pPr>
      <w:r>
        <w:rPr>
          <w:rFonts w:hint="eastAsia" w:ascii="宋体" w:hAnsi="宋体" w:eastAsia="宋体" w:cs="宋体"/>
          <w:spacing w:val="26"/>
          <w:sz w:val="32"/>
          <w:szCs w:val="32"/>
        </w:rPr>
        <w:t>采购人</w:t>
      </w:r>
      <w:r>
        <w:rPr>
          <w:rFonts w:hint="eastAsia" w:ascii="宋体" w:hAnsi="宋体" w:eastAsia="宋体" w:cs="宋体"/>
          <w:sz w:val="32"/>
          <w:szCs w:val="32"/>
        </w:rPr>
        <w:t>： 吉木乃县发展和改革委员会</w:t>
      </w:r>
    </w:p>
    <w:p>
      <w:pPr>
        <w:spacing w:line="560" w:lineRule="exact"/>
        <w:rPr>
          <w:rFonts w:hint="eastAsia" w:ascii="宋体" w:hAnsi="宋体" w:eastAsia="宋体" w:cs="宋体"/>
          <w:sz w:val="32"/>
          <w:szCs w:val="32"/>
          <w:lang w:eastAsia="zh-CN"/>
        </w:rPr>
      </w:pPr>
      <w:r>
        <w:rPr>
          <w:rFonts w:hint="eastAsia" w:ascii="宋体" w:hAnsi="宋体" w:eastAsia="宋体" w:cs="宋体"/>
          <w:sz w:val="32"/>
          <w:szCs w:val="32"/>
        </w:rPr>
        <w:t>联系人：</w:t>
      </w:r>
      <w:r>
        <w:rPr>
          <w:rFonts w:hint="eastAsia" w:ascii="宋体" w:hAnsi="宋体" w:eastAsia="宋体" w:cs="宋体"/>
          <w:sz w:val="32"/>
          <w:szCs w:val="32"/>
          <w:lang w:eastAsia="zh-CN"/>
        </w:rPr>
        <w:t>荣亚北</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联系电话：18290901771 </w:t>
      </w:r>
    </w:p>
    <w:p>
      <w:pPr>
        <w:spacing w:line="560" w:lineRule="exact"/>
        <w:rPr>
          <w:rFonts w:hint="eastAsia" w:ascii="宋体" w:hAnsi="宋体" w:eastAsia="宋体" w:cs="宋体"/>
          <w:sz w:val="32"/>
          <w:szCs w:val="32"/>
        </w:rPr>
      </w:pPr>
    </w:p>
    <w:p>
      <w:pPr>
        <w:pStyle w:val="23"/>
        <w:ind w:left="400" w:firstLine="480"/>
        <w:rPr>
          <w:rFonts w:hint="eastAsia" w:ascii="宋体" w:hAnsi="宋体" w:eastAsia="宋体" w:cs="宋体"/>
        </w:rPr>
      </w:pPr>
    </w:p>
    <w:p>
      <w:pPr>
        <w:spacing w:line="560" w:lineRule="exact"/>
        <w:rPr>
          <w:rFonts w:hint="eastAsia" w:ascii="宋体" w:hAnsi="宋体" w:eastAsia="宋体" w:cs="宋体"/>
          <w:sz w:val="32"/>
          <w:szCs w:val="32"/>
        </w:rPr>
      </w:pPr>
      <w:r>
        <w:rPr>
          <w:rFonts w:hint="eastAsia" w:ascii="宋体" w:hAnsi="宋体" w:eastAsia="宋体" w:cs="宋体"/>
          <w:sz w:val="32"/>
          <w:szCs w:val="32"/>
        </w:rPr>
        <w:t>采购代理机构：新疆恒跃工程项目管理有限公司</w:t>
      </w:r>
    </w:p>
    <w:p>
      <w:pPr>
        <w:spacing w:line="560" w:lineRule="exact"/>
        <w:rPr>
          <w:rFonts w:hint="eastAsia" w:ascii="宋体" w:hAnsi="宋体" w:eastAsia="宋体" w:cs="宋体"/>
          <w:sz w:val="32"/>
          <w:szCs w:val="32"/>
        </w:rPr>
      </w:pPr>
      <w:r>
        <w:rPr>
          <w:rFonts w:hint="eastAsia" w:ascii="宋体" w:hAnsi="宋体" w:eastAsia="宋体" w:cs="宋体"/>
          <w:sz w:val="32"/>
          <w:szCs w:val="32"/>
        </w:rPr>
        <w:t>联系人：唐露</w:t>
      </w:r>
    </w:p>
    <w:p>
      <w:pPr>
        <w:spacing w:line="560" w:lineRule="exact"/>
        <w:rPr>
          <w:rFonts w:hint="eastAsia" w:ascii="宋体" w:hAnsi="宋体" w:eastAsia="宋体" w:cs="宋体"/>
          <w:spacing w:val="-20"/>
          <w:sz w:val="32"/>
          <w:szCs w:val="32"/>
        </w:rPr>
      </w:pPr>
      <w:r>
        <w:rPr>
          <w:rFonts w:hint="eastAsia" w:ascii="宋体" w:hAnsi="宋体" w:eastAsia="宋体" w:cs="宋体"/>
          <w:spacing w:val="1"/>
          <w:sz w:val="32"/>
          <w:szCs w:val="32"/>
        </w:rPr>
        <w:t>联系电话</w:t>
      </w:r>
      <w:r>
        <w:rPr>
          <w:rFonts w:hint="eastAsia" w:ascii="宋体" w:hAnsi="宋体" w:eastAsia="宋体" w:cs="宋体"/>
          <w:sz w:val="32"/>
          <w:szCs w:val="32"/>
        </w:rPr>
        <w:t>：</w:t>
      </w:r>
      <w:r>
        <w:rPr>
          <w:rFonts w:hint="eastAsia" w:ascii="宋体" w:hAnsi="宋体" w:eastAsia="宋体" w:cs="宋体"/>
          <w:spacing w:val="-20"/>
          <w:sz w:val="32"/>
          <w:szCs w:val="32"/>
        </w:rPr>
        <w:t>18199612233</w:t>
      </w:r>
    </w:p>
    <w:p>
      <w:pPr>
        <w:spacing w:line="560" w:lineRule="exact"/>
        <w:rPr>
          <w:rFonts w:hint="eastAsia" w:ascii="宋体" w:hAnsi="宋体" w:eastAsia="宋体" w:cs="宋体"/>
          <w:spacing w:val="-20"/>
          <w:sz w:val="32"/>
          <w:szCs w:val="32"/>
        </w:rPr>
      </w:pPr>
    </w:p>
    <w:p>
      <w:pPr>
        <w:spacing w:line="560" w:lineRule="exact"/>
        <w:rPr>
          <w:rFonts w:hint="eastAsia" w:ascii="宋体" w:hAnsi="宋体" w:eastAsia="宋体" w:cs="宋体"/>
          <w:spacing w:val="-20"/>
          <w:sz w:val="32"/>
          <w:szCs w:val="32"/>
        </w:rPr>
      </w:pPr>
    </w:p>
    <w:p>
      <w:pPr>
        <w:spacing w:line="560" w:lineRule="exact"/>
        <w:rPr>
          <w:rFonts w:hint="eastAsia" w:ascii="宋体" w:hAnsi="宋体" w:eastAsia="宋体" w:cs="宋体"/>
          <w:spacing w:val="-20"/>
          <w:sz w:val="32"/>
          <w:szCs w:val="32"/>
        </w:rPr>
      </w:pPr>
    </w:p>
    <w:p>
      <w:pPr>
        <w:pStyle w:val="8"/>
        <w:spacing w:line="360" w:lineRule="auto"/>
        <w:jc w:val="center"/>
        <w:rPr>
          <w:rFonts w:hint="eastAsia" w:ascii="宋体" w:hAnsi="宋体" w:eastAsia="宋体" w:cs="宋体"/>
        </w:rPr>
      </w:pPr>
      <w:r>
        <w:rPr>
          <w:rFonts w:hint="eastAsia" w:ascii="宋体" w:hAnsi="宋体" w:eastAsia="宋体" w:cs="宋体"/>
        </w:rPr>
        <w:t>目　录</w:t>
      </w:r>
    </w:p>
    <w:p>
      <w:pPr>
        <w:pStyle w:val="15"/>
        <w:spacing w:line="360" w:lineRule="auto"/>
        <w:ind w:firstLine="480" w:firstLineChars="200"/>
        <w:jc w:val="center"/>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第一章　磋商公告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第二章　磋商须知</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第三章　政府采购合同</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第四章　响应文件组成</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第五章　项目采购需求</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第六章  评标办法</w:t>
      </w: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9"/>
        <w:pageBreakBefore w:val="0"/>
        <w:kinsoku/>
        <w:wordWrap/>
        <w:overflowPunct/>
        <w:topLinePunct w:val="0"/>
        <w:bidi w:val="0"/>
        <w:snapToGrid w:val="0"/>
        <w:spacing w:line="400" w:lineRule="exact"/>
        <w:jc w:val="center"/>
        <w:textAlignment w:val="auto"/>
        <w:rPr>
          <w:rFonts w:hint="eastAsia"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val="en-US" w:eastAsia="zh-CN" w:bidi="ar-SA"/>
        </w:rPr>
        <w:t>第一章　磋商公告</w:t>
      </w:r>
    </w:p>
    <w:p>
      <w:pPr>
        <w:pStyle w:val="3"/>
        <w:pageBreakBefore w:val="0"/>
        <w:tabs>
          <w:tab w:val="left" w:pos="0"/>
          <w:tab w:val="left" w:pos="3165"/>
          <w:tab w:val="center" w:pos="4153"/>
        </w:tabs>
        <w:kinsoku/>
        <w:wordWrap/>
        <w:overflowPunct/>
        <w:topLinePunct w:val="0"/>
        <w:autoSpaceDE w:val="0"/>
        <w:autoSpaceDN w:val="0"/>
        <w:bidi w:val="0"/>
        <w:adjustRightInd w:val="0"/>
        <w:snapToGrid w:val="0"/>
        <w:spacing w:before="0" w:after="0" w:line="400" w:lineRule="exact"/>
        <w:jc w:val="center"/>
        <w:textAlignment w:val="auto"/>
        <w:rPr>
          <w:rFonts w:hint="eastAsia" w:ascii="宋体" w:hAnsi="宋体" w:eastAsia="宋体" w:cs="宋体"/>
          <w:sz w:val="32"/>
          <w:szCs w:val="32"/>
        </w:rPr>
      </w:pPr>
      <w:bookmarkStart w:id="0" w:name="_Toc28359001"/>
      <w:bookmarkStart w:id="1" w:name="_Toc35393789"/>
      <w:r>
        <w:rPr>
          <w:rFonts w:hint="eastAsia" w:ascii="宋体" w:hAnsi="宋体" w:eastAsia="宋体" w:cs="宋体"/>
          <w:sz w:val="32"/>
          <w:szCs w:val="32"/>
        </w:rPr>
        <w:t>新疆吉木乃民用运输机场选址阶段空域分析报告</w:t>
      </w:r>
    </w:p>
    <w:p>
      <w:pPr>
        <w:pStyle w:val="3"/>
        <w:pageBreakBefore w:val="0"/>
        <w:tabs>
          <w:tab w:val="left" w:pos="0"/>
          <w:tab w:val="left" w:pos="3165"/>
          <w:tab w:val="center" w:pos="4153"/>
        </w:tabs>
        <w:kinsoku/>
        <w:wordWrap/>
        <w:overflowPunct/>
        <w:topLinePunct w:val="0"/>
        <w:autoSpaceDE w:val="0"/>
        <w:autoSpaceDN w:val="0"/>
        <w:bidi w:val="0"/>
        <w:adjustRightInd w:val="0"/>
        <w:snapToGrid w:val="0"/>
        <w:spacing w:before="0" w:after="0" w:line="40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竞争性磋商公告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(新疆吉木乃民用运输机场选址阶段空域分析报告)</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（阿勒泰市南区万驰广场7楼）</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2022</w:t>
      </w:r>
      <w:r>
        <w:rPr>
          <w:rFonts w:hint="eastAsia" w:ascii="宋体" w:hAnsi="宋体" w:eastAsia="宋体" w:cs="宋体"/>
          <w:bCs/>
          <w:sz w:val="24"/>
          <w:szCs w:val="24"/>
          <w:u w:val="single"/>
        </w:rPr>
        <w:t xml:space="preserve">年6月 </w:t>
      </w:r>
      <w:r>
        <w:rPr>
          <w:rFonts w:hint="eastAsia" w:ascii="宋体" w:hAnsi="宋体" w:cs="宋体"/>
          <w:bCs/>
          <w:sz w:val="24"/>
          <w:szCs w:val="24"/>
          <w:u w:val="single"/>
          <w:lang w:val="en-US" w:eastAsia="zh-CN"/>
        </w:rPr>
        <w:t xml:space="preserve">29 </w:t>
      </w:r>
      <w:r>
        <w:rPr>
          <w:rFonts w:hint="eastAsia" w:ascii="宋体" w:hAnsi="宋体" w:eastAsia="宋体" w:cs="宋体"/>
          <w:bCs/>
          <w:sz w:val="24"/>
          <w:szCs w:val="24"/>
          <w:u w:val="single"/>
        </w:rPr>
        <w:t>日16 点 30 分（</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4"/>
        <w:pageBreakBefore w:val="0"/>
        <w:kinsoku/>
        <w:wordWrap/>
        <w:overflowPunct/>
        <w:topLinePunct w:val="0"/>
        <w:bidi w:val="0"/>
        <w:snapToGrid w:val="0"/>
        <w:spacing w:line="400" w:lineRule="exact"/>
        <w:textAlignment w:val="auto"/>
        <w:rPr>
          <w:rFonts w:hint="eastAsia" w:ascii="宋体" w:hAnsi="宋体" w:eastAsia="宋体" w:cs="宋体"/>
          <w:b/>
          <w:bCs/>
          <w:sz w:val="24"/>
          <w:szCs w:val="24"/>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b/>
          <w:bCs/>
          <w:sz w:val="24"/>
          <w:szCs w:val="24"/>
        </w:rPr>
        <w:t>一、项目基本情况</w:t>
      </w:r>
      <w:bookmarkEnd w:id="2"/>
      <w:bookmarkEnd w:id="3"/>
      <w:bookmarkEnd w:id="4"/>
      <w:bookmarkEnd w:id="5"/>
    </w:p>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项目编号：ZFCGHY2022014</w:t>
      </w:r>
    </w:p>
    <w:p>
      <w:pPr>
        <w:pageBreakBefore w:val="0"/>
        <w:kinsoku/>
        <w:wordWrap/>
        <w:overflowPunct/>
        <w:topLinePunct w:val="0"/>
        <w:bidi w:val="0"/>
        <w:snapToGrid w:val="0"/>
        <w:spacing w:line="400" w:lineRule="exact"/>
        <w:ind w:left="456" w:leftChars="228"/>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项目名称：新疆吉木乃民用运输机场选址阶段空域分析报告</w:t>
      </w:r>
    </w:p>
    <w:p>
      <w:pPr>
        <w:pageBreakBefore w:val="0"/>
        <w:kinsoku/>
        <w:wordWrap/>
        <w:overflowPunct/>
        <w:topLinePunct w:val="0"/>
        <w:bidi w:val="0"/>
        <w:snapToGrid w:val="0"/>
        <w:spacing w:line="400" w:lineRule="exact"/>
        <w:ind w:left="456" w:leftChars="228"/>
        <w:textAlignment w:val="auto"/>
        <w:rPr>
          <w:rFonts w:hint="eastAsia" w:ascii="宋体" w:hAnsi="宋体" w:eastAsia="宋体" w:cs="宋体"/>
          <w:sz w:val="24"/>
          <w:szCs w:val="24"/>
        </w:rPr>
      </w:pPr>
      <w:r>
        <w:rPr>
          <w:rFonts w:hint="eastAsia" w:ascii="宋体" w:hAnsi="宋体" w:eastAsia="宋体" w:cs="宋体"/>
          <w:sz w:val="24"/>
          <w:szCs w:val="24"/>
        </w:rPr>
        <w:t>采购方式：</w:t>
      </w:r>
      <w:r>
        <w:rPr>
          <w:rFonts w:hint="eastAsia" w:ascii="宋体" w:hAnsi="宋体" w:eastAsia="宋体" w:cs="宋体"/>
          <w:sz w:val="24"/>
          <w:szCs w:val="24"/>
          <w:highlight w:val="none"/>
        </w:rPr>
        <w:t>□竞争性</w:t>
      </w:r>
      <w:r>
        <w:rPr>
          <w:rFonts w:hint="eastAsia" w:ascii="宋体" w:hAnsi="宋体" w:cs="宋体"/>
          <w:sz w:val="24"/>
          <w:szCs w:val="24"/>
          <w:highlight w:val="none"/>
          <w:lang w:val="en-US" w:eastAsia="zh-CN"/>
        </w:rPr>
        <w:t>谈判</w:t>
      </w:r>
      <w:r>
        <w:rPr>
          <w:rFonts w:hint="eastAsia" w:ascii="宋体" w:hAnsi="宋体" w:eastAsia="宋体" w:cs="宋体"/>
          <w:sz w:val="24"/>
          <w:szCs w:val="24"/>
        </w:rPr>
        <w:t xml:space="preserve"> ☑竞争性磋商 □询价</w:t>
      </w:r>
    </w:p>
    <w:bookmarkEnd w:id="6"/>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预算金额：850000元</w:t>
      </w:r>
    </w:p>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服务内容：选址咨询、飞行程序设计报告、飞机性能分析报告等</w:t>
      </w:r>
    </w:p>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合同履行期限：详见磋商文件</w:t>
      </w:r>
    </w:p>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bookmarkStart w:id="7" w:name="_Toc35393622"/>
      <w:bookmarkStart w:id="8" w:name="_Toc35393791"/>
      <w:bookmarkStart w:id="9" w:name="_Toc28359080"/>
      <w:bookmarkStart w:id="10" w:name="_Toc28359003"/>
    </w:p>
    <w:p>
      <w:pPr>
        <w:pageBreakBefore w:val="0"/>
        <w:kinsoku/>
        <w:wordWrap/>
        <w:overflowPunct/>
        <w:topLinePunct w:val="0"/>
        <w:bidi w:val="0"/>
        <w:snapToGrid w:val="0"/>
        <w:spacing w:line="400" w:lineRule="exac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二、申请人的资格要求：</w:t>
      </w:r>
      <w:bookmarkEnd w:id="7"/>
      <w:bookmarkEnd w:id="8"/>
      <w:bookmarkEnd w:id="9"/>
      <w:bookmarkEnd w:id="10"/>
    </w:p>
    <w:p>
      <w:pPr>
        <w:pageBreakBefore w:val="0"/>
        <w:kinsoku/>
        <w:wordWrap/>
        <w:overflowPunct/>
        <w:topLinePunct w:val="0"/>
        <w:bidi w:val="0"/>
        <w:snapToGrid w:val="0"/>
        <w:spacing w:line="400" w:lineRule="exact"/>
        <w:ind w:firstLine="240" w:firstLineChars="100"/>
        <w:textAlignment w:val="auto"/>
        <w:rPr>
          <w:rFonts w:hint="eastAsia" w:ascii="宋体" w:hAnsi="宋体" w:eastAsia="宋体" w:cs="宋体"/>
          <w:sz w:val="24"/>
          <w:szCs w:val="24"/>
        </w:rPr>
      </w:pPr>
      <w:bookmarkStart w:id="11" w:name="_Toc35393623"/>
      <w:bookmarkStart w:id="12" w:name="_Toc28359004"/>
      <w:bookmarkStart w:id="13" w:name="_Toc35393792"/>
      <w:bookmarkStart w:id="14" w:name="_Toc28359081"/>
      <w:r>
        <w:rPr>
          <w:rFonts w:hint="eastAsia" w:ascii="宋体" w:hAnsi="宋体" w:eastAsia="宋体" w:cs="宋体"/>
          <w:sz w:val="24"/>
          <w:szCs w:val="24"/>
        </w:rPr>
        <w:t>1.满足《中华人民共和国政府采购法》第二十二条规定；</w:t>
      </w:r>
    </w:p>
    <w:p>
      <w:pPr>
        <w:pageBreakBefore w:val="0"/>
        <w:kinsoku/>
        <w:wordWrap/>
        <w:overflowPunct/>
        <w:topLinePunct w:val="0"/>
        <w:bidi w:val="0"/>
        <w:snapToGrid w:val="0"/>
        <w:spacing w:line="400" w:lineRule="exact"/>
        <w:ind w:left="468" w:leftChars="114"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2.落实政府采购政策需满足的资格要求：①《政府采购促进中小企业发展管理办法》（财库﹝2020﹞46 号）；②《财政部、司法部关于政府采购支持监狱企业发展有关问题的通知》（财库〔2014〕68 号）；③《财政部民政部中国残疾人联合会关于促进残疾人就业政府采购政策的通知》财库〔2017〕141 号；</w:t>
      </w:r>
    </w:p>
    <w:p>
      <w:pPr>
        <w:pStyle w:val="20"/>
        <w:pageBreakBefore w:val="0"/>
        <w:kinsoku/>
        <w:wordWrap/>
        <w:overflowPunct/>
        <w:topLinePunct w:val="0"/>
        <w:bidi w:val="0"/>
        <w:snapToGrid w:val="0"/>
        <w:spacing w:line="400" w:lineRule="exact"/>
        <w:ind w:left="468" w:leftChars="114" w:hanging="240" w:hangingChars="100"/>
        <w:textAlignment w:val="auto"/>
        <w:rPr>
          <w:rFonts w:hint="eastAsia" w:ascii="宋体" w:hAnsi="宋体" w:eastAsia="宋体" w:cs="宋体"/>
          <w:sz w:val="24"/>
        </w:rPr>
      </w:pPr>
      <w:r>
        <w:rPr>
          <w:rFonts w:hint="eastAsia" w:ascii="宋体" w:hAnsi="宋体" w:eastAsia="宋体" w:cs="宋体"/>
          <w:sz w:val="24"/>
        </w:rPr>
        <w:t>3.本项目的特定资格要求：①投标人具有独立的法人资格和有效的营业执照；②投标人须具备民航行业工程设计乙级以上（含乙级）资质，同时投标人已被列入中国民航局飞行标准司最新一期《飞行程序设计单位备案信息公布表》；③项目负责人须具有机场相关专业高级工程师职称证书。</w:t>
      </w:r>
    </w:p>
    <w:p>
      <w:pPr>
        <w:pStyle w:val="4"/>
        <w:pageBreakBefore w:val="0"/>
        <w:kinsoku/>
        <w:wordWrap/>
        <w:overflowPunct/>
        <w:topLinePunct w:val="0"/>
        <w:bidi w:val="0"/>
        <w:snapToGrid w:val="0"/>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bookmarkEnd w:id="11"/>
      <w:bookmarkEnd w:id="12"/>
      <w:bookmarkEnd w:id="13"/>
      <w:bookmarkEnd w:id="14"/>
    </w:p>
    <w:p>
      <w:pPr>
        <w:pageBreakBefore w:val="0"/>
        <w:kinsoku/>
        <w:wordWrap/>
        <w:overflowPunct/>
        <w:topLinePunct w:val="0"/>
        <w:bidi w:val="0"/>
        <w:snapToGrid w:val="0"/>
        <w:spacing w:line="40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2022年6月</w:t>
      </w:r>
      <w:r>
        <w:rPr>
          <w:rFonts w:hint="eastAsia" w:ascii="宋体" w:hAnsi="宋体" w:cs="宋体"/>
          <w:sz w:val="24"/>
          <w:szCs w:val="24"/>
          <w:u w:val="single"/>
          <w:lang w:val="en-US" w:eastAsia="zh-CN"/>
        </w:rPr>
        <w:t>17</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rPr>
        <w:t xml:space="preserve"> 2022 年6月</w:t>
      </w:r>
      <w:r>
        <w:rPr>
          <w:rFonts w:hint="eastAsia" w:ascii="宋体" w:hAnsi="宋体" w:cs="宋体"/>
          <w:sz w:val="24"/>
          <w:szCs w:val="24"/>
          <w:u w:val="single"/>
          <w:lang w:val="en-US" w:eastAsia="zh-CN"/>
        </w:rPr>
        <w:t>23</w:t>
      </w:r>
      <w:r>
        <w:rPr>
          <w:rFonts w:hint="eastAsia" w:ascii="宋体" w:hAnsi="宋体" w:eastAsia="宋体" w:cs="宋体"/>
          <w:sz w:val="24"/>
          <w:szCs w:val="24"/>
          <w:u w:val="single"/>
        </w:rPr>
        <w:t>日（提供期限自本公告发布之日起不得少于5个工作日）</w:t>
      </w:r>
      <w:r>
        <w:rPr>
          <w:rFonts w:hint="eastAsia" w:ascii="宋体" w:hAnsi="宋体" w:eastAsia="宋体" w:cs="宋体"/>
          <w:sz w:val="24"/>
          <w:szCs w:val="24"/>
        </w:rPr>
        <w:t>，每天上午</w:t>
      </w:r>
      <w:r>
        <w:rPr>
          <w:rFonts w:hint="eastAsia" w:ascii="宋体" w:hAnsi="宋体" w:eastAsia="宋体" w:cs="宋体"/>
          <w:sz w:val="24"/>
          <w:szCs w:val="24"/>
          <w:u w:val="single"/>
        </w:rPr>
        <w:t>10：00</w:t>
      </w:r>
      <w:r>
        <w:rPr>
          <w:rFonts w:hint="eastAsia" w:ascii="宋体" w:hAnsi="宋体" w:eastAsia="宋体" w:cs="宋体"/>
          <w:sz w:val="24"/>
          <w:szCs w:val="24"/>
        </w:rPr>
        <w:t>至</w:t>
      </w:r>
      <w:r>
        <w:rPr>
          <w:rFonts w:hint="eastAsia" w:ascii="宋体" w:hAnsi="宋体" w:eastAsia="宋体" w:cs="宋体"/>
          <w:sz w:val="24"/>
          <w:szCs w:val="24"/>
          <w:u w:val="single"/>
        </w:rPr>
        <w:t>14:00</w:t>
      </w:r>
      <w:r>
        <w:rPr>
          <w:rFonts w:hint="eastAsia" w:ascii="宋体" w:hAnsi="宋体" w:eastAsia="宋体" w:cs="宋体"/>
          <w:sz w:val="24"/>
          <w:szCs w:val="24"/>
        </w:rPr>
        <w:t>，下午</w:t>
      </w:r>
      <w:r>
        <w:rPr>
          <w:rFonts w:hint="eastAsia" w:ascii="宋体" w:hAnsi="宋体" w:eastAsia="宋体" w:cs="宋体"/>
          <w:sz w:val="24"/>
          <w:szCs w:val="24"/>
          <w:u w:val="single"/>
        </w:rPr>
        <w:t>16:00</w:t>
      </w:r>
      <w:r>
        <w:rPr>
          <w:rFonts w:hint="eastAsia" w:ascii="宋体" w:hAnsi="宋体" w:eastAsia="宋体" w:cs="宋体"/>
          <w:sz w:val="24"/>
          <w:szCs w:val="24"/>
        </w:rPr>
        <w:t>至</w:t>
      </w:r>
      <w:r>
        <w:rPr>
          <w:rFonts w:hint="eastAsia" w:ascii="宋体" w:hAnsi="宋体" w:eastAsia="宋体" w:cs="宋体"/>
          <w:sz w:val="24"/>
          <w:szCs w:val="24"/>
          <w:u w:val="single"/>
        </w:rPr>
        <w:t>19:00</w:t>
      </w:r>
      <w:r>
        <w:rPr>
          <w:rFonts w:hint="eastAsia" w:ascii="宋体" w:hAnsi="宋体" w:eastAsia="宋体" w:cs="宋体"/>
          <w:sz w:val="24"/>
          <w:szCs w:val="24"/>
        </w:rPr>
        <w:t>（北京时间，法定节假日除外）</w:t>
      </w:r>
    </w:p>
    <w:p>
      <w:pPr>
        <w:pageBreakBefore w:val="0"/>
        <w:kinsoku/>
        <w:wordWrap/>
        <w:overflowPunct/>
        <w:topLinePunct w:val="0"/>
        <w:bidi w:val="0"/>
        <w:snapToGrid w:val="0"/>
        <w:spacing w:line="400" w:lineRule="exact"/>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地点：阿勒泰市南区万驰广场7楼</w:t>
      </w:r>
    </w:p>
    <w:p>
      <w:pPr>
        <w:pageBreakBefore w:val="0"/>
        <w:kinsoku/>
        <w:wordWrap/>
        <w:overflowPunct/>
        <w:topLinePunct w:val="0"/>
        <w:bidi w:val="0"/>
        <w:snapToGrid w:val="0"/>
        <w:spacing w:line="400" w:lineRule="exact"/>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方式：线下获取</w:t>
      </w:r>
    </w:p>
    <w:p>
      <w:pPr>
        <w:pageBreakBefore w:val="0"/>
        <w:kinsoku/>
        <w:wordWrap/>
        <w:overflowPunct/>
        <w:topLinePunct w:val="0"/>
        <w:bidi w:val="0"/>
        <w:snapToGrid w:val="0"/>
        <w:spacing w:line="40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rPr>
        <w:t>售价：300</w:t>
      </w:r>
    </w:p>
    <w:p>
      <w:pPr>
        <w:pStyle w:val="4"/>
        <w:pageBreakBefore w:val="0"/>
        <w:kinsoku/>
        <w:wordWrap/>
        <w:overflowPunct/>
        <w:topLinePunct w:val="0"/>
        <w:bidi w:val="0"/>
        <w:snapToGrid w:val="0"/>
        <w:spacing w:line="400" w:lineRule="exact"/>
        <w:textAlignment w:val="auto"/>
        <w:rPr>
          <w:rFonts w:hint="eastAsia" w:ascii="宋体" w:hAnsi="宋体" w:eastAsia="宋体" w:cs="宋体"/>
          <w:b/>
          <w:bCs/>
          <w:kern w:val="0"/>
          <w:sz w:val="24"/>
          <w:szCs w:val="24"/>
          <w:lang w:val="en-US" w:eastAsia="zh-CN" w:bidi="ar-SA"/>
        </w:rPr>
      </w:pPr>
      <w:bookmarkStart w:id="15" w:name="_Toc28359082"/>
      <w:bookmarkStart w:id="16" w:name="_Toc35393793"/>
      <w:bookmarkStart w:id="17" w:name="_Toc35393624"/>
      <w:bookmarkStart w:id="18" w:name="_Toc28359005"/>
      <w:r>
        <w:rPr>
          <w:rFonts w:hint="eastAsia" w:ascii="宋体" w:hAnsi="宋体" w:eastAsia="宋体" w:cs="宋体"/>
          <w:b/>
          <w:bCs/>
          <w:kern w:val="0"/>
          <w:sz w:val="24"/>
          <w:szCs w:val="24"/>
          <w:lang w:val="en-US" w:eastAsia="zh-CN" w:bidi="ar-SA"/>
        </w:rPr>
        <w:t>四、</w:t>
      </w:r>
      <w:bookmarkEnd w:id="15"/>
      <w:bookmarkEnd w:id="16"/>
      <w:bookmarkEnd w:id="17"/>
      <w:bookmarkEnd w:id="18"/>
      <w:r>
        <w:rPr>
          <w:rFonts w:hint="eastAsia" w:ascii="宋体" w:hAnsi="宋体" w:eastAsia="宋体" w:cs="宋体"/>
          <w:b/>
          <w:bCs/>
          <w:kern w:val="0"/>
          <w:sz w:val="24"/>
          <w:szCs w:val="24"/>
          <w:lang w:val="en-US" w:eastAsia="zh-CN" w:bidi="ar-SA"/>
        </w:rPr>
        <w:t>响应文件提交</w:t>
      </w:r>
    </w:p>
    <w:p>
      <w:pPr>
        <w:pStyle w:val="4"/>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截止时间：2022年 6月 29日 16点 30 分（北京时间）</w:t>
      </w:r>
    </w:p>
    <w:p>
      <w:pPr>
        <w:pStyle w:val="4"/>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rPr>
      </w:pPr>
      <w:r>
        <w:rPr>
          <w:rFonts w:hint="eastAsia" w:ascii="宋体" w:hAnsi="宋体" w:eastAsia="宋体" w:cs="宋体"/>
          <w:b w:val="0"/>
          <w:kern w:val="0"/>
          <w:sz w:val="24"/>
          <w:szCs w:val="24"/>
          <w:lang w:val="en-US" w:eastAsia="zh-CN" w:bidi="ar-SA"/>
        </w:rPr>
        <w:t>地点：</w:t>
      </w:r>
      <w:r>
        <w:rPr>
          <w:rFonts w:hint="eastAsia" w:ascii="宋体" w:hAnsi="宋体" w:eastAsia="宋体" w:cs="宋体"/>
          <w:sz w:val="24"/>
          <w:szCs w:val="24"/>
        </w:rPr>
        <w:t>阿勒泰市南区万驰广场7楼会议室</w:t>
      </w:r>
    </w:p>
    <w:p>
      <w:pPr>
        <w:pageBreakBefore w:val="0"/>
        <w:numPr>
          <w:ilvl w:val="0"/>
          <w:numId w:val="1"/>
        </w:numPr>
        <w:kinsoku/>
        <w:wordWrap/>
        <w:overflowPunct/>
        <w:topLinePunct w:val="0"/>
        <w:bidi w:val="0"/>
        <w:snapToGrid w:val="0"/>
        <w:spacing w:line="400" w:lineRule="exact"/>
        <w:ind w:left="482" w:hanging="482" w:hangingChars="200"/>
        <w:textAlignment w:val="auto"/>
        <w:rPr>
          <w:rFonts w:hint="eastAsia" w:ascii="宋体" w:hAnsi="宋体" w:eastAsia="宋体" w:cs="宋体"/>
          <w:bCs/>
          <w:sz w:val="24"/>
          <w:szCs w:val="24"/>
        </w:rPr>
      </w:pPr>
      <w:r>
        <w:rPr>
          <w:rFonts w:hint="eastAsia" w:ascii="宋体" w:hAnsi="宋体" w:eastAsia="宋体" w:cs="宋体"/>
          <w:b/>
          <w:bCs/>
          <w:sz w:val="24"/>
          <w:szCs w:val="24"/>
        </w:rPr>
        <w:t>开启</w:t>
      </w:r>
    </w:p>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时间：2022</w:t>
      </w:r>
      <w:r>
        <w:rPr>
          <w:rFonts w:hint="eastAsia" w:ascii="宋体" w:hAnsi="宋体" w:eastAsia="宋体" w:cs="宋体"/>
          <w:bCs/>
          <w:sz w:val="24"/>
          <w:szCs w:val="24"/>
        </w:rPr>
        <w:t>年6月2</w:t>
      </w:r>
      <w:r>
        <w:rPr>
          <w:rFonts w:hint="eastAsia" w:ascii="宋体" w:hAnsi="宋体" w:cs="宋体"/>
          <w:bCs/>
          <w:sz w:val="24"/>
          <w:szCs w:val="24"/>
          <w:lang w:val="en-US" w:eastAsia="zh-CN"/>
        </w:rPr>
        <w:t>9</w:t>
      </w:r>
      <w:r>
        <w:rPr>
          <w:rFonts w:hint="eastAsia" w:ascii="宋体" w:hAnsi="宋体" w:eastAsia="宋体" w:cs="宋体"/>
          <w:bCs/>
          <w:sz w:val="24"/>
          <w:szCs w:val="24"/>
        </w:rPr>
        <w:t>日16点 30分（北京时间）</w:t>
      </w:r>
    </w:p>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lang w:eastAsia="zh-CN"/>
        </w:rPr>
      </w:pPr>
      <w:r>
        <w:rPr>
          <w:rFonts w:hint="eastAsia" w:ascii="宋体" w:hAnsi="宋体" w:eastAsia="宋体" w:cs="宋体"/>
          <w:sz w:val="24"/>
          <w:szCs w:val="24"/>
        </w:rPr>
        <w:t>地点：阿勒泰市南区万驰广场7楼会议室</w:t>
      </w:r>
    </w:p>
    <w:p>
      <w:pPr>
        <w:pageBreakBefore w:val="0"/>
        <w:kinsoku/>
        <w:wordWrap/>
        <w:overflowPunct/>
        <w:topLinePunct w:val="0"/>
        <w:bidi w:val="0"/>
        <w:snapToGrid w:val="0"/>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六、公告期限</w:t>
      </w:r>
    </w:p>
    <w:p>
      <w:pPr>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4"/>
        <w:pageBreakBefore w:val="0"/>
        <w:kinsoku/>
        <w:wordWrap/>
        <w:overflowPunct/>
        <w:topLinePunct w:val="0"/>
        <w:bidi w:val="0"/>
        <w:snapToGrid w:val="0"/>
        <w:spacing w:line="400" w:lineRule="exact"/>
        <w:textAlignment w:val="auto"/>
        <w:rPr>
          <w:rFonts w:hint="eastAsia" w:ascii="宋体" w:hAnsi="宋体" w:eastAsia="宋体" w:cs="宋体"/>
          <w:b/>
          <w:bCs/>
          <w:sz w:val="24"/>
          <w:szCs w:val="24"/>
        </w:rPr>
      </w:pPr>
      <w:bookmarkStart w:id="19" w:name="_Toc35393795"/>
      <w:bookmarkStart w:id="20" w:name="_Toc35393626"/>
      <w:r>
        <w:rPr>
          <w:rFonts w:hint="eastAsia" w:ascii="宋体" w:hAnsi="宋体" w:eastAsia="宋体" w:cs="宋体"/>
          <w:b/>
          <w:bCs/>
          <w:sz w:val="24"/>
          <w:szCs w:val="24"/>
        </w:rPr>
        <w:t>七、其他补充</w:t>
      </w:r>
      <w:r>
        <w:rPr>
          <w:rFonts w:hint="eastAsia" w:ascii="宋体" w:hAnsi="宋体" w:eastAsia="宋体" w:cs="宋体"/>
          <w:b/>
          <w:bCs/>
          <w:kern w:val="2"/>
          <w:sz w:val="24"/>
          <w:szCs w:val="24"/>
          <w:lang w:val="en-US" w:eastAsia="zh-CN" w:bidi="ar-SA"/>
        </w:rPr>
        <w:t>事宜</w:t>
      </w:r>
      <w:bookmarkEnd w:id="19"/>
      <w:bookmarkEnd w:id="20"/>
    </w:p>
    <w:p>
      <w:pPr>
        <w:pageBreakBefore w:val="0"/>
        <w:widowControl w:val="0"/>
        <w:kinsoku/>
        <w:wordWrap/>
        <w:overflowPunct/>
        <w:topLinePunct w:val="0"/>
        <w:bidi w:val="0"/>
        <w:snapToGrid w:val="0"/>
        <w:spacing w:line="400" w:lineRule="exact"/>
        <w:ind w:firstLine="480" w:firstLineChars="200"/>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须提供的材料：①法定代表人身份证明书及身份证原件或法定代表人授权委托书原件及委托代理人身份证原件；②企业资质证书以及项目负责人职称证书；③营业执照；④</w:t>
      </w:r>
      <w:r>
        <w:rPr>
          <w:rFonts w:hint="eastAsia" w:ascii="宋体" w:hAnsi="宋体" w:cs="宋体"/>
          <w:bCs/>
          <w:kern w:val="2"/>
          <w:sz w:val="24"/>
          <w:szCs w:val="24"/>
          <w:lang w:eastAsia="zh-CN"/>
        </w:rPr>
        <w:t>中小企业声明函；</w:t>
      </w:r>
      <w:r>
        <w:rPr>
          <w:rFonts w:hint="eastAsia" w:ascii="宋体" w:hAnsi="宋体" w:eastAsia="宋体" w:cs="宋体"/>
          <w:bCs/>
          <w:kern w:val="2"/>
          <w:sz w:val="24"/>
          <w:szCs w:val="24"/>
        </w:rPr>
        <w:t>以上文件需提供原件及复印件加盖投标单位公章一式三份。  </w:t>
      </w:r>
    </w:p>
    <w:p>
      <w:pPr>
        <w:pStyle w:val="4"/>
        <w:pageBreakBefore w:val="0"/>
        <w:kinsoku/>
        <w:wordWrap/>
        <w:overflowPunct/>
        <w:topLinePunct w:val="0"/>
        <w:bidi w:val="0"/>
        <w:snapToGrid w:val="0"/>
        <w:spacing w:line="400" w:lineRule="exact"/>
        <w:textAlignment w:val="auto"/>
        <w:rPr>
          <w:rFonts w:hint="eastAsia" w:ascii="宋体" w:hAnsi="宋体" w:eastAsia="宋体" w:cs="宋体"/>
          <w:b w:val="0"/>
          <w:sz w:val="24"/>
          <w:szCs w:val="24"/>
        </w:rPr>
      </w:pPr>
      <w:bookmarkStart w:id="21" w:name="_Toc28359008"/>
      <w:bookmarkStart w:id="22" w:name="_Toc28359085"/>
      <w:bookmarkStart w:id="23" w:name="_Toc35393627"/>
      <w:bookmarkStart w:id="24" w:name="_Toc35393796"/>
      <w:r>
        <w:rPr>
          <w:rFonts w:hint="eastAsia" w:ascii="宋体" w:hAnsi="宋体" w:eastAsia="宋体" w:cs="宋体"/>
          <w:b w:val="0"/>
          <w:sz w:val="24"/>
          <w:szCs w:val="24"/>
        </w:rPr>
        <w:t>八、对本次招标提出询问，请按以下方式联系。</w:t>
      </w:r>
      <w:bookmarkEnd w:id="21"/>
      <w:bookmarkEnd w:id="22"/>
      <w:bookmarkEnd w:id="23"/>
      <w:bookmarkEnd w:id="24"/>
    </w:p>
    <w:p>
      <w:pPr>
        <w:pageBreakBefore w:val="0"/>
        <w:kinsoku/>
        <w:wordWrap/>
        <w:overflowPunct/>
        <w:topLinePunct w:val="0"/>
        <w:bidi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1.采购人信息</w:t>
      </w:r>
    </w:p>
    <w:p>
      <w:pPr>
        <w:pageBreakBefore w:val="0"/>
        <w:kinsoku/>
        <w:wordWrap/>
        <w:overflowPunct/>
        <w:topLinePunct w:val="0"/>
        <w:bidi w:val="0"/>
        <w:snapToGrid w:val="0"/>
        <w:spacing w:line="400" w:lineRule="exact"/>
        <w:ind w:left="1042" w:leftChars="371" w:hanging="300" w:hangingChars="125"/>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吉木乃县发展和改革委员会</w:t>
      </w:r>
    </w:p>
    <w:p>
      <w:pPr>
        <w:pageBreakBefore w:val="0"/>
        <w:kinsoku/>
        <w:wordWrap/>
        <w:overflowPunct/>
        <w:topLinePunct w:val="0"/>
        <w:bidi w:val="0"/>
        <w:snapToGrid w:val="0"/>
        <w:spacing w:line="400" w:lineRule="exact"/>
        <w:ind w:left="1042" w:leftChars="371" w:hanging="300" w:hangingChars="125"/>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吉木乃县        </w:t>
      </w:r>
    </w:p>
    <w:p>
      <w:pPr>
        <w:pageBreakBefore w:val="0"/>
        <w:kinsoku/>
        <w:wordWrap/>
        <w:overflowPunct/>
        <w:topLinePunct w:val="0"/>
        <w:bidi w:val="0"/>
        <w:snapToGrid w:val="0"/>
        <w:spacing w:line="400" w:lineRule="exact"/>
        <w:ind w:left="1042" w:leftChars="371" w:hanging="300" w:hangingChars="125"/>
        <w:textAlignment w:val="auto"/>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18290901771</w:t>
      </w:r>
      <w:bookmarkStart w:id="25" w:name="_Toc28359086"/>
      <w:bookmarkStart w:id="26" w:name="_Toc28359009"/>
      <w:r>
        <w:rPr>
          <w:rFonts w:hint="eastAsia" w:ascii="宋体" w:hAnsi="宋体" w:eastAsia="宋体" w:cs="宋体"/>
          <w:sz w:val="24"/>
          <w:szCs w:val="24"/>
          <w:u w:val="single"/>
        </w:rPr>
        <w:t xml:space="preserve">    </w:t>
      </w:r>
    </w:p>
    <w:p>
      <w:pPr>
        <w:pageBreakBefore w:val="0"/>
        <w:kinsoku/>
        <w:wordWrap/>
        <w:overflowPunct/>
        <w:topLinePunct w:val="0"/>
        <w:bidi w:val="0"/>
        <w:snapToGrid w:val="0"/>
        <w:spacing w:line="400" w:lineRule="exact"/>
        <w:ind w:left="1042" w:leftChars="371" w:hanging="300" w:hangingChars="125"/>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25"/>
      <w:bookmarkEnd w:id="26"/>
    </w:p>
    <w:p>
      <w:pPr>
        <w:pageBreakBefore w:val="0"/>
        <w:kinsoku/>
        <w:wordWrap/>
        <w:overflowPunct/>
        <w:topLinePunct w:val="0"/>
        <w:bidi w:val="0"/>
        <w:snapToGrid w:val="0"/>
        <w:spacing w:line="4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新疆恒跃工程项目管理有限公司　 </w:t>
      </w:r>
    </w:p>
    <w:p>
      <w:pPr>
        <w:pageBreakBefore w:val="0"/>
        <w:kinsoku/>
        <w:wordWrap/>
        <w:overflowPunct/>
        <w:topLinePunct w:val="0"/>
        <w:bidi w:val="0"/>
        <w:snapToGrid w:val="0"/>
        <w:spacing w:line="4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阿勒泰市南区万驰广场7楼　</w:t>
      </w:r>
    </w:p>
    <w:p>
      <w:pPr>
        <w:pageBreakBefore w:val="0"/>
        <w:kinsoku/>
        <w:wordWrap/>
        <w:overflowPunct/>
        <w:topLinePunct w:val="0"/>
        <w:bidi w:val="0"/>
        <w:snapToGrid w:val="0"/>
        <w:spacing w:line="4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联系方式：</w:t>
      </w:r>
      <w:bookmarkStart w:id="27" w:name="_Toc28359010"/>
      <w:bookmarkStart w:id="28" w:name="_Toc28359087"/>
      <w:r>
        <w:rPr>
          <w:rFonts w:hint="eastAsia" w:ascii="宋体" w:hAnsi="宋体" w:eastAsia="宋体" w:cs="宋体"/>
          <w:sz w:val="24"/>
          <w:szCs w:val="24"/>
          <w:u w:val="single"/>
        </w:rPr>
        <w:t>0906-2123111</w:t>
      </w:r>
    </w:p>
    <w:p>
      <w:pPr>
        <w:pageBreakBefore w:val="0"/>
        <w:kinsoku/>
        <w:wordWrap/>
        <w:overflowPunct/>
        <w:topLinePunct w:val="0"/>
        <w:bidi w:val="0"/>
        <w:snapToGrid w:val="0"/>
        <w:spacing w:line="4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3.项目联系方式</w:t>
      </w:r>
      <w:bookmarkEnd w:id="27"/>
      <w:bookmarkEnd w:id="28"/>
    </w:p>
    <w:p>
      <w:pPr>
        <w:pStyle w:val="15"/>
        <w:pageBreakBefore w:val="0"/>
        <w:kinsoku/>
        <w:wordWrap/>
        <w:overflowPunct/>
        <w:topLinePunct w:val="0"/>
        <w:bidi w:val="0"/>
        <w:snapToGrid w:val="0"/>
        <w:spacing w:line="4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唐露      </w:t>
      </w:r>
    </w:p>
    <w:p>
      <w:pPr>
        <w:pageBreakBefore w:val="0"/>
        <w:kinsoku/>
        <w:wordWrap/>
        <w:overflowPunct/>
        <w:topLinePunct w:val="0"/>
        <w:bidi w:val="0"/>
        <w:snapToGrid w:val="0"/>
        <w:spacing w:line="4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18199612233</w:t>
      </w:r>
    </w:p>
    <w:p>
      <w:pPr>
        <w:pStyle w:val="15"/>
        <w:spacing w:line="360" w:lineRule="auto"/>
        <w:ind w:right="525"/>
        <w:jc w:val="center"/>
        <w:rPr>
          <w:rFonts w:hint="eastAsia" w:ascii="宋体" w:hAnsi="宋体" w:eastAsia="宋体" w:cs="宋体"/>
          <w:b/>
          <w:sz w:val="24"/>
          <w:szCs w:val="24"/>
        </w:rPr>
      </w:pPr>
    </w:p>
    <w:p>
      <w:pPr>
        <w:pStyle w:val="15"/>
        <w:spacing w:line="360" w:lineRule="auto"/>
        <w:ind w:right="525"/>
        <w:jc w:val="both"/>
        <w:rPr>
          <w:rFonts w:hint="eastAsia" w:ascii="宋体" w:hAnsi="宋体" w:eastAsia="宋体" w:cs="宋体"/>
          <w:b/>
          <w:sz w:val="24"/>
          <w:szCs w:val="24"/>
        </w:rPr>
      </w:pPr>
    </w:p>
    <w:p>
      <w:pPr>
        <w:pStyle w:val="15"/>
        <w:spacing w:line="360" w:lineRule="auto"/>
        <w:ind w:right="525"/>
        <w:jc w:val="center"/>
        <w:rPr>
          <w:rFonts w:hint="eastAsia" w:ascii="宋体" w:hAnsi="宋体" w:eastAsia="宋体" w:cs="宋体"/>
          <w:b/>
          <w:sz w:val="24"/>
          <w:szCs w:val="24"/>
        </w:rPr>
      </w:pPr>
      <w:r>
        <w:rPr>
          <w:rFonts w:hint="eastAsia" w:hAnsi="宋体" w:cs="宋体"/>
          <w:b/>
          <w:sz w:val="24"/>
          <w:szCs w:val="24"/>
          <w:lang w:val="en-US" w:eastAsia="zh-CN"/>
        </w:rPr>
        <w:t xml:space="preserve">      </w:t>
      </w:r>
      <w:r>
        <w:rPr>
          <w:rFonts w:hint="eastAsia" w:ascii="宋体" w:hAnsi="宋体" w:eastAsia="宋体" w:cs="宋体"/>
          <w:b/>
          <w:sz w:val="24"/>
          <w:szCs w:val="24"/>
        </w:rPr>
        <w:t>第二章　磋商须知</w:t>
      </w:r>
    </w:p>
    <w:p>
      <w:pPr>
        <w:pStyle w:val="15"/>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磋商须知前附表</w:t>
      </w:r>
    </w:p>
    <w:tbl>
      <w:tblPr>
        <w:tblStyle w:val="24"/>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152"/>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67" w:type="dxa"/>
            <w:vAlign w:val="center"/>
          </w:tcPr>
          <w:p>
            <w:pPr>
              <w:pStyle w:val="15"/>
              <w:jc w:val="center"/>
              <w:rPr>
                <w:rFonts w:hint="eastAsia" w:ascii="宋体" w:hAnsi="宋体" w:eastAsia="宋体" w:cs="宋体"/>
                <w:sz w:val="22"/>
                <w:szCs w:val="22"/>
              </w:rPr>
            </w:pPr>
            <w:r>
              <w:rPr>
                <w:rFonts w:hint="eastAsia" w:ascii="宋体" w:hAnsi="宋体" w:eastAsia="宋体" w:cs="宋体"/>
                <w:sz w:val="22"/>
                <w:szCs w:val="22"/>
              </w:rPr>
              <w:t>序号</w:t>
            </w:r>
          </w:p>
        </w:tc>
        <w:tc>
          <w:tcPr>
            <w:tcW w:w="2152" w:type="dxa"/>
            <w:vAlign w:val="center"/>
          </w:tcPr>
          <w:p>
            <w:pPr>
              <w:pStyle w:val="15"/>
              <w:jc w:val="center"/>
              <w:rPr>
                <w:rFonts w:hint="eastAsia" w:ascii="宋体" w:hAnsi="宋体" w:eastAsia="宋体" w:cs="宋体"/>
                <w:sz w:val="22"/>
                <w:szCs w:val="22"/>
              </w:rPr>
            </w:pPr>
            <w:r>
              <w:rPr>
                <w:rFonts w:hint="eastAsia" w:ascii="宋体" w:hAnsi="宋体" w:eastAsia="宋体" w:cs="宋体"/>
                <w:sz w:val="22"/>
                <w:szCs w:val="22"/>
              </w:rPr>
              <w:t>条款名称</w:t>
            </w:r>
          </w:p>
        </w:tc>
        <w:tc>
          <w:tcPr>
            <w:tcW w:w="6837" w:type="dxa"/>
            <w:vAlign w:val="center"/>
          </w:tcPr>
          <w:p>
            <w:pPr>
              <w:pStyle w:val="15"/>
              <w:jc w:val="center"/>
              <w:rPr>
                <w:rFonts w:hint="eastAsia" w:ascii="宋体" w:hAnsi="宋体" w:eastAsia="宋体" w:cs="宋体"/>
                <w:sz w:val="22"/>
                <w:szCs w:val="22"/>
              </w:rPr>
            </w:pPr>
            <w:r>
              <w:rPr>
                <w:rFonts w:hint="eastAsia" w:ascii="宋体" w:hAnsi="宋体" w:eastAsia="宋体" w:cs="宋体"/>
                <w:sz w:val="22"/>
                <w:szCs w:val="22"/>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pPr>
              <w:pStyle w:val="15"/>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152"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项目名称</w:t>
            </w:r>
          </w:p>
        </w:tc>
        <w:tc>
          <w:tcPr>
            <w:tcW w:w="6837" w:type="dxa"/>
            <w:vAlign w:val="center"/>
          </w:tcPr>
          <w:p>
            <w:pPr>
              <w:pStyle w:val="30"/>
              <w:spacing w:line="240" w:lineRule="auto"/>
              <w:rPr>
                <w:rFonts w:hint="eastAsia" w:ascii="宋体" w:hAnsi="宋体" w:eastAsia="宋体" w:cs="宋体"/>
                <w:sz w:val="22"/>
                <w:szCs w:val="22"/>
              </w:rPr>
            </w:pPr>
            <w:r>
              <w:rPr>
                <w:rFonts w:hint="eastAsia" w:ascii="宋体" w:hAnsi="宋体" w:eastAsia="宋体" w:cs="宋体"/>
                <w:color w:val="auto"/>
                <w:sz w:val="22"/>
                <w:szCs w:val="18"/>
              </w:rPr>
              <w:t xml:space="preserve">新疆吉木乃民用运输机场选址阶段空域分析报告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pPr>
              <w:pStyle w:val="15"/>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152"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预算金额</w:t>
            </w:r>
          </w:p>
        </w:tc>
        <w:tc>
          <w:tcPr>
            <w:tcW w:w="6837"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color w:val="000000"/>
                <w:kern w:val="0"/>
                <w:sz w:val="22"/>
                <w:szCs w:val="22"/>
              </w:rPr>
              <w:t>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pPr>
              <w:pStyle w:val="15"/>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152"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最高限价</w:t>
            </w:r>
          </w:p>
        </w:tc>
        <w:tc>
          <w:tcPr>
            <w:tcW w:w="6837" w:type="dxa"/>
            <w:vAlign w:val="center"/>
          </w:tcPr>
          <w:p>
            <w:pPr>
              <w:pStyle w:val="15"/>
              <w:spacing w:line="240" w:lineRule="auto"/>
              <w:jc w:val="left"/>
              <w:rPr>
                <w:rFonts w:hint="eastAsia" w:ascii="宋体" w:hAnsi="宋体" w:eastAsia="宋体" w:cs="宋体"/>
                <w:color w:val="000000"/>
                <w:kern w:val="0"/>
                <w:sz w:val="22"/>
                <w:szCs w:val="22"/>
              </w:rPr>
            </w:pPr>
            <w:r>
              <w:rPr>
                <w:rFonts w:hint="eastAsia" w:ascii="宋体" w:hAnsi="宋体" w:eastAsia="宋体" w:cs="宋体"/>
                <w:sz w:val="22"/>
                <w:szCs w:val="22"/>
              </w:rPr>
              <w:t>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pPr>
              <w:pStyle w:val="15"/>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152"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公告媒体</w:t>
            </w:r>
          </w:p>
        </w:tc>
        <w:tc>
          <w:tcPr>
            <w:tcW w:w="6837"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Align w:val="center"/>
          </w:tcPr>
          <w:p>
            <w:pPr>
              <w:pStyle w:val="15"/>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152"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采购人</w:t>
            </w:r>
          </w:p>
        </w:tc>
        <w:tc>
          <w:tcPr>
            <w:tcW w:w="6837"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名称：</w:t>
            </w:r>
            <w:r>
              <w:rPr>
                <w:rFonts w:hint="eastAsia" w:ascii="宋体" w:hAnsi="宋体" w:eastAsia="宋体" w:cs="宋体"/>
                <w:color w:val="000000"/>
                <w:sz w:val="22"/>
                <w:szCs w:val="22"/>
              </w:rPr>
              <w:t>吉木乃县发展和改革委员会</w:t>
            </w:r>
          </w:p>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地址：吉木乃县</w:t>
            </w:r>
          </w:p>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电话：18290901771</w:t>
            </w:r>
          </w:p>
          <w:p>
            <w:pPr>
              <w:pStyle w:val="15"/>
              <w:spacing w:line="240" w:lineRule="auto"/>
              <w:jc w:val="left"/>
              <w:rPr>
                <w:rFonts w:hint="eastAsia" w:ascii="宋体" w:hAnsi="宋体" w:eastAsia="宋体" w:cs="宋体"/>
                <w:sz w:val="22"/>
                <w:szCs w:val="22"/>
                <w:lang w:eastAsia="zh-CN"/>
              </w:rPr>
            </w:pPr>
            <w:r>
              <w:rPr>
                <w:rFonts w:hint="eastAsia" w:ascii="宋体" w:hAnsi="宋体" w:eastAsia="宋体" w:cs="宋体"/>
                <w:sz w:val="22"/>
                <w:szCs w:val="22"/>
              </w:rPr>
              <w:t>联系人：</w:t>
            </w:r>
            <w:r>
              <w:rPr>
                <w:rFonts w:hint="eastAsia" w:ascii="宋体" w:hAnsi="宋体" w:eastAsia="宋体" w:cs="宋体"/>
                <w:sz w:val="22"/>
                <w:szCs w:val="22"/>
                <w:lang w:eastAsia="zh-CN"/>
              </w:rPr>
              <w:t>荣亚北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967" w:type="dxa"/>
            <w:vAlign w:val="center"/>
          </w:tcPr>
          <w:p>
            <w:pPr>
              <w:pStyle w:val="15"/>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152"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采购代理机构</w:t>
            </w:r>
          </w:p>
        </w:tc>
        <w:tc>
          <w:tcPr>
            <w:tcW w:w="6837"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名称：新疆恒跃工程项目管理有限公司</w:t>
            </w:r>
          </w:p>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地址： 阿勒泰市南区万驰广场7楼</w:t>
            </w:r>
          </w:p>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电话：18199612233</w:t>
            </w:r>
          </w:p>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联系人：唐露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67" w:type="dxa"/>
            <w:vAlign w:val="center"/>
          </w:tcPr>
          <w:p>
            <w:pPr>
              <w:pStyle w:val="15"/>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152" w:type="dxa"/>
            <w:vAlign w:val="center"/>
          </w:tcPr>
          <w:p>
            <w:pPr>
              <w:pStyle w:val="15"/>
              <w:spacing w:line="360" w:lineRule="auto"/>
              <w:jc w:val="left"/>
              <w:rPr>
                <w:rFonts w:hint="eastAsia" w:ascii="宋体" w:hAnsi="宋体" w:eastAsia="宋体" w:cs="宋体"/>
                <w:sz w:val="22"/>
                <w:szCs w:val="22"/>
              </w:rPr>
            </w:pPr>
            <w:r>
              <w:rPr>
                <w:rFonts w:hint="eastAsia" w:ascii="宋体" w:hAnsi="宋体" w:eastAsia="宋体" w:cs="宋体"/>
                <w:sz w:val="22"/>
                <w:szCs w:val="22"/>
              </w:rPr>
              <w:t>供应商资格条件</w:t>
            </w:r>
          </w:p>
        </w:tc>
        <w:tc>
          <w:tcPr>
            <w:tcW w:w="6837" w:type="dxa"/>
            <w:vAlign w:val="center"/>
          </w:tcPr>
          <w:p>
            <w:pPr>
              <w:pStyle w:val="30"/>
              <w:rPr>
                <w:rFonts w:hint="eastAsia" w:ascii="宋体" w:hAnsi="宋体" w:eastAsia="宋体" w:cs="宋体"/>
                <w:sz w:val="22"/>
                <w:szCs w:val="22"/>
              </w:rPr>
            </w:pPr>
            <w:r>
              <w:rPr>
                <w:rFonts w:hint="eastAsia" w:ascii="宋体" w:hAnsi="宋体" w:eastAsia="宋体" w:cs="宋体"/>
                <w:sz w:val="22"/>
                <w:szCs w:val="22"/>
              </w:rPr>
              <w:t>1.满足《中华人民共和国政府采购法》第二十二条规定；</w:t>
            </w:r>
          </w:p>
          <w:p>
            <w:pPr>
              <w:pStyle w:val="30"/>
              <w:rPr>
                <w:rFonts w:hint="eastAsia" w:ascii="宋体" w:hAnsi="宋体" w:eastAsia="宋体" w:cs="宋体"/>
                <w:sz w:val="22"/>
                <w:szCs w:val="22"/>
              </w:rPr>
            </w:pPr>
            <w:r>
              <w:rPr>
                <w:rFonts w:hint="eastAsia" w:ascii="宋体" w:hAnsi="宋体" w:eastAsia="宋体" w:cs="宋体"/>
                <w:sz w:val="22"/>
                <w:szCs w:val="22"/>
              </w:rPr>
              <w:t>2.落实政府采购政策需满足的资格要求：①《政府采购促进中小企业发展管理办法》（财库﹝2020﹞46 号）；②《财政部、司法部关于政府采购支持监狱企业发展有关问题的通知》（财库〔2014〕68 号）；③《财政部民政部中国残疾人联合会关于促进残疾人就业政府采购政策的通知》财库〔2017〕141 号；</w:t>
            </w:r>
          </w:p>
          <w:p>
            <w:pPr>
              <w:pStyle w:val="30"/>
              <w:rPr>
                <w:rFonts w:hint="eastAsia" w:ascii="宋体" w:hAnsi="宋体" w:eastAsia="宋体" w:cs="宋体"/>
                <w:sz w:val="22"/>
                <w:szCs w:val="22"/>
              </w:rPr>
            </w:pPr>
            <w:r>
              <w:rPr>
                <w:rFonts w:hint="eastAsia" w:ascii="宋体" w:hAnsi="宋体" w:eastAsia="宋体" w:cs="宋体"/>
                <w:sz w:val="22"/>
                <w:szCs w:val="22"/>
              </w:rPr>
              <w:t>3.本项目的特定资格要求：①投标人具有独立的法人资格和有效的营业执照；②投标人须具备民航行业工程设计乙级以上（含乙级）资质，同时投标人已被列入中国民航局飞行标准司最新一期《飞行程序设计单位备案信息公布表》；③项目负责人须具有机场相关专业高级工程师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67" w:type="dxa"/>
            <w:vAlign w:val="center"/>
          </w:tcPr>
          <w:p>
            <w:pPr>
              <w:pStyle w:val="15"/>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152"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联合体形式</w:t>
            </w:r>
          </w:p>
        </w:tc>
        <w:tc>
          <w:tcPr>
            <w:tcW w:w="6837" w:type="dxa"/>
            <w:vAlign w:val="center"/>
          </w:tcPr>
          <w:p>
            <w:pPr>
              <w:pStyle w:val="15"/>
              <w:spacing w:line="240" w:lineRule="auto"/>
              <w:jc w:val="left"/>
              <w:rPr>
                <w:rFonts w:hint="eastAsia" w:ascii="宋体" w:hAnsi="宋体" w:eastAsia="宋体" w:cs="宋体"/>
                <w:sz w:val="22"/>
                <w:szCs w:val="22"/>
              </w:rPr>
            </w:pP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eq \o\ac(□,√)</w:instrText>
            </w:r>
            <w:r>
              <w:rPr>
                <w:rFonts w:hint="eastAsia" w:ascii="宋体" w:hAnsi="宋体" w:eastAsia="宋体" w:cs="宋体"/>
                <w:color w:val="000000"/>
                <w:sz w:val="22"/>
                <w:szCs w:val="22"/>
              </w:rPr>
              <w:fldChar w:fldCharType="end"/>
            </w:r>
            <w:r>
              <w:rPr>
                <w:rFonts w:hint="eastAsia" w:ascii="宋体" w:hAnsi="宋体" w:eastAsia="宋体" w:cs="宋体"/>
                <w:sz w:val="22"/>
                <w:szCs w:val="22"/>
              </w:rPr>
              <w:t>不接受</w:t>
            </w:r>
          </w:p>
          <w:p>
            <w:pPr>
              <w:pStyle w:val="15"/>
              <w:spacing w:line="240" w:lineRule="auto"/>
              <w:jc w:val="left"/>
              <w:rPr>
                <w:rFonts w:hint="eastAsia" w:ascii="宋体" w:hAnsi="宋体" w:eastAsia="宋体" w:cs="宋体"/>
                <w:sz w:val="22"/>
                <w:szCs w:val="22"/>
              </w:rPr>
            </w:pPr>
            <w:r>
              <w:rPr>
                <w:rFonts w:hint="eastAsia" w:ascii="宋体" w:hAnsi="宋体" w:eastAsia="宋体" w:cs="宋体"/>
                <w:sz w:val="22"/>
                <w:szCs w:val="22"/>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2"/>
                <w:szCs w:val="22"/>
              </w:rPr>
              <w:t>政府采购政策支持</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本项目专门面向中小企业采购：</w:t>
            </w:r>
          </w:p>
          <w:p>
            <w:pPr>
              <w:pStyle w:val="30"/>
              <w:rPr>
                <w:rFonts w:hint="eastAsia" w:ascii="宋体" w:hAnsi="宋体" w:eastAsia="宋体" w:cs="宋体"/>
                <w:sz w:val="22"/>
                <w:szCs w:val="22"/>
              </w:rPr>
            </w:pPr>
            <w:r>
              <w:rPr>
                <w:rFonts w:hint="eastAsia" w:ascii="宋体" w:hAnsi="宋体" w:eastAsia="宋体" w:cs="宋体"/>
                <w:sz w:val="22"/>
                <w:szCs w:val="22"/>
              </w:rPr>
              <w:t>①《政府采购促进中小企业发展管理办法》（财库﹝2020﹞46 号）；②《财政部、司法部关于政府采购支持监狱企业发展有关问题的通知》（财库〔2014〕68 号）；③《财政部民政部中国残疾人联合会关于促进残疾人就业政府采购政策的通知》财库〔2017〕141 号；；</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评审时将给予此类企业产品的价格给予6%的扣除，用扣除后的价格参与评审。监狱企业、残疾人福利性单位视同为小微企业，用扣除后的价格参与评审。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澄清或者修改时间</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提交首次响应文件截止之日3日前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提交响应文件的截止时间、地点</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截止时间：2022年6月</w:t>
            </w:r>
            <w:r>
              <w:rPr>
                <w:rFonts w:hint="eastAsia" w:hAnsi="宋体" w:cs="宋体"/>
                <w:sz w:val="22"/>
                <w:szCs w:val="22"/>
                <w:lang w:val="en-US" w:eastAsia="zh-CN"/>
              </w:rPr>
              <w:t>29</w:t>
            </w:r>
            <w:r>
              <w:rPr>
                <w:rFonts w:hint="eastAsia" w:ascii="宋体" w:hAnsi="宋体" w:eastAsia="宋体" w:cs="宋体"/>
                <w:sz w:val="22"/>
                <w:szCs w:val="22"/>
              </w:rPr>
              <w:t>日16时30分(北京时间)</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地点：阿勒泰市南区万驰广场7楼会议室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开启响应文件的时间、地点</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时间：2022年6月</w:t>
            </w:r>
            <w:r>
              <w:rPr>
                <w:rFonts w:hint="eastAsia" w:hAnsi="宋体" w:cs="宋体"/>
                <w:sz w:val="22"/>
                <w:szCs w:val="22"/>
                <w:lang w:val="en-US" w:eastAsia="zh-CN"/>
              </w:rPr>
              <w:t>29</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日16时30分(北京时间)</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地点：阿勒泰市南区万驰广场7楼会议室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磋商保证金</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□不要求提供</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eq \o\ac(□,√)</w:instrText>
            </w:r>
            <w:r>
              <w:rPr>
                <w:rFonts w:hint="eastAsia" w:ascii="宋体" w:hAnsi="宋体" w:eastAsia="宋体" w:cs="宋体"/>
                <w:sz w:val="22"/>
                <w:szCs w:val="22"/>
              </w:rPr>
              <w:fldChar w:fldCharType="end"/>
            </w:r>
            <w:r>
              <w:rPr>
                <w:rFonts w:hint="eastAsia" w:ascii="宋体" w:hAnsi="宋体" w:eastAsia="宋体" w:cs="宋体"/>
                <w:sz w:val="22"/>
                <w:szCs w:val="22"/>
              </w:rPr>
              <w:t>要求提供</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1、磋商保证金金额：15000元</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2、磋商保证金到账截止时间：同响应文件递交截止时间</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3、提交方式：从响应人基本账户以支票、汇票、本票、或者金融机构、担保机构出具的保函等非现金提交。</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4、账户信息：</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开户银行：中国工商银行股份有限公司阿勒泰分行解放路支行</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开户名称：新疆恒跃工程项目管理有限公司</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帐    号： 3008120709200027810</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注：（1）投标保证金从基本账户转入上述账号（2）提供缴纳证明原件后开具保证金收据。</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注：以上所涉及的缴纳方式均需从基本户出具，并备注项目名称或项目编号，请投标人自行确定好到账日期，因自身原因缴纳保证金未按开标截止前到账的，投标人自行负责。</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投标人按上述要求从基本户递交投标保证金后，请携带凭据到招标代理机构开具投标保证金收款收据，保证金收据的复印件及回执单须同时附到标书条款中。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响应文件有效期</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自响应文件的递交截止时间起45日(日历日)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响应文件份数</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正本1份</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副本2份</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电子文件_</w:t>
            </w:r>
            <w:r>
              <w:rPr>
                <w:rFonts w:hint="eastAsia" w:ascii="宋体" w:hAnsi="宋体" w:eastAsia="宋体" w:cs="宋体"/>
                <w:sz w:val="22"/>
                <w:szCs w:val="22"/>
                <w:u w:val="single"/>
              </w:rPr>
              <w:t>1</w:t>
            </w:r>
            <w:r>
              <w:rPr>
                <w:rFonts w:hint="eastAsia" w:ascii="宋体" w:hAnsi="宋体" w:eastAsia="宋体" w:cs="宋体"/>
                <w:sz w:val="22"/>
                <w:szCs w:val="22"/>
              </w:rPr>
              <w:t>份(扫描件，U盘形式递交)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响应文件封套上应载明的信息</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u w:val="single"/>
              </w:rPr>
              <w:t>新疆吉木乃民用运输机场选址阶段空域分析报告</w:t>
            </w:r>
            <w:r>
              <w:rPr>
                <w:rFonts w:hint="eastAsia" w:ascii="宋体" w:hAnsi="宋体" w:eastAsia="宋体" w:cs="宋体"/>
                <w:sz w:val="22"/>
                <w:szCs w:val="22"/>
              </w:rPr>
              <w:t xml:space="preserve"> 磋商响应文件</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2"/>
                <w:szCs w:val="22"/>
              </w:rPr>
            </w:pPr>
            <w:r>
              <w:rPr>
                <w:rFonts w:hint="eastAsia" w:ascii="宋体" w:hAnsi="宋体" w:eastAsia="宋体" w:cs="宋体"/>
                <w:sz w:val="22"/>
                <w:szCs w:val="22"/>
              </w:rPr>
              <w:t>项目编号：ZFCGHY2022014</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在</w:t>
            </w:r>
            <w:r>
              <w:rPr>
                <w:rFonts w:hint="eastAsia" w:ascii="宋体" w:hAnsi="宋体" w:eastAsia="宋体" w:cs="宋体"/>
                <w:sz w:val="22"/>
                <w:szCs w:val="22"/>
                <w:u w:val="single"/>
              </w:rPr>
              <w:t>2022</w:t>
            </w:r>
            <w:r>
              <w:rPr>
                <w:rFonts w:hint="eastAsia" w:ascii="宋体" w:hAnsi="宋体" w:eastAsia="宋体" w:cs="宋体"/>
                <w:sz w:val="22"/>
                <w:szCs w:val="22"/>
              </w:rPr>
              <w:t>年6月2</w:t>
            </w:r>
            <w:r>
              <w:rPr>
                <w:rFonts w:hint="eastAsia" w:hAnsi="宋体" w:cs="宋体"/>
                <w:sz w:val="22"/>
                <w:szCs w:val="22"/>
                <w:lang w:val="en-US" w:eastAsia="zh-CN"/>
              </w:rPr>
              <w:t>9</w:t>
            </w:r>
            <w:r>
              <w:rPr>
                <w:rFonts w:hint="eastAsia" w:ascii="宋体" w:hAnsi="宋体" w:eastAsia="宋体" w:cs="宋体"/>
                <w:sz w:val="22"/>
                <w:szCs w:val="22"/>
              </w:rPr>
              <w:t>日</w:t>
            </w:r>
            <w:r>
              <w:rPr>
                <w:rFonts w:hint="eastAsia" w:ascii="宋体" w:hAnsi="宋体" w:eastAsia="宋体" w:cs="宋体"/>
                <w:sz w:val="22"/>
                <w:szCs w:val="22"/>
                <w:u w:val="single"/>
              </w:rPr>
              <w:t>16</w:t>
            </w:r>
            <w:r>
              <w:rPr>
                <w:rFonts w:hint="eastAsia" w:ascii="宋体" w:hAnsi="宋体" w:eastAsia="宋体" w:cs="宋体"/>
                <w:sz w:val="22"/>
                <w:szCs w:val="22"/>
              </w:rPr>
              <w:t>时</w:t>
            </w:r>
            <w:r>
              <w:rPr>
                <w:rFonts w:hint="eastAsia" w:ascii="宋体" w:hAnsi="宋体" w:eastAsia="宋体" w:cs="宋体"/>
                <w:sz w:val="22"/>
                <w:szCs w:val="22"/>
                <w:u w:val="single"/>
              </w:rPr>
              <w:t>30</w:t>
            </w:r>
            <w:r>
              <w:rPr>
                <w:rFonts w:hint="eastAsia" w:ascii="宋体" w:hAnsi="宋体" w:eastAsia="宋体" w:cs="宋体"/>
                <w:sz w:val="22"/>
                <w:szCs w:val="22"/>
              </w:rPr>
              <w:t>分之前不得启封</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供应商名称：____________________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17</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2"/>
                <w:szCs w:val="22"/>
              </w:rPr>
            </w:pPr>
            <w:r>
              <w:rPr>
                <w:rFonts w:hint="eastAsia" w:ascii="宋体" w:hAnsi="宋体" w:eastAsia="宋体" w:cs="宋体"/>
                <w:sz w:val="22"/>
                <w:szCs w:val="22"/>
              </w:rPr>
              <w:t>服务期限</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highlight w:val="yellow"/>
                <w:lang w:eastAsia="zh-CN"/>
              </w:rPr>
            </w:pPr>
            <w:r>
              <w:rPr>
                <w:rFonts w:hint="eastAsia" w:ascii="宋体" w:hAnsi="宋体" w:eastAsia="宋体" w:cs="宋体"/>
                <w:sz w:val="22"/>
                <w:szCs w:val="22"/>
              </w:rPr>
              <w:t>编制选址阶段报告所需基础资料齐全后，40日历日内完成编制报告</w:t>
            </w:r>
            <w:r>
              <w:rPr>
                <w:rFonts w:hint="eastAsia" w:ascii="宋体" w:hAnsi="宋体" w:eastAsia="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18</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采购资金的支付方式和时间</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甲乙双方签订合同时协商约定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19</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履约保证金</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甲乙双方签订合同时协商约定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6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20</w:t>
            </w:r>
          </w:p>
        </w:tc>
        <w:tc>
          <w:tcPr>
            <w:tcW w:w="2152"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证件查验</w:t>
            </w:r>
          </w:p>
        </w:tc>
        <w:tc>
          <w:tcPr>
            <w:tcW w:w="6837"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招标人邀请所有投标人的法定代表人或其委托代理人参加开标会。投标人的法定代表人或其委托代理人应当按时参加开标会，并在招标人按开标程序进行点名时，向招标人提交法定代表人身份证明文件或法定代表人授权委托书，出示本人身份证，以证明其出席，否则，其磋商文件不予接受。</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开标前，请各投标人随身携带下列有效证件以备随时查验：</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（1）法定代表人资格证明及身份证（非法人参加的投标人须提供法定代表人授权委托书及身份证）。法定代表人授权委托书应当单独提供，并与磋商文件中所提供的相一致。</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（2）营业执照。</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（3）企业资质证书以及项目负责人职称证书。</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（4）投标人必须提供能够证明投标保证金从其基本帐户转出且已交存的有效凭证。</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以上证件均应当为原件。上述证件齐全、满足要求的投标人为有效投标人。上述证件的公证件，本次招标不予认可。</w:t>
            </w:r>
          </w:p>
        </w:tc>
      </w:tr>
    </w:tbl>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b/>
          <w:sz w:val="24"/>
          <w:szCs w:val="24"/>
        </w:rPr>
      </w:pPr>
      <w:r>
        <w:rPr>
          <w:rFonts w:hint="eastAsia" w:ascii="宋体" w:hAnsi="宋体" w:eastAsia="宋体" w:cs="宋体"/>
        </w:rPr>
        <w:br w:type="page"/>
      </w:r>
      <w:r>
        <w:rPr>
          <w:rFonts w:hint="eastAsia" w:ascii="宋体" w:hAnsi="宋体" w:eastAsia="宋体" w:cs="宋体"/>
          <w:b/>
          <w:sz w:val="24"/>
          <w:szCs w:val="24"/>
        </w:rPr>
        <w:t>磋商须知正文</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一、说明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1.定义</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1.1“采购人”系指依法进行政府采购的国家机关、事业单位、团体组织。本次采购的采购人名称、地址、电话、联系人见磋商须知前附表。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1.2“采购代理机构”系指采购代理机构。本次政府采购的采购代理机构名称、地址、电话、联系人见磋商须知前附表。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1.3“供应商”是指向采购人提供货物的法人、其他组织或者自然人。</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1.4“磋商小组”是依据《政府采购非招标采购方式管理办法》有关规定组建，依法履行竞争性磋商采购活动职责的</w:t>
      </w:r>
      <w:r>
        <w:rPr>
          <w:rFonts w:hint="eastAsia" w:ascii="宋体" w:hAnsi="宋体" w:eastAsia="宋体" w:cs="宋体"/>
          <w:sz w:val="24"/>
          <w:szCs w:val="24"/>
          <w:lang w:val="en-US" w:eastAsia="zh-CN"/>
        </w:rPr>
        <w:t>5</w:t>
      </w:r>
      <w:r>
        <w:rPr>
          <w:rFonts w:hint="eastAsia" w:ascii="宋体" w:hAnsi="宋体" w:eastAsia="宋体" w:cs="宋体"/>
          <w:sz w:val="24"/>
          <w:szCs w:val="24"/>
        </w:rPr>
        <w:t>人以上单数的磋商成员。</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1.5“货物”是指各种形态和种类的物品，包括原材料、燃料、设备、产品等。</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1.6“服务”是指除货物和工程以外的其他政府采购对象。</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2.采购项目预算</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2.1本项目采购资金已列入政府采购预算，预算金额见磋商须知前附表。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3.供应商的资格要求</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3.1供应商应当符合磋商须知前附表中规定的下列资格条件要求；</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3.1.1满足《中华人民共和国政府采购法》第二十二条规定；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3.1.2落实政府采购政策需满足的资格要求： </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 号） ；</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 141号）的规定；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3.1.3本项目的特定资格要求：</w:t>
      </w:r>
    </w:p>
    <w:p>
      <w:pPr>
        <w:pStyle w:val="15"/>
        <w:numPr>
          <w:ilvl w:val="0"/>
          <w:numId w:val="2"/>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投标人具有独立的法人资格和有效的营业执照；</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（2）投标人须具备民航行业工程设计乙级以上（含乙级）资质，同时投标人已被列入中国民航局飞行标准司最新一期《飞行程序设计单位备案信息公布表》；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（3）项目负责人须具有机场相关专业高级工程师职称证书（须提供由劳动和社会保障部门出具的投标截止时间前近半年内连续2个月的社保证明）。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4.参与磋商的费用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4.1无论磋商的结果如何，供应商应自行承担所有与竞争性磋商采购活动有关的全部费用。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5.授权委托</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5.1供应商代表不是供应商法定代表人的，应持有法定代表人授权委托书，并附供应商代表身份证明。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6.联合体形式</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6.1本项目是否接受联合体参与及相关要求见磋商须知前附表。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7.政府采购政策支持</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7.1供应商享受支持中小企业发展政策优惠的，可用扣除后的最后报价参与价格比较。本项目价格扣除比例及相关要求见磋商须知前附表。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7.2监狱企业、残疾人福利性单位视同小型、微型企业，享受促进中小企业发展政策优惠，可用扣除后的最后报价参与价格比较。本项目价格扣除比例及相关要求见磋商须知前附表。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二、磋商文件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8.磋商文件的组成</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磋商文件由下列文件组成：</w:t>
      </w:r>
    </w:p>
    <w:p>
      <w:pPr>
        <w:pStyle w:val="15"/>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第一章　磋商公告</w:t>
      </w:r>
    </w:p>
    <w:p>
      <w:pPr>
        <w:pStyle w:val="15"/>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第二章　磋商须知</w:t>
      </w:r>
    </w:p>
    <w:p>
      <w:pPr>
        <w:pStyle w:val="15"/>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第三章　合同草案条款</w:t>
      </w:r>
    </w:p>
    <w:p>
      <w:pPr>
        <w:pStyle w:val="15"/>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第四章　响应文件组成</w:t>
      </w:r>
    </w:p>
    <w:p>
      <w:pPr>
        <w:pStyle w:val="15"/>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第五章　项目采购需求</w:t>
      </w:r>
    </w:p>
    <w:p>
      <w:pPr>
        <w:pStyle w:val="15"/>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第六章  评标办法</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8.2磋商须知前附表规定的提交首次响应文件截止时间前，对磋商文件进行澄清或者修改的内容，为磋商文件的组成部分。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8.3磋商小组根据与供应商磋商情况可能实质性变动的内容，包括采购需求中的技术、服务要求以及合同草案条款，对磋商文件作出的实质性变动是磋商文件的有效组成部分。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8.4供应商应仔细阅读磋商文件的全部内容，按照磋商文件要求编制响应文件。任何对磋商文件的忽略或误解不能作为响应文件存在缺陷或瑕疵的理由，其风险由供应商承担。</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9.磋商文件的澄清或者修改</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9.1在磋商须知前附表规定的提交首次响应文件截止之日前，采购人、采购代理机构或者磋商小组可以对已发出的磋商文件进行必要的澄清或者修改。</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澄清或者修改的内容可能影响响应文件编制的，采购人、采购代理机构或者磋商小组应当在磋商须知前附表规定的提交首次响应文件截止之日3个工作日前，以书面形式通知所有接收磋商文件的供应商，不足3个工作日的，顺延供应商提交首次响应文件截止时间。</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10.偏离</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10.1本条所称偏离为响应文件对磋商文件的偏离，即不满足或不响应磋商文件的要求。偏离分为实质性和非实质性要求条款偏离。</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除政府采购法律法规相关规定外，磋商文件中用“拒绝”“不接受”“无效”“不得”“必须”等文字规定或标注“★”符号的条款为实质性要求条款(即重要条款)，对其中任何一条的偏离，在评审时将其视为无效响应。</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三、响应文件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11.一般要求</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11.1供应商应当按照磋商文件的要求编制响应文件，并对其提交的响应文件的真实性、合法性承担法律责任。</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11.2供应商提交的响应文件及供应商与采购人或采购代理机构、磋商小组就有关磋商的所有来往函电均使用中文。供应商可以提交其他语言的资料，但应附中文注释，在有差异时以中文为准。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11.3除技术要求另有规定外，本文件所要求使用的计量单位均采用国家法定的度、量、衡标准单位计量。未列明时亦默认为我国法定计量单位。</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11.4供应商应按磋商文件中提供的响应文件格式填写。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11.5磋商响应文件应采用书面形式，磋商文件中要求提供电子版的，应按要求提供。</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12.响应文件的组成</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12.1响应文件应包括但不限于下列内容：</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★(1)磋商响应声明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★(2)报价一览表及分项价格表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(3)商务条款偏离表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★(4)磋商保证金</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★(5)供应商符合资格条件的证明文件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★(6)符合政府采购政策的证明材料（如符合）</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(7)服务方案</w:t>
      </w:r>
    </w:p>
    <w:p>
      <w:pPr>
        <w:pStyle w:val="15"/>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（8）技术响应与偏离表</w:t>
      </w:r>
    </w:p>
    <w:p>
      <w:pPr>
        <w:pStyle w:val="15"/>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（9）用于本项目人员简历表</w:t>
      </w:r>
    </w:p>
    <w:p>
      <w:pPr>
        <w:pStyle w:val="15"/>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（10）供应商认为需提供的其他资料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12.2在磋商过程中，供应商根据磋商小组书面形式要求提交的最后报价(或者重新提交的响应文件和最后报价)是响应文件的有效组成部分。</w:t>
      </w:r>
    </w:p>
    <w:p>
      <w:pPr>
        <w:pStyle w:val="15"/>
        <w:spacing w:line="360" w:lineRule="auto"/>
        <w:ind w:firstLine="480" w:firstLineChars="200"/>
        <w:rPr>
          <w:rFonts w:hint="eastAsia" w:ascii="宋体" w:hAnsi="宋体" w:eastAsia="宋体" w:cs="宋体"/>
        </w:rPr>
      </w:pPr>
      <w:r>
        <w:rPr>
          <w:rFonts w:hint="eastAsia" w:ascii="宋体" w:hAnsi="宋体" w:eastAsia="宋体" w:cs="宋体"/>
          <w:sz w:val="24"/>
          <w:szCs w:val="24"/>
        </w:rPr>
        <w:t>12.3磋商文件规定可能发生实质性变动的，供应商应当在《技术/商务响应与偏离表》中的对应内容处注明。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12.4供应商无论成交与否，其响应文件不予退还。</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13.报价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13.1供应商必须按磋商文件规定的服务要求、责任范围和合同条件，以人民币进行报价。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13.2供应商应按报价一览表内容和格式要求填写。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13.3供应商的最后报价不得超过采购预算。本次采购项目的预算见磋商须知前附表。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14.磋商保证金</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磋商须知前附表规定交纳磋商保证金的，应以支票、汇票、本票、网上银行或金融机构、担保机构出具的保函等非现金形式，在磋商须知前附表规定的提交首次响应文件截止时间前，向采购代理机构交纳磋商保证金。磋商保证金有效期应当与磋商须知前附表响应文件有效期一致。未按规定提交磋商保证金的响应文件，将被视为非实质响应而被拒绝。</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14.2供应商为联合体的，可以由联合体中的一方或者多方交纳磋商保证金，以一方名义交纳磋商保证金的，对联合体各方均具有约束力。</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采购人或者采购代理机构应当在采购活动结束后及时退还供应商的磋商保证金，但因供应商自身原因导致无法及时退还的除外。未成交供应商的磋商保证金应当在成交文件发出后5个工作日内退还，成交供应商的磋商保证金应当在采购合同签订后5个工作日内退还。</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14.4有下列情形之一的，磋商保证金不予退还：</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(1)供应商在磋商须知前附表规定的提交首次响应文件截止时间后撤回响应文件的；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(3)除因不可抗力或磋商文件认可的情形以外，成交供应商不与采购人签订合同的；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(5)磋商文件规定的其他情形。</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15.响应文件有效期</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响应文件有效期见磋商须知前附表，在此期间响应文件对供应商具有法律约束力。响应文件有效期从磋商须知前附表规定的提交首次响应文件截止时间之日起计算。磋商响应文件有效期不足的将被视为无效响应。</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16.响应文件的签署及规定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16.1供应商应根据磋商须知前附表规定提交响应文件。纸质文件的正本和副本应装订成册。正本和副本的封面上应标记“正本”或“副本”的字样，当正本和副本、电子版有差异时，以正本为准。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响应文件正本和副本应用不褪色的材料打印或书写，并按磋商文件要求在签字盖章处加盖公章和由法定代表人或其授权代表签字。响应文件中的任何加行、涂改、增删，应加盖单位公章或由供应商的法定代表人或其授权代表签字确认。否则，将导致响应文件无效。</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17.响应文件的密封和标记</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17.1响应文件按正本、副本和电子文件一起密封，加贴封条，并在封套的封口处加</w:t>
      </w:r>
      <w:r>
        <w:rPr>
          <w:rFonts w:hint="eastAsia" w:ascii="宋体" w:hAnsi="宋体" w:eastAsia="宋体" w:cs="宋体"/>
          <w:color w:val="000000"/>
          <w:sz w:val="24"/>
          <w:szCs w:val="24"/>
        </w:rPr>
        <w:t>盖供应商单位公章和由法定代表人或其授权的代理人签字。</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17.2响应文件封套或外包装上应写明的内容见磋商须知前附表。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17.3响应文件如果未按上述规定密封和标记的，采购人或采购代理机构将拒绝接收。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18.响应文件的递交</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18.1响应文件应在磋商须知前附表规定的提交时间和指定地点提交。</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18.2逾期送达或未送达指定地点的响应文件，采购人或采购代理机构应当拒绝接收。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19.响应文件的补充、修改或者撤回</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19.1供应商在磋商文件须知前附表提交首次响应文件截止时间前，可以对所提交的首次响应文件进行补充、修改或者撤回，并书面通知采购人、采购代理机构。该通知应有供应商法定代表人或其授权代表签字。</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19.2补充、修改的内容与响应文件不一致时，以补充、修改的内容为准。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四、磋商与评审</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20.磋商小组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20.1磋商与评审由依法组建的磋商小组负责，磋商小组是在政采云专家库随机</w:t>
      </w:r>
      <w:r>
        <w:rPr>
          <w:rFonts w:hint="eastAsia" w:ascii="宋体" w:hAnsi="宋体" w:eastAsia="宋体" w:cs="宋体"/>
          <w:kern w:val="0"/>
          <w:sz w:val="24"/>
        </w:rPr>
        <w:t>抽取的方式确定</w:t>
      </w:r>
      <w:r>
        <w:rPr>
          <w:rFonts w:hint="eastAsia" w:ascii="宋体" w:hAnsi="宋体" w:eastAsia="宋体" w:cs="宋体"/>
          <w:sz w:val="24"/>
          <w:szCs w:val="24"/>
        </w:rPr>
        <w:t>。</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21.初步审查</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(1)供应商未按照磋商文件规定提交磋商保证金的；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(2)未按照磋商文件规定要求密封、签署、盖章的；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(3)响应文件有效期不足的；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(4)供应商不满足磋商文件供应商资格条件或未按照磋商文件规定提供资格证明材料的；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(5)响应文件不满足与磋商文件要求的实质性条款、条件和规格的。响应文件是否实质性响应磋商文件，由磋商小组依据磋商文件规定、响应文件和磋商情况认定；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(6)响应供应商存在失信记录的：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(7)其他不符合法律、规章、规范性文件和磋商文件规定的。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22.澄清</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磋商小组在对响应文件的有效性、完整性和对磋商文件的响应程度进行审查时，可以以书面形式要求供应商对响应文件中含义不明确、同类问题表述不一致或者有明显文字和计算错误的内容等，作出必要的澄清、说明或者更正。</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22.2供应商的澄清、说明或者更正应当采用书面形式，由其法定代表人或其授权代表签字，供应商的澄清、说明或者更正不得超出响应文件的范围或者改变响应文件的实质性内容。</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23.磋商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23.1磋商小组所有成员应当集中与单一供应商分别进行磋商，并给予所有参加磋商的供应商平等的磋商机会。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经采购人代表确认后，磋商小组可以根据磋商文件和磋商情况实质性变动采购需求中的技术、服务要求以及合同草案条款，但不得变动磋商文件中的其他内容，并及时以书面形式同时通知所有参加磋商的供应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23.3根据项目的实际情况，由磋商小组在磋商现场决定磋商及报价轮次。</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23.4最后报价是供应商响应文件的有效组成部分。如磋商小组没有对磋商文件作实质性变动或增加新的需求，最后报价不得高于首轮报价。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24.最后报价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24.1磋商文件能够详细列明采购标的的技术、服务要求的，磋商结束后，磋商小组应要求所有继续参加磋商的供应商在规定时间内提交最后报价。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24.2磋商文件不能完整、明确列明采购需求，需要由供应商提供最终设计方案或者解决方案的，在磋商结束后，磋商小组按照少数服从多数的原则投票推荐</w:t>
      </w:r>
      <w:r>
        <w:rPr>
          <w:rFonts w:hint="eastAsia" w:ascii="宋体" w:hAnsi="宋体" w:eastAsia="宋体" w:cs="宋体"/>
          <w:sz w:val="24"/>
          <w:szCs w:val="24"/>
          <w:highlight w:val="none"/>
        </w:rPr>
        <w:t>3家及以上</w:t>
      </w:r>
      <w:r>
        <w:rPr>
          <w:rFonts w:hint="eastAsia" w:ascii="宋体" w:hAnsi="宋体" w:eastAsia="宋体" w:cs="宋体"/>
          <w:sz w:val="24"/>
          <w:szCs w:val="24"/>
        </w:rPr>
        <w:t>供应商的设计方案或者解决方案，并要求其在规定时间内提交最后报价。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24.3最后一轮的报价为确定成交供应商的重要依据，在合同执行过程中不得以任何理由予以变更。</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25.最后报价评审</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25.1最后报价计算错误修正的原则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(1)最后报价的大写金额和小写金额不一致的，以大写金额为准。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(2)总价金额与按分项报价汇总金额不一致的，以分项报价金额计算结果为准。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(3)分项报价金额小数点有明显错位的，应以总价为准，并修改分项报价。</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(4)如果供应商不接受对其错误的更正，其最后报价将被视为无效报价或确定为无效响应。</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25.2最后报价的价格扣除原则</w:t>
      </w:r>
    </w:p>
    <w:p>
      <w:pPr>
        <w:tabs>
          <w:tab w:val="left" w:pos="3777"/>
          <w:tab w:val="center" w:pos="4819"/>
        </w:tabs>
        <w:spacing w:line="360" w:lineRule="auto"/>
        <w:rPr>
          <w:rFonts w:hint="eastAsia" w:ascii="宋体" w:hAnsi="宋体" w:eastAsia="宋体" w:cs="宋体"/>
          <w:b/>
          <w:sz w:val="24"/>
          <w:szCs w:val="24"/>
        </w:rPr>
      </w:pPr>
      <w:r>
        <w:rPr>
          <w:rFonts w:hint="eastAsia" w:ascii="宋体" w:hAnsi="宋体" w:eastAsia="宋体" w:cs="宋体"/>
          <w:sz w:val="24"/>
          <w:szCs w:val="24"/>
        </w:rPr>
        <w:t>对小型或微型企业以及监狱企业、残疾人福利性单位，在评审时按响应人须知前附表的规定对其响应价格给予价格扣除。供应商须在响应文件中提供《中小企业声明函》、《监狱企业声明函》、《残疾人福利性单位声明函》(格式见“第五章　响应文件格式”)，监狱企业须在响应文件中提供相关证明文件，否则在评审时将不给予价格扣除。</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小型或微型企业应当符合以下条件：符合小型或微型企业划型标准。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25.3评审价：以供应商的最后报价作为价格评审依据。供应商的评审价为按上述条款修正并给予价格扣除优惠后的价格。</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26.提出成交供应商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26.1磋商小组应当从质量和服务均能满足磋商文件实质性响应要求的供应商中，按照最后报价由低到高的顺序提出成交候选人，并编写评审报告。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26.2最终评审价相同的的按照技</w:t>
      </w:r>
      <w:r>
        <w:rPr>
          <w:rFonts w:hint="eastAsia" w:ascii="宋体" w:hAnsi="宋体" w:eastAsia="宋体" w:cs="宋体"/>
          <w:color w:val="000000"/>
          <w:sz w:val="24"/>
          <w:szCs w:val="24"/>
        </w:rPr>
        <w:t>术指标优劣顺序推荐。</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27.确定成交供应商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27.1采购代理机构应当在评审结束之日起2个工作日内将评审报告送采购人确认。</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27.2采购人收到评审报告之日起5个工作日内，从评审报告提出的成交候选人中，根据质量和服务均能满足磋商文件实质性响应要求且最后报价最低的原则确定成交供应商，也可以书面授权磋商小组直接确定成交供应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28.磋商终止</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28.1出现下列情形之一的，采购人或者采购代理机构应当终止竞争性磋商采购活动，发布项目终止公告并说明原因，重新开展采购活动：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(3)在采购过程中符合竞争要求的供应商或者报价未超过采购预算的供应商不足3家的。但经财政部批准，只有2家供应商进行磋商的除外。</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28.2因重大变故，采购任务取消的，采购人或者采购代理机构应当终止采购活动，并通知所有参加采购活动的供应商。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29.保密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29.1磋商小组成员以及与磋商工作有关的人员不得泄露磋商情况以及磋商过程中获悉的国家秘密、商业秘密。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30.禁止行为</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30.1供应商不得与采购人、采购代理机构、其他供应商恶意串通；不得向采购人、采购代理机构或者磋商小组成员行贿或者提供其他不正当利益；不得提供虚假材料谋取成交；不得以任何方式干扰、影响采购工作。供应商违反政府采购法律法规相关规定的，依法追究法律责任。</w:t>
      </w:r>
    </w:p>
    <w:p>
      <w:pPr>
        <w:pStyle w:val="15"/>
        <w:spacing w:line="360" w:lineRule="auto"/>
        <w:ind w:firstLine="480" w:firstLineChars="200"/>
        <w:rPr>
          <w:rFonts w:hint="eastAsia" w:ascii="宋体" w:hAnsi="宋体" w:eastAsia="宋体" w:cs="宋体"/>
        </w:rPr>
      </w:pPr>
      <w:r>
        <w:rPr>
          <w:rFonts w:hint="eastAsia" w:ascii="宋体" w:hAnsi="宋体" w:eastAsia="宋体" w:cs="宋体"/>
          <w:sz w:val="24"/>
          <w:szCs w:val="24"/>
        </w:rPr>
        <w:t>五、成交信息公告与签订合同</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31.成交信息公告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31.1成交供应商确定之日起2个工作日内，采购人或者采购代理机构应将成交结果信息在磋商须知前附表规定的公告媒体上公布。</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31.2磋商文件随成交结果同时公告。但成交结果公告前磋商文件已公告的，不再重复公告。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31.3采用书面推荐供应商参加采购活动的，在公告结果同时公告采购人和评审专家的推荐意见。</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32.成交通知</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32.1成交供应商确定后，采购人或采购代理机构应在发布成交公告的同时以书面形式向成交供应商发出成交通知书。成交通知书对采购人和成交供应商具有同等法律效力。</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33.履约保证金</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33.1本项目是否缴纳履约保证金见磋商须知前附表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33.2成交供应商按照磋商须知前附表的规定，在签订采购合同前，向采购人提交履约保证金。联合体成交的，履约保证金以联合体各方或联合体中牵头人的名义提交。</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33.3成交供应商没有按照磋商须知前附表的规定提交履约保证金的，视为放弃成交资格，其磋商保证金不予退还。</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34.签订合同</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34.1磋商文件、成交供应商的响应文件及补充文件等均为签订政府采购合同的依据。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34.2成交供应商应当在成交通知书发出之日起30日内，与采购人签订政府采购合同。</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34.4自政府采购合同签订之日起2个工作日内，本项目政府采购合同在财政部</w:t>
      </w:r>
      <w:r>
        <w:rPr>
          <w:rFonts w:hint="eastAsia" w:ascii="宋体" w:hAnsi="宋体" w:eastAsia="宋体" w:cs="宋体"/>
          <w:sz w:val="24"/>
          <w:szCs w:val="24"/>
          <w:highlight w:val="none"/>
        </w:rPr>
        <w:t>指定的媒体上公告，但政府采购合同中涉及国家秘密、商业秘密的内容除外。</w:t>
      </w:r>
    </w:p>
    <w:p>
      <w:pPr>
        <w:pStyle w:val="1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六、其他规定</w:t>
      </w:r>
    </w:p>
    <w:p>
      <w:pPr>
        <w:pStyle w:val="1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35.采购代理服务费</w:t>
      </w:r>
    </w:p>
    <w:p>
      <w:pPr>
        <w:pStyle w:val="1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35.1　采购代理机构应按磋商须知前附表规定收取采购代理服务费。</w:t>
      </w:r>
    </w:p>
    <w:p>
      <w:pPr>
        <w:pStyle w:val="1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36.询问、质疑、投诉</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36.1供</w:t>
      </w:r>
      <w:r>
        <w:rPr>
          <w:rFonts w:hint="eastAsia" w:ascii="宋体" w:hAnsi="宋体" w:eastAsia="宋体" w:cs="宋体"/>
          <w:sz w:val="24"/>
          <w:szCs w:val="24"/>
        </w:rPr>
        <w:t>应商对政府采购活动事项有疑问的，可以向采购人提出询问，采购人应当及时作出答复，但答复的内容不得涉及商业秘密。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36.2　供应商认为磋商文件、采购过程和成交结果使自己的权益受到损害的，可以在知道或者应知其权益受到损害之日起7个工作日内，以书面形式向采购人提出质疑。</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36.3供应商对采购人或采购代理机构的答复不满意，或采购人或采购代理机构未在规定的期限作出答复的，可在答复期满后15个工作日内，按政府采购法律法规规定及程序，向财政部提出投诉。</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37.成交供应商有下列情形之一的，将可能被列入不良行为记录名单，在1～3年内禁止参加政府采购活动，并予以通报：</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(1)成交后无正当理由拒不与采购人签订政府采购合同；</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(2)成交后未按照磋商文件确定的事项签订政府采购合同，或者与采购人另行订立背离合同实质性内容的协议的；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(3)拒绝履行合同义务的行为；</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(4)《政府采购法》第七十七条和《政府采购法实施条例》第七十二条规定的其他情形；</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(5)其他违反法律法规相关规定的情形。</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38.其他规定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38.1　磋商文件的其他规定见磋商须知前附表。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39.未尽事宜</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39.1其他未尽事宜按政府采购法律法规的规定执行。</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40.文件解释权</w:t>
      </w:r>
    </w:p>
    <w:p>
      <w:pPr>
        <w:pStyle w:val="15"/>
        <w:spacing w:line="360" w:lineRule="auto"/>
        <w:ind w:firstLine="480" w:firstLineChars="200"/>
        <w:rPr>
          <w:rFonts w:hint="eastAsia" w:ascii="宋体" w:hAnsi="宋体" w:eastAsia="宋体" w:cs="宋体"/>
        </w:rPr>
      </w:pPr>
      <w:r>
        <w:rPr>
          <w:rFonts w:hint="eastAsia" w:ascii="宋体" w:hAnsi="宋体" w:eastAsia="宋体" w:cs="宋体"/>
          <w:sz w:val="24"/>
          <w:szCs w:val="24"/>
        </w:rPr>
        <w:t>40.1　本磋商文件的解释权归采购人(或采购代理机构)所有。</w:t>
      </w:r>
    </w:p>
    <w:p>
      <w:pPr>
        <w:pStyle w:val="15"/>
        <w:ind w:firstLine="420" w:firstLineChars="200"/>
        <w:rPr>
          <w:rFonts w:hint="eastAsia" w:ascii="宋体" w:hAnsi="宋体" w:eastAsia="宋体" w:cs="宋体"/>
        </w:rPr>
      </w:pPr>
      <w:r>
        <w:rPr>
          <w:rFonts w:hint="eastAsia" w:ascii="宋体" w:hAnsi="宋体" w:eastAsia="宋体" w:cs="宋体"/>
        </w:rPr>
        <w:br w:type="page"/>
      </w:r>
    </w:p>
    <w:p>
      <w:pPr>
        <w:pStyle w:val="9"/>
        <w:jc w:val="center"/>
        <w:rPr>
          <w:rFonts w:hint="eastAsia" w:ascii="宋体" w:hAnsi="宋体" w:eastAsia="宋体" w:cs="宋体"/>
        </w:rPr>
      </w:pPr>
      <w:r>
        <w:rPr>
          <w:rFonts w:hint="eastAsia" w:ascii="宋体" w:hAnsi="宋体" w:eastAsia="宋体" w:cs="宋体"/>
        </w:rPr>
        <w:t>第三章　合同草案条款</w:t>
      </w:r>
    </w:p>
    <w:p>
      <w:pPr>
        <w:pStyle w:val="15"/>
        <w:spacing w:line="360" w:lineRule="auto"/>
        <w:ind w:firstLine="480" w:firstLineChars="200"/>
        <w:rPr>
          <w:rFonts w:hint="eastAsia" w:ascii="宋体" w:hAnsi="宋体" w:eastAsia="宋体" w:cs="宋体"/>
          <w:sz w:val="24"/>
          <w:szCs w:val="24"/>
        </w:rPr>
      </w:pPr>
    </w:p>
    <w:p>
      <w:pPr>
        <w:widowControl w:val="0"/>
        <w:snapToGrid w:val="0"/>
        <w:spacing w:after="480" w:line="240" w:lineRule="atLeast"/>
        <w:ind w:left="4724" w:leftChars="2362"/>
        <w:textAlignment w:val="baseline"/>
        <w:rPr>
          <w:rFonts w:hint="eastAsia" w:ascii="宋体" w:hAnsi="宋体" w:eastAsia="宋体" w:cs="宋体"/>
          <w:b/>
          <w:kern w:val="2"/>
          <w:sz w:val="28"/>
        </w:rPr>
      </w:pPr>
      <w:r>
        <w:rPr>
          <w:rFonts w:hint="eastAsia" w:ascii="宋体" w:hAnsi="宋体" w:eastAsia="宋体" w:cs="宋体"/>
          <w:b/>
          <w:kern w:val="2"/>
          <w:sz w:val="28"/>
        </w:rPr>
        <w:t>合同编号：</w:t>
      </w:r>
    </w:p>
    <w:p>
      <w:pPr>
        <w:widowControl w:val="0"/>
        <w:snapToGrid w:val="0"/>
        <w:spacing w:after="480" w:line="240" w:lineRule="atLeast"/>
        <w:ind w:left="4724" w:leftChars="2362"/>
        <w:textAlignment w:val="baseline"/>
        <w:rPr>
          <w:rFonts w:hint="eastAsia" w:ascii="宋体" w:hAnsi="宋体" w:eastAsia="宋体" w:cs="宋体"/>
          <w:b/>
          <w:kern w:val="2"/>
          <w:sz w:val="28"/>
        </w:rPr>
      </w:pPr>
      <w:r>
        <w:rPr>
          <w:rFonts w:hint="eastAsia" w:ascii="宋体" w:hAnsi="宋体" w:eastAsia="宋体" w:cs="宋体"/>
          <w:b/>
          <w:kern w:val="2"/>
          <w:sz w:val="28"/>
        </w:rPr>
        <w:t>项目编号：</w:t>
      </w:r>
    </w:p>
    <w:p>
      <w:pPr>
        <w:widowControl w:val="0"/>
        <w:spacing w:before="300" w:line="360" w:lineRule="auto"/>
        <w:jc w:val="center"/>
        <w:rPr>
          <w:rFonts w:hint="eastAsia" w:ascii="宋体" w:hAnsi="宋体" w:eastAsia="宋体" w:cs="宋体"/>
          <w:b/>
          <w:bCs/>
          <w:spacing w:val="180"/>
          <w:kern w:val="2"/>
          <w:sz w:val="28"/>
        </w:rPr>
      </w:pPr>
    </w:p>
    <w:p>
      <w:pPr>
        <w:widowControl w:val="0"/>
        <w:spacing w:before="300" w:line="360" w:lineRule="auto"/>
        <w:jc w:val="center"/>
        <w:rPr>
          <w:rFonts w:hint="eastAsia" w:ascii="宋体" w:hAnsi="宋体" w:eastAsia="宋体" w:cs="宋体"/>
          <w:b/>
          <w:bCs/>
          <w:spacing w:val="180"/>
          <w:kern w:val="2"/>
          <w:sz w:val="52"/>
        </w:rPr>
      </w:pPr>
      <w:r>
        <w:rPr>
          <w:rFonts w:hint="eastAsia" w:ascii="宋体" w:hAnsi="宋体" w:eastAsia="宋体" w:cs="宋体"/>
          <w:b/>
          <w:bCs/>
          <w:spacing w:val="180"/>
          <w:kern w:val="2"/>
          <w:sz w:val="52"/>
        </w:rPr>
        <w:t>技术咨询合同</w:t>
      </w:r>
    </w:p>
    <w:p>
      <w:pPr>
        <w:pStyle w:val="2"/>
        <w:ind w:left="2800"/>
        <w:rPr>
          <w:rFonts w:hint="eastAsia" w:ascii="宋体" w:hAnsi="宋体" w:eastAsia="宋体" w:cs="宋体"/>
          <w:sz w:val="21"/>
          <w:szCs w:val="21"/>
        </w:rPr>
      </w:pPr>
      <w:r>
        <w:rPr>
          <w:rFonts w:hint="eastAsia" w:ascii="宋体" w:hAnsi="宋体" w:eastAsia="宋体" w:cs="宋体"/>
          <w:b/>
          <w:bCs/>
          <w:spacing w:val="180"/>
          <w:kern w:val="2"/>
          <w:sz w:val="21"/>
          <w:szCs w:val="21"/>
        </w:rPr>
        <w:t>仅供参考</w:t>
      </w:r>
    </w:p>
    <w:p>
      <w:pPr>
        <w:widowControl w:val="0"/>
        <w:spacing w:before="300" w:line="360" w:lineRule="auto"/>
        <w:jc w:val="center"/>
        <w:rPr>
          <w:rFonts w:hint="eastAsia" w:ascii="宋体" w:hAnsi="宋体" w:eastAsia="宋体" w:cs="宋体"/>
          <w:b/>
          <w:bCs/>
          <w:spacing w:val="180"/>
          <w:kern w:val="2"/>
          <w:sz w:val="44"/>
        </w:rPr>
      </w:pPr>
    </w:p>
    <w:p>
      <w:pPr>
        <w:widowControl w:val="0"/>
        <w:spacing w:line="360" w:lineRule="auto"/>
        <w:jc w:val="both"/>
        <w:rPr>
          <w:rFonts w:hint="eastAsia" w:ascii="宋体" w:hAnsi="宋体" w:eastAsia="宋体" w:cs="宋体"/>
          <w:kern w:val="2"/>
          <w:sz w:val="28"/>
        </w:rPr>
      </w:pPr>
    </w:p>
    <w:p>
      <w:pPr>
        <w:widowControl w:val="0"/>
        <w:spacing w:line="360" w:lineRule="auto"/>
        <w:jc w:val="both"/>
        <w:rPr>
          <w:rFonts w:hint="eastAsia" w:ascii="宋体" w:hAnsi="宋体" w:eastAsia="宋体" w:cs="宋体"/>
          <w:b/>
          <w:bCs/>
          <w:color w:val="000000"/>
          <w:kern w:val="2"/>
          <w:sz w:val="30"/>
        </w:rPr>
      </w:pPr>
      <w:r>
        <w:rPr>
          <w:rFonts w:hint="eastAsia" w:ascii="宋体" w:hAnsi="宋体" w:eastAsia="宋体" w:cs="宋体"/>
          <w:b/>
          <w:bCs/>
          <w:color w:val="000000"/>
          <w:kern w:val="2"/>
          <w:sz w:val="30"/>
        </w:rPr>
        <w:t xml:space="preserve">项目名称： </w:t>
      </w:r>
      <w:r>
        <w:rPr>
          <w:rFonts w:hint="eastAsia" w:ascii="宋体" w:hAnsi="宋体" w:eastAsia="宋体" w:cs="宋体"/>
          <w:color w:val="000000"/>
          <w:kern w:val="2"/>
          <w:sz w:val="30"/>
          <w:szCs w:val="28"/>
          <w:u w:val="single"/>
        </w:rPr>
        <w:t xml:space="preserve">                                             </w:t>
      </w:r>
    </w:p>
    <w:p>
      <w:pPr>
        <w:widowControl w:val="0"/>
        <w:spacing w:line="360" w:lineRule="auto"/>
        <w:jc w:val="both"/>
        <w:rPr>
          <w:rFonts w:hint="eastAsia" w:ascii="宋体" w:hAnsi="宋体" w:eastAsia="宋体" w:cs="宋体"/>
          <w:kern w:val="2"/>
          <w:sz w:val="30"/>
          <w:szCs w:val="28"/>
          <w:u w:val="single"/>
        </w:rPr>
      </w:pPr>
      <w:r>
        <w:rPr>
          <w:rFonts w:hint="eastAsia" w:ascii="宋体" w:hAnsi="宋体" w:eastAsia="宋体" w:cs="宋体"/>
          <w:b/>
          <w:bCs/>
          <w:kern w:val="2"/>
          <w:sz w:val="30"/>
        </w:rPr>
        <w:t>委 托 方：</w:t>
      </w:r>
      <w:r>
        <w:rPr>
          <w:rFonts w:hint="eastAsia" w:ascii="宋体" w:hAnsi="宋体" w:eastAsia="宋体" w:cs="宋体"/>
          <w:b/>
          <w:bCs/>
          <w:kern w:val="2"/>
          <w:sz w:val="30"/>
          <w:u w:val="single"/>
        </w:rPr>
        <w:t xml:space="preserve"> </w:t>
      </w:r>
      <w:r>
        <w:rPr>
          <w:rFonts w:hint="eastAsia" w:ascii="宋体" w:hAnsi="宋体" w:eastAsia="宋体" w:cs="宋体"/>
          <w:kern w:val="2"/>
          <w:sz w:val="30"/>
          <w:u w:val="single"/>
        </w:rPr>
        <w:t>吉木乃县发展和改革委员会</w:t>
      </w:r>
      <w:r>
        <w:rPr>
          <w:rFonts w:hint="eastAsia" w:ascii="宋体" w:hAnsi="宋体" w:eastAsia="宋体" w:cs="宋体"/>
          <w:kern w:val="2"/>
          <w:sz w:val="30"/>
          <w:szCs w:val="28"/>
          <w:u w:val="single"/>
        </w:rPr>
        <w:t xml:space="preserve">                       </w:t>
      </w:r>
    </w:p>
    <w:p>
      <w:pPr>
        <w:widowControl w:val="0"/>
        <w:spacing w:line="360" w:lineRule="auto"/>
        <w:jc w:val="both"/>
        <w:rPr>
          <w:rFonts w:hint="eastAsia" w:ascii="宋体" w:hAnsi="宋体" w:eastAsia="宋体" w:cs="宋体"/>
          <w:kern w:val="2"/>
          <w:sz w:val="30"/>
          <w:szCs w:val="28"/>
          <w:u w:val="single"/>
        </w:rPr>
      </w:pPr>
      <w:r>
        <w:rPr>
          <w:rFonts w:hint="eastAsia" w:ascii="宋体" w:hAnsi="宋体" w:eastAsia="宋体" w:cs="宋体"/>
          <w:b/>
          <w:bCs/>
          <w:kern w:val="2"/>
          <w:sz w:val="30"/>
        </w:rPr>
        <w:t xml:space="preserve">（甲方）   </w:t>
      </w:r>
      <w:r>
        <w:rPr>
          <w:rFonts w:hint="eastAsia" w:ascii="宋体" w:hAnsi="宋体" w:eastAsia="宋体" w:cs="宋体"/>
          <w:kern w:val="2"/>
          <w:sz w:val="30"/>
          <w:szCs w:val="28"/>
        </w:rPr>
        <w:t xml:space="preserve">                                      </w:t>
      </w:r>
    </w:p>
    <w:p>
      <w:pPr>
        <w:widowControl w:val="0"/>
        <w:spacing w:line="360" w:lineRule="auto"/>
        <w:ind w:firstLine="900" w:firstLineChars="300"/>
        <w:jc w:val="both"/>
        <w:rPr>
          <w:rFonts w:hint="eastAsia" w:ascii="宋体" w:hAnsi="宋体" w:eastAsia="宋体" w:cs="宋体"/>
          <w:kern w:val="2"/>
          <w:sz w:val="30"/>
        </w:rPr>
      </w:pPr>
    </w:p>
    <w:p>
      <w:pPr>
        <w:widowControl w:val="0"/>
        <w:spacing w:line="360" w:lineRule="auto"/>
        <w:jc w:val="both"/>
        <w:rPr>
          <w:rFonts w:hint="eastAsia" w:ascii="宋体" w:hAnsi="宋体" w:eastAsia="宋体" w:cs="宋体"/>
          <w:kern w:val="2"/>
          <w:sz w:val="30"/>
          <w:szCs w:val="28"/>
          <w:u w:val="single"/>
        </w:rPr>
      </w:pPr>
      <w:r>
        <w:rPr>
          <w:rFonts w:hint="eastAsia" w:ascii="宋体" w:hAnsi="宋体" w:eastAsia="宋体" w:cs="宋体"/>
          <w:b/>
          <w:bCs/>
          <w:kern w:val="2"/>
          <w:sz w:val="30"/>
        </w:rPr>
        <w:t>受 托 方：</w:t>
      </w:r>
      <w:r>
        <w:rPr>
          <w:rFonts w:hint="eastAsia" w:ascii="宋体" w:hAnsi="宋体" w:eastAsia="宋体" w:cs="宋体"/>
          <w:b/>
          <w:bCs/>
          <w:kern w:val="2"/>
          <w:sz w:val="30"/>
          <w:u w:val="single"/>
        </w:rPr>
        <w:t xml:space="preserve">   </w:t>
      </w:r>
      <w:r>
        <w:rPr>
          <w:rFonts w:hint="eastAsia" w:ascii="宋体" w:hAnsi="宋体" w:eastAsia="宋体" w:cs="宋体"/>
          <w:kern w:val="2"/>
          <w:sz w:val="30"/>
          <w:u w:val="single"/>
        </w:rPr>
        <w:t xml:space="preserve">                               </w:t>
      </w:r>
      <w:r>
        <w:rPr>
          <w:rFonts w:hint="eastAsia" w:ascii="宋体" w:hAnsi="宋体" w:eastAsia="宋体" w:cs="宋体"/>
          <w:kern w:val="2"/>
          <w:sz w:val="30"/>
          <w:szCs w:val="28"/>
          <w:u w:val="single"/>
        </w:rPr>
        <w:t xml:space="preserve">           </w:t>
      </w:r>
    </w:p>
    <w:p>
      <w:pPr>
        <w:widowControl w:val="0"/>
        <w:spacing w:line="360" w:lineRule="auto"/>
        <w:jc w:val="both"/>
        <w:rPr>
          <w:rFonts w:hint="eastAsia" w:ascii="宋体" w:hAnsi="宋体" w:eastAsia="宋体" w:cs="宋体"/>
          <w:kern w:val="2"/>
          <w:sz w:val="30"/>
          <w:szCs w:val="28"/>
          <w:u w:val="single"/>
        </w:rPr>
      </w:pPr>
      <w:r>
        <w:rPr>
          <w:rFonts w:hint="eastAsia" w:ascii="宋体" w:hAnsi="宋体" w:eastAsia="宋体" w:cs="宋体"/>
          <w:b/>
          <w:bCs/>
          <w:kern w:val="2"/>
          <w:sz w:val="30"/>
        </w:rPr>
        <w:t xml:space="preserve">（乙方）  </w:t>
      </w:r>
      <w:r>
        <w:rPr>
          <w:rFonts w:hint="eastAsia" w:ascii="宋体" w:hAnsi="宋体" w:eastAsia="宋体" w:cs="宋体"/>
          <w:kern w:val="2"/>
          <w:sz w:val="30"/>
          <w:szCs w:val="28"/>
        </w:rPr>
        <w:t xml:space="preserve">                                       </w:t>
      </w:r>
    </w:p>
    <w:p>
      <w:pPr>
        <w:widowControl w:val="0"/>
        <w:spacing w:line="360" w:lineRule="auto"/>
        <w:jc w:val="both"/>
        <w:rPr>
          <w:rFonts w:hint="eastAsia" w:ascii="宋体" w:hAnsi="宋体" w:eastAsia="宋体" w:cs="宋体"/>
          <w:kern w:val="2"/>
          <w:sz w:val="30"/>
        </w:rPr>
      </w:pPr>
    </w:p>
    <w:p>
      <w:pPr>
        <w:widowControl w:val="0"/>
        <w:spacing w:line="360" w:lineRule="auto"/>
        <w:jc w:val="both"/>
        <w:rPr>
          <w:rFonts w:hint="eastAsia" w:ascii="宋体" w:hAnsi="宋体" w:eastAsia="宋体" w:cs="宋体"/>
          <w:kern w:val="2"/>
          <w:sz w:val="30"/>
        </w:rPr>
      </w:pPr>
    </w:p>
    <w:p>
      <w:pPr>
        <w:widowControl w:val="0"/>
        <w:spacing w:line="360" w:lineRule="auto"/>
        <w:jc w:val="both"/>
        <w:rPr>
          <w:rFonts w:hint="eastAsia" w:ascii="宋体" w:hAnsi="宋体" w:eastAsia="宋体" w:cs="宋体"/>
          <w:kern w:val="2"/>
          <w:sz w:val="30"/>
        </w:rPr>
      </w:pPr>
    </w:p>
    <w:p>
      <w:pPr>
        <w:widowControl w:val="0"/>
        <w:ind w:left="810" w:leftChars="405"/>
        <w:jc w:val="center"/>
        <w:rPr>
          <w:rFonts w:hint="eastAsia" w:ascii="宋体" w:hAnsi="宋体" w:eastAsia="宋体" w:cs="宋体"/>
          <w:b/>
          <w:kern w:val="2"/>
          <w:sz w:val="30"/>
        </w:rPr>
      </w:pPr>
      <w:r>
        <w:rPr>
          <w:rFonts w:hint="eastAsia" w:ascii="宋体" w:hAnsi="宋体" w:eastAsia="宋体" w:cs="宋体"/>
          <w:kern w:val="2"/>
          <w:sz w:val="30"/>
        </w:rPr>
        <w:t>签订地点：新疆吉木乃县</w:t>
      </w:r>
    </w:p>
    <w:p>
      <w:pPr>
        <w:widowControl w:val="0"/>
        <w:ind w:left="810" w:leftChars="405"/>
        <w:jc w:val="center"/>
        <w:rPr>
          <w:rFonts w:hint="eastAsia" w:ascii="宋体" w:hAnsi="宋体" w:eastAsia="宋体" w:cs="宋体"/>
          <w:kern w:val="2"/>
          <w:sz w:val="30"/>
        </w:rPr>
      </w:pPr>
      <w:r>
        <w:rPr>
          <w:rFonts w:hint="eastAsia" w:ascii="宋体" w:hAnsi="宋体" w:eastAsia="宋体" w:cs="宋体"/>
          <w:kern w:val="2"/>
          <w:sz w:val="30"/>
        </w:rPr>
        <w:t>签订日期：  年   月   日</w:t>
      </w:r>
    </w:p>
    <w:p>
      <w:pPr>
        <w:widowControl w:val="0"/>
        <w:spacing w:line="440" w:lineRule="exact"/>
        <w:jc w:val="center"/>
        <w:rPr>
          <w:rFonts w:hint="eastAsia" w:ascii="宋体" w:hAnsi="宋体" w:eastAsia="宋体" w:cs="宋体"/>
          <w:b/>
          <w:kern w:val="2"/>
          <w:sz w:val="21"/>
          <w:szCs w:val="21"/>
        </w:rPr>
      </w:pPr>
      <w:r>
        <w:rPr>
          <w:rFonts w:hint="eastAsia" w:ascii="宋体" w:hAnsi="宋体" w:eastAsia="宋体" w:cs="宋体"/>
          <w:kern w:val="2"/>
          <w:sz w:val="30"/>
        </w:rPr>
        <w:br w:type="page"/>
      </w:r>
      <w:r>
        <w:rPr>
          <w:rFonts w:hint="eastAsia" w:ascii="宋体" w:hAnsi="宋体" w:eastAsia="宋体" w:cs="宋体"/>
          <w:b/>
          <w:kern w:val="2"/>
          <w:sz w:val="21"/>
          <w:szCs w:val="21"/>
        </w:rPr>
        <w:t>填 写 说 明</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1. 《技术咨询合同范本》适用于公司及所属企业在境内开展（不含境外业主委托在境内开展）的咨询评估业务，包括课题研究、规划咨询、投资机会研究、立项研究、可行性研究、概预算评审、后评价、专题论证、市场调研以及其他以完成咨询报告为主要工作内容的咨询业务。</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2. 本合同书适用于公司与委托方、所属企业与委托方订立的合同以及所属企业开发，由公司与委托方订立的合同。</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3. 签约一方为多个当事人的，可按各自在合同关系中的作用等，在“委托方”、“受托方”下分别排列为共同委托人或共同受托人。</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4. 合同文本应尽可能填写得规范、具体、明确；无需填写的条款，应在该条款处注明“无”等字样。</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5. 合同文本中“签订时间”、“签订地点”、“有效期限”、“履行期限”应当填写明确，以便归档。</w:t>
      </w:r>
    </w:p>
    <w:p>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6. 合同书未尽事项，可由当事人附页另行约定，并可作为本合同的组成部分。</w:t>
      </w:r>
    </w:p>
    <w:p>
      <w:pPr>
        <w:widowControl w:val="0"/>
        <w:spacing w:line="440" w:lineRule="exact"/>
        <w:ind w:firstLine="210" w:firstLineChars="1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委托方（甲方）：</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住 所 地：</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法定代表人：</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项目联系人：</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通讯地址：</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电  话：</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传  真：</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电子信箱：</w:t>
      </w:r>
      <w:r>
        <w:rPr>
          <w:rFonts w:hint="eastAsia" w:ascii="宋体" w:hAnsi="宋体" w:eastAsia="宋体" w:cs="宋体"/>
          <w:kern w:val="2"/>
          <w:sz w:val="21"/>
          <w:szCs w:val="21"/>
          <w:u w:val="single"/>
        </w:rPr>
        <w:t xml:space="preserve">                                         </w:t>
      </w:r>
    </w:p>
    <w:p>
      <w:pPr>
        <w:widowControl w:val="0"/>
        <w:spacing w:line="440" w:lineRule="exact"/>
        <w:jc w:val="both"/>
        <w:rPr>
          <w:rFonts w:hint="eastAsia" w:ascii="宋体" w:hAnsi="宋体" w:eastAsia="宋体" w:cs="宋体"/>
          <w:kern w:val="2"/>
          <w:sz w:val="21"/>
          <w:szCs w:val="21"/>
          <w:u w:val="single"/>
        </w:rPr>
      </w:pP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受托方（乙方）：</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住 所 地：</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法定代表人：</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项目联系人：</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通讯地址：</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电 话：</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传 真：</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电子信箱： </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开户银行：</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账户名：</w:t>
      </w:r>
      <w:r>
        <w:rPr>
          <w:rFonts w:hint="eastAsia" w:ascii="宋体" w:hAnsi="宋体" w:eastAsia="宋体" w:cs="宋体"/>
          <w:kern w:val="2"/>
          <w:sz w:val="21"/>
          <w:szCs w:val="21"/>
          <w:u w:val="single"/>
        </w:rPr>
        <w:t xml:space="preserve">                                                   </w:t>
      </w:r>
    </w:p>
    <w:p>
      <w:pPr>
        <w:widowControl w:val="0"/>
        <w:spacing w:line="440" w:lineRule="exact"/>
        <w:ind w:firstLine="210" w:firstLineChars="100"/>
        <w:jc w:val="both"/>
        <w:rPr>
          <w:rFonts w:hint="eastAsia" w:ascii="宋体" w:hAnsi="宋体" w:eastAsia="宋体" w:cs="宋体"/>
          <w:kern w:val="2"/>
          <w:sz w:val="21"/>
          <w:szCs w:val="21"/>
        </w:rPr>
      </w:pPr>
      <w:r>
        <w:rPr>
          <w:rFonts w:hint="eastAsia" w:ascii="宋体" w:hAnsi="宋体" w:eastAsia="宋体" w:cs="宋体"/>
          <w:kern w:val="2"/>
          <w:sz w:val="21"/>
          <w:szCs w:val="21"/>
        </w:rPr>
        <w:t>账  号：</w:t>
      </w:r>
      <w:r>
        <w:rPr>
          <w:rFonts w:hint="eastAsia" w:ascii="宋体" w:hAnsi="宋体" w:eastAsia="宋体" w:cs="宋体"/>
          <w:kern w:val="2"/>
          <w:sz w:val="21"/>
          <w:szCs w:val="21"/>
          <w:u w:val="single"/>
        </w:rPr>
        <w:t xml:space="preserve">                                                   </w:t>
      </w:r>
    </w:p>
    <w:p>
      <w:pPr>
        <w:widowControl w:val="0"/>
        <w:tabs>
          <w:tab w:val="left" w:pos="883"/>
        </w:tabs>
        <w:spacing w:line="48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依据《中华人民共和国民法典》的规定，合同双方就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的技术咨询，经协商一致，签订本合同。</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咨询的内容、方式和要求</w:t>
      </w:r>
    </w:p>
    <w:p>
      <w:pPr>
        <w:widowControl w:val="0"/>
        <w:tabs>
          <w:tab w:val="left" w:pos="1100"/>
        </w:tabs>
        <w:spacing w:line="480" w:lineRule="exac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一、咨询内容：</w:t>
      </w:r>
      <w:r>
        <w:rPr>
          <w:rFonts w:hint="eastAsia" w:ascii="宋体" w:hAnsi="宋体" w:eastAsia="宋体" w:cs="宋体"/>
          <w:color w:val="000000"/>
          <w:kern w:val="2"/>
          <w:sz w:val="21"/>
          <w:szCs w:val="21"/>
          <w:u w:val="single"/>
        </w:rPr>
        <w:t xml:space="preserve">                                </w:t>
      </w:r>
    </w:p>
    <w:p>
      <w:pPr>
        <w:widowControl w:val="0"/>
        <w:tabs>
          <w:tab w:val="left" w:pos="1100"/>
        </w:tabs>
        <w:spacing w:line="480" w:lineRule="exac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二、咨询要求： </w:t>
      </w:r>
      <w:r>
        <w:rPr>
          <w:rFonts w:hint="eastAsia" w:ascii="宋体" w:hAnsi="宋体" w:eastAsia="宋体" w:cs="宋体"/>
          <w:color w:val="000000"/>
          <w:kern w:val="2"/>
          <w:sz w:val="21"/>
          <w:szCs w:val="21"/>
          <w:u w:val="single"/>
        </w:rPr>
        <w:t xml:space="preserve">                                </w:t>
      </w:r>
    </w:p>
    <w:p>
      <w:pPr>
        <w:widowControl w:val="0"/>
        <w:tabs>
          <w:tab w:val="left" w:pos="1100"/>
        </w:tabs>
        <w:spacing w:line="480" w:lineRule="exact"/>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rPr>
        <w:t xml:space="preserve">三、咨询方式： </w:t>
      </w:r>
      <w:r>
        <w:rPr>
          <w:rFonts w:hint="eastAsia" w:ascii="宋体" w:hAnsi="宋体" w:eastAsia="宋体" w:cs="宋体"/>
          <w:color w:val="000000"/>
          <w:kern w:val="2"/>
          <w:sz w:val="21"/>
          <w:szCs w:val="21"/>
          <w:u w:val="single"/>
        </w:rPr>
        <w:t xml:space="preserve">                                </w:t>
      </w:r>
    </w:p>
    <w:p>
      <w:pPr>
        <w:widowControl w:val="0"/>
        <w:tabs>
          <w:tab w:val="left" w:pos="11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履行期限、地点和方式</w:t>
      </w:r>
    </w:p>
    <w:p>
      <w:pPr>
        <w:widowControl w:val="0"/>
        <w:spacing w:line="480" w:lineRule="exact"/>
        <w:ind w:firstLine="620"/>
        <w:jc w:val="both"/>
        <w:rPr>
          <w:rFonts w:hint="eastAsia" w:ascii="宋体" w:hAnsi="宋体" w:eastAsia="宋体" w:cs="宋体"/>
          <w:kern w:val="2"/>
          <w:sz w:val="21"/>
          <w:szCs w:val="21"/>
          <w:u w:val="single"/>
        </w:rPr>
      </w:pPr>
      <w:r>
        <w:rPr>
          <w:rFonts w:hint="eastAsia" w:ascii="宋体" w:hAnsi="宋体" w:eastAsia="宋体" w:cs="宋体"/>
          <w:kern w:val="2"/>
          <w:sz w:val="21"/>
          <w:szCs w:val="21"/>
        </w:rPr>
        <w:t>编制选址阶段报告所需基础资料齐全后，40日历日内完成编制报告；在项目所在地履行，开展资料收集、现场踏勘、报告编制、参加评审会并修改完善报告。</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甲方协作事项</w:t>
      </w:r>
    </w:p>
    <w:p>
      <w:pPr>
        <w:widowControl w:val="0"/>
        <w:tabs>
          <w:tab w:val="left" w:pos="1100"/>
        </w:tabs>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color w:val="000000"/>
          <w:kern w:val="2"/>
          <w:sz w:val="21"/>
          <w:szCs w:val="21"/>
        </w:rPr>
        <w:t>在本合同生效后</w:t>
      </w:r>
      <w:r>
        <w:rPr>
          <w:rFonts w:hint="eastAsia" w:ascii="宋体" w:hAnsi="宋体" w:eastAsia="宋体" w:cs="宋体"/>
          <w:color w:val="000000"/>
          <w:kern w:val="2"/>
          <w:sz w:val="21"/>
          <w:szCs w:val="21"/>
          <w:u w:val="single"/>
        </w:rPr>
        <w:t xml:space="preserve"> </w:t>
      </w:r>
      <w:r>
        <w:rPr>
          <w:rFonts w:hint="eastAsia" w:ascii="宋体" w:hAnsi="宋体" w:eastAsia="宋体" w:cs="宋体"/>
          <w:color w:val="000000"/>
          <w:kern w:val="2"/>
          <w:sz w:val="21"/>
          <w:szCs w:val="21"/>
          <w:u w:val="single"/>
          <w:lang w:val="en-US" w:eastAsia="zh-CN"/>
        </w:rPr>
        <w:t xml:space="preserve">  </w:t>
      </w:r>
      <w:r>
        <w:rPr>
          <w:rFonts w:hint="eastAsia" w:ascii="宋体" w:hAnsi="宋体" w:eastAsia="宋体" w:cs="宋体"/>
          <w:color w:val="000000"/>
          <w:kern w:val="2"/>
          <w:sz w:val="21"/>
          <w:szCs w:val="21"/>
          <w:u w:val="single"/>
        </w:rPr>
        <w:t xml:space="preserve"> </w:t>
      </w:r>
      <w:r>
        <w:rPr>
          <w:rFonts w:hint="eastAsia" w:ascii="宋体" w:hAnsi="宋体" w:eastAsia="宋体" w:cs="宋体"/>
          <w:color w:val="000000"/>
          <w:kern w:val="2"/>
          <w:sz w:val="21"/>
          <w:szCs w:val="21"/>
        </w:rPr>
        <w:t>日内，甲方应向乙方提供下列资料：</w:t>
      </w:r>
      <w:r>
        <w:rPr>
          <w:rFonts w:hint="eastAsia" w:ascii="宋体" w:hAnsi="宋体" w:eastAsia="宋体" w:cs="宋体"/>
          <w:color w:val="FF0000"/>
          <w:kern w:val="2"/>
          <w:sz w:val="21"/>
          <w:szCs w:val="21"/>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技术情报和资料的保密</w:t>
      </w:r>
    </w:p>
    <w:p>
      <w:pPr>
        <w:widowControl w:val="0"/>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甲乙双方应对本合同履行过程中涉及的相关资料、数据及其它信息履行保密义务，未经对方书面同意，不得向任何第三方泄露。</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验收、评价方法</w:t>
      </w:r>
    </w:p>
    <w:p>
      <w:pPr>
        <w:widowControl w:val="0"/>
        <w:spacing w:line="480" w:lineRule="exact"/>
        <w:ind w:firstLine="580"/>
        <w:jc w:val="both"/>
        <w:rPr>
          <w:rFonts w:hint="eastAsia" w:ascii="宋体" w:hAnsi="宋体" w:eastAsia="宋体" w:cs="宋体"/>
          <w:color w:val="0000FF"/>
          <w:kern w:val="2"/>
          <w:sz w:val="21"/>
          <w:szCs w:val="21"/>
        </w:rPr>
      </w:pPr>
      <w:r>
        <w:rPr>
          <w:rFonts w:hint="eastAsia" w:ascii="宋体" w:hAnsi="宋体" w:eastAsia="宋体" w:cs="宋体"/>
          <w:kern w:val="2"/>
          <w:sz w:val="21"/>
          <w:szCs w:val="21"/>
        </w:rPr>
        <w:t>技术咨询工作成果到了本合同第一条所列的要求，由</w:t>
      </w:r>
      <w:r>
        <w:rPr>
          <w:rFonts w:hint="eastAsia" w:ascii="宋体" w:hAnsi="宋体" w:eastAsia="宋体" w:cs="宋体"/>
          <w:kern w:val="2"/>
          <w:sz w:val="21"/>
          <w:szCs w:val="21"/>
          <w:u w:val="single"/>
        </w:rPr>
        <w:t>行业主管部门组织审查</w:t>
      </w:r>
      <w:r>
        <w:rPr>
          <w:rFonts w:hint="eastAsia" w:ascii="宋体" w:hAnsi="宋体" w:eastAsia="宋体" w:cs="宋体"/>
          <w:kern w:val="2"/>
          <w:sz w:val="21"/>
          <w:szCs w:val="21"/>
        </w:rPr>
        <w:t>。</w:t>
      </w:r>
    </w:p>
    <w:p>
      <w:pPr>
        <w:widowControl w:val="0"/>
        <w:spacing w:line="480" w:lineRule="exact"/>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1．技术咨询工作成果的形式：</w:t>
      </w:r>
      <w:r>
        <w:rPr>
          <w:rFonts w:hint="eastAsia" w:ascii="宋体" w:hAnsi="宋体" w:eastAsia="宋体" w:cs="宋体"/>
          <w:color w:val="000000"/>
          <w:kern w:val="2"/>
          <w:sz w:val="21"/>
          <w:szCs w:val="21"/>
          <w:u w:val="single"/>
        </w:rPr>
        <w:t xml:space="preserve">                 </w:t>
      </w:r>
    </w:p>
    <w:p>
      <w:pPr>
        <w:widowControl w:val="0"/>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2．验收标准：</w:t>
      </w:r>
      <w:r>
        <w:rPr>
          <w:rFonts w:hint="eastAsia" w:ascii="宋体" w:hAnsi="宋体" w:eastAsia="宋体" w:cs="宋体"/>
          <w:kern w:val="2"/>
          <w:sz w:val="21"/>
          <w:szCs w:val="21"/>
          <w:u w:val="single"/>
        </w:rPr>
        <w:t xml:space="preserve">                               </w:t>
      </w:r>
    </w:p>
    <w:p>
      <w:pPr>
        <w:widowControl w:val="0"/>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3．验收的时间和地点：</w:t>
      </w:r>
      <w:r>
        <w:rPr>
          <w:rFonts w:hint="eastAsia" w:ascii="宋体" w:hAnsi="宋体" w:eastAsia="宋体" w:cs="宋体"/>
          <w:kern w:val="2"/>
          <w:sz w:val="21"/>
          <w:szCs w:val="21"/>
          <w:u w:val="single"/>
        </w:rPr>
        <w:t xml:space="preserve">                        </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报酬及其支付方式</w:t>
      </w:r>
    </w:p>
    <w:p>
      <w:pPr>
        <w:widowControl w:val="0"/>
        <w:spacing w:line="480" w:lineRule="exact"/>
        <w:ind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 xml:space="preserve">1．本项目咨询报酬总额为(大写) </w:t>
      </w:r>
      <w:r>
        <w:rPr>
          <w:rFonts w:hint="eastAsia" w:ascii="宋体" w:hAnsi="宋体" w:eastAsia="宋体" w:cs="宋体"/>
          <w:kern w:val="2"/>
          <w:sz w:val="21"/>
          <w:szCs w:val="21"/>
          <w:u w:val="single"/>
        </w:rPr>
        <w:t>人民币                    。</w:t>
      </w:r>
    </w:p>
    <w:p>
      <w:pPr>
        <w:widowControl w:val="0"/>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2．咨询报酬由甲方</w:t>
      </w:r>
      <w:r>
        <w:rPr>
          <w:rFonts w:hint="eastAsia" w:ascii="宋体" w:hAnsi="宋体" w:eastAsia="宋体" w:cs="宋体"/>
          <w:kern w:val="2"/>
          <w:sz w:val="21"/>
          <w:szCs w:val="21"/>
          <w:u w:val="single"/>
        </w:rPr>
        <w:t xml:space="preserve"> 分期 </w:t>
      </w:r>
      <w:r>
        <w:rPr>
          <w:rFonts w:hint="eastAsia" w:ascii="宋体" w:hAnsi="宋体" w:eastAsia="宋体" w:cs="宋体"/>
          <w:kern w:val="2"/>
          <w:sz w:val="21"/>
          <w:szCs w:val="21"/>
        </w:rPr>
        <w:t>（一次性或分期）支付给乙方，具体支付方式和时间如下：</w:t>
      </w:r>
    </w:p>
    <w:p>
      <w:pPr>
        <w:widowControl w:val="0"/>
        <w:spacing w:line="480" w:lineRule="exact"/>
        <w:ind w:firstLine="420" w:firstLineChars="20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u w:val="single"/>
        </w:rPr>
        <w:t xml:space="preserve">                                                                        </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违约金或者损失赔偿额的计算</w:t>
      </w:r>
    </w:p>
    <w:p>
      <w:pPr>
        <w:widowControl w:val="0"/>
        <w:adjustRightInd w:val="0"/>
        <w:snapToGrid w:val="0"/>
        <w:spacing w:line="480" w:lineRule="exact"/>
        <w:ind w:left="400" w:leftChars="200"/>
        <w:jc w:val="both"/>
        <w:rPr>
          <w:rFonts w:hint="eastAsia" w:ascii="宋体" w:hAnsi="宋体" w:eastAsia="宋体" w:cs="宋体"/>
          <w:kern w:val="2"/>
          <w:sz w:val="21"/>
          <w:szCs w:val="21"/>
        </w:rPr>
      </w:pPr>
      <w:r>
        <w:rPr>
          <w:rFonts w:hint="eastAsia" w:ascii="宋体" w:hAnsi="宋体" w:eastAsia="宋体" w:cs="宋体"/>
          <w:kern w:val="2"/>
          <w:sz w:val="21"/>
          <w:szCs w:val="21"/>
        </w:rPr>
        <w:t>违反本合同约定，违约方应当按照《中华人民共和国民法典》有关条款的规定承担违约责任。</w:t>
      </w:r>
    </w:p>
    <w:p>
      <w:pPr>
        <w:widowControl w:val="0"/>
        <w:adjustRightInd w:val="0"/>
        <w:snapToGrid w:val="0"/>
        <w:spacing w:line="480" w:lineRule="exact"/>
        <w:ind w:left="400" w:leftChars="200"/>
        <w:jc w:val="both"/>
        <w:rPr>
          <w:rFonts w:hint="eastAsia" w:ascii="宋体" w:hAnsi="宋体" w:eastAsia="宋体" w:cs="宋体"/>
          <w:kern w:val="2"/>
          <w:sz w:val="21"/>
          <w:szCs w:val="21"/>
        </w:rPr>
      </w:pPr>
      <w:r>
        <w:rPr>
          <w:rFonts w:hint="eastAsia" w:ascii="宋体" w:hAnsi="宋体" w:eastAsia="宋体" w:cs="宋体"/>
          <w:kern w:val="2"/>
          <w:sz w:val="21"/>
          <w:szCs w:val="21"/>
        </w:rPr>
        <w:t>1．违约责任</w:t>
      </w:r>
    </w:p>
    <w:p>
      <w:pPr>
        <w:widowControl w:val="0"/>
        <w:adjustRightInd w:val="0"/>
        <w:snapToGrid w:val="0"/>
        <w:spacing w:line="480" w:lineRule="exact"/>
        <w:ind w:left="400" w:leftChars="20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（1）甲方未按照合同约定提供必要的资料和数据，影响工作进度和质量，不接受或者逾期接受工作成果的，支付的报酬不得追回，未支付的报酬应当支付。</w:t>
      </w:r>
    </w:p>
    <w:p>
      <w:pPr>
        <w:widowControl w:val="0"/>
        <w:adjustRightInd w:val="0"/>
        <w:snapToGrid w:val="0"/>
        <w:spacing w:line="480" w:lineRule="exact"/>
        <w:ind w:left="400" w:leftChars="20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（2）乙方未按期提出报告或者提出的报告不符合约定的，应当承担减收或者免收报酬的</w:t>
      </w:r>
      <w:r>
        <w:rPr>
          <w:rFonts w:hint="eastAsia" w:ascii="宋体" w:hAnsi="宋体" w:eastAsia="宋体" w:cs="宋体"/>
        </w:rPr>
        <w:fldChar w:fldCharType="begin"/>
      </w:r>
      <w:r>
        <w:rPr>
          <w:rFonts w:hint="eastAsia" w:ascii="宋体" w:hAnsi="宋体" w:eastAsia="宋体" w:cs="宋体"/>
        </w:rPr>
        <w:instrText xml:space="preserve"> HYPERLINK "http://www.lawtime.cn/info/zhuanti/2010071237685.html" \t "_blank" </w:instrText>
      </w:r>
      <w:r>
        <w:rPr>
          <w:rFonts w:hint="eastAsia" w:ascii="宋体" w:hAnsi="宋体" w:eastAsia="宋体" w:cs="宋体"/>
        </w:rPr>
        <w:fldChar w:fldCharType="separate"/>
      </w:r>
      <w:r>
        <w:rPr>
          <w:rFonts w:hint="eastAsia" w:ascii="宋体" w:hAnsi="宋体" w:eastAsia="宋体" w:cs="宋体"/>
          <w:kern w:val="2"/>
          <w:sz w:val="21"/>
          <w:szCs w:val="21"/>
        </w:rPr>
        <w:t>违约责任</w:t>
      </w:r>
      <w:r>
        <w:rPr>
          <w:rFonts w:hint="eastAsia" w:ascii="宋体" w:hAnsi="宋体" w:eastAsia="宋体" w:cs="宋体"/>
        </w:rPr>
        <w:fldChar w:fldCharType="end"/>
      </w:r>
      <w:r>
        <w:rPr>
          <w:rFonts w:hint="eastAsia" w:ascii="宋体" w:hAnsi="宋体" w:eastAsia="宋体" w:cs="宋体"/>
          <w:kern w:val="2"/>
          <w:sz w:val="21"/>
          <w:szCs w:val="21"/>
        </w:rPr>
        <w:t>。</w:t>
      </w:r>
    </w:p>
    <w:p>
      <w:pPr>
        <w:widowControl w:val="0"/>
        <w:adjustRightInd w:val="0"/>
        <w:snapToGrid w:val="0"/>
        <w:spacing w:line="480" w:lineRule="exact"/>
        <w:ind w:left="400" w:leftChars="20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（3）其他：</w:t>
      </w:r>
      <w:r>
        <w:rPr>
          <w:rFonts w:hint="eastAsia" w:ascii="宋体" w:hAnsi="宋体" w:eastAsia="宋体" w:cs="宋体"/>
          <w:kern w:val="2"/>
          <w:sz w:val="21"/>
          <w:szCs w:val="21"/>
          <w:u w:val="single"/>
        </w:rPr>
        <w:t xml:space="preserve"> 无                                         </w:t>
      </w:r>
    </w:p>
    <w:p>
      <w:pPr>
        <w:widowControl w:val="0"/>
        <w:adjustRightInd w:val="0"/>
        <w:snapToGrid w:val="0"/>
        <w:spacing w:line="480" w:lineRule="exact"/>
        <w:ind w:left="400" w:leftChars="200" w:firstLine="420" w:firstLineChars="200"/>
        <w:jc w:val="both"/>
        <w:rPr>
          <w:rFonts w:hint="eastAsia" w:ascii="宋体" w:hAnsi="宋体" w:eastAsia="宋体" w:cs="宋体"/>
          <w:sz w:val="21"/>
          <w:szCs w:val="21"/>
          <w:lang w:val="zh-CN"/>
        </w:rPr>
      </w:pPr>
      <w:r>
        <w:rPr>
          <w:rFonts w:hint="eastAsia" w:ascii="宋体" w:hAnsi="宋体" w:eastAsia="宋体" w:cs="宋体"/>
          <w:kern w:val="2"/>
          <w:sz w:val="21"/>
          <w:szCs w:val="21"/>
        </w:rPr>
        <w:t>2．赔偿的限额</w:t>
      </w:r>
    </w:p>
    <w:p>
      <w:pPr>
        <w:widowControl w:val="0"/>
        <w:adjustRightInd w:val="0"/>
        <w:snapToGrid w:val="0"/>
        <w:spacing w:line="480" w:lineRule="exact"/>
        <w:ind w:left="400" w:leftChars="200" w:firstLine="420" w:firstLineChars="200"/>
        <w:jc w:val="both"/>
        <w:rPr>
          <w:rFonts w:hint="eastAsia" w:ascii="宋体" w:hAnsi="宋体" w:eastAsia="宋体" w:cs="宋体"/>
          <w:sz w:val="21"/>
          <w:szCs w:val="21"/>
          <w:lang w:val="zh-CN"/>
        </w:rPr>
      </w:pPr>
      <w:r>
        <w:rPr>
          <w:rFonts w:hint="eastAsia" w:ascii="宋体" w:hAnsi="宋体" w:eastAsia="宋体" w:cs="宋体"/>
          <w:sz w:val="21"/>
          <w:szCs w:val="21"/>
          <w:lang w:val="zh-CN"/>
        </w:rPr>
        <w:t>在本合同项下，任何一方向另一方支付赔偿的最大数额应限于甲方实际支付给乙方的费用总额。对双方履约延误规定有按日赔偿率，以及双方支付或赔偿延误规定有按日付利息的，其赔偿总额均不得超过以上赔偿限额。</w:t>
      </w:r>
    </w:p>
    <w:p>
      <w:pPr>
        <w:widowControl w:val="0"/>
        <w:adjustRightInd w:val="0"/>
        <w:snapToGrid w:val="0"/>
        <w:spacing w:line="480" w:lineRule="exact"/>
        <w:ind w:left="400" w:leftChars="200" w:firstLine="420" w:firstLineChars="200"/>
        <w:jc w:val="both"/>
        <w:rPr>
          <w:rFonts w:hint="eastAsia" w:ascii="宋体" w:hAnsi="宋体" w:eastAsia="宋体" w:cs="宋体"/>
          <w:sz w:val="21"/>
          <w:szCs w:val="21"/>
          <w:lang w:val="zh-CN"/>
        </w:rPr>
      </w:pPr>
      <w:r>
        <w:rPr>
          <w:rFonts w:hint="eastAsia" w:ascii="宋体" w:hAnsi="宋体" w:eastAsia="宋体" w:cs="宋体"/>
          <w:kern w:val="2"/>
          <w:sz w:val="21"/>
          <w:szCs w:val="21"/>
        </w:rPr>
        <w:t>3. 由于甲方的原因造成合同不能如期履行的，不视为乙方违约。双方可根据具体情况顺延合同的履行期，对于乙方因此遭受的损失，甲方应予补偿。</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知识产权归属</w:t>
      </w:r>
    </w:p>
    <w:p>
      <w:pPr>
        <w:widowControl w:val="0"/>
        <w:numPr>
          <w:ilvl w:val="0"/>
          <w:numId w:val="4"/>
        </w:numPr>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 在本合同有效期内，甲方利用乙方提交的技术咨询工作成果所完成的新的技术成果，归</w:t>
      </w:r>
      <w:r>
        <w:rPr>
          <w:rFonts w:hint="eastAsia" w:ascii="宋体" w:hAnsi="宋体" w:eastAsia="宋体" w:cs="宋体"/>
          <w:kern w:val="2"/>
          <w:sz w:val="21"/>
          <w:szCs w:val="21"/>
          <w:u w:val="single"/>
        </w:rPr>
        <w:t xml:space="preserve"> 双方 </w:t>
      </w:r>
      <w:r>
        <w:rPr>
          <w:rFonts w:hint="eastAsia" w:ascii="宋体" w:hAnsi="宋体" w:eastAsia="宋体" w:cs="宋体"/>
          <w:kern w:val="2"/>
          <w:sz w:val="21"/>
          <w:szCs w:val="21"/>
        </w:rPr>
        <w:t>（甲方、乙方、双方）所有。</w:t>
      </w:r>
    </w:p>
    <w:p>
      <w:pPr>
        <w:widowControl w:val="0"/>
        <w:numPr>
          <w:ilvl w:val="0"/>
          <w:numId w:val="4"/>
        </w:numPr>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 在本合同有效期内，乙方利用甲方提供的技术资料和工作条件所完成的新的技术成果，归</w:t>
      </w:r>
      <w:r>
        <w:rPr>
          <w:rFonts w:hint="eastAsia" w:ascii="宋体" w:hAnsi="宋体" w:eastAsia="宋体" w:cs="宋体"/>
          <w:kern w:val="2"/>
          <w:sz w:val="21"/>
          <w:szCs w:val="21"/>
          <w:u w:val="single"/>
        </w:rPr>
        <w:t xml:space="preserve"> 双方 </w:t>
      </w:r>
      <w:r>
        <w:rPr>
          <w:rFonts w:hint="eastAsia" w:ascii="宋体" w:hAnsi="宋体" w:eastAsia="宋体" w:cs="宋体"/>
          <w:kern w:val="2"/>
          <w:sz w:val="21"/>
          <w:szCs w:val="21"/>
        </w:rPr>
        <w:t>（甲方、乙方、双方）所有。</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项目联系人</w:t>
      </w:r>
    </w:p>
    <w:p>
      <w:pPr>
        <w:widowControl w:val="0"/>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双方确定，在本合同有效期内，</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为甲方项目联系人；</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为乙方项目联系人。</w:t>
      </w:r>
    </w:p>
    <w:p>
      <w:pPr>
        <w:widowControl w:val="0"/>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项目联系人承担以下责任：</w:t>
      </w:r>
      <w:r>
        <w:rPr>
          <w:rFonts w:hint="eastAsia" w:ascii="宋体" w:hAnsi="宋体" w:eastAsia="宋体" w:cs="宋体"/>
          <w:kern w:val="2"/>
          <w:sz w:val="21"/>
          <w:szCs w:val="21"/>
          <w:u w:val="single"/>
        </w:rPr>
        <w:t xml:space="preserve">                                                   </w:t>
      </w:r>
    </w:p>
    <w:p>
      <w:pPr>
        <w:widowControl w:val="0"/>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一方变更项目联系人的，应当及时以书面形式通知另一方。未及时通知并影响本合同履行或造成损失的，应承担相应的责任。</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合同的解除</w:t>
      </w:r>
    </w:p>
    <w:p>
      <w:pPr>
        <w:widowControl w:val="0"/>
        <w:tabs>
          <w:tab w:val="left" w:pos="40"/>
        </w:tabs>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甲乙双方确定，因出现下列情形，致使本合同的履行成为不必要或不可能的，可以解除本合同：</w:t>
      </w:r>
    </w:p>
    <w:p>
      <w:pPr>
        <w:widowControl w:val="0"/>
        <w:tabs>
          <w:tab w:val="left" w:pos="40"/>
        </w:tabs>
        <w:spacing w:line="480" w:lineRule="exact"/>
        <w:ind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 xml:space="preserve">1. </w:t>
      </w:r>
      <w:r>
        <w:rPr>
          <w:rFonts w:hint="eastAsia" w:ascii="宋体" w:hAnsi="宋体" w:eastAsia="宋体" w:cs="宋体"/>
          <w:kern w:val="2"/>
          <w:sz w:val="21"/>
          <w:szCs w:val="21"/>
          <w:u w:val="single"/>
        </w:rPr>
        <w:t>因发生不可抗力或技术风险；</w:t>
      </w:r>
    </w:p>
    <w:p>
      <w:pPr>
        <w:widowControl w:val="0"/>
        <w:tabs>
          <w:tab w:val="left" w:pos="40"/>
        </w:tabs>
        <w:spacing w:line="480" w:lineRule="exact"/>
        <w:ind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 xml:space="preserve">2. </w:t>
      </w:r>
      <w:r>
        <w:rPr>
          <w:rFonts w:hint="eastAsia" w:ascii="宋体" w:hAnsi="宋体" w:eastAsia="宋体" w:cs="宋体"/>
          <w:kern w:val="2"/>
          <w:sz w:val="21"/>
          <w:szCs w:val="21"/>
          <w:u w:val="single"/>
        </w:rPr>
        <w:t>无</w:t>
      </w:r>
      <w:r>
        <w:rPr>
          <w:rFonts w:hint="eastAsia" w:ascii="宋体" w:hAnsi="宋体" w:eastAsia="宋体" w:cs="宋体"/>
          <w:kern w:val="2"/>
          <w:sz w:val="21"/>
          <w:szCs w:val="21"/>
        </w:rPr>
        <w:t>；</w:t>
      </w:r>
    </w:p>
    <w:p>
      <w:pPr>
        <w:widowControl w:val="0"/>
        <w:tabs>
          <w:tab w:val="left" w:pos="40"/>
        </w:tabs>
        <w:spacing w:line="48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3. </w:t>
      </w:r>
      <w:r>
        <w:rPr>
          <w:rFonts w:hint="eastAsia" w:ascii="宋体" w:hAnsi="宋体" w:eastAsia="宋体" w:cs="宋体"/>
          <w:kern w:val="2"/>
          <w:sz w:val="21"/>
          <w:szCs w:val="21"/>
          <w:u w:val="single"/>
        </w:rPr>
        <w:t>无</w:t>
      </w:r>
      <w:r>
        <w:rPr>
          <w:rFonts w:hint="eastAsia" w:ascii="宋体" w:hAnsi="宋体" w:eastAsia="宋体" w:cs="宋体"/>
          <w:kern w:val="2"/>
          <w:sz w:val="21"/>
          <w:szCs w:val="21"/>
        </w:rPr>
        <w:t>。</w:t>
      </w:r>
    </w:p>
    <w:p>
      <w:pPr>
        <w:widowControl w:val="0"/>
        <w:numPr>
          <w:ilvl w:val="0"/>
          <w:numId w:val="3"/>
        </w:numPr>
        <w:tabs>
          <w:tab w:val="left" w:pos="1000"/>
        </w:tabs>
        <w:spacing w:line="48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解决合同纠纷的方式</w:t>
      </w:r>
    </w:p>
    <w:p>
      <w:pPr>
        <w:widowControl w:val="0"/>
        <w:spacing w:line="480" w:lineRule="exact"/>
        <w:ind w:left="20" w:leftChars="1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双方因履行本合同而发生的争议，应协商、调解解决。协商、调解不成的，应提交</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仲裁委员会仲裁解决。</w:t>
      </w:r>
    </w:p>
    <w:p>
      <w:pPr>
        <w:widowControl w:val="0"/>
        <w:tabs>
          <w:tab w:val="left" w:pos="40"/>
        </w:tabs>
        <w:spacing w:line="480" w:lineRule="exact"/>
        <w:ind w:firstLine="422" w:firstLineChars="200"/>
        <w:jc w:val="both"/>
        <w:rPr>
          <w:rFonts w:hint="eastAsia" w:ascii="宋体" w:hAnsi="宋体" w:eastAsia="宋体" w:cs="宋体"/>
          <w:kern w:val="2"/>
          <w:sz w:val="21"/>
          <w:szCs w:val="21"/>
        </w:rPr>
      </w:pPr>
      <w:r>
        <w:rPr>
          <w:rFonts w:hint="eastAsia" w:ascii="宋体" w:hAnsi="宋体" w:eastAsia="宋体" w:cs="宋体"/>
          <w:b/>
          <w:kern w:val="2"/>
          <w:sz w:val="21"/>
          <w:szCs w:val="21"/>
        </w:rPr>
        <w:t>双方确定：</w:t>
      </w:r>
      <w:r>
        <w:rPr>
          <w:rFonts w:hint="eastAsia" w:ascii="宋体" w:hAnsi="宋体" w:eastAsia="宋体" w:cs="宋体"/>
          <w:kern w:val="2"/>
          <w:sz w:val="21"/>
          <w:szCs w:val="21"/>
        </w:rPr>
        <w:t>本合同及相关附件中所涉及的有关名词和技术术语，其定义和解释如下：</w:t>
      </w:r>
      <w:r>
        <w:rPr>
          <w:rFonts w:hint="eastAsia" w:ascii="宋体" w:hAnsi="宋体" w:eastAsia="宋体" w:cs="宋体"/>
          <w:kern w:val="2"/>
          <w:sz w:val="21"/>
          <w:szCs w:val="21"/>
          <w:u w:val="single"/>
        </w:rPr>
        <w:t xml:space="preserve"> 无                             </w:t>
      </w:r>
    </w:p>
    <w:p>
      <w:pPr>
        <w:widowControl w:val="0"/>
        <w:tabs>
          <w:tab w:val="left" w:pos="40"/>
        </w:tabs>
        <w:spacing w:line="480" w:lineRule="exact"/>
        <w:ind w:firstLine="422" w:firstLineChars="200"/>
        <w:jc w:val="both"/>
        <w:rPr>
          <w:rFonts w:hint="eastAsia" w:ascii="宋体" w:hAnsi="宋体" w:eastAsia="宋体" w:cs="宋体"/>
          <w:kern w:val="2"/>
          <w:sz w:val="21"/>
          <w:szCs w:val="21"/>
        </w:rPr>
      </w:pPr>
      <w:r>
        <w:rPr>
          <w:rFonts w:hint="eastAsia" w:ascii="宋体" w:hAnsi="宋体" w:eastAsia="宋体" w:cs="宋体"/>
          <w:b/>
          <w:kern w:val="2"/>
          <w:sz w:val="21"/>
          <w:szCs w:val="21"/>
        </w:rPr>
        <w:t>双方确认：</w:t>
      </w:r>
      <w:r>
        <w:rPr>
          <w:rFonts w:hint="eastAsia" w:ascii="宋体" w:hAnsi="宋体" w:eastAsia="宋体" w:cs="宋体"/>
          <w:kern w:val="2"/>
          <w:sz w:val="21"/>
          <w:szCs w:val="21"/>
        </w:rPr>
        <w:t>与履行本合同有关的</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（技术背景资料、技术评价报告、技术标准和规范、原始设计和工艺文件等技术文件），为本合同的组成部分。</w:t>
      </w:r>
    </w:p>
    <w:p>
      <w:pPr>
        <w:widowControl w:val="0"/>
        <w:numPr>
          <w:ilvl w:val="0"/>
          <w:numId w:val="3"/>
        </w:numPr>
        <w:tabs>
          <w:tab w:val="left" w:pos="1000"/>
        </w:tabs>
        <w:spacing w:line="480" w:lineRule="exact"/>
        <w:jc w:val="both"/>
        <w:rPr>
          <w:rFonts w:hint="eastAsia" w:ascii="宋体" w:hAnsi="宋体" w:eastAsia="宋体" w:cs="宋体"/>
          <w:kern w:val="2"/>
          <w:sz w:val="21"/>
          <w:szCs w:val="21"/>
          <w:u w:val="single"/>
        </w:rPr>
      </w:pPr>
      <w:r>
        <w:rPr>
          <w:rFonts w:hint="eastAsia" w:ascii="宋体" w:hAnsi="宋体" w:eastAsia="宋体" w:cs="宋体"/>
          <w:kern w:val="2"/>
          <w:sz w:val="21"/>
          <w:szCs w:val="21"/>
        </w:rPr>
        <w:t>双方约定本合同其他相关事项为：</w:t>
      </w:r>
      <w:r>
        <w:rPr>
          <w:rFonts w:hint="eastAsia" w:ascii="宋体" w:hAnsi="宋体" w:eastAsia="宋体" w:cs="宋体"/>
          <w:kern w:val="2"/>
          <w:sz w:val="21"/>
          <w:szCs w:val="21"/>
          <w:u w:val="single"/>
        </w:rPr>
        <w:t xml:space="preserve">     </w:t>
      </w:r>
    </w:p>
    <w:p>
      <w:pPr>
        <w:widowControl w:val="0"/>
        <w:numPr>
          <w:ilvl w:val="0"/>
          <w:numId w:val="3"/>
        </w:numPr>
        <w:tabs>
          <w:tab w:val="left" w:pos="1000"/>
        </w:tabs>
        <w:spacing w:line="4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本合同一式</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份，双方各执</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份，具有同等法律效力。</w:t>
      </w:r>
    </w:p>
    <w:p>
      <w:pPr>
        <w:widowControl w:val="0"/>
        <w:numPr>
          <w:ilvl w:val="0"/>
          <w:numId w:val="3"/>
        </w:numPr>
        <w:tabs>
          <w:tab w:val="left" w:pos="1000"/>
        </w:tabs>
        <w:spacing w:line="4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本合同经双方签字盖章后生效。</w:t>
      </w:r>
    </w:p>
    <w:p>
      <w:pPr>
        <w:widowControl w:val="0"/>
        <w:spacing w:line="480" w:lineRule="exact"/>
        <w:jc w:val="both"/>
        <w:rPr>
          <w:rFonts w:hint="eastAsia" w:ascii="宋体" w:hAnsi="宋体" w:eastAsia="宋体" w:cs="宋体"/>
          <w:kern w:val="2"/>
          <w:sz w:val="21"/>
          <w:szCs w:val="21"/>
        </w:rPr>
      </w:pPr>
    </w:p>
    <w:p>
      <w:pPr>
        <w:widowControl w:val="0"/>
        <w:spacing w:line="480" w:lineRule="exact"/>
        <w:jc w:val="both"/>
        <w:rPr>
          <w:rFonts w:hint="eastAsia" w:ascii="宋体" w:hAnsi="宋体" w:eastAsia="宋体" w:cs="宋体"/>
          <w:kern w:val="2"/>
          <w:sz w:val="21"/>
          <w:szCs w:val="21"/>
        </w:rPr>
      </w:pPr>
    </w:p>
    <w:p>
      <w:pPr>
        <w:widowControl w:val="0"/>
        <w:spacing w:line="480" w:lineRule="exact"/>
        <w:jc w:val="both"/>
        <w:rPr>
          <w:rFonts w:hint="eastAsia" w:ascii="宋体" w:hAnsi="宋体" w:eastAsia="宋体" w:cs="宋体"/>
          <w:kern w:val="2"/>
          <w:sz w:val="21"/>
          <w:szCs w:val="21"/>
        </w:rPr>
      </w:pPr>
    </w:p>
    <w:p>
      <w:pPr>
        <w:widowControl w:val="0"/>
        <w:spacing w:line="480" w:lineRule="exact"/>
        <w:ind w:right="210"/>
        <w:rPr>
          <w:rFonts w:hint="eastAsia" w:ascii="宋体" w:hAnsi="宋体" w:eastAsia="宋体" w:cs="宋体"/>
          <w:kern w:val="2"/>
          <w:sz w:val="21"/>
          <w:szCs w:val="21"/>
          <w:u w:val="single"/>
        </w:rPr>
      </w:pPr>
      <w:r>
        <w:rPr>
          <w:rFonts w:hint="eastAsia" w:ascii="宋体" w:hAnsi="宋体" w:eastAsia="宋体" w:cs="宋体"/>
          <w:kern w:val="2"/>
          <w:sz w:val="21"/>
          <w:szCs w:val="21"/>
        </w:rPr>
        <w:t>甲方：</w:t>
      </w:r>
      <w:r>
        <w:rPr>
          <w:rFonts w:hint="eastAsia" w:ascii="宋体" w:hAnsi="宋体" w:eastAsia="宋体" w:cs="宋体"/>
          <w:kern w:val="2"/>
          <w:sz w:val="21"/>
          <w:szCs w:val="21"/>
          <w:u w:val="single"/>
        </w:rPr>
        <w:t xml:space="preserve">  吉木乃县发展和改革委员会                  （盖章）</w:t>
      </w:r>
    </w:p>
    <w:p>
      <w:pPr>
        <w:widowControl w:val="0"/>
        <w:spacing w:line="480" w:lineRule="exact"/>
        <w:jc w:val="both"/>
        <w:rPr>
          <w:rFonts w:hint="eastAsia" w:ascii="宋体" w:hAnsi="宋体" w:eastAsia="宋体" w:cs="宋体"/>
          <w:kern w:val="2"/>
          <w:sz w:val="21"/>
          <w:szCs w:val="21"/>
        </w:rPr>
      </w:pPr>
    </w:p>
    <w:p>
      <w:pPr>
        <w:widowControl w:val="0"/>
        <w:spacing w:line="4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法定代表人／委托代理人：</w:t>
      </w:r>
      <w:r>
        <w:rPr>
          <w:rFonts w:hint="eastAsia" w:ascii="宋体" w:hAnsi="宋体" w:eastAsia="宋体" w:cs="宋体"/>
          <w:kern w:val="2"/>
          <w:sz w:val="21"/>
          <w:szCs w:val="21"/>
          <w:u w:val="single"/>
        </w:rPr>
        <w:t xml:space="preserve">                        （签名）</w:t>
      </w:r>
    </w:p>
    <w:p>
      <w:pPr>
        <w:widowControl w:val="0"/>
        <w:spacing w:line="4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                              年     月     日</w:t>
      </w:r>
    </w:p>
    <w:p>
      <w:pPr>
        <w:widowControl w:val="0"/>
        <w:spacing w:line="480" w:lineRule="exact"/>
        <w:jc w:val="both"/>
        <w:rPr>
          <w:rFonts w:hint="eastAsia" w:ascii="宋体" w:hAnsi="宋体" w:eastAsia="宋体" w:cs="宋体"/>
          <w:kern w:val="2"/>
          <w:sz w:val="21"/>
          <w:szCs w:val="21"/>
        </w:rPr>
      </w:pPr>
    </w:p>
    <w:p>
      <w:pPr>
        <w:widowControl w:val="0"/>
        <w:spacing w:line="480" w:lineRule="exact"/>
        <w:jc w:val="both"/>
        <w:rPr>
          <w:rFonts w:hint="eastAsia" w:ascii="宋体" w:hAnsi="宋体" w:eastAsia="宋体" w:cs="宋体"/>
          <w:kern w:val="2"/>
          <w:sz w:val="21"/>
          <w:szCs w:val="21"/>
        </w:rPr>
      </w:pPr>
    </w:p>
    <w:p>
      <w:pPr>
        <w:widowControl w:val="0"/>
        <w:spacing w:line="480" w:lineRule="exact"/>
        <w:jc w:val="both"/>
        <w:rPr>
          <w:rFonts w:hint="eastAsia" w:ascii="宋体" w:hAnsi="宋体" w:eastAsia="宋体" w:cs="宋体"/>
          <w:kern w:val="2"/>
          <w:sz w:val="21"/>
          <w:szCs w:val="21"/>
          <w:u w:val="single"/>
        </w:rPr>
      </w:pPr>
      <w:r>
        <w:rPr>
          <w:rFonts w:hint="eastAsia" w:ascii="宋体" w:hAnsi="宋体" w:eastAsia="宋体" w:cs="宋体"/>
          <w:kern w:val="2"/>
          <w:sz w:val="21"/>
          <w:szCs w:val="21"/>
        </w:rPr>
        <w:t>乙方：</w:t>
      </w:r>
      <w:r>
        <w:rPr>
          <w:rFonts w:hint="eastAsia" w:ascii="宋体" w:hAnsi="宋体" w:eastAsia="宋体" w:cs="宋体"/>
          <w:kern w:val="2"/>
          <w:sz w:val="21"/>
          <w:szCs w:val="21"/>
          <w:u w:val="single"/>
        </w:rPr>
        <w:t xml:space="preserve">                                          （盖章）</w:t>
      </w:r>
    </w:p>
    <w:p>
      <w:pPr>
        <w:widowControl w:val="0"/>
        <w:spacing w:line="480" w:lineRule="exact"/>
        <w:jc w:val="both"/>
        <w:rPr>
          <w:rFonts w:hint="eastAsia" w:ascii="宋体" w:hAnsi="宋体" w:eastAsia="宋体" w:cs="宋体"/>
          <w:kern w:val="2"/>
          <w:sz w:val="21"/>
          <w:szCs w:val="21"/>
        </w:rPr>
      </w:pPr>
    </w:p>
    <w:p>
      <w:pPr>
        <w:widowControl w:val="0"/>
        <w:spacing w:line="4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法定代表人／委托代理人：</w:t>
      </w:r>
      <w:r>
        <w:rPr>
          <w:rFonts w:hint="eastAsia" w:ascii="宋体" w:hAnsi="宋体" w:eastAsia="宋体" w:cs="宋体"/>
          <w:kern w:val="2"/>
          <w:sz w:val="21"/>
          <w:szCs w:val="21"/>
          <w:u w:val="single"/>
        </w:rPr>
        <w:t xml:space="preserve">                        （签名）</w:t>
      </w:r>
    </w:p>
    <w:p>
      <w:pPr>
        <w:pStyle w:val="9"/>
        <w:spacing w:line="360" w:lineRule="auto"/>
        <w:jc w:val="center"/>
        <w:rPr>
          <w:rFonts w:hint="eastAsia" w:ascii="宋体" w:hAnsi="宋体" w:eastAsia="宋体" w:cs="宋体"/>
          <w:color w:val="000000"/>
        </w:rPr>
      </w:pPr>
      <w:r>
        <w:rPr>
          <w:rFonts w:hint="eastAsia" w:ascii="宋体" w:hAnsi="宋体" w:eastAsia="宋体" w:cs="宋体"/>
          <w:b w:val="0"/>
          <w:bCs w:val="0"/>
          <w:sz w:val="21"/>
          <w:szCs w:val="21"/>
        </w:rPr>
        <w:t xml:space="preserve">                             年     月    日</w:t>
      </w: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ind w:left="2800"/>
        <w:rPr>
          <w:rFonts w:hint="eastAsia" w:ascii="宋体" w:hAnsi="宋体" w:eastAsia="宋体" w:cs="宋体"/>
        </w:rPr>
      </w:pPr>
    </w:p>
    <w:p>
      <w:pPr>
        <w:pStyle w:val="2"/>
        <w:ind w:left="280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9"/>
        <w:spacing w:line="360" w:lineRule="auto"/>
        <w:jc w:val="center"/>
        <w:rPr>
          <w:rFonts w:hint="eastAsia" w:ascii="宋体" w:hAnsi="宋体" w:eastAsia="宋体" w:cs="宋体"/>
        </w:rPr>
      </w:pPr>
      <w:r>
        <w:rPr>
          <w:rFonts w:hint="eastAsia" w:ascii="宋体" w:hAnsi="宋体" w:eastAsia="宋体" w:cs="宋体"/>
        </w:rPr>
        <w:t>第四章　响应文件组成</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一、磋商响应声明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附件1－1：法定代表人身份证明复印件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附件1－2：法定代表人授权书</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二、报价一览表、分项价格表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附件2－1：报价一览表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附件2－2：分项价格表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三、商务条款偏离表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四、磋商保证金</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五、供应商的资格证明材料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(一)供应商基本情况表(附件5－1)</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(二)参加政府采购活动的供应商应当具备《政府采购法》第二十二条第一款规定的条件，提供下列材料：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附件5－2－1：法人或者其他组织的营业执照复印件或自然人的身份证明复印件；</w:t>
      </w:r>
    </w:p>
    <w:p>
      <w:pPr>
        <w:pStyle w:val="1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附件5－2－2：供应商2020年度</w:t>
      </w:r>
      <w:r>
        <w:rPr>
          <w:rFonts w:hint="eastAsia" w:ascii="宋体" w:hAnsi="宋体" w:eastAsia="宋体" w:cs="宋体"/>
          <w:sz w:val="24"/>
          <w:szCs w:val="24"/>
          <w:lang w:val="en-US" w:eastAsia="zh-CN"/>
        </w:rPr>
        <w:t>或2021年度</w:t>
      </w:r>
      <w:r>
        <w:rPr>
          <w:rFonts w:hint="eastAsia" w:ascii="宋体" w:hAnsi="宋体" w:eastAsia="宋体" w:cs="宋体"/>
          <w:sz w:val="24"/>
          <w:szCs w:val="24"/>
        </w:rPr>
        <w:t>财务状况报告复印件(如供应商为新成立公司的，应提供于公司成立之日后的财务报表)、</w:t>
      </w:r>
      <w:r>
        <w:rPr>
          <w:rFonts w:hint="eastAsia" w:ascii="宋体" w:hAnsi="宋体" w:eastAsia="宋体" w:cs="宋体"/>
          <w:color w:val="000000"/>
          <w:sz w:val="24"/>
          <w:szCs w:val="24"/>
        </w:rPr>
        <w:t>附件5－2－3：具备履行合同所必需的设备和专业技术能力的证明材料复印件(由供应商根据项目需求提供说明材料)；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附件5－2－4：参加政府采购活动前三年内在经营活动中没有重大违法记录的书面声明；</w:t>
      </w:r>
    </w:p>
    <w:p>
      <w:pPr>
        <w:pStyle w:val="15"/>
        <w:spacing w:line="360" w:lineRule="auto"/>
        <w:ind w:firstLine="480" w:firstLineChars="200"/>
        <w:rPr>
          <w:rFonts w:hint="eastAsia" w:ascii="宋体" w:hAnsi="宋体" w:eastAsia="宋体" w:cs="宋体"/>
        </w:rPr>
      </w:pPr>
      <w:r>
        <w:rPr>
          <w:rFonts w:hint="eastAsia" w:ascii="宋体" w:hAnsi="宋体" w:eastAsia="宋体" w:cs="宋体"/>
          <w:sz w:val="24"/>
          <w:szCs w:val="24"/>
        </w:rPr>
        <w:t>六、提供政府采购政策产品等证明材料（如符合）</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附件6－1　中小企业声明函(格式附后)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附件6－2　监狱企业声明函(格式附后)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附件6－3  残疾人福利性单位声明函(格式附后)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七、服务方案</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八、技术响应与偏离表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九、用于本项目人员简历表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十、供应商认为需提供的其他资料</w:t>
      </w:r>
      <w:r>
        <w:rPr>
          <w:rFonts w:hint="eastAsia" w:ascii="宋体" w:hAnsi="宋体" w:eastAsia="宋体" w:cs="宋体"/>
        </w:rPr>
        <w:br w:type="page"/>
      </w:r>
      <w:r>
        <w:rPr>
          <w:rFonts w:hint="eastAsia" w:ascii="宋体" w:hAnsi="宋体" w:eastAsia="宋体" w:cs="宋体"/>
          <w:sz w:val="24"/>
          <w:szCs w:val="24"/>
        </w:rPr>
        <w:t>一、磋商响应声明</w:t>
      </w:r>
    </w:p>
    <w:p>
      <w:pPr>
        <w:pStyle w:val="8"/>
        <w:spacing w:line="360" w:lineRule="auto"/>
        <w:jc w:val="center"/>
        <w:rPr>
          <w:rFonts w:hint="eastAsia" w:ascii="宋体" w:hAnsi="宋体" w:eastAsia="宋体" w:cs="宋体"/>
        </w:rPr>
      </w:pPr>
      <w:r>
        <w:rPr>
          <w:rFonts w:hint="eastAsia" w:ascii="宋体" w:hAnsi="宋体" w:eastAsia="宋体" w:cs="宋体"/>
        </w:rPr>
        <w:t>磋商响应声明</w:t>
      </w:r>
    </w:p>
    <w:p>
      <w:pPr>
        <w:pStyle w:val="15"/>
        <w:spacing w:line="360" w:lineRule="auto"/>
        <w:rPr>
          <w:rFonts w:hint="eastAsia" w:ascii="宋体" w:hAnsi="宋体" w:eastAsia="宋体" w:cs="宋体"/>
          <w:sz w:val="24"/>
          <w:szCs w:val="24"/>
        </w:rPr>
      </w:pPr>
      <w:r>
        <w:rPr>
          <w:rFonts w:hint="eastAsia" w:ascii="宋体" w:hAnsi="宋体" w:eastAsia="宋体" w:cs="宋体"/>
          <w:sz w:val="24"/>
          <w:szCs w:val="24"/>
        </w:rPr>
        <w:t>致____________(采购人或采购代理机构)：</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根据贵方为____________(项目名称)(项目编号：____________)的磋商文件，本人____________(全名、职务)代表供应商____________(供应商名称、地址)提交响应文件正本______份、副本一式______份</w:t>
      </w:r>
      <w:r>
        <w:rPr>
          <w:rFonts w:hint="eastAsia" w:ascii="宋体" w:hAnsi="宋体" w:eastAsia="宋体" w:cs="宋体"/>
        </w:rPr>
        <w:t>、</w:t>
      </w:r>
      <w:r>
        <w:rPr>
          <w:rFonts w:hint="eastAsia" w:ascii="宋体" w:hAnsi="宋体" w:eastAsia="宋体" w:cs="宋体"/>
          <w:sz w:val="24"/>
          <w:szCs w:val="24"/>
        </w:rPr>
        <w:t>电子响应文件______套。</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一、我方同意在本项目磋商文件中规定的递交响应文件截止时间起____________天内(响应文件有效期)遵守本响应文件中的承诺，且在此期限期满之前均具有约束力。</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二、我方已详细审核全部磋商文件，包括磋商文件修改文件(如有的话)、参考资料及有关附件，确认无误。我方承诺接受磋商文件中的全部条款且无任何异议。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三、我方承诺我方满足磋商文件中要求的供应商基本条件和特定条件。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四、我方保证响应文件提供的数据和材料是真实、合法的。我方愿意向贵方提供任何与本项采购有关的数据、情况和技术资料。若贵方需要，我方愿意提供我方作出的一切承诺的证明材料。</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五、我方承诺遵守《政府采购法》的有关规定，按照磋商文件确定的事项签订政府采购合同，并承担合同规定的责任和义务。</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附件1－1：法定代表人身份证明复印件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附件1－2：法定代表人授权书</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供应商名称(盖公章)：____________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spacing w:line="360" w:lineRule="auto"/>
        <w:ind w:firstLine="420" w:firstLineChars="200"/>
        <w:rPr>
          <w:rFonts w:hint="eastAsia" w:ascii="宋体" w:hAnsi="宋体" w:eastAsia="宋体" w:cs="宋体"/>
          <w:color w:val="FF0000"/>
        </w:rPr>
      </w:pPr>
    </w:p>
    <w:p>
      <w:pPr>
        <w:pStyle w:val="4"/>
        <w:jc w:val="center"/>
        <w:rPr>
          <w:rFonts w:hint="eastAsia" w:ascii="宋体" w:hAnsi="宋体" w:eastAsia="宋体" w:cs="宋体"/>
          <w:bCs w:val="0"/>
          <w:color w:val="000000"/>
          <w:sz w:val="24"/>
        </w:rPr>
      </w:pPr>
      <w:r>
        <w:rPr>
          <w:rFonts w:hint="eastAsia" w:ascii="宋体" w:hAnsi="宋体" w:eastAsia="宋体" w:cs="宋体"/>
        </w:rPr>
        <w:br w:type="page"/>
      </w:r>
      <w:r>
        <w:rPr>
          <w:rFonts w:hint="eastAsia" w:ascii="宋体" w:hAnsi="宋体" w:eastAsia="宋体" w:cs="宋体"/>
        </w:rPr>
        <w:t>　　</w:t>
      </w:r>
      <w:r>
        <w:rPr>
          <w:rFonts w:hint="eastAsia" w:ascii="宋体" w:hAnsi="宋体" w:eastAsia="宋体" w:cs="宋体"/>
          <w:sz w:val="24"/>
          <w:szCs w:val="24"/>
        </w:rPr>
        <w:t>附件1－1　</w:t>
      </w:r>
      <w:r>
        <w:rPr>
          <w:rFonts w:hint="eastAsia" w:ascii="宋体" w:hAnsi="宋体" w:eastAsia="宋体" w:cs="宋体"/>
          <w:bCs w:val="0"/>
          <w:color w:val="000000"/>
          <w:sz w:val="24"/>
        </w:rPr>
        <w:t xml:space="preserve"> 法定代表人资格证明书</w:t>
      </w:r>
    </w:p>
    <w:p>
      <w:pPr>
        <w:tabs>
          <w:tab w:val="left" w:pos="360"/>
          <w:tab w:val="left" w:pos="1800"/>
        </w:tabs>
        <w:spacing w:line="360" w:lineRule="auto"/>
        <w:ind w:left="540"/>
        <w:rPr>
          <w:rFonts w:hint="eastAsia" w:ascii="宋体" w:hAnsi="宋体" w:eastAsia="宋体" w:cs="宋体"/>
          <w:bCs/>
          <w:color w:val="000000"/>
          <w:sz w:val="24"/>
        </w:rPr>
      </w:pP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单位名称：</w:t>
      </w: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地址：</w:t>
      </w:r>
    </w:p>
    <w:p>
      <w:pPr>
        <w:tabs>
          <w:tab w:val="left" w:pos="360"/>
          <w:tab w:val="left" w:pos="720"/>
          <w:tab w:val="left" w:pos="90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姓名：        性别：       年龄：         职务： </w:t>
      </w: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单位）的法定代表人。为的项目，签署上述工程的投标文件、进行合同谈判、签署合同和处理与之有关的一切事务。</w:t>
      </w:r>
    </w:p>
    <w:p>
      <w:pPr>
        <w:tabs>
          <w:tab w:val="left" w:pos="360"/>
          <w:tab w:val="left" w:pos="1800"/>
        </w:tabs>
        <w:spacing w:line="360" w:lineRule="auto"/>
        <w:rPr>
          <w:rFonts w:hint="eastAsia" w:ascii="宋体" w:hAnsi="宋体" w:eastAsia="宋体" w:cs="宋体"/>
          <w:color w:val="000000"/>
          <w:sz w:val="24"/>
        </w:rPr>
      </w:pP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特此证明。</w:t>
      </w:r>
    </w:p>
    <w:p>
      <w:pPr>
        <w:tabs>
          <w:tab w:val="left" w:pos="360"/>
          <w:tab w:val="left" w:pos="1800"/>
        </w:tabs>
        <w:spacing w:line="360" w:lineRule="auto"/>
        <w:ind w:left="4500"/>
        <w:rPr>
          <w:rFonts w:hint="eastAsia" w:ascii="宋体" w:hAnsi="宋体" w:eastAsia="宋体" w:cs="宋体"/>
          <w:color w:val="000000"/>
          <w:sz w:val="24"/>
        </w:rPr>
      </w:pPr>
      <w:r>
        <w:rPr>
          <w:rFonts w:hint="eastAsia" w:ascii="宋体" w:hAnsi="宋体" w:eastAsia="宋体" w:cs="宋体"/>
          <w:color w:val="000000"/>
          <w:sz w:val="24"/>
        </w:rPr>
        <w:t>投标人：（盖章）</w:t>
      </w:r>
    </w:p>
    <w:p>
      <w:pPr>
        <w:tabs>
          <w:tab w:val="left" w:pos="360"/>
          <w:tab w:val="left" w:pos="1800"/>
        </w:tabs>
        <w:spacing w:line="360" w:lineRule="auto"/>
        <w:ind w:left="4500"/>
        <w:rPr>
          <w:rFonts w:hint="eastAsia" w:ascii="宋体" w:hAnsi="宋体" w:eastAsia="宋体" w:cs="宋体"/>
          <w:color w:val="000000"/>
          <w:sz w:val="24"/>
        </w:rPr>
      </w:pPr>
      <w:r>
        <w:rPr>
          <w:rFonts w:hint="eastAsia" w:ascii="宋体" w:hAnsi="宋体" w:eastAsia="宋体" w:cs="宋体"/>
          <w:color w:val="000000"/>
          <w:sz w:val="24"/>
        </w:rPr>
        <w:t>日期：    年   月   日</w:t>
      </w:r>
    </w:p>
    <w:p>
      <w:pPr>
        <w:tabs>
          <w:tab w:val="left" w:pos="360"/>
          <w:tab w:val="left" w:pos="1800"/>
        </w:tabs>
        <w:spacing w:line="360" w:lineRule="auto"/>
        <w:ind w:firstLine="6000" w:firstLineChars="2500"/>
        <w:rPr>
          <w:rFonts w:hint="eastAsia" w:ascii="宋体" w:hAnsi="宋体" w:eastAsia="宋体" w:cs="宋体"/>
          <w:bCs/>
          <w:color w:val="000000"/>
          <w:sz w:val="24"/>
        </w:rPr>
      </w:pP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r>
              <w:rPr>
                <w:rFonts w:hint="eastAsia" w:ascii="宋体" w:hAnsi="宋体" w:eastAsia="宋体" w:cs="宋体"/>
                <w:color w:val="000000"/>
                <w:sz w:val="24"/>
              </w:rPr>
              <w:t>法定代表人身份证复印件或扫描件（正、反两面）</w:t>
            </w:r>
          </w:p>
        </w:tc>
      </w:tr>
    </w:tbl>
    <w:p>
      <w:pPr>
        <w:tabs>
          <w:tab w:val="left" w:pos="360"/>
          <w:tab w:val="left" w:pos="1800"/>
        </w:tabs>
        <w:spacing w:line="48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注：法定代表人身份证复印件或扫描件应反映出证件有效期等所载内容。</w:t>
      </w:r>
    </w:p>
    <w:p>
      <w:pPr>
        <w:pStyle w:val="4"/>
        <w:jc w:val="center"/>
        <w:rPr>
          <w:rFonts w:hint="eastAsia" w:ascii="宋体" w:hAnsi="宋体" w:eastAsia="宋体" w:cs="宋体"/>
          <w:color w:val="000000"/>
          <w:sz w:val="24"/>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jc w:val="center"/>
        <w:rPr>
          <w:rFonts w:hint="eastAsia" w:ascii="宋体" w:hAnsi="宋体" w:eastAsia="宋体" w:cs="宋体"/>
          <w:color w:val="000000"/>
          <w:sz w:val="24"/>
        </w:rPr>
      </w:pPr>
      <w:r>
        <w:rPr>
          <w:rFonts w:hint="eastAsia" w:ascii="宋体" w:hAnsi="宋体" w:eastAsia="宋体" w:cs="宋体"/>
          <w:sz w:val="24"/>
          <w:szCs w:val="24"/>
        </w:rPr>
        <w:t>附件1－</w:t>
      </w:r>
      <w:r>
        <w:rPr>
          <w:rFonts w:hint="eastAsia" w:ascii="宋体" w:hAnsi="宋体" w:eastAsia="宋体" w:cs="宋体"/>
          <w:sz w:val="24"/>
          <w:szCs w:val="24"/>
          <w:lang w:val="en-US" w:eastAsia="zh-CN"/>
        </w:rPr>
        <w:t>2</w:t>
      </w:r>
      <w:r>
        <w:rPr>
          <w:rFonts w:hint="eastAsia" w:ascii="宋体" w:hAnsi="宋体" w:eastAsia="宋体" w:cs="宋体"/>
          <w:color w:val="000000"/>
          <w:sz w:val="24"/>
        </w:rPr>
        <w:t xml:space="preserve">  法定代表人授权书</w:t>
      </w:r>
    </w:p>
    <w:p>
      <w:pPr>
        <w:tabs>
          <w:tab w:val="left" w:pos="360"/>
          <w:tab w:val="left" w:pos="1800"/>
        </w:tabs>
        <w:spacing w:line="360" w:lineRule="auto"/>
        <w:jc w:val="center"/>
        <w:rPr>
          <w:rFonts w:hint="eastAsia" w:ascii="宋体" w:hAnsi="宋体" w:eastAsia="宋体" w:cs="宋体"/>
          <w:b/>
          <w:bCs/>
          <w:color w:val="000000"/>
          <w:sz w:val="24"/>
        </w:rPr>
      </w:pPr>
    </w:p>
    <w:p>
      <w:pPr>
        <w:tabs>
          <w:tab w:val="left" w:pos="360"/>
          <w:tab w:val="left" w:pos="1800"/>
        </w:tabs>
        <w:spacing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本授权委托书声明：我（姓名）系（投标人名称）的法定代表人，现授权委托（单位名称）的（姓名），其身份证号为，为我公司代理人，以本公司的名义参加（采购人）（招标项目名称）项目的投标活动。</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代理人在开标、评标、合同谈判过程中所签署的一切文件和处理与之有关的一切事务，我均予以承认。</w:t>
      </w:r>
    </w:p>
    <w:p>
      <w:pPr>
        <w:tabs>
          <w:tab w:val="left" w:pos="360"/>
          <w:tab w:val="left" w:pos="1800"/>
        </w:tabs>
        <w:spacing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本授权委托书期限自年月日起至年月日止。</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委托代理人无转委权。特此委托。</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委托代理人：            性别：           年龄：</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单位：              部门：           职务：</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投标人：（盖章）</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法定代表人：（签字或盖章）</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委托代理人：（签字或盖章）</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日期：      年     月     日</w:t>
      </w:r>
    </w:p>
    <w:p>
      <w:pPr>
        <w:tabs>
          <w:tab w:val="left" w:pos="360"/>
          <w:tab w:val="left" w:pos="1800"/>
        </w:tabs>
        <w:spacing w:line="480" w:lineRule="exact"/>
        <w:ind w:firstLine="3600"/>
        <w:jc w:val="both"/>
        <w:rPr>
          <w:rFonts w:hint="eastAsia" w:ascii="宋体" w:hAnsi="宋体" w:eastAsia="宋体" w:cs="宋体"/>
          <w:color w:val="000000"/>
          <w:sz w:val="24"/>
        </w:rPr>
      </w:pP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9" w:hRule="atLeast"/>
          <w:jc w:val="center"/>
        </w:trPr>
        <w:tc>
          <w:tcPr>
            <w:tcW w:w="6952" w:type="dxa"/>
          </w:tcPr>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r>
              <w:rPr>
                <w:rFonts w:hint="eastAsia" w:ascii="宋体" w:hAnsi="宋体" w:eastAsia="宋体" w:cs="宋体"/>
                <w:color w:val="000000"/>
                <w:sz w:val="24"/>
              </w:rPr>
              <w:t>委托代理人身份证复印件或扫描件（正、反两面）</w:t>
            </w:r>
          </w:p>
        </w:tc>
      </w:tr>
    </w:tbl>
    <w:p>
      <w:pPr>
        <w:tabs>
          <w:tab w:val="left" w:pos="360"/>
          <w:tab w:val="left" w:pos="1800"/>
        </w:tabs>
        <w:spacing w:line="48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注：委托代理人身份证复印件或扫描件应反映出证件有效期等所载内容，</w:t>
      </w:r>
      <w:r>
        <w:rPr>
          <w:rFonts w:hint="eastAsia" w:ascii="宋体" w:hAnsi="宋体" w:eastAsia="宋体" w:cs="宋体"/>
          <w:b/>
          <w:color w:val="000000"/>
          <w:sz w:val="24"/>
        </w:rPr>
        <w:t>作为本</w:t>
      </w:r>
      <w:r>
        <w:rPr>
          <w:rFonts w:hint="eastAsia" w:ascii="宋体" w:hAnsi="宋体" w:eastAsia="宋体" w:cs="宋体"/>
          <w:b/>
          <w:bCs/>
          <w:color w:val="000000"/>
          <w:sz w:val="24"/>
        </w:rPr>
        <w:t>法定代表人授权书的附件。</w:t>
      </w:r>
    </w:p>
    <w:p>
      <w:pPr>
        <w:spacing w:line="360" w:lineRule="auto"/>
        <w:ind w:firstLine="573"/>
        <w:jc w:val="center"/>
        <w:rPr>
          <w:rFonts w:hint="eastAsia" w:ascii="宋体" w:hAnsi="宋体" w:eastAsia="宋体" w:cs="宋体"/>
          <w:b/>
          <w:bCs/>
          <w:color w:val="000000"/>
          <w:sz w:val="24"/>
        </w:rPr>
      </w:pPr>
    </w:p>
    <w:p>
      <w:pPr>
        <w:pStyle w:val="15"/>
        <w:spacing w:line="360" w:lineRule="auto"/>
        <w:ind w:right="840"/>
        <w:jc w:val="center"/>
        <w:outlineLvl w:val="1"/>
        <w:rPr>
          <w:rFonts w:hint="eastAsia" w:ascii="宋体" w:hAnsi="宋体" w:eastAsia="宋体" w:cs="宋体"/>
          <w:b/>
          <w:bCs/>
          <w:color w:val="000000"/>
          <w:sz w:val="24"/>
          <w:szCs w:val="24"/>
        </w:rPr>
      </w:pPr>
    </w:p>
    <w:p>
      <w:pPr>
        <w:pStyle w:val="15"/>
        <w:tabs>
          <w:tab w:val="left" w:pos="4400"/>
        </w:tabs>
        <w:spacing w:line="360" w:lineRule="auto"/>
        <w:rPr>
          <w:rFonts w:hint="eastAsia" w:ascii="宋体" w:hAnsi="宋体" w:eastAsia="宋体" w:cs="宋体"/>
          <w:sz w:val="24"/>
          <w:szCs w:val="24"/>
        </w:rPr>
      </w:pPr>
      <w:r>
        <w:rPr>
          <w:rFonts w:hint="eastAsia" w:ascii="宋体" w:hAnsi="宋体" w:eastAsia="宋体" w:cs="宋体"/>
          <w:sz w:val="24"/>
          <w:szCs w:val="24"/>
        </w:rPr>
        <w:t>二、报价一览表、分项价格表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附件2－1</w:t>
      </w:r>
    </w:p>
    <w:p>
      <w:pPr>
        <w:pStyle w:val="15"/>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报价一览表</w:t>
      </w:r>
    </w:p>
    <w:p>
      <w:pPr>
        <w:pStyle w:val="15"/>
        <w:spacing w:line="360" w:lineRule="auto"/>
        <w:ind w:firstLine="480" w:firstLineChars="200"/>
        <w:rPr>
          <w:rFonts w:hint="eastAsia" w:ascii="宋体" w:hAnsi="宋体" w:eastAsia="宋体" w:cs="宋体"/>
          <w:sz w:val="24"/>
          <w:szCs w:val="24"/>
        </w:rPr>
      </w:pPr>
    </w:p>
    <w:tbl>
      <w:tblPr>
        <w:tblStyle w:val="2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843"/>
        <w:gridCol w:w="1984"/>
        <w:gridCol w:w="156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43"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84" w:type="dxa"/>
            <w:vAlign w:val="center"/>
          </w:tcPr>
          <w:p>
            <w:pPr>
              <w:pStyle w:val="15"/>
              <w:spacing w:line="360" w:lineRule="auto"/>
              <w:jc w:val="center"/>
              <w:rPr>
                <w:rFonts w:hint="eastAsia" w:ascii="宋体" w:hAnsi="宋体" w:eastAsia="宋体" w:cs="宋体"/>
                <w:sz w:val="24"/>
                <w:szCs w:val="24"/>
              </w:rPr>
            </w:pPr>
          </w:p>
        </w:tc>
        <w:tc>
          <w:tcPr>
            <w:tcW w:w="1560"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2571"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70"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p>
        </w:tc>
        <w:tc>
          <w:tcPr>
            <w:tcW w:w="6115" w:type="dxa"/>
            <w:gridSpan w:val="3"/>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大写：人民币____________________元</w:t>
            </w:r>
          </w:p>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小写：￥____________________元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43"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6115" w:type="dxa"/>
            <w:gridSpan w:val="3"/>
            <w:vAlign w:val="center"/>
          </w:tcPr>
          <w:p>
            <w:pPr>
              <w:pStyle w:val="15"/>
              <w:spacing w:line="360" w:lineRule="auto"/>
              <w:jc w:val="center"/>
              <w:rPr>
                <w:rFonts w:hint="eastAsia" w:ascii="宋体" w:hAnsi="宋体" w:eastAsia="宋体" w:cs="宋体"/>
                <w:sz w:val="24"/>
                <w:szCs w:val="24"/>
              </w:rPr>
            </w:pPr>
          </w:p>
        </w:tc>
      </w:tr>
    </w:tbl>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法定代表人或授权代表(签字或盖章)：________________________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ind w:firstLine="42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　　附件2－2</w:t>
      </w:r>
    </w:p>
    <w:p>
      <w:pPr>
        <w:pStyle w:val="15"/>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分项价格表</w:t>
      </w:r>
    </w:p>
    <w:p>
      <w:pPr>
        <w:pStyle w:val="15"/>
        <w:rPr>
          <w:rFonts w:hint="eastAsia" w:ascii="宋体" w:hAnsi="宋体" w:eastAsia="宋体" w:cs="宋体"/>
          <w:sz w:val="24"/>
          <w:szCs w:val="24"/>
        </w:rPr>
      </w:pPr>
      <w:r>
        <w:rPr>
          <w:rFonts w:hint="eastAsia" w:ascii="宋体" w:hAnsi="宋体" w:eastAsia="宋体" w:cs="宋体"/>
          <w:sz w:val="24"/>
          <w:szCs w:val="24"/>
        </w:rPr>
        <w:t>项目名称：                                             项目编号：</w:t>
      </w:r>
    </w:p>
    <w:p>
      <w:pPr>
        <w:pStyle w:val="15"/>
        <w:ind w:firstLine="6600" w:firstLineChars="2750"/>
        <w:rPr>
          <w:rFonts w:hint="eastAsia" w:ascii="宋体" w:hAnsi="宋体" w:eastAsia="宋体" w:cs="宋体"/>
          <w:sz w:val="24"/>
          <w:szCs w:val="24"/>
        </w:rPr>
      </w:pPr>
      <w:r>
        <w:rPr>
          <w:rFonts w:hint="eastAsia" w:ascii="宋体" w:hAnsi="宋体" w:eastAsia="宋体" w:cs="宋体"/>
          <w:sz w:val="24"/>
          <w:szCs w:val="24"/>
        </w:rPr>
        <w:t>金额单位：元</w:t>
      </w:r>
    </w:p>
    <w:tbl>
      <w:tblPr>
        <w:tblStyle w:val="24"/>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843"/>
        <w:gridCol w:w="3118"/>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84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分项名称</w:t>
            </w:r>
          </w:p>
        </w:tc>
        <w:tc>
          <w:tcPr>
            <w:tcW w:w="184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服务内容</w:t>
            </w:r>
          </w:p>
        </w:tc>
        <w:tc>
          <w:tcPr>
            <w:tcW w:w="31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报价</w:t>
            </w:r>
          </w:p>
        </w:tc>
        <w:tc>
          <w:tcPr>
            <w:tcW w:w="283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备注</w:t>
            </w:r>
          </w:p>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(收费依据、收费标准等)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1843" w:type="dxa"/>
          </w:tcPr>
          <w:p>
            <w:pPr>
              <w:widowControl w:val="0"/>
              <w:jc w:val="center"/>
              <w:rPr>
                <w:rFonts w:hint="eastAsia" w:ascii="宋体" w:hAnsi="宋体" w:eastAsia="宋体" w:cs="宋体"/>
                <w:kern w:val="2"/>
                <w:sz w:val="24"/>
                <w:szCs w:val="24"/>
              </w:rPr>
            </w:pPr>
            <w:r>
              <w:rPr>
                <w:rFonts w:hint="eastAsia" w:ascii="宋体" w:hAnsi="宋体" w:eastAsia="宋体" w:cs="宋体"/>
                <w:sz w:val="24"/>
                <w:szCs w:val="24"/>
              </w:rPr>
              <w:t xml:space="preserve"> </w:t>
            </w:r>
          </w:p>
        </w:tc>
        <w:tc>
          <w:tcPr>
            <w:tcW w:w="1843" w:type="dxa"/>
            <w:vAlign w:val="center"/>
          </w:tcPr>
          <w:p>
            <w:pPr>
              <w:widowControl w:val="0"/>
              <w:jc w:val="center"/>
              <w:rPr>
                <w:rFonts w:hint="eastAsia" w:ascii="宋体" w:hAnsi="宋体" w:eastAsia="宋体" w:cs="宋体"/>
                <w:kern w:val="2"/>
                <w:sz w:val="24"/>
                <w:szCs w:val="24"/>
              </w:rPr>
            </w:pPr>
          </w:p>
        </w:tc>
        <w:tc>
          <w:tcPr>
            <w:tcW w:w="3118" w:type="dxa"/>
            <w:vAlign w:val="center"/>
          </w:tcPr>
          <w:p>
            <w:pPr>
              <w:widowControl w:val="0"/>
              <w:jc w:val="center"/>
              <w:rPr>
                <w:rFonts w:hint="eastAsia" w:ascii="宋体" w:hAnsi="宋体" w:eastAsia="宋体" w:cs="宋体"/>
                <w:kern w:val="2"/>
                <w:sz w:val="24"/>
                <w:szCs w:val="24"/>
              </w:rPr>
            </w:pPr>
          </w:p>
        </w:tc>
        <w:tc>
          <w:tcPr>
            <w:tcW w:w="283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1843" w:type="dxa"/>
          </w:tcPr>
          <w:p>
            <w:pPr>
              <w:widowControl w:val="0"/>
              <w:jc w:val="center"/>
              <w:rPr>
                <w:rFonts w:hint="eastAsia" w:ascii="宋体" w:hAnsi="宋体" w:eastAsia="宋体" w:cs="宋体"/>
                <w:kern w:val="2"/>
                <w:sz w:val="24"/>
                <w:szCs w:val="24"/>
              </w:rPr>
            </w:pPr>
          </w:p>
        </w:tc>
        <w:tc>
          <w:tcPr>
            <w:tcW w:w="1843" w:type="dxa"/>
            <w:vAlign w:val="center"/>
          </w:tcPr>
          <w:p>
            <w:pPr>
              <w:widowControl w:val="0"/>
              <w:jc w:val="center"/>
              <w:rPr>
                <w:rFonts w:hint="eastAsia" w:ascii="宋体" w:hAnsi="宋体" w:eastAsia="宋体" w:cs="宋体"/>
                <w:kern w:val="2"/>
                <w:sz w:val="24"/>
                <w:szCs w:val="24"/>
              </w:rPr>
            </w:pPr>
          </w:p>
        </w:tc>
        <w:tc>
          <w:tcPr>
            <w:tcW w:w="3118" w:type="dxa"/>
            <w:vAlign w:val="center"/>
          </w:tcPr>
          <w:p>
            <w:pPr>
              <w:widowControl w:val="0"/>
              <w:jc w:val="center"/>
              <w:rPr>
                <w:rFonts w:hint="eastAsia" w:ascii="宋体" w:hAnsi="宋体" w:eastAsia="宋体" w:cs="宋体"/>
                <w:kern w:val="2"/>
                <w:sz w:val="24"/>
                <w:szCs w:val="24"/>
              </w:rPr>
            </w:pPr>
          </w:p>
        </w:tc>
        <w:tc>
          <w:tcPr>
            <w:tcW w:w="283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503" w:type="dxa"/>
            <w:gridSpan w:val="3"/>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总计</w:t>
            </w:r>
          </w:p>
        </w:tc>
        <w:tc>
          <w:tcPr>
            <w:tcW w:w="5956" w:type="dxa"/>
            <w:gridSpan w:val="2"/>
            <w:vAlign w:val="center"/>
          </w:tcPr>
          <w:p>
            <w:pPr>
              <w:widowControl w:val="0"/>
              <w:rPr>
                <w:rFonts w:hint="eastAsia" w:ascii="宋体" w:hAnsi="宋体" w:eastAsia="宋体" w:cs="宋体"/>
                <w:kern w:val="2"/>
                <w:sz w:val="24"/>
                <w:szCs w:val="24"/>
              </w:rPr>
            </w:pPr>
            <w:r>
              <w:rPr>
                <w:rFonts w:hint="eastAsia" w:ascii="宋体" w:hAnsi="宋体" w:eastAsia="宋体" w:cs="宋体"/>
                <w:kern w:val="2"/>
                <w:sz w:val="24"/>
                <w:szCs w:val="24"/>
              </w:rPr>
              <w:t>大写：人民币____________________元</w:t>
            </w:r>
          </w:p>
          <w:p>
            <w:pPr>
              <w:widowControl w:val="0"/>
              <w:rPr>
                <w:rFonts w:hint="eastAsia" w:ascii="宋体" w:hAnsi="宋体" w:eastAsia="宋体" w:cs="宋体"/>
                <w:kern w:val="2"/>
                <w:sz w:val="24"/>
                <w:szCs w:val="24"/>
              </w:rPr>
            </w:pPr>
            <w:r>
              <w:rPr>
                <w:rFonts w:hint="eastAsia" w:ascii="宋体" w:hAnsi="宋体" w:eastAsia="宋体" w:cs="宋体"/>
                <w:kern w:val="2"/>
                <w:sz w:val="24"/>
                <w:szCs w:val="24"/>
              </w:rPr>
              <w:t>小写：￥____________________</w:t>
            </w:r>
          </w:p>
        </w:tc>
      </w:tr>
    </w:tbl>
    <w:p>
      <w:pPr>
        <w:pStyle w:val="15"/>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法定代表人或授权代表(签字或盖章)：________________________</w:t>
      </w:r>
    </w:p>
    <w:p>
      <w:pPr>
        <w:pStyle w:val="15"/>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p>
    <w:p>
      <w:pPr>
        <w:pStyle w:val="15"/>
        <w:ind w:firstLine="420" w:firstLineChars="200"/>
        <w:rPr>
          <w:rFonts w:hint="eastAsia" w:ascii="宋体" w:hAnsi="宋体" w:eastAsia="宋体" w:cs="宋体"/>
          <w:sz w:val="24"/>
          <w:szCs w:val="24"/>
        </w:rPr>
      </w:pPr>
      <w:r>
        <w:rPr>
          <w:rFonts w:hint="eastAsia" w:ascii="宋体" w:hAnsi="宋体" w:eastAsia="宋体" w:cs="宋体"/>
        </w:rPr>
        <w:t>　三</w:t>
      </w:r>
      <w:r>
        <w:rPr>
          <w:rFonts w:hint="eastAsia" w:ascii="宋体" w:hAnsi="宋体" w:eastAsia="宋体" w:cs="宋体"/>
          <w:sz w:val="24"/>
          <w:szCs w:val="24"/>
        </w:rPr>
        <w:t>、商务条款偏离表</w:t>
      </w:r>
    </w:p>
    <w:p>
      <w:pPr>
        <w:pStyle w:val="15"/>
        <w:ind w:firstLine="480" w:firstLineChars="200"/>
        <w:rPr>
          <w:rFonts w:hint="eastAsia" w:ascii="宋体" w:hAnsi="宋体" w:eastAsia="宋体" w:cs="宋体"/>
          <w:sz w:val="24"/>
          <w:szCs w:val="24"/>
        </w:rPr>
      </w:pPr>
    </w:p>
    <w:p>
      <w:pPr>
        <w:pStyle w:val="15"/>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商务条款偏离表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项目名称：</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项目编号：</w:t>
      </w:r>
    </w:p>
    <w:tbl>
      <w:tblPr>
        <w:tblStyle w:val="2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062"/>
        <w:gridCol w:w="1866"/>
        <w:gridCol w:w="165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62"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磋商文件条目号</w:t>
            </w:r>
          </w:p>
        </w:tc>
        <w:tc>
          <w:tcPr>
            <w:tcW w:w="186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磋商文件要求</w:t>
            </w:r>
          </w:p>
        </w:tc>
        <w:tc>
          <w:tcPr>
            <w:tcW w:w="165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响应文件应答</w:t>
            </w:r>
          </w:p>
        </w:tc>
        <w:tc>
          <w:tcPr>
            <w:tcW w:w="81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81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hint="eastAsia" w:ascii="宋体" w:hAnsi="宋体" w:eastAsia="宋体" w:cs="宋体"/>
                <w:sz w:val="24"/>
                <w:szCs w:val="24"/>
              </w:rPr>
            </w:pPr>
          </w:p>
        </w:tc>
        <w:tc>
          <w:tcPr>
            <w:tcW w:w="2062" w:type="dxa"/>
            <w:vAlign w:val="center"/>
          </w:tcPr>
          <w:p>
            <w:pPr>
              <w:pStyle w:val="15"/>
              <w:spacing w:line="360" w:lineRule="auto"/>
              <w:jc w:val="center"/>
              <w:rPr>
                <w:rFonts w:hint="eastAsia" w:ascii="宋体" w:hAnsi="宋体" w:eastAsia="宋体" w:cs="宋体"/>
                <w:sz w:val="24"/>
                <w:szCs w:val="24"/>
              </w:rPr>
            </w:pPr>
          </w:p>
        </w:tc>
        <w:tc>
          <w:tcPr>
            <w:tcW w:w="186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hint="eastAsia" w:ascii="宋体" w:hAnsi="宋体" w:eastAsia="宋体" w:cs="宋体"/>
                <w:sz w:val="24"/>
                <w:szCs w:val="24"/>
              </w:rPr>
            </w:pPr>
          </w:p>
        </w:tc>
        <w:tc>
          <w:tcPr>
            <w:tcW w:w="2062" w:type="dxa"/>
            <w:vAlign w:val="center"/>
          </w:tcPr>
          <w:p>
            <w:pPr>
              <w:pStyle w:val="15"/>
              <w:spacing w:line="360" w:lineRule="auto"/>
              <w:jc w:val="center"/>
              <w:rPr>
                <w:rFonts w:hint="eastAsia" w:ascii="宋体" w:hAnsi="宋体" w:eastAsia="宋体" w:cs="宋体"/>
                <w:sz w:val="24"/>
                <w:szCs w:val="24"/>
              </w:rPr>
            </w:pPr>
          </w:p>
        </w:tc>
        <w:tc>
          <w:tcPr>
            <w:tcW w:w="186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hint="eastAsia" w:ascii="宋体" w:hAnsi="宋体" w:eastAsia="宋体" w:cs="宋体"/>
                <w:sz w:val="24"/>
                <w:szCs w:val="24"/>
              </w:rPr>
            </w:pPr>
          </w:p>
        </w:tc>
        <w:tc>
          <w:tcPr>
            <w:tcW w:w="2062" w:type="dxa"/>
            <w:vAlign w:val="center"/>
          </w:tcPr>
          <w:p>
            <w:pPr>
              <w:pStyle w:val="15"/>
              <w:spacing w:line="360" w:lineRule="auto"/>
              <w:jc w:val="center"/>
              <w:rPr>
                <w:rFonts w:hint="eastAsia" w:ascii="宋体" w:hAnsi="宋体" w:eastAsia="宋体" w:cs="宋体"/>
                <w:sz w:val="24"/>
                <w:szCs w:val="24"/>
              </w:rPr>
            </w:pPr>
          </w:p>
        </w:tc>
        <w:tc>
          <w:tcPr>
            <w:tcW w:w="186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5"/>
              <w:spacing w:line="360" w:lineRule="auto"/>
              <w:jc w:val="center"/>
              <w:rPr>
                <w:rFonts w:hint="eastAsia" w:ascii="宋体" w:hAnsi="宋体" w:eastAsia="宋体" w:cs="宋体"/>
                <w:sz w:val="24"/>
                <w:szCs w:val="24"/>
              </w:rPr>
            </w:pPr>
          </w:p>
        </w:tc>
        <w:tc>
          <w:tcPr>
            <w:tcW w:w="2062" w:type="dxa"/>
            <w:vAlign w:val="center"/>
          </w:tcPr>
          <w:p>
            <w:pPr>
              <w:pStyle w:val="15"/>
              <w:spacing w:line="360" w:lineRule="auto"/>
              <w:jc w:val="center"/>
              <w:rPr>
                <w:rFonts w:hint="eastAsia" w:ascii="宋体" w:hAnsi="宋体" w:eastAsia="宋体" w:cs="宋体"/>
                <w:sz w:val="24"/>
                <w:szCs w:val="24"/>
              </w:rPr>
            </w:pPr>
          </w:p>
        </w:tc>
        <w:tc>
          <w:tcPr>
            <w:tcW w:w="186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bl>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说明：如有偏离，则必须注明“偏离”；未注明偏离的，视为完全响应。</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供应商名称(盖公章)：____________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spacing w:line="360" w:lineRule="auto"/>
        <w:ind w:firstLine="420" w:firstLineChars="200"/>
        <w:rPr>
          <w:rFonts w:hint="eastAsia" w:ascii="宋体" w:hAnsi="宋体" w:eastAsia="宋体" w:cs="宋体"/>
        </w:rPr>
      </w:pPr>
    </w:p>
    <w:p>
      <w:pPr>
        <w:pStyle w:val="15"/>
        <w:spacing w:line="360" w:lineRule="auto"/>
        <w:ind w:firstLine="42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四、磋商保证金</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说明：提供</w:t>
      </w:r>
      <w:r>
        <w:rPr>
          <w:rFonts w:hint="eastAsia" w:hAnsi="宋体" w:cs="宋体"/>
          <w:sz w:val="24"/>
          <w:szCs w:val="24"/>
          <w:lang w:val="en-US" w:eastAsia="zh-CN"/>
        </w:rPr>
        <w:t>开户证明或开户许可证，</w:t>
      </w:r>
      <w:r>
        <w:rPr>
          <w:rFonts w:hint="eastAsia" w:ascii="宋体" w:hAnsi="宋体" w:eastAsia="宋体" w:cs="宋体"/>
          <w:sz w:val="24"/>
          <w:szCs w:val="24"/>
        </w:rPr>
        <w:t>转账凭证及保证金收据复印件。</w:t>
      </w:r>
    </w:p>
    <w:p>
      <w:pPr>
        <w:pStyle w:val="15"/>
        <w:ind w:firstLine="420" w:firstLineChars="200"/>
        <w:rPr>
          <w:rFonts w:hint="eastAsia" w:ascii="宋体" w:hAnsi="宋体" w:eastAsia="宋体" w:cs="宋体"/>
        </w:rPr>
      </w:pPr>
    </w:p>
    <w:p>
      <w:pPr>
        <w:pStyle w:val="15"/>
        <w:ind w:firstLine="42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五、供应商的资格证明材料</w:t>
      </w:r>
    </w:p>
    <w:p>
      <w:pPr>
        <w:pStyle w:val="15"/>
        <w:ind w:firstLine="480" w:firstLineChars="200"/>
        <w:rPr>
          <w:rFonts w:hint="eastAsia" w:ascii="宋体" w:hAnsi="宋体" w:eastAsia="宋体" w:cs="宋体"/>
          <w:sz w:val="24"/>
          <w:szCs w:val="24"/>
        </w:rPr>
      </w:pPr>
      <w:r>
        <w:rPr>
          <w:rFonts w:hint="eastAsia" w:ascii="宋体" w:hAnsi="宋体" w:eastAsia="宋体" w:cs="宋体"/>
          <w:sz w:val="24"/>
          <w:szCs w:val="24"/>
        </w:rPr>
        <w:t>附件5－1</w:t>
      </w:r>
    </w:p>
    <w:p>
      <w:pPr>
        <w:pStyle w:val="15"/>
        <w:ind w:firstLine="480" w:firstLineChars="200"/>
        <w:rPr>
          <w:rFonts w:hint="eastAsia" w:ascii="宋体" w:hAnsi="宋体" w:eastAsia="宋体" w:cs="宋体"/>
          <w:sz w:val="24"/>
          <w:szCs w:val="24"/>
        </w:rPr>
      </w:pPr>
    </w:p>
    <w:p>
      <w:pPr>
        <w:pStyle w:val="15"/>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供应商基本情况表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供应商：(公章)____________________</w:t>
      </w:r>
    </w:p>
    <w:tbl>
      <w:tblPr>
        <w:tblStyle w:val="2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080"/>
        <w:gridCol w:w="900"/>
        <w:gridCol w:w="180"/>
        <w:gridCol w:w="720"/>
        <w:gridCol w:w="360"/>
        <w:gridCol w:w="900"/>
        <w:gridCol w:w="180"/>
        <w:gridCol w:w="90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80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sz w:val="24"/>
                <w:szCs w:val="24"/>
              </w:rPr>
              <w:t>供应商</w:t>
            </w:r>
            <w:r>
              <w:rPr>
                <w:rFonts w:hint="eastAsia" w:ascii="宋体" w:hAnsi="宋体" w:eastAsia="宋体" w:cs="宋体"/>
                <w:kern w:val="2"/>
                <w:sz w:val="24"/>
                <w:szCs w:val="24"/>
              </w:rPr>
              <w:t>名称</w:t>
            </w:r>
          </w:p>
        </w:tc>
        <w:tc>
          <w:tcPr>
            <w:tcW w:w="2880" w:type="dxa"/>
            <w:gridSpan w:val="4"/>
            <w:vAlign w:val="center"/>
          </w:tcPr>
          <w:p>
            <w:pPr>
              <w:widowControl w:val="0"/>
              <w:spacing w:line="520" w:lineRule="exact"/>
              <w:jc w:val="both"/>
              <w:rPr>
                <w:rFonts w:hint="eastAsia" w:ascii="宋体" w:hAnsi="宋体" w:eastAsia="宋体" w:cs="宋体"/>
                <w:kern w:val="2"/>
                <w:sz w:val="24"/>
                <w:szCs w:val="24"/>
              </w:rPr>
            </w:pPr>
          </w:p>
        </w:tc>
        <w:tc>
          <w:tcPr>
            <w:tcW w:w="1440" w:type="dxa"/>
            <w:gridSpan w:val="3"/>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法人类型</w:t>
            </w:r>
          </w:p>
        </w:tc>
        <w:tc>
          <w:tcPr>
            <w:tcW w:w="2880" w:type="dxa"/>
            <w:gridSpan w:val="3"/>
            <w:vAlign w:val="center"/>
          </w:tcPr>
          <w:p>
            <w:pPr>
              <w:widowControl w:val="0"/>
              <w:spacing w:line="520" w:lineRule="exact"/>
              <w:jc w:val="both"/>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80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地    址</w:t>
            </w:r>
          </w:p>
        </w:tc>
        <w:tc>
          <w:tcPr>
            <w:tcW w:w="2880" w:type="dxa"/>
            <w:gridSpan w:val="4"/>
            <w:vAlign w:val="center"/>
          </w:tcPr>
          <w:p>
            <w:pPr>
              <w:widowControl w:val="0"/>
              <w:spacing w:line="520" w:lineRule="exact"/>
              <w:jc w:val="both"/>
              <w:rPr>
                <w:rFonts w:hint="eastAsia" w:ascii="宋体" w:hAnsi="宋体" w:eastAsia="宋体" w:cs="宋体"/>
                <w:kern w:val="2"/>
                <w:sz w:val="24"/>
                <w:szCs w:val="24"/>
              </w:rPr>
            </w:pPr>
          </w:p>
        </w:tc>
        <w:tc>
          <w:tcPr>
            <w:tcW w:w="1440" w:type="dxa"/>
            <w:gridSpan w:val="3"/>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联系电话</w:t>
            </w:r>
          </w:p>
        </w:tc>
        <w:tc>
          <w:tcPr>
            <w:tcW w:w="2880" w:type="dxa"/>
            <w:gridSpan w:val="3"/>
            <w:vAlign w:val="center"/>
          </w:tcPr>
          <w:p>
            <w:pPr>
              <w:widowControl w:val="0"/>
              <w:spacing w:line="520" w:lineRule="exact"/>
              <w:jc w:val="both"/>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80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法人组织代码</w:t>
            </w:r>
          </w:p>
        </w:tc>
        <w:tc>
          <w:tcPr>
            <w:tcW w:w="2880" w:type="dxa"/>
            <w:gridSpan w:val="4"/>
            <w:vAlign w:val="center"/>
          </w:tcPr>
          <w:p>
            <w:pPr>
              <w:widowControl w:val="0"/>
              <w:spacing w:line="520" w:lineRule="exact"/>
              <w:jc w:val="both"/>
              <w:rPr>
                <w:rFonts w:hint="eastAsia" w:ascii="宋体" w:hAnsi="宋体" w:eastAsia="宋体" w:cs="宋体"/>
                <w:kern w:val="2"/>
                <w:sz w:val="24"/>
                <w:szCs w:val="24"/>
              </w:rPr>
            </w:pPr>
          </w:p>
        </w:tc>
        <w:tc>
          <w:tcPr>
            <w:tcW w:w="1440" w:type="dxa"/>
            <w:gridSpan w:val="3"/>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设立时间</w:t>
            </w:r>
          </w:p>
        </w:tc>
        <w:tc>
          <w:tcPr>
            <w:tcW w:w="2880" w:type="dxa"/>
            <w:gridSpan w:val="3"/>
            <w:vAlign w:val="center"/>
          </w:tcPr>
          <w:p>
            <w:pPr>
              <w:widowControl w:val="0"/>
              <w:spacing w:line="520" w:lineRule="exact"/>
              <w:jc w:val="both"/>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80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法人代表/</w:t>
            </w:r>
          </w:p>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负责人姓名</w:t>
            </w:r>
          </w:p>
        </w:tc>
        <w:tc>
          <w:tcPr>
            <w:tcW w:w="1080" w:type="dxa"/>
            <w:vAlign w:val="center"/>
          </w:tcPr>
          <w:p>
            <w:pPr>
              <w:widowControl w:val="0"/>
              <w:spacing w:line="520" w:lineRule="exact"/>
              <w:jc w:val="both"/>
              <w:rPr>
                <w:rFonts w:hint="eastAsia" w:ascii="宋体" w:hAnsi="宋体" w:eastAsia="宋体" w:cs="宋体"/>
                <w:kern w:val="2"/>
                <w:sz w:val="24"/>
                <w:szCs w:val="24"/>
              </w:rPr>
            </w:pPr>
          </w:p>
        </w:tc>
        <w:tc>
          <w:tcPr>
            <w:tcW w:w="90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行政</w:t>
            </w:r>
          </w:p>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职务</w:t>
            </w:r>
          </w:p>
        </w:tc>
        <w:tc>
          <w:tcPr>
            <w:tcW w:w="900" w:type="dxa"/>
            <w:gridSpan w:val="2"/>
            <w:vAlign w:val="center"/>
          </w:tcPr>
          <w:p>
            <w:pPr>
              <w:widowControl w:val="0"/>
              <w:spacing w:line="520" w:lineRule="exact"/>
              <w:jc w:val="center"/>
              <w:rPr>
                <w:rFonts w:hint="eastAsia" w:ascii="宋体" w:hAnsi="宋体" w:eastAsia="宋体" w:cs="宋体"/>
                <w:kern w:val="2"/>
                <w:sz w:val="24"/>
                <w:szCs w:val="24"/>
              </w:rPr>
            </w:pPr>
          </w:p>
        </w:tc>
        <w:tc>
          <w:tcPr>
            <w:tcW w:w="1440" w:type="dxa"/>
            <w:gridSpan w:val="3"/>
            <w:vAlign w:val="center"/>
          </w:tcPr>
          <w:p>
            <w:pPr>
              <w:widowControl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专业技术</w:t>
            </w:r>
          </w:p>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sz w:val="24"/>
                <w:szCs w:val="24"/>
              </w:rPr>
              <w:t>职称</w:t>
            </w:r>
          </w:p>
        </w:tc>
        <w:tc>
          <w:tcPr>
            <w:tcW w:w="2880" w:type="dxa"/>
            <w:gridSpan w:val="3"/>
            <w:vAlign w:val="center"/>
          </w:tcPr>
          <w:p>
            <w:pPr>
              <w:widowControl w:val="0"/>
              <w:spacing w:line="520" w:lineRule="exact"/>
              <w:jc w:val="both"/>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800" w:type="dxa"/>
            <w:vMerge w:val="restart"/>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职工情况</w:t>
            </w:r>
          </w:p>
        </w:tc>
        <w:tc>
          <w:tcPr>
            <w:tcW w:w="108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职工</w:t>
            </w:r>
          </w:p>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人数</w:t>
            </w:r>
          </w:p>
        </w:tc>
        <w:tc>
          <w:tcPr>
            <w:tcW w:w="6120" w:type="dxa"/>
            <w:gridSpan w:val="9"/>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工程技术、经济等相关专业人员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800" w:type="dxa"/>
            <w:vMerge w:val="continue"/>
            <w:vAlign w:val="center"/>
          </w:tcPr>
          <w:p>
            <w:pPr>
              <w:widowControl w:val="0"/>
              <w:spacing w:line="520" w:lineRule="exact"/>
              <w:jc w:val="center"/>
              <w:rPr>
                <w:rFonts w:hint="eastAsia" w:ascii="宋体" w:hAnsi="宋体" w:eastAsia="宋体" w:cs="宋体"/>
                <w:kern w:val="2"/>
                <w:sz w:val="24"/>
                <w:szCs w:val="24"/>
              </w:rPr>
            </w:pPr>
          </w:p>
        </w:tc>
        <w:tc>
          <w:tcPr>
            <w:tcW w:w="1080" w:type="dxa"/>
            <w:vMerge w:val="restart"/>
            <w:vAlign w:val="center"/>
          </w:tcPr>
          <w:p>
            <w:pPr>
              <w:widowControl w:val="0"/>
              <w:spacing w:line="520" w:lineRule="exact"/>
              <w:jc w:val="both"/>
              <w:rPr>
                <w:rFonts w:hint="eastAsia" w:ascii="宋体" w:hAnsi="宋体" w:eastAsia="宋体" w:cs="宋体"/>
                <w:kern w:val="2"/>
                <w:sz w:val="24"/>
                <w:szCs w:val="24"/>
              </w:rPr>
            </w:pPr>
          </w:p>
        </w:tc>
        <w:tc>
          <w:tcPr>
            <w:tcW w:w="3060" w:type="dxa"/>
            <w:gridSpan w:val="5"/>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高级职称人员</w:t>
            </w:r>
          </w:p>
        </w:tc>
        <w:tc>
          <w:tcPr>
            <w:tcW w:w="3060" w:type="dxa"/>
            <w:gridSpan w:val="4"/>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中级职称人员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800" w:type="dxa"/>
            <w:vMerge w:val="continue"/>
            <w:vAlign w:val="center"/>
          </w:tcPr>
          <w:p>
            <w:pPr>
              <w:widowControl w:val="0"/>
              <w:spacing w:line="520" w:lineRule="exact"/>
              <w:jc w:val="center"/>
              <w:rPr>
                <w:rFonts w:hint="eastAsia" w:ascii="宋体" w:hAnsi="宋体" w:eastAsia="宋体" w:cs="宋体"/>
                <w:kern w:val="2"/>
                <w:sz w:val="24"/>
                <w:szCs w:val="24"/>
              </w:rPr>
            </w:pPr>
          </w:p>
        </w:tc>
        <w:tc>
          <w:tcPr>
            <w:tcW w:w="1080" w:type="dxa"/>
            <w:vMerge w:val="continue"/>
            <w:vAlign w:val="center"/>
          </w:tcPr>
          <w:p>
            <w:pPr>
              <w:widowControl w:val="0"/>
              <w:spacing w:line="520" w:lineRule="exact"/>
              <w:jc w:val="both"/>
              <w:rPr>
                <w:rFonts w:hint="eastAsia" w:ascii="宋体" w:hAnsi="宋体" w:eastAsia="宋体" w:cs="宋体"/>
                <w:kern w:val="2"/>
                <w:sz w:val="24"/>
                <w:szCs w:val="24"/>
              </w:rPr>
            </w:pPr>
          </w:p>
        </w:tc>
        <w:tc>
          <w:tcPr>
            <w:tcW w:w="1080" w:type="dxa"/>
            <w:gridSpan w:val="2"/>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工程技术类</w:t>
            </w:r>
          </w:p>
        </w:tc>
        <w:tc>
          <w:tcPr>
            <w:tcW w:w="1080" w:type="dxa"/>
            <w:gridSpan w:val="2"/>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经济类</w:t>
            </w:r>
          </w:p>
        </w:tc>
        <w:tc>
          <w:tcPr>
            <w:tcW w:w="90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其他</w:t>
            </w:r>
          </w:p>
        </w:tc>
        <w:tc>
          <w:tcPr>
            <w:tcW w:w="1080" w:type="dxa"/>
            <w:gridSpan w:val="2"/>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工程技术类</w:t>
            </w:r>
          </w:p>
        </w:tc>
        <w:tc>
          <w:tcPr>
            <w:tcW w:w="108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经济类</w:t>
            </w:r>
          </w:p>
        </w:tc>
        <w:tc>
          <w:tcPr>
            <w:tcW w:w="900" w:type="dxa"/>
            <w:vAlign w:val="center"/>
          </w:tcPr>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800" w:type="dxa"/>
            <w:vMerge w:val="continue"/>
            <w:vAlign w:val="center"/>
          </w:tcPr>
          <w:p>
            <w:pPr>
              <w:widowControl w:val="0"/>
              <w:spacing w:line="520" w:lineRule="exact"/>
              <w:jc w:val="center"/>
              <w:rPr>
                <w:rFonts w:hint="eastAsia" w:ascii="宋体" w:hAnsi="宋体" w:eastAsia="宋体" w:cs="宋体"/>
                <w:kern w:val="2"/>
                <w:sz w:val="24"/>
                <w:szCs w:val="24"/>
              </w:rPr>
            </w:pPr>
          </w:p>
        </w:tc>
        <w:tc>
          <w:tcPr>
            <w:tcW w:w="1080" w:type="dxa"/>
            <w:vMerge w:val="continue"/>
            <w:vAlign w:val="center"/>
          </w:tcPr>
          <w:p>
            <w:pPr>
              <w:widowControl w:val="0"/>
              <w:spacing w:line="520" w:lineRule="exact"/>
              <w:jc w:val="both"/>
              <w:rPr>
                <w:rFonts w:hint="eastAsia" w:ascii="宋体" w:hAnsi="宋体" w:eastAsia="宋体" w:cs="宋体"/>
                <w:kern w:val="2"/>
                <w:sz w:val="24"/>
                <w:szCs w:val="24"/>
              </w:rPr>
            </w:pPr>
          </w:p>
        </w:tc>
        <w:tc>
          <w:tcPr>
            <w:tcW w:w="1080" w:type="dxa"/>
            <w:gridSpan w:val="2"/>
            <w:vAlign w:val="center"/>
          </w:tcPr>
          <w:p>
            <w:pPr>
              <w:widowControl w:val="0"/>
              <w:spacing w:line="520" w:lineRule="exact"/>
              <w:jc w:val="center"/>
              <w:rPr>
                <w:rFonts w:hint="eastAsia" w:ascii="宋体" w:hAnsi="宋体" w:eastAsia="宋体" w:cs="宋体"/>
                <w:kern w:val="2"/>
                <w:sz w:val="24"/>
                <w:szCs w:val="24"/>
              </w:rPr>
            </w:pPr>
          </w:p>
        </w:tc>
        <w:tc>
          <w:tcPr>
            <w:tcW w:w="1080" w:type="dxa"/>
            <w:gridSpan w:val="2"/>
            <w:vAlign w:val="center"/>
          </w:tcPr>
          <w:p>
            <w:pPr>
              <w:widowControl w:val="0"/>
              <w:spacing w:line="520" w:lineRule="exact"/>
              <w:jc w:val="center"/>
              <w:rPr>
                <w:rFonts w:hint="eastAsia" w:ascii="宋体" w:hAnsi="宋体" w:eastAsia="宋体" w:cs="宋体"/>
                <w:kern w:val="2"/>
                <w:sz w:val="24"/>
                <w:szCs w:val="24"/>
              </w:rPr>
            </w:pPr>
          </w:p>
        </w:tc>
        <w:tc>
          <w:tcPr>
            <w:tcW w:w="900" w:type="dxa"/>
            <w:vAlign w:val="center"/>
          </w:tcPr>
          <w:p>
            <w:pPr>
              <w:widowControl w:val="0"/>
              <w:spacing w:line="520" w:lineRule="exact"/>
              <w:jc w:val="center"/>
              <w:rPr>
                <w:rFonts w:hint="eastAsia" w:ascii="宋体" w:hAnsi="宋体" w:eastAsia="宋体" w:cs="宋体"/>
                <w:kern w:val="2"/>
                <w:sz w:val="24"/>
                <w:szCs w:val="24"/>
              </w:rPr>
            </w:pPr>
          </w:p>
        </w:tc>
        <w:tc>
          <w:tcPr>
            <w:tcW w:w="1080" w:type="dxa"/>
            <w:gridSpan w:val="2"/>
            <w:vAlign w:val="center"/>
          </w:tcPr>
          <w:p>
            <w:pPr>
              <w:widowControl w:val="0"/>
              <w:spacing w:line="520" w:lineRule="exact"/>
              <w:jc w:val="both"/>
              <w:rPr>
                <w:rFonts w:hint="eastAsia" w:ascii="宋体" w:hAnsi="宋体" w:eastAsia="宋体" w:cs="宋体"/>
                <w:kern w:val="2"/>
                <w:sz w:val="24"/>
                <w:szCs w:val="24"/>
              </w:rPr>
            </w:pPr>
          </w:p>
        </w:tc>
        <w:tc>
          <w:tcPr>
            <w:tcW w:w="1080" w:type="dxa"/>
            <w:vAlign w:val="center"/>
          </w:tcPr>
          <w:p>
            <w:pPr>
              <w:widowControl w:val="0"/>
              <w:spacing w:line="520" w:lineRule="exact"/>
              <w:jc w:val="both"/>
              <w:rPr>
                <w:rFonts w:hint="eastAsia" w:ascii="宋体" w:hAnsi="宋体" w:eastAsia="宋体" w:cs="宋体"/>
                <w:kern w:val="2"/>
                <w:sz w:val="24"/>
                <w:szCs w:val="24"/>
              </w:rPr>
            </w:pPr>
          </w:p>
        </w:tc>
        <w:tc>
          <w:tcPr>
            <w:tcW w:w="900" w:type="dxa"/>
            <w:vAlign w:val="center"/>
          </w:tcPr>
          <w:p>
            <w:pPr>
              <w:widowControl w:val="0"/>
              <w:spacing w:line="520" w:lineRule="exact"/>
              <w:jc w:val="both"/>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00" w:type="dxa"/>
            <w:vAlign w:val="center"/>
          </w:tcPr>
          <w:p>
            <w:pPr>
              <w:widowControl w:val="0"/>
              <w:spacing w:line="520" w:lineRule="exact"/>
              <w:ind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rPr>
              <w:t>科研设施及</w:t>
            </w:r>
          </w:p>
          <w:p>
            <w:pPr>
              <w:widowControl w:val="0"/>
              <w:spacing w:line="52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装备情况</w:t>
            </w:r>
          </w:p>
        </w:tc>
        <w:tc>
          <w:tcPr>
            <w:tcW w:w="7200" w:type="dxa"/>
            <w:gridSpan w:val="10"/>
          </w:tcPr>
          <w:p>
            <w:pPr>
              <w:rPr>
                <w:rFonts w:hint="eastAsia" w:ascii="宋体" w:hAnsi="宋体" w:eastAsia="宋体" w:cs="宋体"/>
                <w:sz w:val="24"/>
                <w:szCs w:val="24"/>
              </w:rPr>
            </w:pPr>
          </w:p>
        </w:tc>
      </w:tr>
    </w:tbl>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附件5－2－1　法人或者其他组织的营业执照副本复印件或自然人的身份证明复印件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(示例略)</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附件5－2－2　财务状况报告、依法缴纳税收和社会保障资金的相关证明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(示例略)</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备注：1.提供2020年度</w:t>
      </w:r>
      <w:r>
        <w:rPr>
          <w:rFonts w:hint="eastAsia" w:hAnsi="宋体" w:cs="宋体"/>
          <w:sz w:val="24"/>
          <w:szCs w:val="24"/>
          <w:lang w:val="en-US" w:eastAsia="zh-CN"/>
        </w:rPr>
        <w:t>或2021年度</w:t>
      </w:r>
      <w:r>
        <w:rPr>
          <w:rFonts w:hint="eastAsia" w:ascii="宋体" w:hAnsi="宋体" w:eastAsia="宋体" w:cs="宋体"/>
          <w:sz w:val="24"/>
          <w:szCs w:val="24"/>
        </w:rPr>
        <w:t>财务状况报告，包括资产负债表、损益表等复印件。(如供应商为新成立公司的，应提供于公司成立之日后的财务报表)</w:t>
      </w:r>
    </w:p>
    <w:p>
      <w:pPr>
        <w:pStyle w:val="1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附件5－2－3　具备履行合同所必需的设备和专业技术能力的证明材料(由供应商根据项目需求提供说明材料)</w:t>
      </w:r>
    </w:p>
    <w:p>
      <w:pPr>
        <w:pStyle w:val="15"/>
        <w:spacing w:line="360" w:lineRule="auto"/>
        <w:ind w:firstLine="240" w:firstLineChars="100"/>
        <w:rPr>
          <w:rFonts w:hint="eastAsia" w:hAnsi="宋体" w:cs="宋体"/>
          <w:sz w:val="24"/>
          <w:szCs w:val="24"/>
          <w:lang w:val="en-US" w:eastAsia="zh-CN"/>
        </w:rPr>
      </w:pPr>
      <w:r>
        <w:rPr>
          <w:rFonts w:hint="eastAsia" w:hAnsi="宋体" w:cs="宋体"/>
          <w:sz w:val="24"/>
          <w:szCs w:val="24"/>
          <w:lang w:val="en-US" w:eastAsia="zh-CN"/>
        </w:rPr>
        <w:t xml:space="preserve">格式自拟 </w:t>
      </w:r>
    </w:p>
    <w:p>
      <w:pPr>
        <w:pStyle w:val="15"/>
        <w:spacing w:line="360" w:lineRule="auto"/>
        <w:ind w:firstLine="240" w:firstLineChars="100"/>
        <w:rPr>
          <w:rFonts w:hint="default" w:hAnsi="宋体" w:cs="宋体"/>
          <w:sz w:val="24"/>
          <w:szCs w:val="24"/>
          <w:lang w:val="en-US" w:eastAsia="zh-CN"/>
        </w:rPr>
      </w:pPr>
    </w:p>
    <w:p>
      <w:pPr>
        <w:pStyle w:val="15"/>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附件5－2－4</w:t>
      </w:r>
    </w:p>
    <w:p>
      <w:pPr>
        <w:pStyle w:val="15"/>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参加政府采购活动前三年内在经营活动中</w:t>
      </w:r>
    </w:p>
    <w:p>
      <w:pPr>
        <w:pStyle w:val="15"/>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没有重大违法记录的书面声明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我单位在参加采购活动前三年内在经营活动中没有《政府采购法》第二十二条第一款第(五)项所称重大违法记录，包括：</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我单位或者其法定代表人、董事、监事、高级管理人员未因经营活动中的违法行为受到刑事处罚或者责令停产停业、吊销许可证或者执照、较大数额罚款等行政处罚。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法定代表人或其授权代表(签字或盖章)：____________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spacing w:line="360" w:lineRule="auto"/>
        <w:ind w:firstLine="420" w:firstLineChars="200"/>
        <w:rPr>
          <w:rFonts w:hint="eastAsia" w:ascii="宋体" w:hAnsi="宋体" w:eastAsia="宋体" w:cs="宋体"/>
        </w:rPr>
      </w:pPr>
    </w:p>
    <w:p>
      <w:pPr>
        <w:pStyle w:val="15"/>
        <w:spacing w:line="360" w:lineRule="auto"/>
        <w:ind w:firstLine="420" w:firstLineChars="200"/>
        <w:rPr>
          <w:rFonts w:hint="eastAsia" w:ascii="宋体" w:hAnsi="宋体" w:eastAsia="宋体" w:cs="宋体"/>
          <w:color w:val="FF0000"/>
          <w:sz w:val="24"/>
          <w:szCs w:val="24"/>
        </w:rPr>
      </w:pPr>
      <w:r>
        <w:rPr>
          <w:rFonts w:hint="eastAsia" w:ascii="宋体" w:hAnsi="宋体" w:eastAsia="宋体" w:cs="宋体"/>
        </w:rPr>
        <w:br w:type="page"/>
      </w:r>
    </w:p>
    <w:p>
      <w:pPr>
        <w:pStyle w:val="15"/>
        <w:ind w:firstLine="480" w:firstLineChars="200"/>
        <w:rPr>
          <w:rFonts w:hint="eastAsia" w:ascii="宋体" w:hAnsi="宋体" w:eastAsia="宋体" w:cs="宋体"/>
          <w:sz w:val="24"/>
          <w:szCs w:val="24"/>
        </w:rPr>
      </w:pPr>
      <w:r>
        <w:rPr>
          <w:rFonts w:hint="eastAsia" w:ascii="宋体" w:hAnsi="宋体" w:eastAsia="宋体" w:cs="宋体"/>
          <w:sz w:val="24"/>
          <w:szCs w:val="24"/>
        </w:rPr>
        <w:t>六、</w:t>
      </w:r>
    </w:p>
    <w:p>
      <w:pPr>
        <w:pStyle w:val="15"/>
        <w:ind w:firstLine="420" w:firstLineChars="200"/>
        <w:rPr>
          <w:rFonts w:hint="eastAsia" w:ascii="宋体" w:hAnsi="宋体" w:eastAsia="宋体" w:cs="宋体"/>
        </w:rPr>
      </w:pPr>
    </w:p>
    <w:p>
      <w:pPr>
        <w:pStyle w:val="15"/>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1.（标的名称），属于（采购文件中明确的所属行业）；承建（承接）企业为（企业名称），从业人员  人，营业收入为  万元，资产总额为  万元</w:t>
      </w:r>
      <w:r>
        <w:rPr>
          <w:rFonts w:hint="eastAsia" w:ascii="宋体" w:hAnsi="宋体" w:eastAsia="宋体" w:cs="宋体"/>
          <w:color w:val="auto"/>
          <w:sz w:val="24"/>
          <w:szCs w:val="24"/>
          <w:highlight w:val="none"/>
        </w:rPr>
        <w:footnoteReference w:id="0"/>
      </w:r>
      <w:r>
        <w:rPr>
          <w:rFonts w:hint="eastAsia" w:ascii="宋体" w:hAnsi="宋体" w:eastAsia="宋体" w:cs="宋体"/>
          <w:color w:val="auto"/>
          <w:sz w:val="24"/>
          <w:szCs w:val="24"/>
          <w:highlight w:val="none"/>
        </w:rPr>
        <w:t>，属于（中型企业、小型企业、微型企业）；</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（标的名称），属于（采购文件中明确的所属行业）；承建（承接）企业为（企业名称），从业人员  人，营业收入为  万元，资产总额为  万元，属于（中型企业、小型企业、微型企业）；</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pPr>
        <w:pStyle w:val="15"/>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br w:type="page"/>
      </w:r>
    </w:p>
    <w:p>
      <w:pPr>
        <w:tabs>
          <w:tab w:val="left" w:pos="3777"/>
          <w:tab w:val="center" w:pos="4819"/>
        </w:tabs>
        <w:spacing w:line="360" w:lineRule="auto"/>
        <w:ind w:firstLine="600" w:firstLineChars="250"/>
        <w:jc w:val="both"/>
        <w:rPr>
          <w:rFonts w:hint="eastAsia" w:ascii="宋体" w:hAnsi="宋体" w:eastAsia="宋体" w:cs="宋体"/>
          <w:sz w:val="24"/>
        </w:rPr>
      </w:pPr>
      <w:r>
        <w:rPr>
          <w:rFonts w:hint="eastAsia" w:ascii="宋体" w:hAnsi="宋体" w:eastAsia="宋体" w:cs="宋体"/>
          <w:sz w:val="24"/>
        </w:rPr>
        <w:t>附件6－2</w:t>
      </w:r>
    </w:p>
    <w:p>
      <w:pPr>
        <w:tabs>
          <w:tab w:val="left" w:pos="3777"/>
          <w:tab w:val="center" w:pos="4819"/>
        </w:tabs>
        <w:spacing w:line="360" w:lineRule="auto"/>
        <w:ind w:firstLine="3337" w:firstLineChars="1385"/>
        <w:rPr>
          <w:rFonts w:hint="eastAsia" w:ascii="宋体" w:hAnsi="宋体" w:eastAsia="宋体" w:cs="宋体"/>
          <w:b/>
          <w:sz w:val="24"/>
          <w:szCs w:val="24"/>
        </w:rPr>
      </w:pPr>
      <w:r>
        <w:rPr>
          <w:rFonts w:hint="eastAsia" w:ascii="宋体" w:hAnsi="宋体" w:eastAsia="宋体" w:cs="宋体"/>
          <w:b/>
          <w:sz w:val="24"/>
          <w:szCs w:val="24"/>
        </w:rPr>
        <w:t>监狱企业声明函</w:t>
      </w:r>
    </w:p>
    <w:p>
      <w:pPr>
        <w:spacing w:line="360" w:lineRule="auto"/>
        <w:jc w:val="center"/>
        <w:rPr>
          <w:rFonts w:hint="eastAsia" w:ascii="宋体" w:hAnsi="宋体" w:eastAsia="宋体" w:cs="宋体"/>
          <w:sz w:val="24"/>
        </w:rPr>
      </w:pPr>
      <w:r>
        <w:rPr>
          <w:rFonts w:hint="eastAsia" w:ascii="宋体" w:hAnsi="宋体" w:eastAsia="宋体" w:cs="宋体"/>
          <w:sz w:val="24"/>
        </w:rPr>
        <w:t>（监狱企业适用）</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本公司郑重声明，根据《关于政府采购支持监狱企业发展有关问题的通知》（财库[2014]68号）的规定，本公司为监狱企业。</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本公司参加______单位的______项目采购活动，采购活动提供本企业（填写制造的货物，由本企业承担工程、提供服务）。</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本条所称货物不包括使用大型企业注册商标的货物和服务。</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spacing w:line="360" w:lineRule="auto"/>
        <w:ind w:firstLine="4860" w:firstLineChars="2025"/>
        <w:rPr>
          <w:rFonts w:hint="eastAsia" w:ascii="宋体" w:hAnsi="宋体" w:eastAsia="宋体" w:cs="宋体"/>
          <w:sz w:val="24"/>
        </w:rPr>
      </w:pPr>
    </w:p>
    <w:p>
      <w:pPr>
        <w:pStyle w:val="15"/>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供应商名称(公章)：____________</w:t>
      </w:r>
    </w:p>
    <w:p>
      <w:pPr>
        <w:pStyle w:val="15"/>
        <w:spacing w:line="360" w:lineRule="auto"/>
        <w:ind w:firstLine="5160" w:firstLineChars="2150"/>
        <w:rPr>
          <w:rFonts w:hint="eastAsia" w:ascii="宋体" w:hAnsi="宋体" w:eastAsia="宋体" w:cs="宋体"/>
          <w:sz w:val="24"/>
          <w:szCs w:val="24"/>
        </w:rPr>
      </w:pPr>
      <w:r>
        <w:rPr>
          <w:rFonts w:hint="eastAsia" w:ascii="宋体" w:hAnsi="宋体" w:eastAsia="宋体" w:cs="宋体"/>
          <w:sz w:val="24"/>
          <w:szCs w:val="24"/>
        </w:rPr>
        <w:t>日期：____________________</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22" w:firstLineChars="200"/>
        <w:rPr>
          <w:rFonts w:hint="eastAsia" w:ascii="宋体" w:hAnsi="宋体" w:eastAsia="宋体" w:cs="宋体"/>
          <w:b/>
          <w:sz w:val="24"/>
          <w:szCs w:val="24"/>
        </w:rPr>
      </w:pPr>
      <w:r>
        <w:rPr>
          <w:rFonts w:hint="eastAsia" w:ascii="宋体" w:hAnsi="宋体" w:eastAsia="宋体" w:cs="宋体"/>
          <w:b/>
        </w:rPr>
        <w:t>应当提供由省级以上监狱管理局、戒毒管理局（含新疆生产建设兵团）出具的属于监狱企业的证明文件。</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tabs>
          <w:tab w:val="left" w:pos="3777"/>
          <w:tab w:val="center" w:pos="4819"/>
        </w:tabs>
        <w:spacing w:line="360" w:lineRule="auto"/>
        <w:ind w:firstLine="3337" w:firstLineChars="1385"/>
        <w:rPr>
          <w:rFonts w:hint="eastAsia" w:ascii="宋体" w:hAnsi="宋体" w:eastAsia="宋体" w:cs="宋体"/>
          <w:b/>
          <w:spacing w:val="6"/>
          <w:sz w:val="32"/>
          <w:szCs w:val="32"/>
        </w:rPr>
      </w:pPr>
      <w:bookmarkStart w:id="29" w:name="OLE_LINK14"/>
      <w:bookmarkStart w:id="30" w:name="OLE_LINK13"/>
      <w:r>
        <w:rPr>
          <w:rFonts w:hint="eastAsia" w:ascii="宋体" w:hAnsi="宋体" w:eastAsia="宋体" w:cs="宋体"/>
          <w:b/>
          <w:sz w:val="24"/>
          <w:szCs w:val="24"/>
        </w:rPr>
        <w:t>残疾人福利性单位声明函</w:t>
      </w:r>
    </w:p>
    <w:bookmarkEnd w:id="29"/>
    <w:bookmarkEnd w:id="30"/>
    <w:p>
      <w:pPr>
        <w:spacing w:line="588" w:lineRule="exact"/>
        <w:jc w:val="center"/>
        <w:rPr>
          <w:rFonts w:hint="eastAsia" w:ascii="宋体" w:hAnsi="宋体" w:eastAsia="宋体" w:cs="宋体"/>
          <w:b/>
          <w:spacing w:val="6"/>
          <w:sz w:val="30"/>
          <w:szCs w:val="30"/>
        </w:rPr>
      </w:pPr>
      <w:r>
        <w:rPr>
          <w:rFonts w:hint="eastAsia" w:ascii="宋体" w:hAnsi="宋体" w:eastAsia="宋体" w:cs="宋体"/>
          <w:sz w:val="24"/>
        </w:rPr>
        <w:t>（残疾人福利性单位适用）</w:t>
      </w:r>
    </w:p>
    <w:p>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5"/>
        <w:spacing w:line="360" w:lineRule="auto"/>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本单位对上述声明的真实性负责。如有虚假，将依法承担相应责任。</w:t>
      </w:r>
    </w:p>
    <w:p>
      <w:pPr>
        <w:pStyle w:val="15"/>
        <w:spacing w:line="360" w:lineRule="auto"/>
        <w:ind w:firstLine="480" w:firstLineChars="200"/>
        <w:rPr>
          <w:rFonts w:hint="eastAsia" w:ascii="宋体" w:hAnsi="宋体" w:eastAsia="宋体" w:cs="宋体"/>
          <w:kern w:val="0"/>
          <w:sz w:val="24"/>
          <w:szCs w:val="20"/>
        </w:rPr>
      </w:pPr>
    </w:p>
    <w:p>
      <w:pPr>
        <w:pStyle w:val="15"/>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供应商名称(公章)：____________</w:t>
      </w:r>
    </w:p>
    <w:p>
      <w:pPr>
        <w:pStyle w:val="15"/>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日期：____________________</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七、服务方案</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供应商应根据第六章规定编写服务方案。服务方案说明包括但不限于：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(1)服务目标、范围和任务；</w:t>
      </w:r>
    </w:p>
    <w:p>
      <w:pPr>
        <w:pStyle w:val="15"/>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(2)服务团队组织安排计划；</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(3)工作流程；</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(4)进度计划及保证措施；</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(5)质量保证措施；</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(6)合理化建议；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(7)其他。</w:t>
      </w:r>
    </w:p>
    <w:p>
      <w:pPr>
        <w:pStyle w:val="15"/>
        <w:ind w:firstLine="420" w:firstLineChars="200"/>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20" w:firstLineChars="200"/>
        <w:jc w:val="center"/>
        <w:rPr>
          <w:rFonts w:hint="eastAsia" w:ascii="宋体" w:hAnsi="宋体" w:eastAsia="宋体" w:cs="宋体"/>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八、技术响应与偏离表</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技术响应与偏离表</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项目名称：</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项目编号：</w:t>
      </w:r>
    </w:p>
    <w:tbl>
      <w:tblPr>
        <w:tblStyle w:val="24"/>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038"/>
        <w:gridCol w:w="1656"/>
        <w:gridCol w:w="165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　序号</w:t>
            </w:r>
          </w:p>
        </w:tc>
        <w:tc>
          <w:tcPr>
            <w:tcW w:w="2038"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磋商文件条目号</w:t>
            </w:r>
          </w:p>
        </w:tc>
        <w:tc>
          <w:tcPr>
            <w:tcW w:w="165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磋商文件要求</w:t>
            </w:r>
          </w:p>
        </w:tc>
        <w:tc>
          <w:tcPr>
            <w:tcW w:w="165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响应文件应答</w:t>
            </w:r>
          </w:p>
        </w:tc>
        <w:tc>
          <w:tcPr>
            <w:tcW w:w="81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816" w:type="dxa"/>
            <w:vAlign w:val="center"/>
          </w:tcPr>
          <w:p>
            <w:pPr>
              <w:pStyle w:val="15"/>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5"/>
              <w:spacing w:line="360" w:lineRule="auto"/>
              <w:jc w:val="center"/>
              <w:rPr>
                <w:rFonts w:hint="eastAsia" w:ascii="宋体" w:hAnsi="宋体" w:eastAsia="宋体" w:cs="宋体"/>
                <w:sz w:val="24"/>
                <w:szCs w:val="24"/>
              </w:rPr>
            </w:pPr>
          </w:p>
        </w:tc>
        <w:tc>
          <w:tcPr>
            <w:tcW w:w="2038"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5"/>
              <w:spacing w:line="360" w:lineRule="auto"/>
              <w:jc w:val="center"/>
              <w:rPr>
                <w:rFonts w:hint="eastAsia" w:ascii="宋体" w:hAnsi="宋体" w:eastAsia="宋体" w:cs="宋体"/>
                <w:sz w:val="24"/>
                <w:szCs w:val="24"/>
              </w:rPr>
            </w:pPr>
          </w:p>
        </w:tc>
        <w:tc>
          <w:tcPr>
            <w:tcW w:w="2038"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5"/>
              <w:spacing w:line="360" w:lineRule="auto"/>
              <w:jc w:val="center"/>
              <w:rPr>
                <w:rFonts w:hint="eastAsia" w:ascii="宋体" w:hAnsi="宋体" w:eastAsia="宋体" w:cs="宋体"/>
                <w:sz w:val="24"/>
                <w:szCs w:val="24"/>
              </w:rPr>
            </w:pPr>
          </w:p>
        </w:tc>
        <w:tc>
          <w:tcPr>
            <w:tcW w:w="2038"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5"/>
              <w:spacing w:line="360" w:lineRule="auto"/>
              <w:jc w:val="center"/>
              <w:rPr>
                <w:rFonts w:hint="eastAsia" w:ascii="宋体" w:hAnsi="宋体" w:eastAsia="宋体" w:cs="宋体"/>
                <w:sz w:val="24"/>
                <w:szCs w:val="24"/>
              </w:rPr>
            </w:pPr>
          </w:p>
        </w:tc>
        <w:tc>
          <w:tcPr>
            <w:tcW w:w="2038"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5"/>
              <w:spacing w:line="360" w:lineRule="auto"/>
              <w:jc w:val="center"/>
              <w:rPr>
                <w:rFonts w:hint="eastAsia" w:ascii="宋体" w:hAnsi="宋体" w:eastAsia="宋体" w:cs="宋体"/>
                <w:sz w:val="24"/>
                <w:szCs w:val="24"/>
              </w:rPr>
            </w:pPr>
          </w:p>
        </w:tc>
        <w:tc>
          <w:tcPr>
            <w:tcW w:w="2038"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165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c>
          <w:tcPr>
            <w:tcW w:w="816" w:type="dxa"/>
            <w:vAlign w:val="center"/>
          </w:tcPr>
          <w:p>
            <w:pPr>
              <w:pStyle w:val="15"/>
              <w:spacing w:line="360" w:lineRule="auto"/>
              <w:jc w:val="center"/>
              <w:rPr>
                <w:rFonts w:hint="eastAsia" w:ascii="宋体" w:hAnsi="宋体" w:eastAsia="宋体" w:cs="宋体"/>
                <w:sz w:val="24"/>
                <w:szCs w:val="24"/>
              </w:rPr>
            </w:pPr>
          </w:p>
        </w:tc>
      </w:tr>
    </w:tbl>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说明：在偏离项必须注明正偏离、负偏离或无偏离。</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法定代表人或其授权代表(签字或盖章)：____________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spacing w:line="360" w:lineRule="auto"/>
        <w:ind w:firstLine="480" w:firstLineChars="200"/>
        <w:jc w:val="center"/>
        <w:rPr>
          <w:rFonts w:hint="eastAsia" w:ascii="宋体" w:hAnsi="宋体" w:eastAsia="宋体" w:cs="宋体"/>
          <w:sz w:val="24"/>
          <w:szCs w:val="24"/>
        </w:rPr>
      </w:pPr>
    </w:p>
    <w:p>
      <w:pPr>
        <w:pStyle w:val="15"/>
        <w:spacing w:line="360" w:lineRule="auto"/>
        <w:ind w:firstLine="480" w:firstLineChars="200"/>
        <w:jc w:val="center"/>
        <w:rPr>
          <w:rFonts w:hint="eastAsia" w:ascii="宋体" w:hAnsi="宋体" w:eastAsia="宋体" w:cs="宋体"/>
          <w:sz w:val="24"/>
          <w:szCs w:val="24"/>
        </w:rPr>
      </w:pPr>
    </w:p>
    <w:p>
      <w:pPr>
        <w:pStyle w:val="15"/>
        <w:spacing w:line="360" w:lineRule="auto"/>
        <w:ind w:firstLine="480" w:firstLineChars="200"/>
        <w:jc w:val="center"/>
        <w:rPr>
          <w:rFonts w:hint="eastAsia" w:ascii="宋体" w:hAnsi="宋体" w:eastAsia="宋体" w:cs="宋体"/>
          <w:sz w:val="24"/>
          <w:szCs w:val="24"/>
        </w:rPr>
      </w:pPr>
    </w:p>
    <w:p>
      <w:pPr>
        <w:pStyle w:val="15"/>
        <w:spacing w:line="360" w:lineRule="auto"/>
        <w:ind w:firstLine="480" w:firstLineChars="200"/>
        <w:jc w:val="center"/>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rPr>
          <w:rFonts w:hint="eastAsia" w:ascii="宋体" w:hAnsi="宋体" w:eastAsia="宋体" w:cs="宋体"/>
          <w:sz w:val="24"/>
          <w:szCs w:val="24"/>
        </w:rPr>
      </w:pPr>
    </w:p>
    <w:p>
      <w:pPr>
        <w:pStyle w:val="15"/>
        <w:spacing w:line="360" w:lineRule="auto"/>
        <w:rPr>
          <w:rFonts w:hint="eastAsia" w:ascii="宋体" w:hAnsi="宋体" w:eastAsia="宋体" w:cs="宋体"/>
          <w:sz w:val="24"/>
          <w:szCs w:val="24"/>
        </w:rPr>
      </w:pPr>
      <w:r>
        <w:rPr>
          <w:rFonts w:hint="eastAsia" w:ascii="宋体" w:hAnsi="宋体" w:eastAsia="宋体" w:cs="宋体"/>
          <w:sz w:val="24"/>
          <w:szCs w:val="24"/>
        </w:rPr>
        <w:t>九、用于本项目人员简历表</w:t>
      </w:r>
    </w:p>
    <w:tbl>
      <w:tblPr>
        <w:tblStyle w:val="2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07"/>
        <w:gridCol w:w="1452"/>
        <w:gridCol w:w="709"/>
        <w:gridCol w:w="709"/>
        <w:gridCol w:w="141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项目负责人姓名</w:t>
            </w:r>
          </w:p>
        </w:tc>
        <w:tc>
          <w:tcPr>
            <w:tcW w:w="2268" w:type="dxa"/>
            <w:gridSpan w:val="3"/>
            <w:vAlign w:val="center"/>
          </w:tcPr>
          <w:p>
            <w:pPr>
              <w:jc w:val="center"/>
              <w:rPr>
                <w:rFonts w:hint="eastAsia" w:ascii="宋体" w:hAnsi="宋体" w:eastAsia="宋体" w:cs="宋体"/>
                <w:color w:val="000000"/>
                <w:sz w:val="24"/>
                <w:szCs w:val="24"/>
              </w:rPr>
            </w:pPr>
          </w:p>
        </w:tc>
        <w:tc>
          <w:tcPr>
            <w:tcW w:w="2126"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学历</w:t>
            </w:r>
          </w:p>
        </w:tc>
        <w:tc>
          <w:tcPr>
            <w:tcW w:w="2268" w:type="dxa"/>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专业技术职称</w:t>
            </w:r>
          </w:p>
        </w:tc>
        <w:tc>
          <w:tcPr>
            <w:tcW w:w="2268" w:type="dxa"/>
            <w:gridSpan w:val="3"/>
            <w:vAlign w:val="center"/>
          </w:tcPr>
          <w:p>
            <w:pPr>
              <w:jc w:val="center"/>
              <w:rPr>
                <w:rFonts w:hint="eastAsia" w:ascii="宋体" w:hAnsi="宋体" w:eastAsia="宋体" w:cs="宋体"/>
                <w:color w:val="000000"/>
                <w:sz w:val="24"/>
                <w:szCs w:val="24"/>
              </w:rPr>
            </w:pPr>
          </w:p>
        </w:tc>
        <w:tc>
          <w:tcPr>
            <w:tcW w:w="2126"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业务专业</w:t>
            </w:r>
          </w:p>
        </w:tc>
        <w:tc>
          <w:tcPr>
            <w:tcW w:w="2268" w:type="dxa"/>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5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项目负责人</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个人业绩</w:t>
            </w:r>
          </w:p>
        </w:tc>
        <w:tc>
          <w:tcPr>
            <w:tcW w:w="6662" w:type="dxa"/>
            <w:gridSpan w:val="6"/>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13" w:type="dxa"/>
            <w:gridSpan w:val="7"/>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13" w:type="dxa"/>
            <w:gridSpan w:val="7"/>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一、本单位专业人员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58"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452"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418"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学历</w:t>
            </w:r>
          </w:p>
        </w:tc>
        <w:tc>
          <w:tcPr>
            <w:tcW w:w="14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2268"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2058"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452" w:type="dxa"/>
            <w:vAlign w:val="center"/>
          </w:tcPr>
          <w:p>
            <w:pPr>
              <w:jc w:val="center"/>
              <w:rPr>
                <w:rFonts w:hint="eastAsia" w:ascii="宋体" w:hAnsi="宋体" w:eastAsia="宋体" w:cs="宋体"/>
                <w:color w:val="000000"/>
                <w:sz w:val="24"/>
                <w:szCs w:val="24"/>
              </w:rPr>
            </w:pPr>
          </w:p>
        </w:tc>
        <w:tc>
          <w:tcPr>
            <w:tcW w:w="1418" w:type="dxa"/>
            <w:gridSpan w:val="2"/>
            <w:vAlign w:val="center"/>
          </w:tcPr>
          <w:p>
            <w:pPr>
              <w:jc w:val="center"/>
              <w:rPr>
                <w:rFonts w:hint="eastAsia" w:ascii="宋体" w:hAnsi="宋体" w:eastAsia="宋体" w:cs="宋体"/>
                <w:color w:val="000000"/>
                <w:sz w:val="24"/>
                <w:szCs w:val="24"/>
              </w:rPr>
            </w:pPr>
          </w:p>
        </w:tc>
        <w:tc>
          <w:tcPr>
            <w:tcW w:w="1417" w:type="dxa"/>
            <w:vAlign w:val="center"/>
          </w:tcPr>
          <w:p>
            <w:pPr>
              <w:jc w:val="center"/>
              <w:rPr>
                <w:rFonts w:hint="eastAsia" w:ascii="宋体" w:hAnsi="宋体" w:eastAsia="宋体" w:cs="宋体"/>
                <w:color w:val="000000"/>
                <w:sz w:val="24"/>
                <w:szCs w:val="24"/>
              </w:rPr>
            </w:pPr>
          </w:p>
        </w:tc>
        <w:tc>
          <w:tcPr>
            <w:tcW w:w="2268" w:type="dxa"/>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58"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452" w:type="dxa"/>
            <w:vAlign w:val="center"/>
          </w:tcPr>
          <w:p>
            <w:pPr>
              <w:jc w:val="center"/>
              <w:rPr>
                <w:rFonts w:hint="eastAsia" w:ascii="宋体" w:hAnsi="宋体" w:eastAsia="宋体" w:cs="宋体"/>
                <w:color w:val="000000"/>
                <w:sz w:val="24"/>
                <w:szCs w:val="24"/>
              </w:rPr>
            </w:pPr>
          </w:p>
        </w:tc>
        <w:tc>
          <w:tcPr>
            <w:tcW w:w="1418" w:type="dxa"/>
            <w:gridSpan w:val="2"/>
            <w:vAlign w:val="center"/>
          </w:tcPr>
          <w:p>
            <w:pPr>
              <w:jc w:val="center"/>
              <w:rPr>
                <w:rFonts w:hint="eastAsia" w:ascii="宋体" w:hAnsi="宋体" w:eastAsia="宋体" w:cs="宋体"/>
                <w:color w:val="000000"/>
                <w:sz w:val="24"/>
                <w:szCs w:val="24"/>
              </w:rPr>
            </w:pPr>
          </w:p>
        </w:tc>
        <w:tc>
          <w:tcPr>
            <w:tcW w:w="1417" w:type="dxa"/>
            <w:vAlign w:val="center"/>
          </w:tcPr>
          <w:p>
            <w:pPr>
              <w:jc w:val="center"/>
              <w:rPr>
                <w:rFonts w:hint="eastAsia" w:ascii="宋体" w:hAnsi="宋体" w:eastAsia="宋体" w:cs="宋体"/>
                <w:color w:val="000000"/>
                <w:sz w:val="24"/>
                <w:szCs w:val="24"/>
              </w:rPr>
            </w:pPr>
          </w:p>
        </w:tc>
        <w:tc>
          <w:tcPr>
            <w:tcW w:w="2268" w:type="dxa"/>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58"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452" w:type="dxa"/>
            <w:vAlign w:val="center"/>
          </w:tcPr>
          <w:p>
            <w:pPr>
              <w:jc w:val="center"/>
              <w:rPr>
                <w:rFonts w:hint="eastAsia" w:ascii="宋体" w:hAnsi="宋体" w:eastAsia="宋体" w:cs="宋体"/>
                <w:color w:val="000000"/>
                <w:sz w:val="24"/>
                <w:szCs w:val="24"/>
              </w:rPr>
            </w:pPr>
          </w:p>
        </w:tc>
        <w:tc>
          <w:tcPr>
            <w:tcW w:w="1418" w:type="dxa"/>
            <w:gridSpan w:val="2"/>
            <w:vAlign w:val="center"/>
          </w:tcPr>
          <w:p>
            <w:pPr>
              <w:jc w:val="center"/>
              <w:rPr>
                <w:rFonts w:hint="eastAsia" w:ascii="宋体" w:hAnsi="宋体" w:eastAsia="宋体" w:cs="宋体"/>
                <w:color w:val="000000"/>
                <w:sz w:val="24"/>
                <w:szCs w:val="24"/>
              </w:rPr>
            </w:pPr>
          </w:p>
        </w:tc>
        <w:tc>
          <w:tcPr>
            <w:tcW w:w="1417" w:type="dxa"/>
            <w:vAlign w:val="center"/>
          </w:tcPr>
          <w:p>
            <w:pPr>
              <w:jc w:val="center"/>
              <w:rPr>
                <w:rFonts w:hint="eastAsia" w:ascii="宋体" w:hAnsi="宋体" w:eastAsia="宋体" w:cs="宋体"/>
                <w:color w:val="000000"/>
                <w:sz w:val="24"/>
                <w:szCs w:val="24"/>
              </w:rPr>
            </w:pPr>
          </w:p>
        </w:tc>
        <w:tc>
          <w:tcPr>
            <w:tcW w:w="2268" w:type="dxa"/>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58"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452" w:type="dxa"/>
            <w:vAlign w:val="center"/>
          </w:tcPr>
          <w:p>
            <w:pPr>
              <w:jc w:val="center"/>
              <w:rPr>
                <w:rFonts w:hint="eastAsia" w:ascii="宋体" w:hAnsi="宋体" w:eastAsia="宋体" w:cs="宋体"/>
                <w:color w:val="000000"/>
                <w:sz w:val="24"/>
                <w:szCs w:val="24"/>
              </w:rPr>
            </w:pPr>
          </w:p>
        </w:tc>
        <w:tc>
          <w:tcPr>
            <w:tcW w:w="1418" w:type="dxa"/>
            <w:gridSpan w:val="2"/>
            <w:vAlign w:val="center"/>
          </w:tcPr>
          <w:p>
            <w:pPr>
              <w:jc w:val="center"/>
              <w:rPr>
                <w:rFonts w:hint="eastAsia" w:ascii="宋体" w:hAnsi="宋体" w:eastAsia="宋体" w:cs="宋体"/>
                <w:color w:val="000000"/>
                <w:sz w:val="24"/>
                <w:szCs w:val="24"/>
              </w:rPr>
            </w:pPr>
          </w:p>
        </w:tc>
        <w:tc>
          <w:tcPr>
            <w:tcW w:w="1417" w:type="dxa"/>
            <w:vAlign w:val="center"/>
          </w:tcPr>
          <w:p>
            <w:pPr>
              <w:jc w:val="center"/>
              <w:rPr>
                <w:rFonts w:hint="eastAsia" w:ascii="宋体" w:hAnsi="宋体" w:eastAsia="宋体" w:cs="宋体"/>
                <w:color w:val="000000"/>
                <w:sz w:val="24"/>
                <w:szCs w:val="24"/>
              </w:rPr>
            </w:pPr>
          </w:p>
        </w:tc>
        <w:tc>
          <w:tcPr>
            <w:tcW w:w="2268" w:type="dxa"/>
            <w:vAlign w:val="center"/>
          </w:tcPr>
          <w:p>
            <w:pPr>
              <w:rPr>
                <w:rFonts w:hint="eastAsia" w:ascii="宋体" w:hAnsi="宋体" w:eastAsia="宋体" w:cs="宋体"/>
                <w:color w:val="000000"/>
                <w:sz w:val="24"/>
                <w:szCs w:val="24"/>
              </w:rPr>
            </w:pPr>
          </w:p>
        </w:tc>
      </w:tr>
    </w:tbl>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color w:val="000000"/>
          <w:sz w:val="24"/>
          <w:szCs w:val="24"/>
        </w:rPr>
        <w:t>附人员身份证、学历证、职称证</w:t>
      </w:r>
      <w:r>
        <w:rPr>
          <w:rFonts w:hint="eastAsia" w:ascii="宋体" w:hAnsi="宋体" w:eastAsia="宋体" w:cs="宋体"/>
          <w:sz w:val="24"/>
          <w:szCs w:val="24"/>
        </w:rPr>
        <w:t>等相关材料复印件。</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法定代表人或其授权代表(签字或盖章)：____________</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十、供应商认为需提供的其他资料</w:t>
      </w:r>
    </w:p>
    <w:p>
      <w:pPr>
        <w:pStyle w:val="15"/>
        <w:spacing w:line="360" w:lineRule="auto"/>
        <w:ind w:firstLine="480" w:firstLineChars="200"/>
        <w:rPr>
          <w:rFonts w:hint="eastAsia" w:ascii="宋体" w:hAnsi="宋体" w:eastAsia="宋体" w:cs="宋体"/>
          <w:sz w:val="24"/>
          <w:szCs w:val="24"/>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pStyle w:val="9"/>
        <w:spacing w:line="360" w:lineRule="auto"/>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9"/>
        <w:spacing w:line="360" w:lineRule="auto"/>
        <w:jc w:val="center"/>
        <w:rPr>
          <w:rFonts w:hint="eastAsia" w:ascii="宋体" w:hAnsi="宋体" w:eastAsia="宋体" w:cs="宋体"/>
          <w:color w:val="000000"/>
        </w:rPr>
      </w:pPr>
      <w:r>
        <w:rPr>
          <w:rFonts w:hint="eastAsia" w:ascii="宋体" w:hAnsi="宋体" w:eastAsia="宋体" w:cs="宋体"/>
          <w:color w:val="000000"/>
        </w:rPr>
        <w:t>第五章　项目采购需求</w:t>
      </w:r>
    </w:p>
    <w:p>
      <w:pPr>
        <w:widowControl w:val="0"/>
        <w:spacing w:line="480" w:lineRule="exact"/>
        <w:jc w:val="both"/>
        <w:textAlignment w:val="baseline"/>
        <w:rPr>
          <w:rFonts w:ascii="宋体" w:hAnsi="宋体" w:cs="Times New Roman"/>
          <w:b/>
          <w:kern w:val="2"/>
          <w:sz w:val="24"/>
          <w:szCs w:val="24"/>
        </w:rPr>
      </w:pPr>
      <w:r>
        <w:rPr>
          <w:rFonts w:hint="eastAsia" w:ascii="宋体" w:hAnsi="宋体" w:cs="Times New Roman"/>
          <w:b/>
          <w:kern w:val="2"/>
          <w:sz w:val="24"/>
          <w:szCs w:val="24"/>
        </w:rPr>
        <w:t>1．工作要求</w:t>
      </w:r>
    </w:p>
    <w:p>
      <w:pPr>
        <w:widowControl w:val="0"/>
        <w:spacing w:line="480" w:lineRule="exact"/>
        <w:jc w:val="both"/>
        <w:textAlignment w:val="baseline"/>
        <w:rPr>
          <w:rFonts w:hint="eastAsia" w:ascii="宋体" w:hAnsi="宋体" w:eastAsia="宋体" w:cs="Times New Roman"/>
          <w:bCs/>
          <w:kern w:val="2"/>
          <w:sz w:val="24"/>
          <w:szCs w:val="24"/>
          <w:lang w:eastAsia="zh-CN"/>
        </w:rPr>
      </w:pPr>
      <w:r>
        <w:rPr>
          <w:rFonts w:hint="eastAsia" w:ascii="宋体" w:hAnsi="宋体" w:cs="Times New Roman"/>
          <w:bCs/>
          <w:kern w:val="2"/>
          <w:sz w:val="24"/>
          <w:szCs w:val="24"/>
        </w:rPr>
        <w:t>1.1</w:t>
      </w:r>
      <w:r>
        <w:rPr>
          <w:rFonts w:hint="eastAsia" w:ascii="宋体" w:hAnsi="宋体" w:cs="Times New Roman"/>
          <w:bCs/>
          <w:kern w:val="2"/>
          <w:sz w:val="24"/>
          <w:szCs w:val="24"/>
          <w:lang w:val="en-US" w:eastAsia="zh-CN"/>
        </w:rPr>
        <w:t>供应商</w:t>
      </w:r>
      <w:r>
        <w:rPr>
          <w:rFonts w:hint="eastAsia" w:ascii="宋体" w:hAnsi="宋体" w:cs="Times New Roman"/>
          <w:bCs/>
          <w:kern w:val="2"/>
          <w:sz w:val="24"/>
          <w:szCs w:val="24"/>
        </w:rPr>
        <w:t>有能力组织开展1）选址</w:t>
      </w:r>
      <w:r>
        <w:rPr>
          <w:rFonts w:hint="eastAsia" w:ascii="宋体" w:hAnsi="宋体" w:cs="Times New Roman"/>
          <w:bCs/>
          <w:kern w:val="2"/>
          <w:sz w:val="24"/>
          <w:szCs w:val="24"/>
          <w:lang w:val="en-US" w:eastAsia="zh-CN"/>
        </w:rPr>
        <w:t>报告</w:t>
      </w:r>
      <w:r>
        <w:rPr>
          <w:rFonts w:hint="eastAsia" w:ascii="宋体" w:hAnsi="宋体" w:cs="Times New Roman"/>
          <w:bCs/>
          <w:kern w:val="2"/>
          <w:sz w:val="24"/>
          <w:szCs w:val="24"/>
        </w:rPr>
        <w:t>技术咨询服务；2）编制选址阶段传统飞行程序设计和飞机性能分析报告；3）协助采购人开展军方空域协同工作；4）配合采购人参加选址报告评审会，并按照评审意见修改完善报告</w:t>
      </w:r>
      <w:r>
        <w:rPr>
          <w:rFonts w:hint="eastAsia" w:ascii="宋体" w:hAnsi="宋体" w:cs="Times New Roman"/>
          <w:bCs/>
          <w:kern w:val="2"/>
          <w:sz w:val="24"/>
          <w:szCs w:val="24"/>
          <w:lang w:eastAsia="zh-CN"/>
        </w:rPr>
        <w:t>。</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1.2</w:t>
      </w:r>
      <w:r>
        <w:rPr>
          <w:rFonts w:hint="eastAsia" w:ascii="宋体" w:hAnsi="宋体" w:cs="Times New Roman"/>
          <w:bCs/>
          <w:kern w:val="2"/>
          <w:sz w:val="24"/>
          <w:szCs w:val="24"/>
          <w:lang w:val="en-US" w:eastAsia="zh-CN"/>
        </w:rPr>
        <w:t>供应商</w:t>
      </w:r>
      <w:r>
        <w:rPr>
          <w:rFonts w:hint="eastAsia" w:ascii="宋体" w:hAnsi="宋体" w:cs="Times New Roman"/>
          <w:bCs/>
          <w:kern w:val="2"/>
          <w:sz w:val="24"/>
          <w:szCs w:val="24"/>
        </w:rPr>
        <w:t>应制定</w:t>
      </w:r>
      <w:r>
        <w:rPr>
          <w:rFonts w:hint="eastAsia" w:ascii="宋体" w:hAnsi="宋体" w:cs="Times New Roman"/>
          <w:bCs/>
          <w:kern w:val="2"/>
          <w:sz w:val="24"/>
          <w:szCs w:val="24"/>
          <w:lang w:val="en-US" w:eastAsia="zh-CN"/>
        </w:rPr>
        <w:t>科学合理的工作</w:t>
      </w:r>
      <w:r>
        <w:rPr>
          <w:rFonts w:hint="eastAsia" w:ascii="宋体" w:hAnsi="宋体" w:cs="Times New Roman"/>
          <w:bCs/>
          <w:kern w:val="2"/>
          <w:sz w:val="24"/>
          <w:szCs w:val="24"/>
        </w:rPr>
        <w:t>方案；</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1.3</w:t>
      </w:r>
      <w:r>
        <w:rPr>
          <w:rFonts w:hint="eastAsia" w:ascii="宋体" w:hAnsi="宋体" w:cs="Times New Roman"/>
          <w:bCs/>
          <w:kern w:val="2"/>
          <w:sz w:val="24"/>
          <w:szCs w:val="24"/>
          <w:lang w:val="en-US" w:eastAsia="zh-CN"/>
        </w:rPr>
        <w:t>供应商应</w:t>
      </w:r>
      <w:r>
        <w:rPr>
          <w:rFonts w:hint="eastAsia" w:ascii="宋体" w:hAnsi="宋体" w:cs="Times New Roman"/>
          <w:bCs/>
          <w:kern w:val="2"/>
          <w:sz w:val="24"/>
          <w:szCs w:val="24"/>
        </w:rPr>
        <w:t>保证在工作中无下列行为，否则承担相应责任；</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1）与项目实施企业串通，编造虚假报告；</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2）对项目的重大问题隐匿不报，严重失职；</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3）违反法律、法规的其他行为。</w:t>
      </w:r>
    </w:p>
    <w:p>
      <w:pPr>
        <w:widowControl w:val="0"/>
        <w:spacing w:line="480" w:lineRule="exact"/>
        <w:jc w:val="both"/>
        <w:textAlignment w:val="baseline"/>
        <w:rPr>
          <w:rFonts w:ascii="宋体" w:hAnsi="宋体" w:cs="Times New Roman"/>
          <w:b/>
          <w:bCs w:val="0"/>
          <w:kern w:val="2"/>
          <w:sz w:val="24"/>
          <w:szCs w:val="24"/>
        </w:rPr>
      </w:pPr>
      <w:r>
        <w:rPr>
          <w:rFonts w:hint="eastAsia" w:ascii="宋体" w:hAnsi="宋体" w:cs="Times New Roman"/>
          <w:b/>
          <w:bCs w:val="0"/>
          <w:kern w:val="2"/>
          <w:sz w:val="24"/>
          <w:szCs w:val="24"/>
        </w:rPr>
        <w:t>2．主要工作内容</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2.1</w:t>
      </w:r>
      <w:r>
        <w:rPr>
          <w:rFonts w:hint="eastAsia" w:ascii="宋体" w:hAnsi="宋体" w:cs="Times New Roman"/>
          <w:bCs/>
          <w:kern w:val="2"/>
          <w:sz w:val="24"/>
          <w:szCs w:val="24"/>
          <w:lang w:val="en-US" w:eastAsia="zh-CN"/>
        </w:rPr>
        <w:t>供应商应根据项目需求，</w:t>
      </w:r>
      <w:r>
        <w:rPr>
          <w:rFonts w:hint="eastAsia" w:ascii="宋体" w:hAnsi="宋体" w:cs="Times New Roman"/>
          <w:bCs/>
          <w:kern w:val="2"/>
          <w:sz w:val="24"/>
          <w:szCs w:val="24"/>
        </w:rPr>
        <w:t>成立项目组，开展现场调研</w:t>
      </w:r>
      <w:r>
        <w:rPr>
          <w:rFonts w:hint="eastAsia" w:ascii="宋体" w:hAnsi="宋体" w:cs="Times New Roman"/>
          <w:bCs/>
          <w:kern w:val="2"/>
          <w:sz w:val="24"/>
          <w:szCs w:val="24"/>
          <w:lang w:eastAsia="zh-CN"/>
        </w:rPr>
        <w:t>、</w:t>
      </w:r>
      <w:r>
        <w:rPr>
          <w:rFonts w:hint="eastAsia" w:ascii="宋体" w:hAnsi="宋体" w:cs="Times New Roman"/>
          <w:bCs/>
          <w:kern w:val="2"/>
          <w:sz w:val="24"/>
          <w:szCs w:val="24"/>
          <w:lang w:val="en-US" w:eastAsia="zh-CN"/>
        </w:rPr>
        <w:t>资料收集及报告编制等工作</w:t>
      </w:r>
      <w:r>
        <w:rPr>
          <w:rFonts w:hint="eastAsia" w:ascii="宋体" w:hAnsi="宋体" w:cs="Times New Roman"/>
          <w:bCs/>
          <w:kern w:val="2"/>
          <w:sz w:val="24"/>
          <w:szCs w:val="24"/>
        </w:rPr>
        <w:t>；</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2.2根据《民用航空法》、《民用机场建设管理规定》、《民用机场工程项目建设标准》、《民用航空支线机场建设标准》、《民用航空运输机场工程项目建设用地指标》、《民用机场选址报告编制内容及深度要求》、《民用机场飞行程序设计报告编制要求》、《航空器运行目视和仪表飞行程序设计规范》</w:t>
      </w:r>
      <w:r>
        <w:rPr>
          <w:rFonts w:hint="eastAsia" w:ascii="宋体" w:hAnsi="宋体" w:cs="Times New Roman"/>
          <w:bCs/>
          <w:kern w:val="2"/>
          <w:sz w:val="24"/>
          <w:szCs w:val="24"/>
          <w:lang w:eastAsia="zh-CN"/>
        </w:rPr>
        <w:t>、</w:t>
      </w:r>
      <w:r>
        <w:rPr>
          <w:rFonts w:hint="eastAsia" w:ascii="宋体" w:hAnsi="宋体" w:cs="Times New Roman"/>
          <w:bCs/>
          <w:kern w:val="2"/>
          <w:sz w:val="24"/>
          <w:szCs w:val="24"/>
        </w:rPr>
        <w:t>《民用运输机场场址审查办法》等及国家和中国民用航空局颁发的现行的有关法律、法规、标准、规范、指标及有关强制性条文的规定，结合</w:t>
      </w:r>
      <w:r>
        <w:rPr>
          <w:rFonts w:hint="eastAsia" w:ascii="宋体" w:hAnsi="宋体" w:cs="Times New Roman"/>
          <w:bCs/>
          <w:kern w:val="2"/>
          <w:sz w:val="24"/>
          <w:szCs w:val="24"/>
          <w:lang w:val="en-US" w:eastAsia="zh-CN"/>
        </w:rPr>
        <w:t>项目</w:t>
      </w:r>
      <w:r>
        <w:rPr>
          <w:rFonts w:hint="eastAsia" w:ascii="宋体" w:hAnsi="宋体" w:cs="Times New Roman"/>
          <w:bCs/>
          <w:kern w:val="2"/>
          <w:sz w:val="24"/>
          <w:szCs w:val="24"/>
        </w:rPr>
        <w:t>特点，遵循民用航空行业的政策</w:t>
      </w:r>
      <w:r>
        <w:rPr>
          <w:rFonts w:hint="eastAsia" w:ascii="宋体" w:hAnsi="宋体" w:cs="Times New Roman"/>
          <w:bCs/>
          <w:kern w:val="2"/>
          <w:sz w:val="24"/>
          <w:szCs w:val="24"/>
          <w:lang w:eastAsia="zh-CN"/>
        </w:rPr>
        <w:t>，</w:t>
      </w:r>
      <w:r>
        <w:rPr>
          <w:rFonts w:hint="eastAsia" w:ascii="宋体" w:hAnsi="宋体" w:cs="Times New Roman"/>
          <w:bCs/>
          <w:kern w:val="2"/>
          <w:sz w:val="24"/>
          <w:szCs w:val="24"/>
          <w:lang w:val="en-US" w:eastAsia="zh-CN"/>
        </w:rPr>
        <w:t>本着</w:t>
      </w:r>
      <w:r>
        <w:rPr>
          <w:rFonts w:hint="eastAsia" w:ascii="宋体" w:hAnsi="宋体" w:cs="Times New Roman"/>
          <w:bCs/>
          <w:kern w:val="2"/>
          <w:sz w:val="24"/>
          <w:szCs w:val="24"/>
        </w:rPr>
        <w:t>航空安全、节约用地、节约能源、环境保护的</w:t>
      </w:r>
      <w:r>
        <w:rPr>
          <w:rFonts w:hint="eastAsia" w:ascii="宋体" w:hAnsi="宋体" w:cs="Times New Roman"/>
          <w:bCs/>
          <w:kern w:val="2"/>
          <w:sz w:val="24"/>
          <w:szCs w:val="24"/>
          <w:lang w:val="en-US" w:eastAsia="zh-CN"/>
        </w:rPr>
        <w:t>原则</w:t>
      </w:r>
      <w:r>
        <w:rPr>
          <w:rFonts w:hint="eastAsia" w:ascii="宋体" w:hAnsi="宋体" w:cs="Times New Roman"/>
          <w:bCs/>
          <w:kern w:val="2"/>
          <w:sz w:val="24"/>
          <w:szCs w:val="24"/>
        </w:rPr>
        <w:t>，从合理性、规范性、安全适用性和经济特性等方面开展相关工作。</w:t>
      </w:r>
    </w:p>
    <w:p>
      <w:pPr>
        <w:widowControl w:val="0"/>
        <w:spacing w:line="480" w:lineRule="exact"/>
        <w:jc w:val="both"/>
        <w:textAlignment w:val="baseline"/>
        <w:rPr>
          <w:rFonts w:hint="default" w:ascii="宋体" w:hAnsi="宋体" w:eastAsia="宋体" w:cs="Times New Roman"/>
          <w:bCs/>
          <w:kern w:val="2"/>
          <w:sz w:val="24"/>
          <w:szCs w:val="24"/>
          <w:lang w:val="en-US" w:eastAsia="zh-CN"/>
        </w:rPr>
      </w:pPr>
      <w:r>
        <w:rPr>
          <w:rFonts w:hint="eastAsia" w:ascii="宋体" w:hAnsi="宋体" w:cs="Times New Roman"/>
          <w:bCs/>
          <w:kern w:val="2"/>
          <w:sz w:val="24"/>
          <w:szCs w:val="24"/>
        </w:rPr>
        <w:t>2.3</w:t>
      </w:r>
      <w:r>
        <w:rPr>
          <w:rFonts w:hint="eastAsia" w:ascii="宋体" w:hAnsi="宋体" w:cs="Times New Roman"/>
          <w:bCs/>
          <w:kern w:val="2"/>
          <w:sz w:val="24"/>
          <w:szCs w:val="24"/>
          <w:lang w:val="en-US" w:eastAsia="zh-CN"/>
        </w:rPr>
        <w:t>提供选址报告咨询服务工作；</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lang w:val="en-US" w:eastAsia="zh-CN"/>
        </w:rPr>
        <w:t>2.4</w:t>
      </w:r>
      <w:r>
        <w:rPr>
          <w:rFonts w:hint="eastAsia" w:ascii="宋体" w:hAnsi="宋体" w:cs="Times New Roman"/>
          <w:bCs/>
          <w:kern w:val="2"/>
          <w:sz w:val="24"/>
          <w:szCs w:val="24"/>
        </w:rPr>
        <w:t>编制选址阶段传统飞行程序设计和飞机性能分析报告；</w:t>
      </w:r>
    </w:p>
    <w:p>
      <w:pPr>
        <w:widowControl w:val="0"/>
        <w:spacing w:line="480" w:lineRule="exact"/>
        <w:jc w:val="both"/>
        <w:textAlignment w:val="baseline"/>
        <w:rPr>
          <w:rFonts w:ascii="宋体" w:hAnsi="宋体" w:cs="Times New Roman"/>
          <w:bCs/>
          <w:kern w:val="2"/>
          <w:sz w:val="24"/>
          <w:szCs w:val="24"/>
        </w:rPr>
      </w:pPr>
      <w:r>
        <w:rPr>
          <w:rFonts w:hint="eastAsia" w:ascii="宋体" w:hAnsi="宋体" w:cs="Times New Roman"/>
          <w:bCs/>
          <w:kern w:val="2"/>
          <w:sz w:val="24"/>
          <w:szCs w:val="24"/>
        </w:rPr>
        <w:t>2.</w:t>
      </w:r>
      <w:r>
        <w:rPr>
          <w:rFonts w:hint="eastAsia" w:ascii="宋体" w:hAnsi="宋体" w:cs="Times New Roman"/>
          <w:bCs/>
          <w:kern w:val="2"/>
          <w:sz w:val="24"/>
          <w:szCs w:val="24"/>
          <w:lang w:val="en-US" w:eastAsia="zh-CN"/>
        </w:rPr>
        <w:t>5</w:t>
      </w:r>
      <w:r>
        <w:rPr>
          <w:rFonts w:hint="eastAsia" w:ascii="宋体" w:hAnsi="宋体" w:cs="Times New Roman"/>
          <w:bCs/>
          <w:kern w:val="2"/>
          <w:sz w:val="24"/>
          <w:szCs w:val="24"/>
        </w:rPr>
        <w:t>协助采购人开展军方空域协同工作；</w:t>
      </w:r>
    </w:p>
    <w:p>
      <w:pPr>
        <w:widowControl w:val="0"/>
        <w:spacing w:line="480" w:lineRule="exact"/>
        <w:jc w:val="both"/>
        <w:textAlignment w:val="baseline"/>
        <w:rPr>
          <w:rFonts w:hint="eastAsia" w:ascii="宋体" w:hAnsi="宋体" w:cs="Times New Roman"/>
          <w:bCs/>
          <w:kern w:val="2"/>
          <w:sz w:val="24"/>
          <w:szCs w:val="24"/>
        </w:rPr>
      </w:pPr>
      <w:r>
        <w:rPr>
          <w:rFonts w:hint="eastAsia" w:ascii="宋体" w:hAnsi="宋体" w:cs="Times New Roman"/>
          <w:bCs/>
          <w:kern w:val="2"/>
          <w:sz w:val="24"/>
          <w:szCs w:val="24"/>
        </w:rPr>
        <w:t>2.</w:t>
      </w:r>
      <w:r>
        <w:rPr>
          <w:rFonts w:hint="eastAsia" w:ascii="宋体" w:hAnsi="宋体" w:cs="Times New Roman"/>
          <w:bCs/>
          <w:kern w:val="2"/>
          <w:sz w:val="24"/>
          <w:szCs w:val="24"/>
          <w:lang w:val="en-US" w:eastAsia="zh-CN"/>
        </w:rPr>
        <w:t>6</w:t>
      </w:r>
      <w:r>
        <w:rPr>
          <w:rFonts w:hint="eastAsia" w:ascii="宋体" w:hAnsi="宋体" w:cs="Times New Roman"/>
          <w:bCs/>
          <w:kern w:val="2"/>
          <w:sz w:val="24"/>
          <w:szCs w:val="24"/>
        </w:rPr>
        <w:t>配合采购人参加选址报告评审会，并按照评审意见修改完善报告。</w:t>
      </w:r>
    </w:p>
    <w:p>
      <w:pPr>
        <w:widowControl w:val="0"/>
        <w:spacing w:line="480" w:lineRule="exact"/>
        <w:jc w:val="both"/>
        <w:textAlignment w:val="baseline"/>
        <w:rPr>
          <w:rFonts w:hint="default" w:ascii="宋体" w:hAnsi="宋体" w:eastAsia="宋体" w:cs="Times New Roman"/>
          <w:b/>
          <w:kern w:val="2"/>
          <w:sz w:val="24"/>
          <w:szCs w:val="24"/>
          <w:lang w:val="en-US" w:eastAsia="zh-CN"/>
        </w:rPr>
      </w:pPr>
      <w:r>
        <w:rPr>
          <w:rFonts w:hint="eastAsia" w:ascii="宋体" w:hAnsi="宋体" w:cs="Times New Roman"/>
          <w:b/>
          <w:kern w:val="2"/>
          <w:sz w:val="24"/>
          <w:szCs w:val="24"/>
          <w:lang w:val="en-US" w:eastAsia="zh-CN"/>
        </w:rPr>
        <w:t>3</w:t>
      </w:r>
      <w:r>
        <w:rPr>
          <w:rFonts w:hint="eastAsia" w:ascii="宋体" w:hAnsi="宋体" w:cs="Times New Roman"/>
          <w:b/>
          <w:kern w:val="2"/>
          <w:sz w:val="24"/>
          <w:szCs w:val="24"/>
        </w:rPr>
        <w:t>.技术</w:t>
      </w:r>
      <w:r>
        <w:rPr>
          <w:rFonts w:hint="eastAsia" w:ascii="宋体" w:hAnsi="宋体" w:cs="Times New Roman"/>
          <w:b/>
          <w:kern w:val="2"/>
          <w:sz w:val="24"/>
          <w:szCs w:val="24"/>
          <w:lang w:val="en-US" w:eastAsia="zh-CN"/>
        </w:rPr>
        <w:t>服务成果</w:t>
      </w:r>
    </w:p>
    <w:p>
      <w:pPr>
        <w:widowControl w:val="0"/>
        <w:spacing w:line="480" w:lineRule="exact"/>
        <w:jc w:val="both"/>
        <w:textAlignment w:val="baseline"/>
        <w:rPr>
          <w:rFonts w:hint="eastAsia" w:ascii="宋体" w:hAnsi="宋体" w:eastAsia="宋体" w:cs="Times New Roman"/>
          <w:kern w:val="2"/>
          <w:sz w:val="24"/>
          <w:szCs w:val="24"/>
          <w:lang w:eastAsia="zh-CN"/>
        </w:rPr>
      </w:pPr>
      <w:r>
        <w:rPr>
          <w:rFonts w:hint="eastAsia" w:ascii="宋体" w:hAnsi="宋体" w:cs="Times New Roman"/>
          <w:kern w:val="2"/>
          <w:sz w:val="24"/>
          <w:szCs w:val="24"/>
          <w:lang w:val="en-US" w:eastAsia="zh-CN"/>
        </w:rPr>
        <w:t>3</w:t>
      </w:r>
      <w:r>
        <w:rPr>
          <w:rFonts w:hint="eastAsia" w:ascii="宋体" w:hAnsi="宋体" w:cs="Times New Roman"/>
          <w:kern w:val="2"/>
          <w:sz w:val="24"/>
          <w:szCs w:val="24"/>
        </w:rPr>
        <w:t>.1</w:t>
      </w:r>
      <w:r>
        <w:rPr>
          <w:rFonts w:hint="eastAsia" w:ascii="宋体" w:hAnsi="宋体" w:cs="Times New Roman"/>
          <w:kern w:val="2"/>
          <w:sz w:val="24"/>
          <w:szCs w:val="24"/>
          <w:lang w:val="en-US" w:eastAsia="zh-CN"/>
        </w:rPr>
        <w:t>选址报告咨询意见</w:t>
      </w:r>
      <w:r>
        <w:rPr>
          <w:rFonts w:hint="eastAsia" w:ascii="宋体" w:hAnsi="宋体" w:cs="Times New Roman"/>
          <w:kern w:val="2"/>
          <w:sz w:val="24"/>
          <w:szCs w:val="24"/>
          <w:lang w:eastAsia="zh-CN"/>
        </w:rPr>
        <w:t>；</w:t>
      </w:r>
    </w:p>
    <w:p>
      <w:pPr>
        <w:widowControl w:val="0"/>
        <w:spacing w:line="480" w:lineRule="exact"/>
        <w:jc w:val="both"/>
        <w:textAlignment w:val="baseline"/>
        <w:rPr>
          <w:rFonts w:hint="eastAsia" w:ascii="宋体" w:hAnsi="宋体" w:cs="Times New Roman"/>
          <w:kern w:val="2"/>
          <w:sz w:val="24"/>
          <w:szCs w:val="24"/>
        </w:rPr>
      </w:pPr>
      <w:r>
        <w:rPr>
          <w:rFonts w:hint="eastAsia" w:ascii="宋体" w:hAnsi="宋体" w:cs="Times New Roman"/>
          <w:kern w:val="2"/>
          <w:sz w:val="24"/>
          <w:szCs w:val="24"/>
          <w:lang w:val="en-US" w:eastAsia="zh-CN"/>
        </w:rPr>
        <w:t>3</w:t>
      </w:r>
      <w:r>
        <w:rPr>
          <w:rFonts w:hint="eastAsia" w:ascii="宋体" w:hAnsi="宋体" w:cs="Times New Roman"/>
          <w:kern w:val="2"/>
          <w:sz w:val="24"/>
          <w:szCs w:val="24"/>
        </w:rPr>
        <w:t>.2</w:t>
      </w:r>
      <w:r>
        <w:rPr>
          <w:rFonts w:hint="eastAsia" w:ascii="宋体" w:hAnsi="宋体" w:cs="Times New Roman"/>
          <w:kern w:val="2"/>
          <w:sz w:val="24"/>
          <w:szCs w:val="24"/>
          <w:lang w:val="en-US" w:eastAsia="zh-CN"/>
        </w:rPr>
        <w:t>技术报告</w:t>
      </w:r>
      <w:r>
        <w:rPr>
          <w:rFonts w:hint="eastAsia" w:ascii="宋体" w:hAnsi="宋体" w:cs="Times New Roman"/>
          <w:kern w:val="2"/>
          <w:sz w:val="24"/>
          <w:szCs w:val="24"/>
        </w:rPr>
        <w:t>：</w:t>
      </w:r>
      <w:r>
        <w:rPr>
          <w:rFonts w:hint="eastAsia" w:ascii="宋体" w:hAnsi="宋体" w:cs="Times New Roman"/>
          <w:kern w:val="2"/>
          <w:sz w:val="24"/>
          <w:szCs w:val="24"/>
          <w:lang w:val="en-US" w:eastAsia="zh-CN"/>
        </w:rPr>
        <w:t>选址阶段传统飞行程序设计报告、飞机性能分析报告</w:t>
      </w:r>
      <w:r>
        <w:rPr>
          <w:rFonts w:hint="eastAsia" w:ascii="宋体" w:hAnsi="宋体" w:cs="Times New Roman"/>
          <w:kern w:val="2"/>
          <w:sz w:val="24"/>
          <w:szCs w:val="24"/>
        </w:rPr>
        <w:t>。</w:t>
      </w:r>
    </w:p>
    <w:p>
      <w:pPr>
        <w:widowControl w:val="0"/>
        <w:spacing w:line="480" w:lineRule="exact"/>
        <w:jc w:val="both"/>
        <w:textAlignment w:val="baseline"/>
        <w:rPr>
          <w:rFonts w:hint="default" w:ascii="宋体" w:hAnsi="宋体" w:cs="Times New Roman"/>
          <w:b/>
          <w:kern w:val="2"/>
          <w:sz w:val="24"/>
          <w:szCs w:val="24"/>
          <w:lang w:val="en-US" w:eastAsia="zh-CN"/>
        </w:rPr>
      </w:pPr>
      <w:r>
        <w:rPr>
          <w:rFonts w:hint="eastAsia" w:ascii="宋体" w:hAnsi="宋体" w:cs="Times New Roman"/>
          <w:b/>
          <w:kern w:val="2"/>
          <w:sz w:val="24"/>
          <w:szCs w:val="24"/>
          <w:lang w:val="en-US" w:eastAsia="zh-CN"/>
        </w:rPr>
        <w:t>4.交付时间、地点要求</w:t>
      </w:r>
    </w:p>
    <w:p>
      <w:pPr>
        <w:widowControl w:val="0"/>
        <w:spacing w:line="480" w:lineRule="exact"/>
        <w:jc w:val="both"/>
        <w:textAlignment w:val="baseline"/>
        <w:rPr>
          <w:rFonts w:hint="default" w:ascii="宋体" w:hAnsi="宋体" w:cs="Times New Roman"/>
          <w:bCs/>
          <w:kern w:val="2"/>
          <w:sz w:val="24"/>
          <w:szCs w:val="24"/>
          <w:lang w:val="en-US" w:eastAsia="zh-CN"/>
        </w:rPr>
      </w:pPr>
      <w:r>
        <w:rPr>
          <w:rFonts w:hint="eastAsia" w:ascii="宋体" w:hAnsi="宋体" w:cs="Times New Roman"/>
          <w:bCs/>
          <w:kern w:val="2"/>
          <w:sz w:val="24"/>
          <w:szCs w:val="24"/>
          <w:lang w:val="en-US" w:eastAsia="zh-CN"/>
        </w:rPr>
        <w:t>4.1交付时间：合同签订后40</w:t>
      </w:r>
      <w:bookmarkStart w:id="31" w:name="_GoBack"/>
      <w:bookmarkEnd w:id="31"/>
      <w:r>
        <w:rPr>
          <w:rFonts w:hint="eastAsia" w:ascii="宋体" w:hAnsi="宋体" w:cs="Times New Roman"/>
          <w:bCs/>
          <w:kern w:val="2"/>
          <w:sz w:val="24"/>
          <w:szCs w:val="24"/>
          <w:lang w:val="en-US" w:eastAsia="zh-CN"/>
        </w:rPr>
        <w:t>日历日内；</w:t>
      </w:r>
    </w:p>
    <w:p>
      <w:pPr>
        <w:widowControl w:val="0"/>
        <w:spacing w:line="480" w:lineRule="exact"/>
        <w:jc w:val="both"/>
        <w:textAlignment w:val="baseline"/>
        <w:rPr>
          <w:rFonts w:hint="default" w:ascii="宋体" w:hAnsi="宋体" w:cs="Times New Roman"/>
          <w:bCs/>
          <w:kern w:val="2"/>
          <w:sz w:val="24"/>
          <w:szCs w:val="24"/>
          <w:lang w:val="en-US" w:eastAsia="zh-CN"/>
        </w:rPr>
      </w:pPr>
      <w:r>
        <w:rPr>
          <w:rFonts w:hint="eastAsia" w:ascii="宋体" w:hAnsi="宋体" w:cs="Times New Roman"/>
          <w:bCs/>
          <w:kern w:val="2"/>
          <w:sz w:val="24"/>
          <w:szCs w:val="24"/>
          <w:lang w:val="en-US" w:eastAsia="zh-CN"/>
        </w:rPr>
        <w:t>4.2交付地点：采购人指定的地点。</w:t>
      </w: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ind w:left="400" w:firstLine="480"/>
        <w:rPr>
          <w:rFonts w:hint="eastAsia" w:ascii="宋体" w:hAnsi="宋体" w:eastAsia="宋体" w:cs="宋体"/>
          <w:kern w:val="2"/>
          <w:szCs w:val="24"/>
        </w:rPr>
      </w:pPr>
    </w:p>
    <w:p>
      <w:pPr>
        <w:pStyle w:val="23"/>
        <w:numPr>
          <w:ilvl w:val="0"/>
          <w:numId w:val="5"/>
        </w:numPr>
        <w:ind w:left="0" w:leftChars="0" w:firstLine="0" w:firstLineChars="0"/>
        <w:jc w:val="center"/>
        <w:rPr>
          <w:rFonts w:hint="eastAsia" w:ascii="宋体" w:hAnsi="宋体" w:eastAsia="宋体" w:cs="宋体"/>
          <w:b/>
          <w:bCs/>
          <w:color w:val="000000"/>
          <w:kern w:val="2"/>
          <w:szCs w:val="24"/>
        </w:rPr>
      </w:pPr>
      <w:r>
        <w:rPr>
          <w:rFonts w:hint="eastAsia" w:ascii="宋体" w:hAnsi="宋体" w:eastAsia="宋体" w:cs="宋体"/>
          <w:b/>
          <w:bCs/>
          <w:color w:val="000000"/>
          <w:kern w:val="2"/>
          <w:szCs w:val="24"/>
        </w:rPr>
        <w:t>评标办法</w:t>
      </w:r>
    </w:p>
    <w:p>
      <w:pPr>
        <w:pStyle w:val="23"/>
        <w:ind w:left="0" w:leftChars="0" w:firstLine="0" w:firstLineChars="0"/>
        <w:jc w:val="center"/>
        <w:rPr>
          <w:rFonts w:hint="eastAsia" w:ascii="宋体" w:hAnsi="宋体" w:eastAsia="宋体" w:cs="宋体"/>
          <w:b/>
          <w:bCs/>
          <w:color w:val="000000"/>
          <w:kern w:val="2"/>
          <w:szCs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1.评标原则</w:t>
      </w:r>
    </w:p>
    <w:p>
      <w:pPr>
        <w:spacing w:line="360" w:lineRule="auto"/>
        <w:ind w:firstLine="480"/>
        <w:rPr>
          <w:rFonts w:hint="eastAsia" w:ascii="宋体" w:hAnsi="宋体" w:eastAsia="宋体" w:cs="宋体"/>
          <w:sz w:val="24"/>
        </w:rPr>
      </w:pPr>
      <w:r>
        <w:rPr>
          <w:rFonts w:hint="eastAsia" w:ascii="宋体" w:hAnsi="宋体" w:eastAsia="宋体" w:cs="宋体"/>
          <w:sz w:val="24"/>
        </w:rPr>
        <w:t>1.1本标的评标遵循公平、公正、科学、择优的原则。</w:t>
      </w:r>
    </w:p>
    <w:p>
      <w:pPr>
        <w:spacing w:line="360" w:lineRule="auto"/>
        <w:ind w:firstLine="480"/>
        <w:rPr>
          <w:rFonts w:hint="eastAsia" w:ascii="宋体" w:hAnsi="宋体" w:eastAsia="宋体" w:cs="宋体"/>
          <w:sz w:val="24"/>
        </w:rPr>
      </w:pPr>
      <w:r>
        <w:rPr>
          <w:rFonts w:hint="eastAsia" w:ascii="宋体" w:hAnsi="宋体" w:eastAsia="宋体" w:cs="宋体"/>
          <w:sz w:val="24"/>
        </w:rPr>
        <w:t>1.2评标委员会将严格按照《中华人民共和国招标投标法》、《中华人民共和国招标投标法实施条例》（国务院第613号令）、《评标委员会和评标方法暂行规定》（国家发改委第12号令）等相关法律法规的规定依法评标，维护招标投标各方当事人的合法权益。</w:t>
      </w:r>
    </w:p>
    <w:p>
      <w:pPr>
        <w:spacing w:line="360" w:lineRule="auto"/>
        <w:ind w:firstLine="480"/>
        <w:rPr>
          <w:rFonts w:hint="eastAsia" w:ascii="宋体" w:hAnsi="宋体" w:eastAsia="宋体" w:cs="宋体"/>
          <w:sz w:val="24"/>
        </w:rPr>
      </w:pPr>
      <w:r>
        <w:rPr>
          <w:rFonts w:hint="eastAsia" w:ascii="宋体" w:hAnsi="宋体" w:eastAsia="宋体" w:cs="宋体"/>
          <w:sz w:val="24"/>
        </w:rPr>
        <w:t>1.3不徇私情，不明招暗定。</w:t>
      </w:r>
    </w:p>
    <w:p>
      <w:pPr>
        <w:spacing w:line="360" w:lineRule="auto"/>
        <w:ind w:firstLine="480"/>
        <w:rPr>
          <w:rFonts w:hint="eastAsia" w:ascii="宋体" w:hAnsi="宋体" w:eastAsia="宋体" w:cs="宋体"/>
          <w:sz w:val="24"/>
        </w:rPr>
      </w:pPr>
      <w:r>
        <w:rPr>
          <w:rFonts w:hint="eastAsia" w:ascii="宋体" w:hAnsi="宋体" w:eastAsia="宋体" w:cs="宋体"/>
          <w:sz w:val="24"/>
        </w:rPr>
        <w:t>1.4资格审查合格的投标人，均有同等机会参加竞争。</w:t>
      </w:r>
    </w:p>
    <w:p>
      <w:pPr>
        <w:spacing w:line="360" w:lineRule="auto"/>
        <w:ind w:firstLine="480"/>
        <w:rPr>
          <w:rFonts w:hint="eastAsia" w:ascii="宋体" w:hAnsi="宋体" w:eastAsia="宋体" w:cs="宋体"/>
          <w:sz w:val="24"/>
        </w:rPr>
      </w:pPr>
      <w:r>
        <w:rPr>
          <w:rFonts w:hint="eastAsia" w:ascii="宋体" w:hAnsi="宋体" w:eastAsia="宋体" w:cs="宋体"/>
          <w:sz w:val="24"/>
        </w:rPr>
        <w:t>1.5评标人员不得私自泄露评标内容，不得进行旨在影响评标结果公正、公平的任何活动。</w:t>
      </w:r>
    </w:p>
    <w:p>
      <w:pPr>
        <w:spacing w:line="360" w:lineRule="auto"/>
        <w:ind w:firstLine="480"/>
        <w:rPr>
          <w:rFonts w:hint="eastAsia" w:ascii="宋体" w:hAnsi="宋体" w:eastAsia="宋体" w:cs="宋体"/>
          <w:sz w:val="24"/>
        </w:rPr>
      </w:pPr>
      <w:r>
        <w:rPr>
          <w:rFonts w:hint="eastAsia" w:ascii="宋体" w:hAnsi="宋体" w:eastAsia="宋体" w:cs="宋体"/>
          <w:sz w:val="24"/>
        </w:rPr>
        <w:t>1.2. 评标方法</w:t>
      </w:r>
    </w:p>
    <w:p>
      <w:pPr>
        <w:spacing w:line="360" w:lineRule="auto"/>
        <w:ind w:firstLine="480"/>
        <w:rPr>
          <w:rFonts w:hint="eastAsia" w:ascii="宋体" w:hAnsi="宋体" w:eastAsia="宋体" w:cs="宋体"/>
          <w:sz w:val="24"/>
        </w:rPr>
      </w:pPr>
      <w:r>
        <w:rPr>
          <w:rFonts w:hint="eastAsia" w:ascii="宋体" w:hAnsi="宋体" w:eastAsia="宋体" w:cs="宋体"/>
          <w:sz w:val="24"/>
        </w:rPr>
        <w:t>1.2.1  招标代理机构将根据有关法律法规的规定组建本次招标的评标委员会。评标委员会成员由项目法人代表以及本行业相关技术、经济等方面的专家组成。其中，技术、经济等方面的专家不少于成员总人数的三分之二。</w:t>
      </w:r>
    </w:p>
    <w:p>
      <w:pPr>
        <w:spacing w:line="360" w:lineRule="auto"/>
        <w:ind w:firstLine="480"/>
        <w:rPr>
          <w:rFonts w:hint="eastAsia" w:ascii="宋体" w:hAnsi="宋体" w:eastAsia="宋体" w:cs="宋体"/>
          <w:sz w:val="24"/>
        </w:rPr>
      </w:pPr>
      <w:r>
        <w:rPr>
          <w:rFonts w:hint="eastAsia" w:ascii="宋体" w:hAnsi="宋体" w:eastAsia="宋体" w:cs="宋体"/>
          <w:sz w:val="24"/>
        </w:rPr>
        <w:t>1.2.2  评标的依据为竞争性磋商文件和竞争性磋商响应文件。根据相关法律法规的规定，评标委员会不以任何外部证据作为其评标的依据或标准。</w:t>
      </w:r>
    </w:p>
    <w:p>
      <w:pPr>
        <w:spacing w:line="360" w:lineRule="auto"/>
        <w:ind w:firstLine="480"/>
        <w:rPr>
          <w:rFonts w:hint="eastAsia" w:ascii="宋体" w:hAnsi="宋体" w:eastAsia="宋体" w:cs="宋体"/>
          <w:sz w:val="24"/>
        </w:rPr>
      </w:pPr>
      <w:r>
        <w:rPr>
          <w:rFonts w:hint="eastAsia" w:ascii="宋体" w:hAnsi="宋体" w:eastAsia="宋体" w:cs="宋体"/>
          <w:sz w:val="24"/>
        </w:rPr>
        <w:t>1.2.3  评标过程将严格保密。开标后直到授予中标人合同止，凡是属于审查、澄清、评价和比较的有关评标资料以及授标建议等均不得向投标人或其他无关的人员透露。</w:t>
      </w:r>
    </w:p>
    <w:p>
      <w:pPr>
        <w:spacing w:line="360" w:lineRule="auto"/>
        <w:ind w:firstLine="480"/>
        <w:rPr>
          <w:rFonts w:hint="eastAsia" w:ascii="宋体" w:hAnsi="宋体" w:eastAsia="宋体" w:cs="宋体"/>
          <w:sz w:val="24"/>
        </w:rPr>
      </w:pPr>
      <w:r>
        <w:rPr>
          <w:rFonts w:hint="eastAsia" w:ascii="宋体" w:hAnsi="宋体" w:eastAsia="宋体" w:cs="宋体"/>
          <w:sz w:val="24"/>
        </w:rPr>
        <w:t>1.2.4磋商流程</w:t>
      </w:r>
    </w:p>
    <w:p>
      <w:pPr>
        <w:spacing w:line="360" w:lineRule="auto"/>
        <w:ind w:firstLine="480"/>
        <w:rPr>
          <w:rFonts w:hint="eastAsia" w:ascii="宋体" w:hAnsi="宋体" w:eastAsia="宋体" w:cs="宋体"/>
          <w:sz w:val="24"/>
        </w:rPr>
      </w:pPr>
      <w:r>
        <w:rPr>
          <w:rFonts w:hint="eastAsia" w:ascii="宋体" w:hAnsi="宋体" w:eastAsia="宋体" w:cs="宋体"/>
          <w:sz w:val="24"/>
        </w:rPr>
        <w:t>（1）磋商小组讨论、通过磋商评审工作流程和磋商要点；</w:t>
      </w:r>
    </w:p>
    <w:p>
      <w:pPr>
        <w:spacing w:line="360" w:lineRule="auto"/>
        <w:ind w:firstLine="480"/>
        <w:rPr>
          <w:rFonts w:hint="eastAsia" w:ascii="宋体" w:hAnsi="宋体" w:eastAsia="宋体" w:cs="宋体"/>
          <w:sz w:val="24"/>
        </w:rPr>
      </w:pPr>
      <w:r>
        <w:rPr>
          <w:rFonts w:hint="eastAsia" w:ascii="宋体" w:hAnsi="宋体" w:eastAsia="宋体" w:cs="宋体"/>
          <w:sz w:val="24"/>
        </w:rPr>
        <w:t>（2）磋商小组审阅磋商响应文件和竞争性磋商文件；</w:t>
      </w:r>
    </w:p>
    <w:p>
      <w:pPr>
        <w:spacing w:line="360" w:lineRule="auto"/>
        <w:ind w:firstLine="480"/>
        <w:rPr>
          <w:rFonts w:hint="eastAsia" w:ascii="宋体" w:hAnsi="宋体" w:eastAsia="宋体" w:cs="宋体"/>
          <w:sz w:val="24"/>
        </w:rPr>
      </w:pPr>
      <w:r>
        <w:rPr>
          <w:rFonts w:hint="eastAsia" w:ascii="宋体" w:hAnsi="宋体" w:eastAsia="宋体" w:cs="宋体"/>
          <w:sz w:val="24"/>
        </w:rPr>
        <w:t>（3）供应商根据签到逆顺序逐家与磋商小组磋商；</w:t>
      </w:r>
    </w:p>
    <w:p>
      <w:pPr>
        <w:spacing w:line="360" w:lineRule="auto"/>
        <w:ind w:firstLine="480"/>
        <w:rPr>
          <w:rFonts w:hint="eastAsia" w:ascii="宋体" w:hAnsi="宋体" w:eastAsia="宋体" w:cs="宋体"/>
          <w:sz w:val="24"/>
        </w:rPr>
      </w:pPr>
      <w:r>
        <w:rPr>
          <w:rFonts w:hint="eastAsia" w:ascii="宋体" w:hAnsi="宋体" w:eastAsia="宋体" w:cs="宋体"/>
          <w:sz w:val="24"/>
        </w:rPr>
        <w:t>（4）围绕磋商要点磋商小组全体成员集中与各个供应商方分别进行磋商。逐家磋商一次为一个轮次，磋商轮次由磋商磋商小组视情况决定。磋商轮次最多不超过3轮；磋商过程中，各投标企业做好再次报价准备。</w:t>
      </w:r>
    </w:p>
    <w:p>
      <w:pPr>
        <w:spacing w:line="360" w:lineRule="auto"/>
        <w:ind w:firstLine="480"/>
        <w:rPr>
          <w:rFonts w:hint="eastAsia" w:ascii="宋体" w:hAnsi="宋体" w:eastAsia="宋体" w:cs="宋体"/>
          <w:sz w:val="24"/>
        </w:rPr>
      </w:pPr>
      <w:r>
        <w:rPr>
          <w:rFonts w:hint="eastAsia" w:ascii="宋体" w:hAnsi="宋体" w:eastAsia="宋体" w:cs="宋体"/>
          <w:sz w:val="24"/>
        </w:rPr>
        <w:t>（5）磋商文件有实质性变动的，磋商小组将以书面形式通知所有参加磋商的供应商。</w:t>
      </w:r>
    </w:p>
    <w:p>
      <w:pPr>
        <w:pStyle w:val="30"/>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1.3  在评标的整个过程中，投标人所进行的旨在影响评标结果的活动，可能导致其投标被拒绝，或者被取消中标资格。</w:t>
      </w:r>
    </w:p>
    <w:p>
      <w:pPr>
        <w:pStyle w:val="30"/>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1.4  资格审查方法</w:t>
      </w:r>
    </w:p>
    <w:p>
      <w:pPr>
        <w:pStyle w:val="30"/>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1.4.1 评标时，投标人须提交《投标人须知前附表》中规定的相关资格证书以备查验。未按规定接受审查、或者资格审查不合格者，其投标将被拒绝。</w:t>
      </w:r>
    </w:p>
    <w:p>
      <w:pPr>
        <w:pStyle w:val="30"/>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1.4.2 本项资格审查属于初步评审的一部分，不能替代评标委员会在初步评审阶段对其他内容所进行的评审。</w:t>
      </w:r>
    </w:p>
    <w:p>
      <w:pPr>
        <w:spacing w:line="360" w:lineRule="auto"/>
        <w:ind w:firstLine="480"/>
        <w:rPr>
          <w:rFonts w:hint="eastAsia" w:ascii="宋体" w:hAnsi="宋体" w:eastAsia="宋体" w:cs="宋体"/>
          <w:sz w:val="24"/>
        </w:rPr>
      </w:pPr>
      <w:r>
        <w:rPr>
          <w:rFonts w:hint="eastAsia" w:ascii="宋体" w:hAnsi="宋体" w:eastAsia="宋体" w:cs="宋体"/>
          <w:sz w:val="24"/>
        </w:rPr>
        <w:t>1.5  细微偏差是指投标实质上响应磋商文件要求，但在个别地方存在漏项或者提供了不完整的技术信息和数据等情况，并且补正这些遗漏或者不完整不会对其他投标人造成不公平的结果。细微偏差不影响磋商响应文件的有效性。评标委员会应当书面要求存在细小偏差的投标人在评标结束前予以补正。拒不补正的，在详细评审时可以对细微偏差作不利于该投标人的量化。</w:t>
      </w:r>
    </w:p>
    <w:p>
      <w:pPr>
        <w:spacing w:line="360" w:lineRule="auto"/>
        <w:ind w:firstLine="480"/>
        <w:rPr>
          <w:rFonts w:hint="eastAsia" w:ascii="宋体" w:hAnsi="宋体" w:eastAsia="宋体" w:cs="宋体"/>
          <w:sz w:val="24"/>
        </w:rPr>
      </w:pPr>
      <w:r>
        <w:rPr>
          <w:rFonts w:hint="eastAsia" w:ascii="宋体" w:hAnsi="宋体" w:eastAsia="宋体" w:cs="宋体"/>
          <w:sz w:val="24"/>
        </w:rPr>
        <w:t>1.6  对磋商响应文件的审查和响应性的确定</w:t>
      </w:r>
    </w:p>
    <w:p>
      <w:pPr>
        <w:spacing w:line="360" w:lineRule="auto"/>
        <w:ind w:firstLine="480"/>
        <w:rPr>
          <w:rFonts w:hint="eastAsia" w:ascii="宋体" w:hAnsi="宋体" w:eastAsia="宋体" w:cs="宋体"/>
          <w:sz w:val="24"/>
        </w:rPr>
      </w:pPr>
      <w:r>
        <w:rPr>
          <w:rFonts w:hint="eastAsia" w:ascii="宋体" w:hAnsi="宋体" w:eastAsia="宋体" w:cs="宋体"/>
          <w:sz w:val="24"/>
        </w:rPr>
        <w:t>1.6.1  开标后，招标方将组织对磋商响应文件进行审查，检查投标书是否完整，是否出现任何计算性错误，投标书是否签名，是否满足招标书的格式要求，是否已提供投标保证金。</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1.6.2  在对磋商响应文件进行详细评估之前，招标方将依据投标人提供的资格证明文件审查投标人的财务、技术和生产能力。如果确定投标人无能力履行合同，其投标将被拒绝。</w:t>
      </w:r>
    </w:p>
    <w:p>
      <w:pPr>
        <w:spacing w:line="360" w:lineRule="auto"/>
        <w:ind w:firstLine="480"/>
        <w:rPr>
          <w:rFonts w:hint="eastAsia" w:ascii="宋体" w:hAnsi="宋体" w:eastAsia="宋体" w:cs="宋体"/>
          <w:sz w:val="24"/>
        </w:rPr>
      </w:pPr>
      <w:r>
        <w:rPr>
          <w:rFonts w:hint="eastAsia" w:ascii="宋体" w:hAnsi="宋体" w:eastAsia="宋体" w:cs="宋体"/>
          <w:sz w:val="24"/>
        </w:rPr>
        <w:t>1.6.3  招标方将确定每一投标人是否对磋商响应文件的要求作出了实质性的响应，而没有重大偏离。实质性响应的投标是指符合磋商文件的所有条款、条件和规定且没有重大偏离和保留。重大偏离或保留系指影响到磋商文件规定的服务范围、供货范围、质量和性能，或限制了买方的权力和投标人的义务的规定，而纠正这些偏离将影响到其他提交实质性响应投标的投标人的公平竞争地位。</w:t>
      </w:r>
    </w:p>
    <w:p>
      <w:pPr>
        <w:spacing w:line="360" w:lineRule="auto"/>
        <w:ind w:firstLine="480"/>
        <w:rPr>
          <w:rFonts w:hint="eastAsia" w:ascii="宋体" w:hAnsi="宋体" w:eastAsia="宋体" w:cs="宋体"/>
          <w:sz w:val="24"/>
        </w:rPr>
      </w:pPr>
      <w:r>
        <w:rPr>
          <w:rFonts w:hint="eastAsia" w:ascii="宋体" w:hAnsi="宋体" w:eastAsia="宋体" w:cs="宋体"/>
          <w:sz w:val="24"/>
        </w:rPr>
        <w:t>1.6.4  招标方判断磋商响应文件的响应性仅基于磋商响应文件本身而不靠外部证据。</w:t>
      </w:r>
    </w:p>
    <w:p>
      <w:pPr>
        <w:spacing w:line="360" w:lineRule="auto"/>
        <w:ind w:firstLine="480"/>
        <w:rPr>
          <w:rFonts w:hint="eastAsia" w:ascii="宋体" w:hAnsi="宋体" w:eastAsia="宋体" w:cs="宋体"/>
          <w:sz w:val="24"/>
        </w:rPr>
      </w:pPr>
      <w:r>
        <w:rPr>
          <w:rFonts w:hint="eastAsia" w:ascii="宋体" w:hAnsi="宋体" w:eastAsia="宋体" w:cs="宋体"/>
          <w:sz w:val="24"/>
        </w:rPr>
        <w:t>1.6.5  招标方将拒绝被确定为非实质性响应的投标，投标人不能通过修正或撤消不符合之处而使其投标成为实质性响应的投标。</w:t>
      </w:r>
    </w:p>
    <w:p>
      <w:pPr>
        <w:spacing w:line="360" w:lineRule="auto"/>
        <w:ind w:firstLine="480"/>
        <w:rPr>
          <w:rFonts w:hint="eastAsia" w:ascii="宋体" w:hAnsi="宋体" w:eastAsia="宋体" w:cs="宋体"/>
          <w:sz w:val="24"/>
        </w:rPr>
      </w:pPr>
      <w:r>
        <w:rPr>
          <w:rFonts w:hint="eastAsia" w:ascii="宋体" w:hAnsi="宋体" w:eastAsia="宋体" w:cs="宋体"/>
          <w:sz w:val="24"/>
        </w:rPr>
        <w:t>1.6.6  招标方将以下述规则纠正投标书中的算术错误：</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（1）当单价和小计、合计、总价格（由单价与数量相乘而得的总价格）之间出现不一致时，以单价为准，更正总价格；</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（2）当在文字和数字之间出现不一致时，以文字所表述的数字量为准。</w:t>
      </w:r>
    </w:p>
    <w:p>
      <w:pPr>
        <w:spacing w:line="360" w:lineRule="auto"/>
        <w:rPr>
          <w:rFonts w:hint="eastAsia" w:ascii="宋体" w:hAnsi="宋体" w:eastAsia="宋体" w:cs="宋体"/>
          <w:sz w:val="24"/>
        </w:rPr>
      </w:pPr>
      <w:r>
        <w:rPr>
          <w:rFonts w:hint="eastAsia" w:ascii="宋体" w:hAnsi="宋体" w:eastAsia="宋体" w:cs="宋体"/>
          <w:sz w:val="24"/>
        </w:rPr>
        <w:t>如果投标人不接受上述纠正规则，其投标书将被拒绝。</w:t>
      </w:r>
    </w:p>
    <w:p>
      <w:pPr>
        <w:spacing w:line="360" w:lineRule="auto"/>
        <w:ind w:firstLine="480"/>
        <w:rPr>
          <w:rFonts w:hint="eastAsia" w:ascii="宋体" w:hAnsi="宋体" w:eastAsia="宋体" w:cs="宋体"/>
          <w:sz w:val="24"/>
        </w:rPr>
      </w:pPr>
      <w:r>
        <w:rPr>
          <w:rFonts w:hint="eastAsia" w:ascii="宋体" w:hAnsi="宋体" w:eastAsia="宋体" w:cs="宋体"/>
          <w:sz w:val="24"/>
        </w:rPr>
        <w:t>1.7  磋商响应文件的澄清</w:t>
      </w:r>
    </w:p>
    <w:p>
      <w:pPr>
        <w:spacing w:line="360" w:lineRule="auto"/>
        <w:ind w:firstLine="480"/>
        <w:rPr>
          <w:rFonts w:hint="eastAsia" w:ascii="宋体" w:hAnsi="宋体" w:eastAsia="宋体" w:cs="宋体"/>
          <w:sz w:val="24"/>
        </w:rPr>
      </w:pPr>
      <w:r>
        <w:rPr>
          <w:rFonts w:hint="eastAsia" w:ascii="宋体" w:hAnsi="宋体" w:eastAsia="宋体" w:cs="宋体"/>
          <w:sz w:val="24"/>
        </w:rPr>
        <w:t>1.7.1  为了有助于对磋商响应文件进行审查、评估和比较，招标方有权向投标人质疑，要求投标人澄清其投标内容。投标人有责任按照招标方的时间、地点指派专人进行答疑和澄清。</w:t>
      </w:r>
    </w:p>
    <w:p>
      <w:pPr>
        <w:spacing w:line="360" w:lineRule="auto"/>
        <w:ind w:firstLine="480"/>
        <w:rPr>
          <w:rFonts w:hint="eastAsia" w:ascii="宋体" w:hAnsi="宋体" w:eastAsia="宋体" w:cs="宋体"/>
          <w:sz w:val="24"/>
        </w:rPr>
      </w:pPr>
      <w:r>
        <w:rPr>
          <w:rFonts w:hint="eastAsia" w:ascii="宋体" w:hAnsi="宋体" w:eastAsia="宋体" w:cs="宋体"/>
          <w:sz w:val="24"/>
        </w:rPr>
        <w:t>1.7.2  所有澄清的答复必须是书面形式。</w:t>
      </w:r>
    </w:p>
    <w:p>
      <w:pPr>
        <w:spacing w:line="360" w:lineRule="auto"/>
        <w:ind w:firstLine="480"/>
        <w:rPr>
          <w:rFonts w:hint="eastAsia" w:ascii="宋体" w:hAnsi="宋体" w:eastAsia="宋体" w:cs="宋体"/>
          <w:sz w:val="24"/>
        </w:rPr>
      </w:pPr>
      <w:r>
        <w:rPr>
          <w:rFonts w:hint="eastAsia" w:ascii="宋体" w:hAnsi="宋体" w:eastAsia="宋体" w:cs="宋体"/>
          <w:sz w:val="24"/>
        </w:rPr>
        <w:t>1.7.3  投标人的澄清不得对投标内容进行实质性修改。</w:t>
      </w:r>
    </w:p>
    <w:p>
      <w:pPr>
        <w:spacing w:line="360" w:lineRule="auto"/>
        <w:ind w:firstLine="480"/>
        <w:rPr>
          <w:rFonts w:hint="eastAsia" w:ascii="宋体" w:hAnsi="宋体" w:eastAsia="宋体" w:cs="宋体"/>
          <w:sz w:val="24"/>
        </w:rPr>
      </w:pPr>
      <w:r>
        <w:rPr>
          <w:rFonts w:hint="eastAsia" w:ascii="宋体" w:hAnsi="宋体" w:eastAsia="宋体" w:cs="宋体"/>
          <w:sz w:val="24"/>
        </w:rPr>
        <w:t>1.8  根据磋商文件的规定，本次投标不允许投标人投备选标。</w:t>
      </w:r>
    </w:p>
    <w:p>
      <w:pPr>
        <w:spacing w:line="360" w:lineRule="auto"/>
        <w:ind w:firstLine="472" w:firstLineChars="196"/>
        <w:rPr>
          <w:rFonts w:hint="eastAsia" w:ascii="宋体" w:hAnsi="宋体" w:eastAsia="宋体" w:cs="宋体"/>
          <w:sz w:val="24"/>
        </w:rPr>
      </w:pPr>
      <w:r>
        <w:rPr>
          <w:rFonts w:hint="eastAsia" w:ascii="宋体" w:hAnsi="宋体" w:eastAsia="宋体" w:cs="宋体"/>
          <w:b/>
          <w:sz w:val="24"/>
        </w:rPr>
        <w:t xml:space="preserve"> 推荐中标候选人与定标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  评标委员会在评标过程中发现的问题，应当及时作出处理或者向招标人提出处理建议，并作书面记录。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  评标委员会完成评标后，应当向招标人提出书面评标报告，并抄送有关行政监督部门。评标报告应当如实记载以下内容。</w:t>
      </w:r>
    </w:p>
    <w:p>
      <w:pPr>
        <w:spacing w:line="360" w:lineRule="auto"/>
        <w:ind w:firstLine="480"/>
        <w:rPr>
          <w:rFonts w:hint="eastAsia" w:ascii="宋体" w:hAnsi="宋体" w:eastAsia="宋体" w:cs="宋体"/>
          <w:sz w:val="24"/>
        </w:rPr>
      </w:pPr>
      <w:r>
        <w:rPr>
          <w:rFonts w:hint="eastAsia" w:ascii="宋体" w:hAnsi="宋体" w:eastAsia="宋体" w:cs="宋体"/>
          <w:sz w:val="24"/>
        </w:rPr>
        <w:t>1.2.1  基本情况和数据表；</w:t>
      </w:r>
    </w:p>
    <w:p>
      <w:pPr>
        <w:spacing w:line="360" w:lineRule="auto"/>
        <w:ind w:firstLine="480"/>
        <w:rPr>
          <w:rFonts w:hint="eastAsia" w:ascii="宋体" w:hAnsi="宋体" w:eastAsia="宋体" w:cs="宋体"/>
          <w:sz w:val="24"/>
        </w:rPr>
      </w:pPr>
      <w:r>
        <w:rPr>
          <w:rFonts w:hint="eastAsia" w:ascii="宋体" w:hAnsi="宋体" w:eastAsia="宋体" w:cs="宋体"/>
          <w:sz w:val="24"/>
        </w:rPr>
        <w:t>1.2.2  评标委员会成员名单；</w:t>
      </w:r>
    </w:p>
    <w:p>
      <w:pPr>
        <w:spacing w:line="360" w:lineRule="auto"/>
        <w:ind w:firstLine="480"/>
        <w:rPr>
          <w:rFonts w:hint="eastAsia" w:ascii="宋体" w:hAnsi="宋体" w:eastAsia="宋体" w:cs="宋体"/>
          <w:sz w:val="24"/>
        </w:rPr>
      </w:pPr>
      <w:r>
        <w:rPr>
          <w:rFonts w:hint="eastAsia" w:ascii="宋体" w:hAnsi="宋体" w:eastAsia="宋体" w:cs="宋体"/>
          <w:sz w:val="24"/>
        </w:rPr>
        <w:t>1.2.3  开标记录；</w:t>
      </w:r>
    </w:p>
    <w:p>
      <w:pPr>
        <w:spacing w:line="360" w:lineRule="auto"/>
        <w:ind w:firstLine="480"/>
        <w:rPr>
          <w:rFonts w:hint="eastAsia" w:ascii="宋体" w:hAnsi="宋体" w:eastAsia="宋体" w:cs="宋体"/>
          <w:sz w:val="24"/>
        </w:rPr>
      </w:pPr>
      <w:r>
        <w:rPr>
          <w:rFonts w:hint="eastAsia" w:ascii="宋体" w:hAnsi="宋体" w:eastAsia="宋体" w:cs="宋体"/>
          <w:sz w:val="24"/>
        </w:rPr>
        <w:t>1.2.4  符合要求的投标一览表；</w:t>
      </w:r>
    </w:p>
    <w:p>
      <w:pPr>
        <w:spacing w:line="360" w:lineRule="auto"/>
        <w:ind w:firstLine="480"/>
        <w:rPr>
          <w:rFonts w:hint="eastAsia" w:ascii="宋体" w:hAnsi="宋体" w:eastAsia="宋体" w:cs="宋体"/>
          <w:sz w:val="24"/>
        </w:rPr>
      </w:pPr>
      <w:r>
        <w:rPr>
          <w:rFonts w:hint="eastAsia" w:ascii="宋体" w:hAnsi="宋体" w:eastAsia="宋体" w:cs="宋体"/>
          <w:sz w:val="24"/>
        </w:rPr>
        <w:t>1.2.5  废标情况说明；</w:t>
      </w:r>
    </w:p>
    <w:p>
      <w:pPr>
        <w:spacing w:line="360" w:lineRule="auto"/>
        <w:ind w:firstLine="480"/>
        <w:rPr>
          <w:rFonts w:hint="eastAsia" w:ascii="宋体" w:hAnsi="宋体" w:eastAsia="宋体" w:cs="宋体"/>
          <w:sz w:val="24"/>
        </w:rPr>
      </w:pPr>
      <w:r>
        <w:rPr>
          <w:rFonts w:hint="eastAsia" w:ascii="宋体" w:hAnsi="宋体" w:eastAsia="宋体" w:cs="宋体"/>
          <w:sz w:val="24"/>
        </w:rPr>
        <w:t>1.2.6  评标标准、评标方法或者评标因素；</w:t>
      </w:r>
    </w:p>
    <w:p>
      <w:pPr>
        <w:spacing w:line="360" w:lineRule="auto"/>
        <w:ind w:firstLine="480"/>
        <w:rPr>
          <w:rFonts w:hint="eastAsia" w:ascii="宋体" w:hAnsi="宋体" w:eastAsia="宋体" w:cs="宋体"/>
          <w:sz w:val="24"/>
        </w:rPr>
      </w:pPr>
      <w:r>
        <w:rPr>
          <w:rFonts w:hint="eastAsia" w:ascii="宋体" w:hAnsi="宋体" w:eastAsia="宋体" w:cs="宋体"/>
          <w:sz w:val="24"/>
        </w:rPr>
        <w:t>1.2.7  经评审的价格或者评分比较一览表；</w:t>
      </w:r>
    </w:p>
    <w:p>
      <w:pPr>
        <w:spacing w:line="360" w:lineRule="auto"/>
        <w:ind w:firstLine="480"/>
        <w:rPr>
          <w:rFonts w:hint="eastAsia" w:ascii="宋体" w:hAnsi="宋体" w:eastAsia="宋体" w:cs="宋体"/>
          <w:sz w:val="24"/>
        </w:rPr>
      </w:pPr>
      <w:r>
        <w:rPr>
          <w:rFonts w:hint="eastAsia" w:ascii="宋体" w:hAnsi="宋体" w:eastAsia="宋体" w:cs="宋体"/>
          <w:sz w:val="24"/>
        </w:rPr>
        <w:t>1.2.8  经评审的投标人排序；</w:t>
      </w:r>
    </w:p>
    <w:p>
      <w:pPr>
        <w:spacing w:line="360" w:lineRule="auto"/>
        <w:ind w:firstLine="480"/>
        <w:rPr>
          <w:rFonts w:hint="eastAsia" w:ascii="宋体" w:hAnsi="宋体" w:eastAsia="宋体" w:cs="宋体"/>
          <w:sz w:val="24"/>
        </w:rPr>
      </w:pPr>
      <w:r>
        <w:rPr>
          <w:rFonts w:hint="eastAsia" w:ascii="宋体" w:hAnsi="宋体" w:eastAsia="宋体" w:cs="宋体"/>
          <w:sz w:val="24"/>
        </w:rPr>
        <w:t>1.2.9  推荐的中标候选人名单与签订后同前要处理的事宜；</w:t>
      </w:r>
    </w:p>
    <w:p>
      <w:pPr>
        <w:spacing w:line="360" w:lineRule="auto"/>
        <w:ind w:firstLine="480"/>
        <w:rPr>
          <w:rFonts w:hint="eastAsia" w:ascii="宋体" w:hAnsi="宋体" w:eastAsia="宋体" w:cs="宋体"/>
          <w:sz w:val="24"/>
        </w:rPr>
      </w:pPr>
      <w:r>
        <w:rPr>
          <w:rFonts w:hint="eastAsia" w:ascii="宋体" w:hAnsi="宋体" w:eastAsia="宋体" w:cs="宋体"/>
          <w:sz w:val="24"/>
        </w:rPr>
        <w:t>1.2.10  澄清、说明、补正事项纪要。</w:t>
      </w:r>
    </w:p>
    <w:p>
      <w:pPr>
        <w:spacing w:line="360" w:lineRule="auto"/>
        <w:ind w:firstLine="480"/>
        <w:rPr>
          <w:rFonts w:hint="eastAsia" w:ascii="宋体" w:hAnsi="宋体" w:eastAsia="宋体" w:cs="宋体"/>
          <w:sz w:val="24"/>
        </w:rPr>
      </w:pPr>
      <w:r>
        <w:rPr>
          <w:rFonts w:hint="eastAsia" w:ascii="宋体" w:hAnsi="宋体" w:eastAsia="宋体" w:cs="宋体"/>
          <w:sz w:val="24"/>
        </w:rPr>
        <w:t>1.3  评标报告由评标委员会全体成员签字。并对评报结果负责。</w:t>
      </w:r>
    </w:p>
    <w:p>
      <w:pPr>
        <w:spacing w:line="360" w:lineRule="auto"/>
        <w:ind w:firstLine="480"/>
        <w:rPr>
          <w:rFonts w:hint="eastAsia" w:ascii="宋体" w:hAnsi="宋体" w:eastAsia="宋体" w:cs="宋体"/>
          <w:sz w:val="24"/>
        </w:rPr>
      </w:pPr>
      <w:r>
        <w:rPr>
          <w:rFonts w:hint="eastAsia" w:ascii="宋体" w:hAnsi="宋体" w:eastAsia="宋体" w:cs="宋体"/>
          <w:sz w:val="24"/>
        </w:rPr>
        <w:t>1.4  向招标人提交书面评标报告后，评标委员会即告解散。评标过程中使用的文件、表格以及其他资料应当即时归还招标人。</w:t>
      </w:r>
    </w:p>
    <w:p>
      <w:pPr>
        <w:spacing w:line="360" w:lineRule="auto"/>
        <w:ind w:firstLine="480"/>
        <w:rPr>
          <w:rFonts w:hint="eastAsia" w:ascii="宋体" w:hAnsi="宋体" w:eastAsia="宋体" w:cs="宋体"/>
          <w:sz w:val="24"/>
        </w:rPr>
      </w:pPr>
      <w:r>
        <w:rPr>
          <w:rFonts w:hint="eastAsia" w:ascii="宋体" w:hAnsi="宋体" w:eastAsia="宋体" w:cs="宋体"/>
          <w:sz w:val="24"/>
        </w:rPr>
        <w:t>1.5  中标人的投标应当符合下列条件之一：</w:t>
      </w:r>
    </w:p>
    <w:p>
      <w:pPr>
        <w:spacing w:line="360" w:lineRule="auto"/>
        <w:ind w:firstLine="480"/>
        <w:rPr>
          <w:rFonts w:hint="eastAsia" w:ascii="宋体" w:hAnsi="宋体" w:eastAsia="宋体" w:cs="宋体"/>
          <w:sz w:val="24"/>
        </w:rPr>
      </w:pPr>
      <w:r>
        <w:rPr>
          <w:rFonts w:hint="eastAsia" w:ascii="宋体" w:hAnsi="宋体" w:eastAsia="宋体" w:cs="宋体"/>
          <w:sz w:val="24"/>
        </w:rPr>
        <w:t>1.5.1  能够最大限度满足磋商文件中规定的各项综合评价标准；</w:t>
      </w:r>
    </w:p>
    <w:p>
      <w:pPr>
        <w:spacing w:line="360" w:lineRule="auto"/>
        <w:ind w:firstLine="480"/>
        <w:rPr>
          <w:rFonts w:hint="eastAsia" w:ascii="宋体" w:hAnsi="宋体" w:eastAsia="宋体" w:cs="宋体"/>
          <w:sz w:val="24"/>
        </w:rPr>
      </w:pPr>
      <w:r>
        <w:rPr>
          <w:rFonts w:hint="eastAsia" w:ascii="宋体" w:hAnsi="宋体" w:eastAsia="宋体" w:cs="宋体"/>
          <w:sz w:val="24"/>
        </w:rPr>
        <w:t>1.5.2  能够满足磋商文件的实质性要求，并且经评审的投标价格合理；但是投标价格低于成本的除外。评标委员会按照本办法，对进入详细评标的磋商响应文件进行独立评标打分。依据投标人得分多少确定其排名次序。若发生并列的情况，按</w:t>
      </w:r>
      <w:r>
        <w:rPr>
          <w:rFonts w:hint="eastAsia" w:ascii="宋体" w:hAnsi="宋体" w:eastAsia="宋体" w:cs="宋体"/>
          <w:sz w:val="24"/>
          <w:u w:val="single"/>
        </w:rPr>
        <w:t>报价低者优先</w:t>
      </w:r>
      <w:r>
        <w:rPr>
          <w:rFonts w:hint="eastAsia" w:ascii="宋体" w:hAnsi="宋体" w:eastAsia="宋体" w:cs="宋体"/>
          <w:sz w:val="24"/>
        </w:rPr>
        <w:t>排序。</w:t>
      </w:r>
    </w:p>
    <w:p>
      <w:pPr>
        <w:spacing w:line="360" w:lineRule="auto"/>
        <w:ind w:firstLine="480"/>
        <w:rPr>
          <w:rFonts w:hint="eastAsia" w:ascii="宋体" w:hAnsi="宋体" w:eastAsia="宋体" w:cs="宋体"/>
          <w:sz w:val="24"/>
        </w:rPr>
      </w:pPr>
      <w:r>
        <w:rPr>
          <w:rFonts w:hint="eastAsia" w:ascii="宋体" w:hAnsi="宋体" w:eastAsia="宋体" w:cs="宋体"/>
          <w:sz w:val="24"/>
        </w:rPr>
        <w:t>1.6  在确定中标人之前，招标人不得与投标人就投标价格、投标方案等实质性内容进行磋商。</w:t>
      </w:r>
    </w:p>
    <w:p>
      <w:pPr>
        <w:spacing w:line="360" w:lineRule="auto"/>
        <w:ind w:firstLine="480"/>
        <w:rPr>
          <w:rFonts w:hint="eastAsia" w:ascii="宋体" w:hAnsi="宋体" w:eastAsia="宋体" w:cs="宋体"/>
          <w:sz w:val="24"/>
        </w:rPr>
      </w:pPr>
      <w:r>
        <w:rPr>
          <w:rFonts w:hint="eastAsia" w:ascii="宋体" w:hAnsi="宋体" w:eastAsia="宋体" w:cs="宋体"/>
          <w:sz w:val="24"/>
        </w:rPr>
        <w:t>1.7 中标人确定后，招标人应当向中标人发出中标通知书，同时通知未中标人，并与中标人在5个工作日之内签订合同，签订合同后在2个工作日内公示合同，因中标单位原因导致合同无法公示将追究其法律责任。</w:t>
      </w:r>
    </w:p>
    <w:p>
      <w:pPr>
        <w:spacing w:line="360" w:lineRule="auto"/>
        <w:ind w:firstLine="480"/>
        <w:rPr>
          <w:rFonts w:hint="eastAsia" w:ascii="宋体" w:hAnsi="宋体" w:eastAsia="宋体" w:cs="宋体"/>
          <w:sz w:val="24"/>
        </w:rPr>
      </w:pPr>
      <w:r>
        <w:rPr>
          <w:rFonts w:hint="eastAsia" w:ascii="宋体" w:hAnsi="宋体" w:eastAsia="宋体" w:cs="宋体"/>
          <w:sz w:val="24"/>
        </w:rPr>
        <w:t>1.8 中标通知书对招标人和中标人具有法律约束力。中标通知书发出后，招标人改变中标结果或者中标人放弃中标的，应当承担法律责任。</w:t>
      </w:r>
    </w:p>
    <w:p>
      <w:pPr>
        <w:spacing w:line="360" w:lineRule="auto"/>
        <w:ind w:firstLine="480"/>
        <w:rPr>
          <w:rFonts w:hint="eastAsia" w:ascii="宋体" w:hAnsi="宋体" w:eastAsia="宋体" w:cs="宋体"/>
          <w:sz w:val="24"/>
        </w:rPr>
      </w:pPr>
      <w:r>
        <w:rPr>
          <w:rFonts w:hint="eastAsia" w:ascii="宋体" w:hAnsi="宋体" w:eastAsia="宋体" w:cs="宋体"/>
          <w:sz w:val="24"/>
        </w:rPr>
        <w:t>1.9  招标人应当与中标人按照磋商文件和中标人的磋商响应文件订立书面合同。招标人与中标人不得再行订立背离合同实质性内容的其他协议。</w:t>
      </w:r>
      <w:r>
        <w:rPr>
          <w:rFonts w:hint="eastAsia" w:ascii="宋体" w:hAnsi="宋体" w:eastAsia="宋体" w:cs="宋体"/>
          <w:b/>
          <w:sz w:val="24"/>
        </w:rPr>
        <w:t xml:space="preserve"> </w:t>
      </w:r>
    </w:p>
    <w:p>
      <w:pPr>
        <w:spacing w:line="360" w:lineRule="auto"/>
        <w:ind w:firstLine="480"/>
        <w:rPr>
          <w:rFonts w:hint="eastAsia" w:ascii="宋体" w:hAnsi="宋体" w:eastAsia="宋体" w:cs="宋体"/>
          <w:sz w:val="24"/>
        </w:rPr>
      </w:pPr>
      <w:r>
        <w:rPr>
          <w:rFonts w:hint="eastAsia" w:ascii="宋体" w:hAnsi="宋体" w:eastAsia="宋体" w:cs="宋体"/>
          <w:sz w:val="24"/>
        </w:rPr>
        <w:t>1.10  发生下述情况之一，招标方有权宣布本次招标无效：</w:t>
      </w:r>
    </w:p>
    <w:p>
      <w:pPr>
        <w:spacing w:line="360" w:lineRule="auto"/>
        <w:ind w:firstLine="480"/>
        <w:rPr>
          <w:rFonts w:hint="eastAsia" w:ascii="宋体" w:hAnsi="宋体" w:eastAsia="宋体" w:cs="宋体"/>
          <w:sz w:val="24"/>
        </w:rPr>
      </w:pPr>
      <w:r>
        <w:rPr>
          <w:rFonts w:hint="eastAsia" w:ascii="宋体" w:hAnsi="宋体" w:eastAsia="宋体" w:cs="宋体"/>
          <w:sz w:val="24"/>
        </w:rPr>
        <w:t>1、投标人的报价均超过了采购预算，采购人不能支付的；</w:t>
      </w:r>
    </w:p>
    <w:p>
      <w:pPr>
        <w:spacing w:line="360" w:lineRule="auto"/>
        <w:ind w:firstLine="480"/>
        <w:rPr>
          <w:rFonts w:hint="eastAsia" w:ascii="宋体" w:hAnsi="宋体" w:eastAsia="宋体" w:cs="宋体"/>
          <w:sz w:val="24"/>
        </w:rPr>
      </w:pPr>
      <w:r>
        <w:rPr>
          <w:rFonts w:hint="eastAsia" w:ascii="宋体" w:hAnsi="宋体" w:eastAsia="宋体" w:cs="宋体"/>
          <w:sz w:val="24"/>
        </w:rPr>
        <w:t>2、所有投标人的磋商响应文件均未对磋商文件作出实质性响应；</w:t>
      </w:r>
    </w:p>
    <w:p>
      <w:pPr>
        <w:spacing w:line="360" w:lineRule="auto"/>
        <w:ind w:firstLine="480"/>
        <w:rPr>
          <w:rFonts w:hint="eastAsia" w:ascii="宋体" w:hAnsi="宋体" w:eastAsia="宋体" w:cs="宋体"/>
          <w:sz w:val="24"/>
        </w:rPr>
      </w:pPr>
      <w:r>
        <w:rPr>
          <w:rFonts w:hint="eastAsia" w:ascii="宋体" w:hAnsi="宋体" w:eastAsia="宋体" w:cs="宋体"/>
          <w:sz w:val="24"/>
        </w:rPr>
        <w:t>3、符合专业条件的供应商或者对磋商文件作实质响应的供应商不足三家的；</w:t>
      </w:r>
    </w:p>
    <w:p>
      <w:pPr>
        <w:spacing w:line="360" w:lineRule="auto"/>
        <w:ind w:firstLine="480"/>
        <w:rPr>
          <w:rFonts w:hint="eastAsia" w:ascii="宋体" w:hAnsi="宋体" w:eastAsia="宋体" w:cs="宋体"/>
          <w:sz w:val="24"/>
        </w:rPr>
      </w:pPr>
      <w:r>
        <w:rPr>
          <w:rFonts w:hint="eastAsia" w:ascii="宋体" w:hAnsi="宋体" w:eastAsia="宋体" w:cs="宋体"/>
          <w:sz w:val="24"/>
        </w:rPr>
        <w:t>4、投标人串通投标，出现影响采购公正的违法、违规行为的。</w:t>
      </w:r>
    </w:p>
    <w:p>
      <w:pPr>
        <w:spacing w:line="360" w:lineRule="auto"/>
        <w:ind w:firstLine="480"/>
        <w:rPr>
          <w:rFonts w:hint="eastAsia" w:ascii="宋体" w:hAnsi="宋体" w:eastAsia="宋体" w:cs="宋体"/>
          <w:sz w:val="24"/>
        </w:rPr>
      </w:pPr>
      <w:r>
        <w:rPr>
          <w:rFonts w:hint="eastAsia" w:ascii="宋体" w:hAnsi="宋体" w:eastAsia="宋体" w:cs="宋体"/>
          <w:sz w:val="24"/>
        </w:rPr>
        <w:t>5、因重大变故，采购任务取消的。</w:t>
      </w:r>
    </w:p>
    <w:p>
      <w:pPr>
        <w:snapToGrid w:val="0"/>
        <w:spacing w:line="360" w:lineRule="auto"/>
        <w:ind w:firstLine="480"/>
        <w:rPr>
          <w:rFonts w:hint="eastAsia" w:ascii="宋体" w:hAnsi="宋体" w:eastAsia="宋体" w:cs="宋体"/>
          <w:b/>
          <w:bCs/>
          <w:sz w:val="36"/>
          <w:szCs w:val="36"/>
        </w:rPr>
      </w:pPr>
      <w:r>
        <w:rPr>
          <w:rFonts w:hint="eastAsia" w:ascii="宋体" w:hAnsi="宋体" w:eastAsia="宋体" w:cs="宋体"/>
          <w:sz w:val="24"/>
        </w:rPr>
        <w:t>1.11有关磋商响应文件的审查、澄清、评估和比较及有关授予合同的意向的一切情况都不得透漏给任一投标人或与上述评标工作无关的人员。</w:t>
      </w:r>
    </w:p>
    <w:p>
      <w:pPr>
        <w:pStyle w:val="23"/>
        <w:ind w:left="0" w:leftChars="0" w:firstLine="0" w:firstLineChars="0"/>
        <w:jc w:val="center"/>
        <w:rPr>
          <w:rFonts w:hint="eastAsia" w:ascii="宋体" w:hAnsi="宋体" w:eastAsia="宋体" w:cs="宋体"/>
          <w:b/>
          <w:bCs/>
          <w:color w:val="000000"/>
          <w:kern w:val="2"/>
          <w:szCs w:val="24"/>
        </w:rPr>
      </w:pPr>
    </w:p>
    <w:p>
      <w:pPr>
        <w:pStyle w:val="23"/>
        <w:ind w:left="0" w:leftChars="0" w:firstLine="0" w:firstLineChars="0"/>
        <w:jc w:val="center"/>
        <w:rPr>
          <w:rFonts w:hint="eastAsia" w:ascii="宋体" w:hAnsi="宋体" w:eastAsia="宋体" w:cs="宋体"/>
          <w:b/>
          <w:bCs/>
          <w:color w:val="000000"/>
          <w:kern w:val="2"/>
          <w:szCs w:val="24"/>
        </w:rPr>
      </w:pPr>
    </w:p>
    <w:p>
      <w:pPr>
        <w:pStyle w:val="23"/>
        <w:ind w:left="0" w:leftChars="0" w:firstLine="0" w:firstLineChars="0"/>
        <w:jc w:val="center"/>
        <w:rPr>
          <w:rFonts w:hint="eastAsia" w:ascii="宋体" w:hAnsi="宋体" w:eastAsia="宋体" w:cs="宋体"/>
          <w:b/>
          <w:bCs/>
          <w:color w:val="000000"/>
          <w:kern w:val="2"/>
          <w:szCs w:val="24"/>
        </w:rPr>
      </w:pPr>
    </w:p>
    <w:p>
      <w:pPr>
        <w:pStyle w:val="23"/>
        <w:ind w:left="0" w:leftChars="0" w:firstLine="0" w:firstLineChars="0"/>
        <w:jc w:val="center"/>
        <w:rPr>
          <w:rFonts w:hint="eastAsia" w:ascii="宋体" w:hAnsi="宋体" w:eastAsia="宋体" w:cs="宋体"/>
          <w:b/>
          <w:bCs/>
          <w:color w:val="000000"/>
          <w:kern w:val="2"/>
          <w:szCs w:val="24"/>
        </w:rPr>
      </w:pPr>
    </w:p>
    <w:p>
      <w:pPr>
        <w:pStyle w:val="23"/>
        <w:ind w:left="0" w:leftChars="0" w:firstLine="0" w:firstLineChars="0"/>
        <w:jc w:val="center"/>
        <w:rPr>
          <w:rFonts w:hint="eastAsia" w:ascii="宋体" w:hAnsi="宋体" w:eastAsia="宋体" w:cs="宋体"/>
          <w:b/>
          <w:bCs/>
          <w:color w:val="000000"/>
          <w:kern w:val="2"/>
          <w:szCs w:val="24"/>
        </w:rPr>
      </w:pPr>
    </w:p>
    <w:p>
      <w:pPr>
        <w:pStyle w:val="23"/>
        <w:ind w:left="0" w:leftChars="0" w:firstLine="0" w:firstLineChars="0"/>
        <w:jc w:val="center"/>
        <w:rPr>
          <w:rFonts w:hint="eastAsia" w:ascii="宋体" w:hAnsi="宋体" w:eastAsia="宋体" w:cs="宋体"/>
          <w:b/>
          <w:bCs/>
          <w:color w:val="000000"/>
          <w:kern w:val="2"/>
          <w:szCs w:val="24"/>
        </w:rPr>
      </w:pPr>
    </w:p>
    <w:p>
      <w:pPr>
        <w:pStyle w:val="23"/>
        <w:ind w:left="0" w:leftChars="0" w:firstLine="0" w:firstLineChars="0"/>
        <w:jc w:val="both"/>
        <w:rPr>
          <w:rFonts w:hint="eastAsia" w:ascii="宋体" w:hAnsi="宋体" w:eastAsia="宋体" w:cs="宋体"/>
          <w:b/>
          <w:bCs/>
          <w:color w:val="000000"/>
          <w:kern w:val="2"/>
          <w:szCs w:val="24"/>
        </w:rPr>
      </w:pPr>
    </w:p>
    <w:tbl>
      <w:tblPr>
        <w:tblStyle w:val="24"/>
        <w:tblW w:w="5551" w:type="pct"/>
        <w:jc w:val="center"/>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15" w:type="dxa"/>
          <w:left w:w="15" w:type="dxa"/>
          <w:bottom w:w="15" w:type="dxa"/>
          <w:right w:w="15" w:type="dxa"/>
        </w:tblCellMar>
      </w:tblPr>
      <w:tblGrid>
        <w:gridCol w:w="393"/>
        <w:gridCol w:w="639"/>
        <w:gridCol w:w="892"/>
        <w:gridCol w:w="1398"/>
        <w:gridCol w:w="5692"/>
        <w:gridCol w:w="241"/>
      </w:tblGrid>
      <w:tr>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524" w:hRule="atLeast"/>
          <w:jc w:val="center"/>
        </w:trPr>
        <w:tc>
          <w:tcPr>
            <w:tcW w:w="5000" w:type="pct"/>
            <w:gridSpan w:val="6"/>
            <w:vAlign w:val="center"/>
          </w:tcPr>
          <w:p>
            <w:pPr>
              <w:jc w:val="both"/>
              <w:textAlignment w:val="center"/>
              <w:rPr>
                <w:rFonts w:hint="eastAsia" w:ascii="宋体" w:hAnsi="宋体" w:eastAsia="宋体" w:cs="宋体"/>
                <w:b/>
                <w:bCs/>
                <w:color w:val="000000"/>
                <w:sz w:val="24"/>
              </w:rPr>
            </w:pPr>
          </w:p>
          <w:p>
            <w:pPr>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详细评审标准表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525" w:hRule="atLeast"/>
          <w:jc w:val="center"/>
        </w:trPr>
        <w:tc>
          <w:tcPr>
            <w:tcW w:w="827" w:type="pct"/>
            <w:gridSpan w:val="2"/>
            <w:tcBorders>
              <w:tl2br w:val="nil"/>
              <w:tr2bl w:val="nil"/>
            </w:tcBorders>
            <w:tcMar>
              <w:top w:w="0" w:type="dxa"/>
              <w:left w:w="57" w:type="dxa"/>
              <w:bottom w:w="0" w:type="dxa"/>
              <w:right w:w="57" w:type="dxa"/>
            </w:tcMar>
            <w:vAlign w:val="center"/>
          </w:tcPr>
          <w:p>
            <w:pPr>
              <w:pStyle w:val="48"/>
              <w:widowControl w:val="0"/>
              <w:kinsoku w:val="0"/>
              <w:overflowPunct w:val="0"/>
              <w:autoSpaceDE w:val="0"/>
              <w:autoSpaceDN w:val="0"/>
              <w:adjustRightInd w:val="0"/>
              <w:snapToGrid w:val="0"/>
              <w:jc w:val="center"/>
              <w:rPr>
                <w:rFonts w:hint="eastAsia" w:ascii="宋体" w:hAnsi="宋体" w:eastAsia="宋体" w:cs="宋体"/>
                <w:b/>
                <w:bCs/>
                <w:sz w:val="21"/>
              </w:rPr>
            </w:pPr>
            <w:r>
              <w:rPr>
                <w:rFonts w:hint="eastAsia" w:ascii="宋体" w:hAnsi="宋体" w:eastAsia="宋体" w:cs="宋体"/>
                <w:b/>
                <w:bCs/>
                <w:sz w:val="21"/>
              </w:rPr>
              <w:t>条款号</w:t>
            </w:r>
          </w:p>
        </w:tc>
        <w:tc>
          <w:tcPr>
            <w:tcW w:w="755" w:type="pct"/>
            <w:tcBorders>
              <w:tl2br w:val="nil"/>
              <w:tr2bl w:val="nil"/>
            </w:tcBorders>
            <w:tcMar>
              <w:top w:w="0" w:type="dxa"/>
              <w:left w:w="57" w:type="dxa"/>
              <w:bottom w:w="0" w:type="dxa"/>
              <w:right w:w="57" w:type="dxa"/>
            </w:tcMar>
            <w:vAlign w:val="center"/>
          </w:tcPr>
          <w:p>
            <w:pPr>
              <w:pStyle w:val="48"/>
              <w:widowControl w:val="0"/>
              <w:kinsoku w:val="0"/>
              <w:wordWrap w:val="0"/>
              <w:overflowPunct w:val="0"/>
              <w:autoSpaceDE w:val="0"/>
              <w:autoSpaceDN w:val="0"/>
              <w:adjustRightInd w:val="0"/>
              <w:snapToGrid w:val="0"/>
              <w:jc w:val="center"/>
              <w:rPr>
                <w:rFonts w:hint="eastAsia" w:ascii="宋体" w:hAnsi="宋体" w:eastAsia="宋体" w:cs="宋体"/>
                <w:b/>
                <w:bCs/>
                <w:sz w:val="21"/>
              </w:rPr>
            </w:pPr>
            <w:r>
              <w:rPr>
                <w:rFonts w:hint="eastAsia" w:ascii="宋体" w:hAnsi="宋体" w:eastAsia="宋体" w:cs="宋体"/>
                <w:b/>
                <w:bCs/>
                <w:sz w:val="21"/>
              </w:rPr>
              <w:t>条款内容</w:t>
            </w:r>
          </w:p>
        </w:tc>
        <w:tc>
          <w:tcPr>
            <w:tcW w:w="3075" w:type="pct"/>
            <w:tcBorders>
              <w:tl2br w:val="nil"/>
              <w:tr2bl w:val="nil"/>
            </w:tcBorders>
            <w:tcMar>
              <w:top w:w="0" w:type="dxa"/>
              <w:left w:w="57" w:type="dxa"/>
              <w:bottom w:w="0" w:type="dxa"/>
              <w:right w:w="57" w:type="dxa"/>
            </w:tcMar>
            <w:vAlign w:val="center"/>
          </w:tcPr>
          <w:p>
            <w:pPr>
              <w:pStyle w:val="48"/>
              <w:widowControl w:val="0"/>
              <w:kinsoku w:val="0"/>
              <w:wordWrap w:val="0"/>
              <w:overflowPunct w:val="0"/>
              <w:autoSpaceDE w:val="0"/>
              <w:autoSpaceDN w:val="0"/>
              <w:adjustRightInd w:val="0"/>
              <w:snapToGrid w:val="0"/>
              <w:jc w:val="center"/>
              <w:rPr>
                <w:rFonts w:hint="eastAsia" w:ascii="宋体" w:hAnsi="宋体" w:eastAsia="宋体" w:cs="宋体"/>
                <w:b/>
                <w:bCs/>
                <w:sz w:val="21"/>
              </w:rPr>
            </w:pPr>
            <w:r>
              <w:rPr>
                <w:rFonts w:hint="eastAsia" w:ascii="宋体" w:hAnsi="宋体" w:eastAsia="宋体" w:cs="宋体"/>
                <w:b/>
                <w:bCs/>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827" w:type="pct"/>
            <w:gridSpan w:val="2"/>
            <w:tcBorders>
              <w:tl2br w:val="nil"/>
              <w:tr2bl w:val="nil"/>
            </w:tcBorders>
            <w:tcMar>
              <w:top w:w="0" w:type="dxa"/>
              <w:left w:w="57" w:type="dxa"/>
              <w:bottom w:w="0" w:type="dxa"/>
              <w:right w:w="57" w:type="dxa"/>
            </w:tcMar>
            <w:vAlign w:val="center"/>
          </w:tcPr>
          <w:p>
            <w:pPr>
              <w:pStyle w:val="48"/>
              <w:widowControl w:val="0"/>
              <w:kinsoku w:val="0"/>
              <w:wordWrap w:val="0"/>
              <w:overflowPunct w:val="0"/>
              <w:autoSpaceDE w:val="0"/>
              <w:autoSpaceDN w:val="0"/>
              <w:adjustRightInd w:val="0"/>
              <w:snapToGrid w:val="0"/>
              <w:jc w:val="center"/>
              <w:rPr>
                <w:rFonts w:hint="eastAsia" w:ascii="宋体" w:hAnsi="宋体" w:eastAsia="宋体" w:cs="宋体"/>
                <w:kern w:val="2"/>
                <w:sz w:val="18"/>
                <w:szCs w:val="18"/>
              </w:rPr>
            </w:pPr>
            <w:r>
              <w:rPr>
                <w:rFonts w:hint="eastAsia" w:ascii="宋体" w:hAnsi="宋体" w:eastAsia="宋体" w:cs="宋体"/>
                <w:kern w:val="2"/>
                <w:sz w:val="18"/>
                <w:szCs w:val="18"/>
              </w:rPr>
              <w:t>1</w:t>
            </w:r>
          </w:p>
        </w:tc>
        <w:tc>
          <w:tcPr>
            <w:tcW w:w="755" w:type="pct"/>
            <w:tcBorders>
              <w:tl2br w:val="nil"/>
              <w:tr2bl w:val="nil"/>
            </w:tcBorders>
            <w:tcMar>
              <w:top w:w="0" w:type="dxa"/>
              <w:left w:w="57" w:type="dxa"/>
              <w:bottom w:w="0" w:type="dxa"/>
              <w:right w:w="57" w:type="dxa"/>
            </w:tcMar>
            <w:vAlign w:val="center"/>
          </w:tcPr>
          <w:p>
            <w:pPr>
              <w:pStyle w:val="48"/>
              <w:widowControl w:val="0"/>
              <w:kinsoku w:val="0"/>
              <w:wordWrap w:val="0"/>
              <w:overflowPunct w:val="0"/>
              <w:autoSpaceDE w:val="0"/>
              <w:autoSpaceDN w:val="0"/>
              <w:adjustRightInd w:val="0"/>
              <w:snapToGrid w:val="0"/>
              <w:jc w:val="both"/>
              <w:rPr>
                <w:rFonts w:hint="eastAsia" w:ascii="宋体" w:hAnsi="宋体" w:eastAsia="宋体" w:cs="宋体"/>
                <w:kern w:val="2"/>
                <w:sz w:val="18"/>
                <w:szCs w:val="18"/>
              </w:rPr>
            </w:pPr>
            <w:r>
              <w:rPr>
                <w:rFonts w:hint="eastAsia" w:ascii="宋体" w:hAnsi="宋体" w:eastAsia="宋体" w:cs="宋体"/>
                <w:kern w:val="2"/>
                <w:sz w:val="18"/>
                <w:szCs w:val="18"/>
              </w:rPr>
              <w:t>分值构成(总分100分)</w:t>
            </w:r>
          </w:p>
        </w:tc>
        <w:tc>
          <w:tcPr>
            <w:tcW w:w="3075" w:type="pct"/>
            <w:tcBorders>
              <w:tl2br w:val="nil"/>
              <w:tr2bl w:val="nil"/>
            </w:tcBorders>
            <w:tcMar>
              <w:top w:w="0" w:type="dxa"/>
              <w:left w:w="57" w:type="dxa"/>
              <w:bottom w:w="0" w:type="dxa"/>
              <w:right w:w="57" w:type="dxa"/>
            </w:tcMar>
            <w:vAlign w:val="center"/>
          </w:tcPr>
          <w:p>
            <w:pPr>
              <w:pStyle w:val="48"/>
              <w:widowControl w:val="0"/>
              <w:kinsoku w:val="0"/>
              <w:wordWrap w:val="0"/>
              <w:overflowPunct w:val="0"/>
              <w:autoSpaceDE w:val="0"/>
              <w:autoSpaceDN w:val="0"/>
              <w:adjustRightInd w:val="0"/>
              <w:snapToGrid w:val="0"/>
              <w:rPr>
                <w:rFonts w:hint="eastAsia" w:ascii="宋体" w:hAnsi="宋体" w:eastAsia="宋体" w:cs="宋体"/>
                <w:kern w:val="2"/>
                <w:sz w:val="18"/>
                <w:szCs w:val="18"/>
              </w:rPr>
            </w:pPr>
            <w:r>
              <w:rPr>
                <w:rFonts w:hint="eastAsia" w:ascii="宋体" w:hAnsi="宋体" w:eastAsia="宋体" w:cs="宋体"/>
                <w:kern w:val="2"/>
                <w:sz w:val="18"/>
                <w:szCs w:val="18"/>
              </w:rPr>
              <w:t>资信分：15分</w:t>
            </w:r>
          </w:p>
          <w:p>
            <w:pPr>
              <w:pStyle w:val="48"/>
              <w:widowControl w:val="0"/>
              <w:kinsoku w:val="0"/>
              <w:wordWrap w:val="0"/>
              <w:overflowPunct w:val="0"/>
              <w:autoSpaceDE w:val="0"/>
              <w:autoSpaceDN w:val="0"/>
              <w:adjustRightInd w:val="0"/>
              <w:snapToGrid w:val="0"/>
              <w:rPr>
                <w:rFonts w:hint="eastAsia" w:ascii="宋体" w:hAnsi="宋体" w:eastAsia="宋体" w:cs="宋体"/>
                <w:kern w:val="2"/>
                <w:sz w:val="18"/>
                <w:szCs w:val="18"/>
              </w:rPr>
            </w:pPr>
            <w:r>
              <w:rPr>
                <w:rFonts w:hint="eastAsia" w:ascii="宋体" w:hAnsi="宋体" w:eastAsia="宋体" w:cs="宋体"/>
                <w:kern w:val="2"/>
                <w:sz w:val="18"/>
                <w:szCs w:val="18"/>
              </w:rPr>
              <w:t>服务方案分：65分</w:t>
            </w:r>
          </w:p>
          <w:p>
            <w:pPr>
              <w:pStyle w:val="48"/>
              <w:widowControl w:val="0"/>
              <w:kinsoku w:val="0"/>
              <w:wordWrap w:val="0"/>
              <w:overflowPunct w:val="0"/>
              <w:autoSpaceDE w:val="0"/>
              <w:autoSpaceDN w:val="0"/>
              <w:adjustRightInd w:val="0"/>
              <w:snapToGrid w:val="0"/>
              <w:rPr>
                <w:rFonts w:hint="eastAsia" w:ascii="宋体" w:hAnsi="宋体" w:eastAsia="宋体" w:cs="宋体"/>
                <w:kern w:val="2"/>
                <w:sz w:val="18"/>
                <w:szCs w:val="18"/>
              </w:rPr>
            </w:pPr>
            <w:r>
              <w:rPr>
                <w:rFonts w:hint="eastAsia" w:ascii="宋体" w:hAnsi="宋体" w:eastAsia="宋体" w:cs="宋体"/>
                <w:kern w:val="2"/>
                <w:sz w:val="18"/>
                <w:szCs w:val="18"/>
              </w:rPr>
              <w:t>投标报价分：20分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585" w:hRule="atLeast"/>
          <w:jc w:val="center"/>
        </w:trPr>
        <w:tc>
          <w:tcPr>
            <w:tcW w:w="827" w:type="pct"/>
            <w:gridSpan w:val="2"/>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b/>
                <w:sz w:val="18"/>
                <w:szCs w:val="18"/>
              </w:rPr>
              <w:t>条款号</w:t>
            </w: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b/>
                <w:sz w:val="18"/>
                <w:szCs w:val="18"/>
              </w:rPr>
              <w:t>评分因素</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b/>
                <w:sz w:val="18"/>
                <w:szCs w:val="1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restar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1</w:t>
            </w:r>
          </w:p>
        </w:tc>
        <w:tc>
          <w:tcPr>
            <w:tcW w:w="481" w:type="pct"/>
            <w:vMerge w:val="restar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商务评分（15分）</w:t>
            </w: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企业业绩</w:t>
            </w:r>
          </w:p>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（6分）</w:t>
            </w:r>
          </w:p>
        </w:tc>
        <w:tc>
          <w:tcPr>
            <w:tcW w:w="3075" w:type="pct"/>
            <w:tcBorders>
              <w:tl2br w:val="nil"/>
              <w:tr2bl w:val="nil"/>
            </w:tcBorders>
            <w:tcMar>
              <w:top w:w="0" w:type="dxa"/>
              <w:left w:w="57" w:type="dxa"/>
              <w:bottom w:w="0" w:type="dxa"/>
              <w:right w:w="57" w:type="dxa"/>
            </w:tcMar>
            <w:vAlign w:val="center"/>
          </w:tcPr>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1）投标人近三年内承担过运输机场项目选址、可研类咨询服务业绩，每有一项得1分，最多得3分。</w:t>
            </w:r>
          </w:p>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2）投标人近三年内承担过机场项目军方协调类业绩，每有一项得1分，最多得3分。</w:t>
            </w:r>
          </w:p>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（业绩证明材料：须提供机场选址、可研类项目及军方协调类项目业绩的合同证明文件或中标通知书扫描件。）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项目负责人资历和业绩</w:t>
            </w:r>
          </w:p>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（6分）</w:t>
            </w:r>
          </w:p>
        </w:tc>
        <w:tc>
          <w:tcPr>
            <w:tcW w:w="3075" w:type="pct"/>
            <w:tcBorders>
              <w:tl2br w:val="nil"/>
              <w:tr2bl w:val="nil"/>
            </w:tcBorders>
            <w:tcMar>
              <w:top w:w="0" w:type="dxa"/>
              <w:left w:w="57" w:type="dxa"/>
              <w:bottom w:w="0" w:type="dxa"/>
              <w:right w:w="57" w:type="dxa"/>
            </w:tcMar>
            <w:vAlign w:val="center"/>
          </w:tcPr>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每担任过一项运输机场选址、可研工作，得2分，最高的6分。</w:t>
            </w:r>
          </w:p>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（项目负责人须同时提供本公司近一年内连续二个月的社会保险缴纳凭证。）</w:t>
            </w:r>
          </w:p>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（业绩证明材料：须提供运输机场选址、可研类项目的合同文件或中标通知书扫描件。业绩证明材料要求能体现姓名、项目名称等相关信息，否则不予计分）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人员配备情况（3分）</w:t>
            </w:r>
          </w:p>
        </w:tc>
        <w:tc>
          <w:tcPr>
            <w:tcW w:w="3075" w:type="pct"/>
            <w:tcBorders>
              <w:tl2br w:val="nil"/>
              <w:tr2bl w:val="nil"/>
            </w:tcBorders>
            <w:tcMar>
              <w:top w:w="0" w:type="dxa"/>
              <w:left w:w="57" w:type="dxa"/>
              <w:bottom w:w="0" w:type="dxa"/>
              <w:right w:w="57" w:type="dxa"/>
            </w:tcMar>
            <w:vAlign w:val="center"/>
          </w:tcPr>
          <w:p>
            <w:pPr>
              <w:tabs>
                <w:tab w:val="center" w:pos="4153"/>
                <w:tab w:val="right" w:pos="8306"/>
              </w:tabs>
              <w:wordWrap w:val="0"/>
              <w:snapToGrid w:val="0"/>
              <w:rPr>
                <w:rFonts w:hint="eastAsia" w:ascii="宋体" w:hAnsi="宋体" w:eastAsia="宋体" w:cs="宋体"/>
                <w:sz w:val="18"/>
                <w:szCs w:val="18"/>
              </w:rPr>
            </w:pPr>
            <w:r>
              <w:rPr>
                <w:rFonts w:hint="eastAsia" w:ascii="宋体" w:hAnsi="宋体" w:eastAsia="宋体" w:cs="宋体"/>
                <w:sz w:val="18"/>
                <w:szCs w:val="18"/>
              </w:rPr>
              <w:t>企业人员、管理水平、技术力量和仪器设备的配置，各关键岗位人员配置是否齐全，是否做到全员持证上岗，且岗位职责明确。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restar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2</w:t>
            </w:r>
          </w:p>
        </w:tc>
        <w:tc>
          <w:tcPr>
            <w:tcW w:w="481" w:type="pct"/>
            <w:vMerge w:val="restar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技术方案评分标准（65分）</w:t>
            </w: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服务范围和内容</w:t>
            </w:r>
          </w:p>
          <w:p>
            <w:pPr>
              <w:pStyle w:val="49"/>
              <w:kinsoku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（5分）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从投标人服务范围、内容满足招标文件规定的要求，服务内容能结合本项目实际情况，服务理念先进，成熟可靠。评委综合考虑赋分，优秀4-5分，较好2-3分，一般0-1分。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选址技术服务工作方案（10分）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根据投标人提供的选址技术服务工作方案进行横向对比。评委综合考虑赋分，优秀8-10分，较好4-7分，一般0-3分。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飞行程序报告编制大纲</w:t>
            </w:r>
          </w:p>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（10分）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根据投标人提供的飞行程序报告编制大纲内容进行横向对比。评委综合考虑赋分，优秀8-10分，较好4-7分，一般0-3分。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飞机性能分析报告编制大纲(10分)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根据投标人提供的飞机性能分析报告编制大纲内容进行横向对比。评委综合考虑赋分，优秀8-10分，较好4-7分，一般0-3分。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项目重点和难点分析</w:t>
            </w:r>
          </w:p>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（10分）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根据投标人提供的项目重点和难点分析内容进行横向对比。评委综合考虑赋分，优秀8-10分，较好4-7分，一般0-3分。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本项目机构设置和岗位职责（5分）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投标人机构设置合理，人员专业配置合理和岗位职责划分明确，评委综合考虑赋分，优秀4-5分，较好2-3分，一般0-1分。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服务质量、进度计划、保密等保证措施</w:t>
            </w:r>
          </w:p>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（10分）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投标人提出的保证服务质量、进度的措施的科学性、可行性及满足招标文件要求的程度，评委综合考虑赋分，优秀8-10分，较好4-7分，一般0-3分。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340" w:hRule="atLeast"/>
          <w:jc w:val="center"/>
        </w:trPr>
        <w:tc>
          <w:tcPr>
            <w:tcW w:w="345"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481" w:type="pct"/>
            <w:vMerge w:val="continue"/>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合理化建议和服务承诺</w:t>
            </w:r>
          </w:p>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（5分）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投标人根据项目具体情况，提出的建议和服务承诺，建议合理可行，服务承诺具体，评委综合考虑赋分，优秀4-5分，较好2-3分，一般0-1分。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213" w:type="pct"/>
          <w:wAfter w:w="129" w:type="pct"/>
          <w:trHeight w:val="985" w:hRule="atLeast"/>
          <w:jc w:val="center"/>
        </w:trPr>
        <w:tc>
          <w:tcPr>
            <w:tcW w:w="34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3</w:t>
            </w:r>
          </w:p>
        </w:tc>
        <w:tc>
          <w:tcPr>
            <w:tcW w:w="481"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报价评分标准（20分）</w:t>
            </w:r>
          </w:p>
        </w:tc>
        <w:tc>
          <w:tcPr>
            <w:tcW w:w="75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投标报价</w:t>
            </w:r>
          </w:p>
          <w:p>
            <w:pPr>
              <w:pStyle w:val="49"/>
              <w:widowControl w:val="0"/>
              <w:kinsoku w:val="0"/>
              <w:wordWrap w:val="0"/>
              <w:overflowPunct w:val="0"/>
              <w:autoSpaceDE w:val="0"/>
              <w:autoSpaceDN w:val="0"/>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（20分）</w:t>
            </w:r>
          </w:p>
        </w:tc>
        <w:tc>
          <w:tcPr>
            <w:tcW w:w="3075" w:type="pct"/>
            <w:tcBorders>
              <w:tl2br w:val="nil"/>
              <w:tr2bl w:val="nil"/>
            </w:tcBorders>
            <w:tcMar>
              <w:top w:w="0" w:type="dxa"/>
              <w:left w:w="57" w:type="dxa"/>
              <w:bottom w:w="0" w:type="dxa"/>
              <w:right w:w="57" w:type="dxa"/>
            </w:tcMar>
            <w:vAlign w:val="center"/>
          </w:tcPr>
          <w:p>
            <w:pPr>
              <w:pStyle w:val="49"/>
              <w:widowControl w:val="0"/>
              <w:kinsoku w:val="0"/>
              <w:wordWrap w:val="0"/>
              <w:overflowPunct w:val="0"/>
              <w:autoSpaceDE w:val="0"/>
              <w:autoSpaceDN w:val="0"/>
              <w:adjustRightInd w:val="0"/>
              <w:snapToGrid w:val="0"/>
              <w:rPr>
                <w:rFonts w:hint="eastAsia" w:ascii="宋体" w:hAnsi="宋体" w:eastAsia="宋体" w:cs="宋体"/>
                <w:sz w:val="18"/>
                <w:szCs w:val="18"/>
              </w:rPr>
            </w:pPr>
            <w:r>
              <w:rPr>
                <w:rFonts w:hint="eastAsia" w:ascii="宋体" w:hAnsi="宋体" w:eastAsia="宋体" w:cs="宋体"/>
                <w:sz w:val="18"/>
                <w:szCs w:val="18"/>
              </w:rPr>
              <w:t>报价得分=(评标基准价/报价)×20%×100，最高得分为20分。注：采用低价优先法计算，即满足招标文件要求且投标价格最低的投标报价为评标基准价，其价格为满分（保留小数点后两位）。</w:t>
            </w:r>
          </w:p>
        </w:tc>
      </w:tr>
    </w:tbl>
    <w:p>
      <w:pPr>
        <w:pStyle w:val="23"/>
        <w:ind w:left="0" w:leftChars="0" w:firstLine="0" w:firstLineChars="0"/>
        <w:jc w:val="both"/>
        <w:rPr>
          <w:rFonts w:hint="eastAsia" w:ascii="宋体" w:hAnsi="宋体" w:eastAsia="宋体" w:cs="宋体"/>
          <w:b/>
          <w:bCs/>
          <w:color w:val="000000"/>
          <w:kern w:val="2"/>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1"/>
      </w:pPr>
      <w:r>
        <w:rPr>
          <w:rStyle w:val="29"/>
        </w:rPr>
        <w:footnoteRef/>
      </w:r>
      <w:r>
        <w:t xml:space="preserve"> </w:t>
      </w:r>
      <w:r>
        <w:rPr>
          <w:rFonts w:hint="eastAsi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rPr>
        <w:rFonts w:hint="eastAsia"/>
        <w:b/>
        <w:bCs/>
      </w:rPr>
    </w:lvl>
  </w:abstractNum>
  <w:abstractNum w:abstractNumId="1">
    <w:nsid w:val="00000001"/>
    <w:multiLevelType w:val="singleLevel"/>
    <w:tmpl w:val="00000001"/>
    <w:lvl w:ilvl="0" w:tentative="0">
      <w:start w:val="6"/>
      <w:numFmt w:val="chineseCounting"/>
      <w:suff w:val="space"/>
      <w:lvlText w:val="第%1章"/>
      <w:lvlJc w:val="left"/>
      <w:rPr>
        <w:rFonts w:hint="eastAsia"/>
      </w:rPr>
    </w:lvl>
  </w:abstractNum>
  <w:abstractNum w:abstractNumId="2">
    <w:nsid w:val="00000002"/>
    <w:multiLevelType w:val="singleLevel"/>
    <w:tmpl w:val="00000002"/>
    <w:lvl w:ilvl="0" w:tentative="0">
      <w:start w:val="11"/>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IwOTY0OGU0ZGYyNDM4YzlhNjQzODVkNjgxMGE2NzgifQ=="/>
  </w:docVars>
  <w:rsids>
    <w:rsidRoot w:val="00000000"/>
    <w:rsid w:val="003550AC"/>
    <w:rsid w:val="02497534"/>
    <w:rsid w:val="03634626"/>
    <w:rsid w:val="03E21BA7"/>
    <w:rsid w:val="063E0A32"/>
    <w:rsid w:val="07B2792A"/>
    <w:rsid w:val="08C47915"/>
    <w:rsid w:val="092959CA"/>
    <w:rsid w:val="0BD460C1"/>
    <w:rsid w:val="0BD86E12"/>
    <w:rsid w:val="0CF8027A"/>
    <w:rsid w:val="0D2C6AE3"/>
    <w:rsid w:val="0F8C280E"/>
    <w:rsid w:val="0FCD3553"/>
    <w:rsid w:val="10962E3C"/>
    <w:rsid w:val="10F84A9B"/>
    <w:rsid w:val="11B617F9"/>
    <w:rsid w:val="1428429C"/>
    <w:rsid w:val="147E236E"/>
    <w:rsid w:val="14956609"/>
    <w:rsid w:val="164B351C"/>
    <w:rsid w:val="168F63D8"/>
    <w:rsid w:val="16BD3831"/>
    <w:rsid w:val="17073F0E"/>
    <w:rsid w:val="170A534A"/>
    <w:rsid w:val="17F04B00"/>
    <w:rsid w:val="184620F4"/>
    <w:rsid w:val="189C52E9"/>
    <w:rsid w:val="1CD6156D"/>
    <w:rsid w:val="1D7C2114"/>
    <w:rsid w:val="1E8A260F"/>
    <w:rsid w:val="1EAE7422"/>
    <w:rsid w:val="1FCF1C4F"/>
    <w:rsid w:val="20A040F4"/>
    <w:rsid w:val="21380B31"/>
    <w:rsid w:val="21522E20"/>
    <w:rsid w:val="215B0293"/>
    <w:rsid w:val="22B1460E"/>
    <w:rsid w:val="23437E94"/>
    <w:rsid w:val="2463565C"/>
    <w:rsid w:val="25002580"/>
    <w:rsid w:val="27AC0461"/>
    <w:rsid w:val="285717B4"/>
    <w:rsid w:val="2AEC4516"/>
    <w:rsid w:val="2C08523B"/>
    <w:rsid w:val="2E913546"/>
    <w:rsid w:val="2F88504A"/>
    <w:rsid w:val="307F5D4C"/>
    <w:rsid w:val="307F78D8"/>
    <w:rsid w:val="30A6777C"/>
    <w:rsid w:val="313905F0"/>
    <w:rsid w:val="333D3C9C"/>
    <w:rsid w:val="336F6F2E"/>
    <w:rsid w:val="33802506"/>
    <w:rsid w:val="33E52369"/>
    <w:rsid w:val="34F82570"/>
    <w:rsid w:val="35702516"/>
    <w:rsid w:val="36962041"/>
    <w:rsid w:val="36F2720B"/>
    <w:rsid w:val="370C0A32"/>
    <w:rsid w:val="39647017"/>
    <w:rsid w:val="3B2220F5"/>
    <w:rsid w:val="3B530501"/>
    <w:rsid w:val="3E363609"/>
    <w:rsid w:val="3EB35A14"/>
    <w:rsid w:val="41121B6C"/>
    <w:rsid w:val="41BB295C"/>
    <w:rsid w:val="429D27EE"/>
    <w:rsid w:val="42FE4D96"/>
    <w:rsid w:val="439E0787"/>
    <w:rsid w:val="47064A65"/>
    <w:rsid w:val="48E924A4"/>
    <w:rsid w:val="49D22F38"/>
    <w:rsid w:val="4B1A06F3"/>
    <w:rsid w:val="4B2C6678"/>
    <w:rsid w:val="4C231829"/>
    <w:rsid w:val="4CB93F3C"/>
    <w:rsid w:val="4D9549A9"/>
    <w:rsid w:val="4E1B3100"/>
    <w:rsid w:val="4E661EA1"/>
    <w:rsid w:val="4FA24D2D"/>
    <w:rsid w:val="51880687"/>
    <w:rsid w:val="52777C7D"/>
    <w:rsid w:val="53522F61"/>
    <w:rsid w:val="55FC1EE9"/>
    <w:rsid w:val="56C1236A"/>
    <w:rsid w:val="5A0233C6"/>
    <w:rsid w:val="5A407A4A"/>
    <w:rsid w:val="5A5051C3"/>
    <w:rsid w:val="5BC75C33"/>
    <w:rsid w:val="5C7F2AAC"/>
    <w:rsid w:val="5CAB1AF3"/>
    <w:rsid w:val="5D375134"/>
    <w:rsid w:val="5D486DE0"/>
    <w:rsid w:val="5FAF43C9"/>
    <w:rsid w:val="608A408C"/>
    <w:rsid w:val="620B5D15"/>
    <w:rsid w:val="62F23E90"/>
    <w:rsid w:val="63D336F0"/>
    <w:rsid w:val="663F14FE"/>
    <w:rsid w:val="674768BC"/>
    <w:rsid w:val="67C81A51"/>
    <w:rsid w:val="689E06BB"/>
    <w:rsid w:val="6A975464"/>
    <w:rsid w:val="6BC1092C"/>
    <w:rsid w:val="6CB56076"/>
    <w:rsid w:val="6DEF55B7"/>
    <w:rsid w:val="6F195B52"/>
    <w:rsid w:val="6FC0545D"/>
    <w:rsid w:val="71F72C8D"/>
    <w:rsid w:val="740800F4"/>
    <w:rsid w:val="758807CB"/>
    <w:rsid w:val="77AB372C"/>
    <w:rsid w:val="78A02736"/>
    <w:rsid w:val="7BD97DC9"/>
    <w:rsid w:val="7BF06548"/>
    <w:rsid w:val="7C5238E1"/>
    <w:rsid w:val="7C662EE9"/>
    <w:rsid w:val="7D7D3E51"/>
    <w:rsid w:val="7E7D3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Arial"/>
      <w:lang w:val="en-US" w:eastAsia="zh-CN" w:bidi="ar-SA"/>
    </w:rPr>
  </w:style>
  <w:style w:type="paragraph" w:styleId="3">
    <w:name w:val="heading 1"/>
    <w:basedOn w:val="1"/>
    <w:next w:val="1"/>
    <w:link w:val="33"/>
    <w:qFormat/>
    <w:uiPriority w:val="99"/>
    <w:pPr>
      <w:keepNext/>
      <w:keepLines/>
      <w:widowControl w:val="0"/>
      <w:spacing w:before="340" w:after="330" w:line="578" w:lineRule="auto"/>
      <w:jc w:val="both"/>
      <w:outlineLvl w:val="0"/>
    </w:pPr>
    <w:rPr>
      <w:rFonts w:cs="Times New Roman"/>
      <w:b/>
      <w:bCs/>
      <w:kern w:val="44"/>
      <w:sz w:val="44"/>
      <w:szCs w:val="44"/>
    </w:rPr>
  </w:style>
  <w:style w:type="paragraph" w:styleId="4">
    <w:name w:val="heading 2"/>
    <w:basedOn w:val="1"/>
    <w:next w:val="1"/>
    <w:link w:val="34"/>
    <w:qFormat/>
    <w:uiPriority w:val="99"/>
    <w:pPr>
      <w:keepNext/>
      <w:keepLines/>
      <w:widowControl w:val="0"/>
      <w:spacing w:before="260" w:after="260" w:line="413" w:lineRule="auto"/>
      <w:jc w:val="both"/>
      <w:outlineLvl w:val="1"/>
    </w:pPr>
    <w:rPr>
      <w:rFonts w:ascii="Arial" w:hAnsi="Arial" w:eastAsia="黑体" w:cs="Times New Roman"/>
      <w:b/>
      <w:kern w:val="2"/>
      <w:sz w:val="32"/>
      <w:szCs w:val="22"/>
    </w:rPr>
  </w:style>
  <w:style w:type="paragraph" w:styleId="5">
    <w:name w:val="heading 3"/>
    <w:basedOn w:val="1"/>
    <w:next w:val="1"/>
    <w:link w:val="35"/>
    <w:qFormat/>
    <w:uiPriority w:val="0"/>
    <w:pPr>
      <w:keepNext/>
      <w:keepLines/>
      <w:widowControl w:val="0"/>
      <w:spacing w:before="260" w:after="260" w:line="413" w:lineRule="auto"/>
      <w:jc w:val="both"/>
      <w:outlineLvl w:val="2"/>
    </w:pPr>
    <w:rPr>
      <w:rFonts w:cs="Times New Roman"/>
      <w:b/>
      <w:kern w:val="2"/>
      <w:sz w:val="32"/>
      <w:szCs w:val="22"/>
    </w:rPr>
  </w:style>
  <w:style w:type="paragraph" w:styleId="6">
    <w:name w:val="heading 4"/>
    <w:basedOn w:val="1"/>
    <w:next w:val="1"/>
    <w:link w:val="36"/>
    <w:qFormat/>
    <w:uiPriority w:val="99"/>
    <w:pPr>
      <w:keepNext/>
      <w:keepLines/>
      <w:widowControl w:val="0"/>
      <w:spacing w:before="280" w:after="290" w:line="376" w:lineRule="auto"/>
      <w:jc w:val="both"/>
      <w:outlineLvl w:val="3"/>
    </w:pPr>
    <w:rPr>
      <w:rFonts w:ascii="Calibri Light" w:hAnsi="Calibri Light" w:cs="Times New Roman"/>
      <w:b/>
      <w:bCs/>
      <w:kern w:val="2"/>
      <w:sz w:val="28"/>
      <w:szCs w:val="28"/>
    </w:rPr>
  </w:style>
  <w:style w:type="paragraph" w:styleId="7">
    <w:name w:val="heading 5"/>
    <w:basedOn w:val="1"/>
    <w:next w:val="1"/>
    <w:link w:val="37"/>
    <w:qFormat/>
    <w:uiPriority w:val="99"/>
    <w:pPr>
      <w:keepNext/>
      <w:keepLines/>
      <w:widowControl w:val="0"/>
      <w:spacing w:before="280" w:after="290" w:line="376" w:lineRule="auto"/>
      <w:jc w:val="both"/>
      <w:outlineLvl w:val="4"/>
    </w:pPr>
    <w:rPr>
      <w:rFonts w:cs="Times New Roman"/>
      <w:b/>
      <w:bCs/>
      <w:kern w:val="2"/>
      <w:sz w:val="28"/>
      <w:szCs w:val="28"/>
    </w:rPr>
  </w:style>
  <w:style w:type="paragraph" w:styleId="8">
    <w:name w:val="heading 6"/>
    <w:basedOn w:val="1"/>
    <w:next w:val="1"/>
    <w:link w:val="38"/>
    <w:qFormat/>
    <w:uiPriority w:val="99"/>
    <w:pPr>
      <w:keepNext/>
      <w:keepLines/>
      <w:widowControl w:val="0"/>
      <w:spacing w:before="240" w:after="64" w:line="320" w:lineRule="auto"/>
      <w:jc w:val="both"/>
      <w:outlineLvl w:val="5"/>
    </w:pPr>
    <w:rPr>
      <w:rFonts w:ascii="Calibri Light" w:hAnsi="Calibri Light" w:cs="Times New Roman"/>
      <w:b/>
      <w:bCs/>
      <w:kern w:val="2"/>
      <w:sz w:val="24"/>
      <w:szCs w:val="24"/>
    </w:rPr>
  </w:style>
  <w:style w:type="paragraph" w:styleId="9">
    <w:name w:val="heading 7"/>
    <w:basedOn w:val="1"/>
    <w:next w:val="1"/>
    <w:link w:val="39"/>
    <w:qFormat/>
    <w:uiPriority w:val="99"/>
    <w:pPr>
      <w:keepNext/>
      <w:keepLines/>
      <w:widowControl w:val="0"/>
      <w:spacing w:before="240" w:after="64" w:line="320" w:lineRule="auto"/>
      <w:jc w:val="both"/>
      <w:outlineLvl w:val="6"/>
    </w:pPr>
    <w:rPr>
      <w:rFonts w:cs="Times New Roman"/>
      <w:b/>
      <w:bCs/>
      <w:kern w:val="2"/>
      <w:sz w:val="24"/>
      <w:szCs w:val="24"/>
    </w:rPr>
  </w:style>
  <w:style w:type="paragraph" w:styleId="10">
    <w:name w:val="heading 8"/>
    <w:basedOn w:val="1"/>
    <w:next w:val="1"/>
    <w:link w:val="40"/>
    <w:qFormat/>
    <w:uiPriority w:val="99"/>
    <w:pPr>
      <w:keepNext/>
      <w:keepLines/>
      <w:widowControl w:val="0"/>
      <w:spacing w:before="240" w:after="64" w:line="320" w:lineRule="auto"/>
      <w:jc w:val="both"/>
      <w:outlineLvl w:val="7"/>
    </w:pPr>
    <w:rPr>
      <w:rFonts w:ascii="Calibri Light" w:hAnsi="Calibri Light" w:cs="Times New Roman"/>
      <w:kern w:val="2"/>
      <w:sz w:val="24"/>
      <w:szCs w:val="24"/>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2">
    <w:name w:val="index 8"/>
    <w:basedOn w:val="1"/>
    <w:next w:val="1"/>
    <w:qFormat/>
    <w:uiPriority w:val="99"/>
    <w:pPr>
      <w:ind w:left="1400" w:leftChars="1400"/>
    </w:pPr>
  </w:style>
  <w:style w:type="paragraph" w:styleId="11">
    <w:name w:val="Normal Indent"/>
    <w:basedOn w:val="1"/>
    <w:qFormat/>
    <w:uiPriority w:val="99"/>
    <w:pPr>
      <w:ind w:firstLine="420"/>
    </w:pPr>
  </w:style>
  <w:style w:type="paragraph" w:styleId="12">
    <w:name w:val="index 5"/>
    <w:basedOn w:val="1"/>
    <w:next w:val="1"/>
    <w:qFormat/>
    <w:uiPriority w:val="0"/>
    <w:pPr>
      <w:ind w:left="1680"/>
    </w:pPr>
  </w:style>
  <w:style w:type="paragraph" w:styleId="13">
    <w:name w:val="Body Text Indent"/>
    <w:basedOn w:val="1"/>
    <w:next w:val="14"/>
    <w:qFormat/>
    <w:uiPriority w:val="0"/>
    <w:pPr>
      <w:spacing w:after="120"/>
      <w:ind w:left="420" w:leftChars="200"/>
    </w:pPr>
    <w:rPr>
      <w:sz w:val="24"/>
    </w:rPr>
  </w:style>
  <w:style w:type="paragraph" w:styleId="14">
    <w:name w:val="envelope return"/>
    <w:basedOn w:val="1"/>
    <w:qFormat/>
    <w:uiPriority w:val="0"/>
    <w:pPr>
      <w:snapToGrid w:val="0"/>
    </w:pPr>
    <w:rPr>
      <w:rFonts w:ascii="Arial" w:hAnsi="Arial"/>
    </w:rPr>
  </w:style>
  <w:style w:type="paragraph" w:styleId="15">
    <w:name w:val="Plain Text"/>
    <w:basedOn w:val="1"/>
    <w:link w:val="41"/>
    <w:qFormat/>
    <w:uiPriority w:val="99"/>
    <w:pPr>
      <w:widowControl w:val="0"/>
      <w:jc w:val="both"/>
    </w:pPr>
    <w:rPr>
      <w:rFonts w:ascii="宋体" w:hAnsi="Courier New" w:cs="Courier New"/>
      <w:kern w:val="2"/>
      <w:sz w:val="21"/>
      <w:szCs w:val="21"/>
    </w:rPr>
  </w:style>
  <w:style w:type="paragraph" w:styleId="16">
    <w:name w:val="Date"/>
    <w:basedOn w:val="1"/>
    <w:next w:val="1"/>
    <w:link w:val="43"/>
    <w:qFormat/>
    <w:uiPriority w:val="99"/>
    <w:pPr>
      <w:ind w:left="100" w:leftChars="2500"/>
    </w:pPr>
  </w:style>
  <w:style w:type="paragraph" w:styleId="17">
    <w:name w:val="Balloon Text"/>
    <w:basedOn w:val="1"/>
    <w:link w:val="47"/>
    <w:qFormat/>
    <w:uiPriority w:val="99"/>
    <w:pPr>
      <w:widowControl w:val="0"/>
      <w:jc w:val="both"/>
    </w:pPr>
    <w:rPr>
      <w:rFonts w:ascii="Calibri" w:hAnsi="Calibri" w:eastAsia="宋体" w:cs="宋体"/>
      <w:kern w:val="2"/>
      <w:sz w:val="18"/>
      <w:szCs w:val="18"/>
    </w:rPr>
  </w:style>
  <w:style w:type="paragraph" w:styleId="18">
    <w:name w:val="footer"/>
    <w:basedOn w:val="1"/>
    <w:link w:val="32"/>
    <w:qFormat/>
    <w:uiPriority w:val="99"/>
    <w:pPr>
      <w:widowControl w:val="0"/>
      <w:tabs>
        <w:tab w:val="center" w:pos="4153"/>
        <w:tab w:val="right" w:pos="8306"/>
      </w:tabs>
      <w:snapToGrid w:val="0"/>
    </w:pPr>
    <w:rPr>
      <w:rFonts w:ascii="Calibri" w:hAnsi="Calibri" w:eastAsia="宋体" w:cs="宋体"/>
      <w:kern w:val="2"/>
      <w:sz w:val="18"/>
      <w:szCs w:val="18"/>
    </w:rPr>
  </w:style>
  <w:style w:type="paragraph" w:styleId="19">
    <w:name w:val="header"/>
    <w:basedOn w:val="1"/>
    <w:link w:val="31"/>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rPr>
  </w:style>
  <w:style w:type="paragraph" w:styleId="20">
    <w:name w:val="List"/>
    <w:basedOn w:val="1"/>
    <w:qFormat/>
    <w:uiPriority w:val="0"/>
    <w:pPr>
      <w:widowControl w:val="0"/>
      <w:ind w:left="200" w:hanging="200" w:hangingChars="200"/>
      <w:contextualSpacing/>
      <w:jc w:val="both"/>
    </w:pPr>
    <w:rPr>
      <w:rFonts w:cs="Times New Roman"/>
      <w:kern w:val="2"/>
      <w:sz w:val="21"/>
      <w:szCs w:val="24"/>
    </w:rPr>
  </w:style>
  <w:style w:type="paragraph" w:styleId="21">
    <w:name w:val="footnote text"/>
    <w:basedOn w:val="1"/>
    <w:semiHidden/>
    <w:unhideWhenUsed/>
    <w:qFormat/>
    <w:uiPriority w:val="99"/>
    <w:pPr>
      <w:snapToGrid w:val="0"/>
      <w:jc w:val="left"/>
    </w:pPr>
    <w:rPr>
      <w:sz w:val="18"/>
      <w:szCs w:val="18"/>
    </w:rPr>
  </w:style>
  <w:style w:type="paragraph" w:styleId="22">
    <w:name w:val="Normal (Web)"/>
    <w:basedOn w:val="1"/>
    <w:qFormat/>
    <w:uiPriority w:val="0"/>
    <w:pPr>
      <w:widowControl w:val="0"/>
      <w:jc w:val="both"/>
    </w:pPr>
    <w:rPr>
      <w:rFonts w:cs="Times New Roman"/>
      <w:kern w:val="2"/>
      <w:sz w:val="24"/>
      <w:szCs w:val="24"/>
    </w:rPr>
  </w:style>
  <w:style w:type="paragraph" w:styleId="23">
    <w:name w:val="Body Text First Indent 2"/>
    <w:basedOn w:val="13"/>
    <w:qFormat/>
    <w:uiPriority w:val="0"/>
    <w:pPr>
      <w:tabs>
        <w:tab w:val="left" w:pos="0"/>
        <w:tab w:val="left" w:pos="993"/>
        <w:tab w:val="left" w:pos="1134"/>
      </w:tabs>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basedOn w:val="26"/>
    <w:qFormat/>
    <w:uiPriority w:val="99"/>
    <w:rPr>
      <w:color w:val="0000FF"/>
      <w:u w:val="single"/>
    </w:rPr>
  </w:style>
  <w:style w:type="character" w:styleId="29">
    <w:name w:val="footnote reference"/>
    <w:basedOn w:val="26"/>
    <w:semiHidden/>
    <w:unhideWhenUsed/>
    <w:qFormat/>
    <w:uiPriority w:val="99"/>
    <w:rPr>
      <w:vertAlign w:val="superscript"/>
    </w:rPr>
  </w:style>
  <w:style w:type="paragraph" w:customStyle="1" w:styleId="30">
    <w:name w:val="Default"/>
    <w:next w:val="1"/>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31">
    <w:name w:val="页眉 字符"/>
    <w:basedOn w:val="26"/>
    <w:link w:val="19"/>
    <w:qFormat/>
    <w:uiPriority w:val="99"/>
    <w:rPr>
      <w:sz w:val="18"/>
      <w:szCs w:val="18"/>
    </w:rPr>
  </w:style>
  <w:style w:type="character" w:customStyle="1" w:styleId="32">
    <w:name w:val="页脚 字符"/>
    <w:basedOn w:val="26"/>
    <w:link w:val="18"/>
    <w:qFormat/>
    <w:uiPriority w:val="99"/>
    <w:rPr>
      <w:sz w:val="18"/>
      <w:szCs w:val="18"/>
    </w:rPr>
  </w:style>
  <w:style w:type="character" w:customStyle="1" w:styleId="33">
    <w:name w:val="标题 1 字符"/>
    <w:basedOn w:val="26"/>
    <w:link w:val="3"/>
    <w:qFormat/>
    <w:uiPriority w:val="99"/>
    <w:rPr>
      <w:rFonts w:ascii="Calibri" w:hAnsi="Calibri" w:eastAsia="宋体" w:cs="Times New Roman"/>
      <w:b/>
      <w:bCs/>
      <w:kern w:val="44"/>
      <w:sz w:val="44"/>
      <w:szCs w:val="44"/>
    </w:rPr>
  </w:style>
  <w:style w:type="character" w:customStyle="1" w:styleId="34">
    <w:name w:val="标题 2 字符"/>
    <w:basedOn w:val="26"/>
    <w:link w:val="4"/>
    <w:qFormat/>
    <w:uiPriority w:val="99"/>
    <w:rPr>
      <w:rFonts w:ascii="Arial" w:hAnsi="Arial" w:eastAsia="黑体" w:cs="Times New Roman"/>
      <w:b/>
      <w:sz w:val="32"/>
    </w:rPr>
  </w:style>
  <w:style w:type="character" w:customStyle="1" w:styleId="35">
    <w:name w:val="标题 3 字符"/>
    <w:basedOn w:val="26"/>
    <w:link w:val="5"/>
    <w:qFormat/>
    <w:uiPriority w:val="9"/>
    <w:rPr>
      <w:rFonts w:ascii="Calibri" w:hAnsi="Calibri" w:eastAsia="宋体" w:cs="Times New Roman"/>
      <w:b/>
      <w:sz w:val="32"/>
    </w:rPr>
  </w:style>
  <w:style w:type="character" w:customStyle="1" w:styleId="36">
    <w:name w:val="标题 4 字符"/>
    <w:basedOn w:val="26"/>
    <w:link w:val="6"/>
    <w:qFormat/>
    <w:uiPriority w:val="99"/>
    <w:rPr>
      <w:rFonts w:ascii="Calibri Light" w:hAnsi="Calibri Light" w:eastAsia="宋体" w:cs="Times New Roman"/>
      <w:b/>
      <w:bCs/>
      <w:sz w:val="28"/>
      <w:szCs w:val="28"/>
    </w:rPr>
  </w:style>
  <w:style w:type="character" w:customStyle="1" w:styleId="37">
    <w:name w:val="标题 5 字符"/>
    <w:basedOn w:val="26"/>
    <w:link w:val="7"/>
    <w:qFormat/>
    <w:uiPriority w:val="99"/>
    <w:rPr>
      <w:rFonts w:ascii="Calibri" w:hAnsi="Calibri" w:eastAsia="宋体" w:cs="Times New Roman"/>
      <w:b/>
      <w:bCs/>
      <w:sz w:val="28"/>
      <w:szCs w:val="28"/>
    </w:rPr>
  </w:style>
  <w:style w:type="character" w:customStyle="1" w:styleId="38">
    <w:name w:val="标题 6 字符"/>
    <w:basedOn w:val="26"/>
    <w:link w:val="8"/>
    <w:qFormat/>
    <w:uiPriority w:val="99"/>
    <w:rPr>
      <w:rFonts w:ascii="Calibri Light" w:hAnsi="Calibri Light" w:eastAsia="宋体" w:cs="Times New Roman"/>
      <w:b/>
      <w:bCs/>
      <w:sz w:val="24"/>
      <w:szCs w:val="24"/>
    </w:rPr>
  </w:style>
  <w:style w:type="character" w:customStyle="1" w:styleId="39">
    <w:name w:val="标题 7 字符"/>
    <w:basedOn w:val="26"/>
    <w:link w:val="9"/>
    <w:qFormat/>
    <w:uiPriority w:val="99"/>
    <w:rPr>
      <w:rFonts w:ascii="Calibri" w:hAnsi="Calibri" w:eastAsia="宋体" w:cs="Times New Roman"/>
      <w:b/>
      <w:bCs/>
      <w:sz w:val="24"/>
      <w:szCs w:val="24"/>
    </w:rPr>
  </w:style>
  <w:style w:type="character" w:customStyle="1" w:styleId="40">
    <w:name w:val="标题 8 字符"/>
    <w:basedOn w:val="26"/>
    <w:link w:val="10"/>
    <w:qFormat/>
    <w:uiPriority w:val="99"/>
    <w:rPr>
      <w:rFonts w:ascii="Calibri Light" w:hAnsi="Calibri Light" w:eastAsia="宋体" w:cs="Times New Roman"/>
      <w:sz w:val="24"/>
      <w:szCs w:val="24"/>
    </w:rPr>
  </w:style>
  <w:style w:type="character" w:customStyle="1" w:styleId="41">
    <w:name w:val="纯文本 字符"/>
    <w:basedOn w:val="26"/>
    <w:link w:val="15"/>
    <w:qFormat/>
    <w:uiPriority w:val="99"/>
    <w:rPr>
      <w:rFonts w:ascii="宋体" w:hAnsi="Courier New" w:eastAsia="宋体" w:cs="Courier New"/>
      <w:szCs w:val="21"/>
    </w:rPr>
  </w:style>
  <w:style w:type="paragraph" w:styleId="42">
    <w:name w:val="List Paragraph"/>
    <w:basedOn w:val="1"/>
    <w:next w:val="12"/>
    <w:qFormat/>
    <w:uiPriority w:val="34"/>
    <w:pPr>
      <w:ind w:firstLine="420" w:firstLineChars="200"/>
    </w:pPr>
  </w:style>
  <w:style w:type="character" w:customStyle="1" w:styleId="43">
    <w:name w:val="日期 字符"/>
    <w:basedOn w:val="26"/>
    <w:link w:val="16"/>
    <w:qFormat/>
    <w:uiPriority w:val="99"/>
    <w:rPr>
      <w:rFonts w:ascii="Calibri" w:hAnsi="Calibri" w:eastAsia="宋体" w:cs="Arial"/>
      <w:kern w:val="0"/>
      <w:sz w:val="20"/>
      <w:szCs w:val="20"/>
    </w:rPr>
  </w:style>
  <w:style w:type="paragraph" w:customStyle="1" w:styleId="44">
    <w:name w:val="p1"/>
    <w:basedOn w:val="1"/>
    <w:qFormat/>
    <w:uiPriority w:val="0"/>
    <w:pPr>
      <w:widowControl w:val="0"/>
    </w:pPr>
    <w:rPr>
      <w:rFonts w:ascii=".pingfang sc" w:hAnsi=".pingfang sc" w:eastAsia=".pingfang sc" w:cs="Times New Roman"/>
      <w:sz w:val="24"/>
      <w:szCs w:val="24"/>
    </w:rPr>
  </w:style>
  <w:style w:type="character" w:customStyle="1" w:styleId="45">
    <w:name w:val="s1"/>
    <w:basedOn w:val="26"/>
    <w:qFormat/>
    <w:uiPriority w:val="0"/>
    <w:rPr>
      <w:rFonts w:hint="default" w:ascii="Helvetica Neue" w:hAnsi="Helvetica Neue" w:eastAsia="Helvetica Neue" w:cs="Helvetica Neue"/>
      <w:sz w:val="24"/>
      <w:szCs w:val="24"/>
    </w:rPr>
  </w:style>
  <w:style w:type="character" w:customStyle="1" w:styleId="46">
    <w:name w:val="bookmark-item"/>
    <w:basedOn w:val="26"/>
    <w:qFormat/>
    <w:uiPriority w:val="0"/>
  </w:style>
  <w:style w:type="character" w:customStyle="1" w:styleId="47">
    <w:name w:val="批注框文本 字符"/>
    <w:basedOn w:val="26"/>
    <w:link w:val="17"/>
    <w:qFormat/>
    <w:uiPriority w:val="99"/>
    <w:rPr>
      <w:sz w:val="18"/>
      <w:szCs w:val="18"/>
    </w:rPr>
  </w:style>
  <w:style w:type="paragraph" w:customStyle="1" w:styleId="48">
    <w:name w:val="正文1"/>
    <w:qFormat/>
    <w:uiPriority w:val="0"/>
    <w:rPr>
      <w:rFonts w:ascii="Times New Roman" w:hAnsi="Times New Roman" w:eastAsia="Times New Roman" w:cs="Times New Roman"/>
      <w:sz w:val="24"/>
      <w:szCs w:val="24"/>
      <w:lang w:val="en-US" w:eastAsia="zh-CN" w:bidi="ar-SA"/>
    </w:rPr>
  </w:style>
  <w:style w:type="paragraph" w:customStyle="1" w:styleId="49">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19351</Words>
  <Characters>20898</Characters>
  <Paragraphs>1336</Paragraphs>
  <TotalTime>2</TotalTime>
  <ScaleCrop>false</ScaleCrop>
  <LinksUpToDate>false</LinksUpToDate>
  <CharactersWithSpaces>23040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2018-05-05T09:03:00Z</dcterms:created>
  <dc:creator>lenovo</dc:creator>
  <cp:lastModifiedBy>Be a loity</cp:lastModifiedBy>
  <cp:lastPrinted>2018-07-08T07:59:00Z</cp:lastPrinted>
  <dcterms:modified xsi:type="dcterms:W3CDTF">2022-06-16T09:51:15Z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a3f669a2770e4e8ea3ddc10fd0395345</vt:lpwstr>
  </property>
</Properties>
</file>