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2820"/>
          <w:tab w:val="left" w:pos="3165"/>
          <w:tab w:val="center" w:pos="4153"/>
        </w:tabs>
        <w:kinsoku/>
        <w:wordWrap/>
        <w:overflowPunct/>
        <w:topLinePunct w:val="0"/>
        <w:autoSpaceDE w:val="0"/>
        <w:autoSpaceDN w:val="0"/>
        <w:bidi w:val="0"/>
        <w:adjustRightInd w:val="0"/>
        <w:snapToGrid w:val="0"/>
        <w:spacing w:before="0" w:after="0" w:line="240" w:lineRule="auto"/>
        <w:ind w:leftChars="0"/>
        <w:jc w:val="right"/>
        <w:textAlignment w:val="auto"/>
        <w:rPr>
          <w:rFonts w:ascii="仿宋" w:hAnsi="仿宋" w:eastAsia="仿宋" w:cs="宋体"/>
          <w:b/>
          <w:color w:val="000000"/>
          <w:sz w:val="32"/>
          <w:szCs w:val="44"/>
        </w:rPr>
      </w:pPr>
      <w:r>
        <w:rPr>
          <w:rFonts w:hint="eastAsia" w:ascii="仿宋" w:hAnsi="仿宋" w:eastAsia="仿宋" w:cs="宋体"/>
          <w:sz w:val="16"/>
          <w:szCs w:val="20"/>
        </w:rPr>
        <w:t xml:space="preserve">           </w:t>
      </w:r>
      <w:r>
        <w:rPr>
          <w:rFonts w:hint="eastAsia" w:ascii="仿宋" w:hAnsi="仿宋" w:eastAsia="仿宋" w:cs="宋体"/>
          <w:sz w:val="16"/>
          <w:szCs w:val="20"/>
          <w:lang w:val="en-US" w:eastAsia="zh-CN"/>
        </w:rPr>
        <w:t xml:space="preserve">                                             </w:t>
      </w:r>
      <w:r>
        <w:rPr>
          <w:rFonts w:hint="eastAsia" w:ascii="宋体" w:hAnsi="宋体" w:eastAsia="宋体" w:cs="宋体"/>
          <w:b/>
          <w:bCs/>
          <w:sz w:val="22"/>
          <w:szCs w:val="22"/>
          <w:lang w:val="en-US" w:eastAsia="zh-CN"/>
        </w:rPr>
        <w:t>采购办备案处</w:t>
      </w:r>
    </w:p>
    <w:p>
      <w:pPr>
        <w:pStyle w:val="3"/>
        <w:keepNext/>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jc w:val="center"/>
        <w:textAlignment w:val="auto"/>
        <w:rPr>
          <w:rFonts w:hint="eastAsia" w:eastAsia="华文中宋"/>
          <w:lang w:val="en-US" w:eastAsia="zh-CN"/>
        </w:rPr>
      </w:pPr>
      <w:bookmarkStart w:id="0" w:name="_Toc35393797"/>
      <w:bookmarkStart w:id="1" w:name="_Toc28359011"/>
      <w:r>
        <w:rPr>
          <w:rFonts w:hint="eastAsia" w:ascii="华文中宋" w:hAnsi="华文中宋" w:eastAsia="华文中宋"/>
          <w:lang w:eastAsia="zh-CN"/>
        </w:rPr>
        <w:t>于田县委机关服务中心食材采购项目</w:t>
      </w:r>
      <w:r>
        <w:rPr>
          <w:rFonts w:hint="eastAsia" w:ascii="华文中宋" w:hAnsi="华文中宋" w:eastAsia="华文中宋"/>
          <w:lang w:val="en-US" w:eastAsia="zh-CN"/>
        </w:rPr>
        <w:t>二次（包三：新鲜牛羊肉采购）</w:t>
      </w:r>
      <w:r>
        <w:rPr>
          <w:rFonts w:hint="eastAsia" w:ascii="华文中宋" w:hAnsi="华文中宋" w:eastAsia="华文中宋"/>
        </w:rPr>
        <w:t>竞争性谈判公告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于田县委机关服务中心食材采购项目</w:t>
      </w:r>
      <w:r>
        <w:rPr>
          <w:rFonts w:hint="eastAsia" w:ascii="宋体" w:hAnsi="宋体" w:eastAsia="宋体" w:cs="宋体"/>
          <w:sz w:val="24"/>
          <w:szCs w:val="24"/>
          <w:lang w:val="en-US" w:eastAsia="zh-CN"/>
        </w:rPr>
        <w:t>二次（包三：新鲜牛羊肉采购）</w:t>
      </w:r>
      <w:r>
        <w:rPr>
          <w:rFonts w:hint="eastAsia" w:ascii="宋体" w:hAnsi="宋体" w:eastAsia="宋体" w:cs="宋体"/>
          <w:sz w:val="24"/>
          <w:szCs w:val="24"/>
        </w:rPr>
        <w:t>的潜在供应商应在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新疆惠文建设工程项目管理咨询有限公司（和田市阿恰勒东路11号）</w:t>
      </w:r>
      <w:r>
        <w:rPr>
          <w:rFonts w:hint="eastAsia" w:ascii="宋体" w:hAnsi="宋体" w:eastAsia="宋体" w:cs="宋体"/>
          <w:sz w:val="24"/>
          <w:szCs w:val="24"/>
        </w:rPr>
        <w:t>获取采购文件，</w:t>
      </w:r>
      <w:r>
        <w:rPr>
          <w:rFonts w:hint="eastAsia" w:ascii="宋体" w:hAnsi="宋体" w:eastAsia="宋体" w:cs="宋体"/>
          <w:sz w:val="24"/>
          <w:szCs w:val="24"/>
          <w:highlight w:val="none"/>
        </w:rPr>
        <w:t>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 xml:space="preserve"> 月</w:t>
      </w:r>
      <w:r>
        <w:rPr>
          <w:rFonts w:hint="eastAsia" w:ascii="宋体" w:hAnsi="宋体" w:cs="宋体"/>
          <w:bCs/>
          <w:sz w:val="24"/>
          <w:szCs w:val="24"/>
          <w:highlight w:val="none"/>
          <w:u w:val="single"/>
          <w:lang w:val="en-US" w:eastAsia="zh-CN"/>
        </w:rPr>
        <w:t>30</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11</w:t>
      </w:r>
      <w:r>
        <w:rPr>
          <w:rFonts w:hint="eastAsia" w:ascii="宋体" w:hAnsi="宋体" w:eastAsia="宋体" w:cs="宋体"/>
          <w:bCs/>
          <w:sz w:val="24"/>
          <w:szCs w:val="24"/>
          <w:highlight w:val="none"/>
          <w:u w:val="single"/>
          <w:lang w:val="en-US" w:eastAsia="zh-CN"/>
        </w:rPr>
        <w:t>时</w:t>
      </w:r>
      <w:r>
        <w:rPr>
          <w:rFonts w:hint="eastAsia" w:ascii="宋体" w:hAnsi="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
          <w:bCs w:val="0"/>
          <w:sz w:val="24"/>
          <w:szCs w:val="24"/>
        </w:rPr>
      </w:pPr>
      <w:bookmarkStart w:id="2" w:name="_Toc35393629"/>
      <w:bookmarkStart w:id="3" w:name="_Toc28359089"/>
      <w:bookmarkStart w:id="4" w:name="_Toc35393798"/>
      <w:bookmarkStart w:id="5" w:name="_Toc28359012"/>
      <w:r>
        <w:rPr>
          <w:rFonts w:hint="eastAsia" w:ascii="宋体" w:hAnsi="宋体" w:eastAsia="宋体" w:cs="宋体"/>
          <w:b/>
          <w:bCs w:val="0"/>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于田县委机关服务中心食材采购项目</w:t>
      </w:r>
      <w:r>
        <w:rPr>
          <w:rFonts w:hint="eastAsia" w:ascii="宋体" w:hAnsi="宋体" w:eastAsia="宋体" w:cs="宋体"/>
          <w:sz w:val="24"/>
          <w:szCs w:val="24"/>
          <w:lang w:val="en-US" w:eastAsia="zh-CN"/>
        </w:rPr>
        <w:t>二次（包三：新鲜牛羊肉采购）</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项目编号：YTCGD-JZ-2022-094</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号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采购方式：</w:t>
      </w:r>
      <w:r>
        <w:rPr>
          <w:rFonts w:hint="eastAsia" w:ascii="宋体" w:hAnsi="宋体" w:cs="宋体"/>
          <w:sz w:val="28"/>
          <w:szCs w:val="28"/>
          <w:lang w:eastAsia="zh-CN"/>
        </w:rPr>
        <w:sym w:font="Wingdings 2" w:char="0052"/>
      </w:r>
      <w:r>
        <w:rPr>
          <w:rFonts w:hint="eastAsia" w:ascii="宋体" w:hAnsi="宋体" w:eastAsia="宋体" w:cs="宋体"/>
          <w:sz w:val="24"/>
          <w:szCs w:val="24"/>
        </w:rPr>
        <w:t>竞争性谈判 □竞争性磋商 □询价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pacing w:val="-20"/>
          <w:sz w:val="24"/>
          <w:szCs w:val="24"/>
          <w:lang w:val="en-US" w:eastAsia="zh-CN"/>
        </w:rPr>
      </w:pPr>
      <w:r>
        <w:rPr>
          <w:rFonts w:hint="eastAsia" w:ascii="宋体" w:hAnsi="宋体" w:eastAsia="宋体" w:cs="宋体"/>
          <w:sz w:val="24"/>
          <w:szCs w:val="24"/>
          <w:lang w:val="en-US" w:eastAsia="zh-CN"/>
        </w:rPr>
        <w:t>预算单价</w:t>
      </w:r>
      <w:r>
        <w:rPr>
          <w:rFonts w:hint="eastAsia" w:ascii="宋体" w:hAnsi="宋体" w:cs="宋体"/>
          <w:sz w:val="24"/>
          <w:szCs w:val="24"/>
          <w:lang w:val="en-US" w:eastAsia="zh-CN"/>
        </w:rPr>
        <w:t>合计</w:t>
      </w:r>
      <w:r>
        <w:rPr>
          <w:rFonts w:hint="eastAsia" w:ascii="宋体" w:hAnsi="宋体" w:eastAsia="宋体" w:cs="宋体"/>
          <w:sz w:val="24"/>
          <w:szCs w:val="24"/>
        </w:rPr>
        <w:t>：</w:t>
      </w:r>
      <w:r>
        <w:rPr>
          <w:rFonts w:hint="eastAsia" w:ascii="宋体" w:hAnsi="宋体" w:cs="宋体"/>
          <w:spacing w:val="-20"/>
          <w:sz w:val="24"/>
          <w:szCs w:val="24"/>
          <w:lang w:val="en-US" w:eastAsia="zh-CN"/>
        </w:rPr>
        <w:t xml:space="preserve"> </w:t>
      </w:r>
      <w:r>
        <w:rPr>
          <w:rFonts w:hint="eastAsia" w:ascii="宋体" w:hAnsi="宋体" w:cs="宋体"/>
          <w:sz w:val="24"/>
          <w:szCs w:val="24"/>
          <w:lang w:val="en-US" w:eastAsia="zh-CN"/>
        </w:rPr>
        <w:t>包三</w:t>
      </w:r>
      <w:r>
        <w:rPr>
          <w:rFonts w:hint="eastAsia" w:ascii="宋体" w:hAnsi="宋体" w:cs="宋体"/>
          <w:spacing w:val="-20"/>
          <w:sz w:val="24"/>
          <w:szCs w:val="24"/>
          <w:lang w:val="en-US" w:eastAsia="zh-CN"/>
        </w:rPr>
        <w:t xml:space="preserve"> 155.00元；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pacing w:val="-20"/>
          <w:sz w:val="24"/>
          <w:szCs w:val="24"/>
          <w:lang w:val="en-US" w:eastAsia="zh-CN"/>
        </w:rPr>
      </w:pPr>
      <w:r>
        <w:rPr>
          <w:rFonts w:hint="eastAsia" w:ascii="宋体" w:hAnsi="宋体" w:eastAsia="宋体" w:cs="宋体"/>
          <w:sz w:val="24"/>
          <w:szCs w:val="24"/>
        </w:rPr>
        <w:t>最高限价（如有）：</w:t>
      </w:r>
      <w:r>
        <w:rPr>
          <w:rFonts w:hint="eastAsia" w:ascii="宋体" w:hAnsi="宋体" w:cs="宋体"/>
          <w:spacing w:val="-20"/>
          <w:sz w:val="24"/>
          <w:szCs w:val="24"/>
          <w:lang w:val="en-US" w:eastAsia="zh-CN"/>
        </w:rPr>
        <w:t xml:space="preserve">  </w:t>
      </w:r>
      <w:r>
        <w:rPr>
          <w:rFonts w:hint="eastAsia" w:ascii="宋体" w:hAnsi="宋体" w:cs="宋体"/>
          <w:sz w:val="24"/>
          <w:szCs w:val="24"/>
          <w:lang w:val="en-US" w:eastAsia="zh-CN"/>
        </w:rPr>
        <w:t>包三</w:t>
      </w:r>
      <w:r>
        <w:rPr>
          <w:rFonts w:hint="eastAsia" w:ascii="宋体" w:hAnsi="宋体" w:cs="宋体"/>
          <w:spacing w:val="-20"/>
          <w:sz w:val="24"/>
          <w:szCs w:val="24"/>
          <w:lang w:val="en-US" w:eastAsia="zh-CN"/>
        </w:rPr>
        <w:t xml:space="preserve"> 155.00元；</w:t>
      </w:r>
    </w:p>
    <w:p>
      <w:pPr>
        <w:pageBreakBefore w:val="0"/>
        <w:kinsoku/>
        <w:wordWrap/>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10"/>
        <w:tblW w:w="9202"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709"/>
        <w:gridCol w:w="1214"/>
        <w:gridCol w:w="2672"/>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rPr>
            </w:pPr>
            <w:r>
              <w:rPr>
                <w:rFonts w:hint="eastAsia" w:ascii="宋体" w:hAnsi="宋体" w:cs="宋体"/>
                <w:color w:val="auto"/>
                <w:sz w:val="24"/>
              </w:rPr>
              <w:t>标项序号</w:t>
            </w:r>
          </w:p>
        </w:tc>
        <w:tc>
          <w:tcPr>
            <w:tcW w:w="3709"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sz w:val="22"/>
                <w:szCs w:val="28"/>
              </w:rPr>
            </w:pPr>
            <w:r>
              <w:rPr>
                <w:rFonts w:hint="eastAsia" w:ascii="宋体" w:hAnsi="宋体" w:cs="宋体"/>
                <w:color w:val="auto"/>
                <w:sz w:val="24"/>
              </w:rPr>
              <w:t>标项名称</w:t>
            </w:r>
          </w:p>
        </w:tc>
        <w:tc>
          <w:tcPr>
            <w:tcW w:w="1214"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rPr>
            </w:pPr>
            <w:r>
              <w:rPr>
                <w:rFonts w:hint="eastAsia" w:ascii="宋体" w:hAnsi="宋体" w:cs="宋体"/>
                <w:color w:val="auto"/>
                <w:sz w:val="24"/>
              </w:rPr>
              <w:t>预算</w:t>
            </w:r>
            <w:r>
              <w:rPr>
                <w:rFonts w:hint="eastAsia" w:ascii="宋体" w:hAnsi="宋体" w:cs="宋体"/>
                <w:color w:val="auto"/>
                <w:sz w:val="24"/>
                <w:lang w:val="en-US" w:eastAsia="zh-CN"/>
              </w:rPr>
              <w:t>单价合计</w:t>
            </w:r>
            <w:r>
              <w:rPr>
                <w:rFonts w:hint="eastAsia" w:ascii="宋体" w:hAnsi="宋体" w:cs="宋体"/>
                <w:color w:val="auto"/>
                <w:sz w:val="24"/>
              </w:rPr>
              <w:t>(元)</w:t>
            </w:r>
          </w:p>
        </w:tc>
        <w:tc>
          <w:tcPr>
            <w:tcW w:w="2672"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rPr>
            </w:pPr>
            <w:r>
              <w:rPr>
                <w:rFonts w:hint="eastAsia" w:ascii="宋体" w:hAnsi="宋体" w:cs="宋体"/>
                <w:color w:val="auto"/>
                <w:sz w:val="24"/>
              </w:rPr>
              <w:t>简要规格描述</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0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38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3709" w:type="dxa"/>
            <w:noWrap w:val="0"/>
            <w:tcMar>
              <w:top w:w="75" w:type="dxa"/>
              <w:left w:w="150" w:type="dxa"/>
              <w:bottom w:w="75" w:type="dxa"/>
              <w:right w:w="150" w:type="dxa"/>
            </w:tcMar>
            <w:vAlign w:val="center"/>
          </w:tcPr>
          <w:p>
            <w:pPr>
              <w:pStyle w:val="12"/>
              <w:keepNext w:val="0"/>
              <w:keepLines w:val="0"/>
              <w:pageBreakBefore w:val="0"/>
              <w:kinsoku/>
              <w:wordWrap/>
              <w:topLinePunct w:val="0"/>
              <w:autoSpaceDE/>
              <w:autoSpaceDN/>
              <w:bidi w:val="0"/>
              <w:adjustRightInd/>
              <w:snapToGrid w:val="0"/>
              <w:spacing w:before="0" w:beforeAutospacing="0" w:after="0" w:afterAutospacing="0" w:line="380" w:lineRule="exact"/>
              <w:jc w:val="center"/>
              <w:textAlignment w:val="auto"/>
              <w:rPr>
                <w:rFonts w:hint="eastAsia" w:hAnsi="宋体"/>
                <w:color w:val="auto"/>
                <w:sz w:val="24"/>
                <w:szCs w:val="24"/>
                <w:lang w:val="en-US" w:eastAsia="zh-CN"/>
              </w:rPr>
            </w:pPr>
            <w:r>
              <w:rPr>
                <w:rFonts w:hint="eastAsia" w:hAnsi="宋体"/>
                <w:color w:val="auto"/>
                <w:sz w:val="24"/>
                <w:szCs w:val="24"/>
                <w:lang w:val="en-US" w:eastAsia="zh-CN"/>
              </w:rPr>
              <w:t>于田县委机关服务中心食材采购项目二次（包三：新鲜牛羊肉采购）</w:t>
            </w:r>
          </w:p>
        </w:tc>
        <w:tc>
          <w:tcPr>
            <w:tcW w:w="1214"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380" w:lineRule="exact"/>
              <w:ind w:firstLine="200" w:firstLineChars="100"/>
              <w:jc w:val="center"/>
              <w:textAlignment w:val="auto"/>
              <w:rPr>
                <w:rFonts w:hint="eastAsia" w:ascii="宋体" w:hAnsi="宋体" w:cs="宋体"/>
                <w:color w:val="auto"/>
                <w:sz w:val="24"/>
                <w:szCs w:val="24"/>
                <w:lang w:val="en-US" w:eastAsia="zh-CN"/>
              </w:rPr>
            </w:pPr>
            <w:r>
              <w:rPr>
                <w:rFonts w:hint="eastAsia" w:ascii="宋体" w:hAnsi="宋体" w:cs="宋体"/>
                <w:spacing w:val="-20"/>
                <w:sz w:val="24"/>
                <w:szCs w:val="24"/>
                <w:lang w:val="en-US" w:eastAsia="zh-CN"/>
              </w:rPr>
              <w:t>155.00</w:t>
            </w:r>
          </w:p>
        </w:tc>
        <w:tc>
          <w:tcPr>
            <w:tcW w:w="2672" w:type="dxa"/>
            <w:noWrap w:val="0"/>
            <w:tcMar>
              <w:top w:w="75" w:type="dxa"/>
              <w:left w:w="150" w:type="dxa"/>
              <w:bottom w:w="75" w:type="dxa"/>
              <w:right w:w="150" w:type="dxa"/>
            </w:tcMar>
            <w:vAlign w:val="center"/>
          </w:tcPr>
          <w:p>
            <w:pPr>
              <w:keepNext w:val="0"/>
              <w:keepLines w:val="0"/>
              <w:pageBreakBefore w:val="0"/>
              <w:kinsoku/>
              <w:wordWrap/>
              <w:overflowPunct w:val="0"/>
              <w:topLinePunct w:val="0"/>
              <w:autoSpaceDE/>
              <w:autoSpaceDN/>
              <w:bidi w:val="0"/>
              <w:adjustRightInd/>
              <w:snapToGrid w:val="0"/>
              <w:spacing w:line="380" w:lineRule="exact"/>
              <w:textAlignment w:val="auto"/>
              <w:rPr>
                <w:rFonts w:hint="eastAsia" w:ascii="宋体" w:hAnsi="宋体" w:cs="宋体"/>
                <w:color w:val="auto"/>
                <w:sz w:val="24"/>
                <w:szCs w:val="24"/>
                <w:lang w:val="en-US" w:eastAsia="zh-CN"/>
              </w:rPr>
            </w:pPr>
            <w:r>
              <w:rPr>
                <w:rFonts w:hint="eastAsia" w:hAnsi="宋体"/>
                <w:color w:val="auto"/>
                <w:sz w:val="24"/>
                <w:szCs w:val="24"/>
                <w:lang w:val="en-US" w:eastAsia="zh-CN"/>
              </w:rPr>
              <w:t>新鲜牛羊肉采购</w:t>
            </w:r>
            <w:r>
              <w:rPr>
                <w:rFonts w:hint="eastAsia" w:ascii="宋体" w:hAnsi="宋体" w:cs="宋体"/>
                <w:color w:val="auto"/>
                <w:sz w:val="24"/>
                <w:szCs w:val="24"/>
                <w:lang w:val="en-US" w:eastAsia="zh-CN"/>
              </w:rPr>
              <w:t>（具体规格参数详见招标文件）</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380" w:lineRule="exact"/>
              <w:jc w:val="center"/>
              <w:textAlignment w:val="auto"/>
              <w:rPr>
                <w:rFonts w:hint="eastAsia" w:ascii="宋体" w:hAnsi="宋体" w:cs="宋体"/>
                <w:color w:val="auto"/>
                <w:sz w:val="24"/>
              </w:rPr>
            </w:pPr>
            <w:r>
              <w:rPr>
                <w:rFonts w:hint="eastAsia" w:ascii="宋体" w:hAnsi="宋体" w:cs="宋体"/>
                <w:color w:val="auto"/>
                <w:sz w:val="24"/>
              </w:rPr>
              <w:t>/</w:t>
            </w:r>
          </w:p>
        </w:tc>
      </w:tr>
    </w:tbl>
    <w:p>
      <w:pPr>
        <w:pageBreakBefore w:val="0"/>
        <w:kinsoku/>
        <w:wordWrap/>
        <w:topLinePunct w:val="0"/>
        <w:autoSpaceDE/>
        <w:autoSpaceDN/>
        <w:bidi w:val="0"/>
        <w:adjustRightInd/>
        <w:snapToGrid/>
        <w:spacing w:line="3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rPr>
        <w:t>合同履行期限：</w:t>
      </w:r>
      <w:r>
        <w:rPr>
          <w:rFonts w:hint="eastAsia" w:ascii="宋体" w:hAnsi="宋体" w:cs="宋体"/>
          <w:sz w:val="24"/>
          <w:szCs w:val="24"/>
          <w:highlight w:val="none"/>
          <w:lang w:val="en-US" w:eastAsia="zh-CN"/>
        </w:rPr>
        <w:t>1年（具体起止日期以合同签订为准）</w:t>
      </w:r>
    </w:p>
    <w:p>
      <w:pPr>
        <w:pageBreakBefore w:val="0"/>
        <w:kinsoku/>
        <w:wordWrap/>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val="0"/>
          <w:iCs/>
          <w:sz w:val="24"/>
          <w:szCs w:val="24"/>
        </w:rPr>
        <w:t>否</w:t>
      </w:r>
      <w:r>
        <w:rPr>
          <w:rFonts w:hint="eastAsia" w:ascii="宋体" w:hAnsi="宋体" w:eastAsia="宋体" w:cs="宋体"/>
          <w:sz w:val="24"/>
          <w:szCs w:val="24"/>
        </w:rPr>
        <w:t>）接受联合体。</w:t>
      </w:r>
      <w:bookmarkStart w:id="6" w:name="_Toc35393630"/>
      <w:bookmarkStart w:id="7" w:name="_Toc28359013"/>
      <w:bookmarkStart w:id="8" w:name="_Toc35393799"/>
      <w:bookmarkStart w:id="9" w:name="_Toc28359090"/>
    </w:p>
    <w:p>
      <w:pPr>
        <w:pageBreakBefore w:val="0"/>
        <w:kinsoku/>
        <w:wordWrap/>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二</w:t>
      </w:r>
      <w:r>
        <w:rPr>
          <w:rFonts w:hint="eastAsia" w:ascii="宋体" w:hAnsi="宋体" w:eastAsia="宋体" w:cs="宋体"/>
          <w:b/>
          <w:bCs/>
          <w:sz w:val="24"/>
          <w:szCs w:val="24"/>
        </w:rPr>
        <w:t>、申请人的资格要求：</w:t>
      </w:r>
      <w:bookmarkEnd w:id="6"/>
      <w:bookmarkEnd w:id="7"/>
      <w:bookmarkEnd w:id="8"/>
      <w:bookmarkEnd w:id="9"/>
      <w:bookmarkStart w:id="10" w:name="_Toc28359091"/>
      <w:bookmarkStart w:id="11" w:name="_Toc28359014"/>
      <w:bookmarkStart w:id="12" w:name="_Toc35393631"/>
      <w:bookmarkStart w:id="13" w:name="_Toc35393800"/>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cs="宋体"/>
          <w:b w:val="0"/>
          <w:sz w:val="24"/>
          <w:szCs w:val="24"/>
          <w:lang w:val="en-US" w:eastAsia="zh-CN"/>
        </w:rPr>
      </w:pPr>
      <w:r>
        <w:rPr>
          <w:rFonts w:hint="eastAsia" w:ascii="宋体" w:hAnsi="宋体" w:eastAsia="宋体" w:cs="宋体"/>
          <w:b w:val="0"/>
          <w:sz w:val="24"/>
          <w:szCs w:val="24"/>
          <w:lang w:val="en-US" w:eastAsia="zh-CN"/>
        </w:rPr>
        <w:t>2、落实政府采购政策需满足的资格要求：</w:t>
      </w:r>
      <w:r>
        <w:rPr>
          <w:rFonts w:hint="eastAsia" w:ascii="宋体" w:hAnsi="宋体" w:cs="宋体"/>
          <w:b w:val="0"/>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3.本项目的特定资格要求：</w:t>
      </w:r>
      <w:r>
        <w:rPr>
          <w:rFonts w:hint="eastAsia" w:ascii="宋体" w:hAnsi="宋体" w:cs="宋体"/>
          <w:b w:val="0"/>
          <w:sz w:val="24"/>
          <w:szCs w:val="24"/>
          <w:lang w:val="en-US" w:eastAsia="zh-CN"/>
        </w:rPr>
        <w:t>1）</w:t>
      </w:r>
      <w:r>
        <w:rPr>
          <w:rFonts w:hint="eastAsia" w:ascii="宋体" w:hAnsi="宋体" w:eastAsia="宋体" w:cs="宋体"/>
          <w:b w:val="0"/>
          <w:sz w:val="24"/>
          <w:szCs w:val="24"/>
          <w:lang w:eastAsia="zh-CN"/>
        </w:rPr>
        <w:t>经年审合格的营业执照；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lang w:eastAsia="zh-CN"/>
        </w:rPr>
      </w:pPr>
      <w:r>
        <w:rPr>
          <w:rFonts w:hint="eastAsia" w:ascii="宋体" w:hAnsi="宋体" w:cs="宋体"/>
          <w:b w:val="0"/>
          <w:sz w:val="24"/>
          <w:szCs w:val="24"/>
          <w:lang w:val="en-US" w:eastAsia="zh-CN"/>
        </w:rPr>
        <w:t>2）</w:t>
      </w:r>
      <w:r>
        <w:rPr>
          <w:rFonts w:hint="eastAsia" w:ascii="宋体" w:hAnsi="宋体" w:eastAsia="宋体" w:cs="宋体"/>
          <w:b w:val="0"/>
          <w:sz w:val="24"/>
          <w:szCs w:val="24"/>
          <w:lang w:eastAsia="zh-CN"/>
        </w:rPr>
        <w:t>法定代表人的需携带法定代表人证明书及法定代表人身份证原件</w:t>
      </w:r>
      <w:r>
        <w:rPr>
          <w:rFonts w:hint="eastAsia" w:ascii="宋体" w:hAnsi="宋体" w:eastAsia="宋体" w:cs="宋体"/>
          <w:b w:val="0"/>
          <w:sz w:val="24"/>
          <w:szCs w:val="24"/>
          <w:lang w:val="en-US" w:eastAsia="zh-CN"/>
        </w:rPr>
        <w:t>或</w:t>
      </w:r>
      <w:r>
        <w:rPr>
          <w:rFonts w:hint="eastAsia" w:ascii="宋体" w:hAnsi="宋体" w:eastAsia="宋体" w:cs="宋体"/>
          <w:b w:val="0"/>
          <w:sz w:val="24"/>
          <w:szCs w:val="24"/>
          <w:lang w:eastAsia="zh-CN"/>
        </w:rPr>
        <w:t>委托代理人需携带法定代表人授权委托书及委托代理人身份证原件</w:t>
      </w:r>
      <w:r>
        <w:rPr>
          <w:rFonts w:hint="eastAsia" w:ascii="宋体" w:hAnsi="宋体" w:eastAsia="宋体" w:cs="宋体"/>
          <w:b w:val="0"/>
          <w:sz w:val="24"/>
          <w:szCs w:val="24"/>
        </w:rPr>
        <w:t>（授权书需附法人身份证及委托人身份证复印件正反面）</w:t>
      </w:r>
      <w:r>
        <w:rPr>
          <w:rFonts w:hint="eastAsia" w:ascii="宋体" w:hAnsi="宋体" w:eastAsia="宋体" w:cs="宋体"/>
          <w:b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lang w:eastAsia="zh-CN"/>
        </w:rPr>
      </w:pPr>
      <w:r>
        <w:rPr>
          <w:rFonts w:hint="eastAsia" w:ascii="宋体" w:hAnsi="宋体" w:cs="宋体"/>
          <w:b w:val="0"/>
          <w:sz w:val="24"/>
          <w:szCs w:val="24"/>
          <w:lang w:val="en-US" w:eastAsia="zh-CN"/>
        </w:rPr>
        <w:t>3）</w:t>
      </w:r>
      <w:r>
        <w:rPr>
          <w:rFonts w:hint="eastAsia" w:ascii="宋体" w:hAnsi="宋体" w:eastAsia="宋体" w:cs="宋体"/>
          <w:b w:val="0"/>
          <w:sz w:val="24"/>
          <w:szCs w:val="24"/>
          <w:lang w:eastAsia="zh-CN"/>
        </w:rPr>
        <w:t>提供</w:t>
      </w:r>
      <w:r>
        <w:rPr>
          <w:rFonts w:hint="eastAsia" w:ascii="宋体" w:hAnsi="宋体" w:cs="宋体"/>
          <w:b w:val="0"/>
          <w:sz w:val="24"/>
          <w:szCs w:val="24"/>
          <w:lang w:val="en-US" w:eastAsia="zh-CN"/>
        </w:rPr>
        <w:t>参加投标的人</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近</w:t>
      </w:r>
      <w:r>
        <w:rPr>
          <w:rFonts w:hint="eastAsia" w:ascii="宋体" w:hAnsi="宋体" w:eastAsia="宋体" w:cs="宋体"/>
          <w:b w:val="0"/>
          <w:sz w:val="24"/>
          <w:szCs w:val="24"/>
          <w:lang w:eastAsia="zh-CN"/>
        </w:rPr>
        <w:t>3个月）的社保个人明细；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lang w:eastAsia="zh-CN"/>
        </w:rPr>
      </w:pPr>
      <w:r>
        <w:rPr>
          <w:rFonts w:hint="eastAsia" w:ascii="宋体" w:hAnsi="宋体" w:cs="宋体"/>
          <w:b w:val="0"/>
          <w:sz w:val="24"/>
          <w:szCs w:val="24"/>
          <w:lang w:val="en-US" w:eastAsia="zh-CN"/>
        </w:rPr>
        <w:t>4）</w:t>
      </w:r>
      <w:r>
        <w:rPr>
          <w:rFonts w:hint="eastAsia" w:ascii="宋体" w:hAnsi="宋体" w:eastAsia="宋体" w:cs="宋体"/>
          <w:b w:val="0"/>
          <w:sz w:val="24"/>
          <w:szCs w:val="24"/>
          <w:lang w:eastAsia="zh-CN"/>
        </w:rPr>
        <w:t>提供税务机关出具的</w:t>
      </w:r>
      <w:r>
        <w:rPr>
          <w:rFonts w:hint="eastAsia" w:ascii="宋体" w:hAnsi="宋体" w:eastAsia="宋体" w:cs="宋体"/>
          <w:b w:val="0"/>
          <w:sz w:val="24"/>
          <w:szCs w:val="24"/>
          <w:lang w:val="en-US" w:eastAsia="zh-CN"/>
        </w:rPr>
        <w:t>近</w:t>
      </w:r>
      <w:r>
        <w:rPr>
          <w:rFonts w:hint="eastAsia" w:ascii="宋体" w:hAnsi="宋体" w:eastAsia="宋体" w:cs="宋体"/>
          <w:b w:val="0"/>
          <w:sz w:val="24"/>
          <w:szCs w:val="24"/>
          <w:lang w:eastAsia="zh-CN"/>
        </w:rPr>
        <w:t>三个月完税证明；</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sz w:val="24"/>
          <w:szCs w:val="24"/>
        </w:rPr>
      </w:pPr>
      <w:r>
        <w:rPr>
          <w:rFonts w:hint="eastAsia" w:ascii="宋体" w:hAnsi="宋体" w:cs="宋体"/>
          <w:b w:val="0"/>
          <w:sz w:val="24"/>
          <w:szCs w:val="24"/>
          <w:lang w:val="en-US" w:eastAsia="zh-CN"/>
        </w:rPr>
        <w:t>5）</w:t>
      </w:r>
      <w:r>
        <w:rPr>
          <w:rFonts w:hint="eastAsia" w:ascii="宋体" w:hAnsi="宋体" w:eastAsia="宋体" w:cs="宋体"/>
          <w:b w:val="0"/>
          <w:sz w:val="24"/>
          <w:szCs w:val="24"/>
          <w:lang w:val="en-US" w:eastAsia="zh-CN"/>
        </w:rPr>
        <w:t>、</w:t>
      </w:r>
      <w:r>
        <w:rPr>
          <w:rFonts w:hint="eastAsia" w:ascii="宋体" w:hAnsi="宋体" w:eastAsia="宋体" w:cs="宋体"/>
          <w:b w:val="0"/>
          <w:sz w:val="24"/>
          <w:szCs w:val="24"/>
        </w:rPr>
        <w:t>①提供近三年内（本项目投标报名截止期前）如在①“信用中国网（www.creditchina.gov.cn）”失信被执行人、税收违法黑名单、政府采购严重违法失信行为记录名单；②“中国政府采购网（www.ccgp.gov.cn）”被列入政府采购严重违法失信行为记录名单的；③“国家企业信用信息公示系统（http://www.gsxt.gov.cn）”列入经营异常名录信息、列入严重违法失信企业名单（黑名单）信息。④中国裁判文书网（http://wenshu.court.gov.cn/）有行贿受贿犯罪记录的将拒绝其参本次政府采购活动。提供网站查询须在报名期限内公告发布以后（含发布当日）的网站查询结果纸质版清晰件并加盖鲜公章；</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6）</w:t>
      </w:r>
      <w:r>
        <w:rPr>
          <w:rFonts w:hint="eastAsia" w:ascii="宋体" w:hAnsi="宋体" w:eastAsia="宋体" w:cs="宋体"/>
          <w:b w:val="0"/>
          <w:sz w:val="24"/>
          <w:szCs w:val="24"/>
          <w:lang w:val="en-US" w:eastAsia="zh-CN"/>
        </w:rPr>
        <w:t>、</w:t>
      </w:r>
      <w:r>
        <w:rPr>
          <w:rFonts w:hint="eastAsia" w:ascii="宋体" w:hAnsi="宋体" w:cs="宋体"/>
          <w:b w:val="0"/>
          <w:sz w:val="24"/>
          <w:szCs w:val="24"/>
          <w:lang w:val="en-US" w:eastAsia="zh-CN"/>
        </w:rPr>
        <w:t>参加包三的供应商需提供《动物防疫合格证》或《动物检疫合格证明》；</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bCs w:val="0"/>
          <w:sz w:val="24"/>
          <w:szCs w:val="24"/>
          <w:lang w:val="en-US" w:eastAsia="zh-CN"/>
        </w:rPr>
      </w:pPr>
      <w:r>
        <w:rPr>
          <w:rFonts w:hint="eastAsia" w:ascii="宋体" w:hAnsi="宋体" w:cs="宋体"/>
          <w:b w:val="0"/>
          <w:sz w:val="24"/>
          <w:szCs w:val="24"/>
          <w:lang w:val="en-US" w:eastAsia="zh-CN"/>
        </w:rPr>
        <w:t>7）、</w:t>
      </w:r>
      <w:r>
        <w:rPr>
          <w:rFonts w:hint="eastAsia" w:ascii="宋体" w:hAnsi="宋体" w:eastAsia="宋体" w:cs="宋体"/>
          <w:b w:val="0"/>
          <w:sz w:val="24"/>
          <w:szCs w:val="24"/>
        </w:rPr>
        <w:t>与采购人存在利害关系可能影响招标公正性的法人、其他组织或个人，不得参加投标；单位负责人为同一人或存在控股、管理关系的不同单位，不得参加同一</w:t>
      </w:r>
      <w:r>
        <w:rPr>
          <w:rFonts w:hint="eastAsia" w:ascii="宋体" w:hAnsi="宋体" w:eastAsia="宋体" w:cs="宋体"/>
          <w:b w:val="0"/>
          <w:sz w:val="24"/>
          <w:szCs w:val="24"/>
          <w:lang w:val="en-US" w:eastAsia="zh-CN"/>
        </w:rPr>
        <w:t>标段</w:t>
      </w:r>
      <w:r>
        <w:rPr>
          <w:rFonts w:hint="eastAsia" w:ascii="宋体" w:hAnsi="宋体" w:eastAsia="宋体" w:cs="宋体"/>
          <w:b w:val="0"/>
          <w:sz w:val="24"/>
          <w:szCs w:val="24"/>
        </w:rPr>
        <w:t>投标或者未划分标段的同一招标项目投标，违反前两款规定的，相关投标均无效</w:t>
      </w:r>
      <w:r>
        <w:rPr>
          <w:rFonts w:hint="eastAsia" w:ascii="宋体" w:hAnsi="宋体" w:cs="宋体"/>
          <w:b w:val="0"/>
          <w:sz w:val="24"/>
          <w:szCs w:val="24"/>
          <w:lang w:eastAsia="zh-CN"/>
        </w:rPr>
        <w:t>。</w:t>
      </w:r>
    </w:p>
    <w:p>
      <w:pPr>
        <w:pageBreakBefore w:val="0"/>
        <w:numPr>
          <w:ilvl w:val="0"/>
          <w:numId w:val="0"/>
        </w:numPr>
        <w:kinsoku/>
        <w:wordWrap/>
        <w:topLinePunct w:val="0"/>
        <w:autoSpaceDE/>
        <w:autoSpaceDN/>
        <w:bidi w:val="0"/>
        <w:adjustRightInd/>
        <w:snapToGrid/>
        <w:spacing w:line="380" w:lineRule="exact"/>
        <w:ind w:leftChars="0"/>
        <w:textAlignment w:val="auto"/>
        <w:rPr>
          <w:rFonts w:hint="eastAsia" w:ascii="宋体" w:hAnsi="宋体" w:eastAsia="宋体" w:cs="宋体"/>
          <w:b w:val="0"/>
          <w:sz w:val="24"/>
          <w:szCs w:val="24"/>
          <w:lang w:val="en-US" w:eastAsia="zh-CN"/>
        </w:rPr>
      </w:pPr>
      <w:r>
        <w:rPr>
          <w:rFonts w:hint="eastAsia" w:ascii="宋体" w:hAnsi="宋体" w:eastAsia="宋体" w:cs="宋体"/>
          <w:b/>
          <w:bCs w:val="0"/>
          <w:sz w:val="24"/>
          <w:szCs w:val="24"/>
          <w:lang w:val="en-US" w:eastAsia="zh-CN"/>
        </w:rPr>
        <w:t>三、获取采购文件</w:t>
      </w:r>
      <w:bookmarkEnd w:id="10"/>
      <w:bookmarkEnd w:id="11"/>
      <w:bookmarkEnd w:id="12"/>
      <w:bookmarkEnd w:id="13"/>
    </w:p>
    <w:p>
      <w:pPr>
        <w:pStyle w:val="4"/>
        <w:pageBreakBefore w:val="0"/>
        <w:widowControl w:val="0"/>
        <w:kinsoku/>
        <w:wordWrap/>
        <w:overflowPunct/>
        <w:topLinePunct w:val="0"/>
        <w:autoSpaceDE/>
        <w:autoSpaceDN/>
        <w:bidi w:val="0"/>
        <w:adjustRightInd/>
        <w:snapToGrid w:val="0"/>
        <w:spacing w:before="0" w:after="0" w:line="380" w:lineRule="exact"/>
        <w:ind w:firstLine="480" w:firstLineChars="200"/>
        <w:textAlignment w:val="auto"/>
        <w:rPr>
          <w:rFonts w:hint="eastAsia" w:ascii="宋体" w:hAnsi="宋体" w:eastAsia="宋体" w:cs="宋体"/>
          <w:b w:val="0"/>
          <w:sz w:val="24"/>
          <w:szCs w:val="24"/>
          <w:highlight w:val="none"/>
          <w:lang w:val="en-US" w:eastAsia="zh-CN"/>
        </w:rPr>
      </w:pPr>
      <w:bookmarkStart w:id="14" w:name="_Toc28359092"/>
      <w:bookmarkStart w:id="15" w:name="_Toc28359015"/>
      <w:bookmarkStart w:id="16" w:name="_Toc35393632"/>
      <w:bookmarkStart w:id="17" w:name="_Toc35393801"/>
      <w:r>
        <w:rPr>
          <w:rFonts w:hint="eastAsia" w:ascii="宋体" w:hAnsi="宋体" w:eastAsia="宋体" w:cs="宋体"/>
          <w:b w:val="0"/>
          <w:sz w:val="24"/>
          <w:szCs w:val="24"/>
          <w:highlight w:val="none"/>
          <w:lang w:val="en-US" w:eastAsia="zh-CN"/>
        </w:rPr>
        <w:t>时间：2022 年06 月 22日至  2022年 06月24日，每天上午10：00至14:00，下午16:00至20:00（北京时间，法定节假日除外 ）</w:t>
      </w:r>
    </w:p>
    <w:p>
      <w:pPr>
        <w:pStyle w:val="4"/>
        <w:pageBreakBefore w:val="0"/>
        <w:widowControl w:val="0"/>
        <w:kinsoku/>
        <w:wordWrap/>
        <w:overflowPunct/>
        <w:topLinePunct w:val="0"/>
        <w:autoSpaceDE/>
        <w:autoSpaceDN/>
        <w:bidi w:val="0"/>
        <w:adjustRightInd/>
        <w:snapToGrid w:val="0"/>
        <w:spacing w:before="0" w:after="0" w:line="380" w:lineRule="exact"/>
        <w:ind w:firstLine="480" w:firstLineChars="200"/>
        <w:textAlignment w:val="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地点：新疆惠文建设工程项目管理咨询有限公司（和田市阿恰勒东路11号）</w:t>
      </w:r>
    </w:p>
    <w:p>
      <w:pPr>
        <w:pageBreakBefore w:val="0"/>
        <w:widowControl w:val="0"/>
        <w:tabs>
          <w:tab w:val="left" w:pos="1437"/>
        </w:tabs>
        <w:kinsoku/>
        <w:wordWrap/>
        <w:overflowPunct/>
        <w:topLinePunct w:val="0"/>
        <w:autoSpaceDE/>
        <w:autoSpaceDN/>
        <w:bidi w:val="0"/>
        <w:adjustRightInd/>
        <w:spacing w:line="380" w:lineRule="exact"/>
        <w:ind w:firstLine="480"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b w:val="0"/>
          <w:sz w:val="24"/>
          <w:szCs w:val="24"/>
          <w:highlight w:val="none"/>
          <w:lang w:val="en-US" w:eastAsia="zh-CN"/>
        </w:rPr>
        <w:t>方式：线下获取，</w:t>
      </w:r>
      <w:r>
        <w:rPr>
          <w:rFonts w:hint="eastAsia" w:ascii="宋体" w:hAnsi="宋体" w:eastAsia="宋体" w:cs="宋体"/>
          <w:b w:val="0"/>
          <w:bCs/>
          <w:sz w:val="24"/>
          <w:szCs w:val="24"/>
          <w:highlight w:val="none"/>
        </w:rPr>
        <w:t xml:space="preserve">满足上述投标资质的投标人，携带第二条申请人的资格要求的相关证件（原件及加盖单位鲜公章的复印件各一套核对），审查合格后现场获取招标文件   </w:t>
      </w:r>
    </w:p>
    <w:p>
      <w:pPr>
        <w:pStyle w:val="4"/>
        <w:pageBreakBefore w:val="0"/>
        <w:widowControl w:val="0"/>
        <w:kinsoku/>
        <w:wordWrap/>
        <w:overflowPunct/>
        <w:topLinePunct w:val="0"/>
        <w:autoSpaceDE/>
        <w:autoSpaceDN/>
        <w:bidi w:val="0"/>
        <w:adjustRightInd/>
        <w:snapToGrid w:val="0"/>
        <w:spacing w:before="0" w:after="0" w:line="380" w:lineRule="exac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30</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18" w:name="_Toc28359093"/>
      <w:bookmarkStart w:id="19" w:name="_Toc35393802"/>
      <w:bookmarkStart w:id="20" w:name="_Toc35393633"/>
      <w:bookmarkStart w:id="21" w:name="_Toc28359016"/>
      <w:r>
        <w:rPr>
          <w:rFonts w:hint="eastAsia" w:ascii="宋体" w:hAnsi="宋体" w:cs="宋体"/>
          <w:b/>
          <w:bCs/>
          <w:color w:val="auto"/>
          <w:sz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30</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22" w:name="_Toc35393803"/>
      <w:bookmarkStart w:id="23" w:name="_Toc28359094"/>
      <w:bookmarkStart w:id="24" w:name="_Toc28359017"/>
      <w:bookmarkStart w:id="25" w:name="_Toc35393634"/>
      <w:r>
        <w:rPr>
          <w:rFonts w:hint="eastAsia" w:ascii="宋体" w:hAnsi="宋体" w:cs="宋体"/>
          <w:b/>
          <w:bCs/>
          <w:color w:val="auto"/>
          <w:sz w:val="24"/>
          <w:highlight w:val="none"/>
        </w:rPr>
        <w:t>六、公告期限</w:t>
      </w:r>
      <w:bookmarkEnd w:id="22"/>
      <w:bookmarkEnd w:id="23"/>
      <w:bookmarkEnd w:id="24"/>
      <w:bookmarkEnd w:id="25"/>
    </w:p>
    <w:p>
      <w:pPr>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个工作日。</w:t>
      </w:r>
    </w:p>
    <w:p>
      <w:pPr>
        <w:pageBreakBefore w:val="0"/>
        <w:widowControl w:val="0"/>
        <w:kinsoku/>
        <w:wordWrap/>
        <w:overflowPunct/>
        <w:topLinePunct w:val="0"/>
        <w:autoSpaceDE/>
        <w:autoSpaceDN/>
        <w:bidi w:val="0"/>
        <w:adjustRightInd/>
        <w:spacing w:line="380" w:lineRule="exact"/>
        <w:textAlignment w:val="auto"/>
        <w:rPr>
          <w:rFonts w:hint="eastAsia" w:ascii="宋体" w:hAnsi="宋体" w:cs="宋体"/>
          <w:b/>
          <w:bCs/>
          <w:color w:val="auto"/>
          <w:sz w:val="24"/>
          <w:highlight w:val="none"/>
        </w:rPr>
      </w:pPr>
      <w:bookmarkStart w:id="26" w:name="_Toc35393804"/>
      <w:bookmarkStart w:id="27" w:name="_Toc35393635"/>
      <w:r>
        <w:rPr>
          <w:rFonts w:hint="eastAsia" w:ascii="宋体" w:hAnsi="宋体" w:cs="宋体"/>
          <w:b/>
          <w:bCs/>
          <w:color w:val="auto"/>
          <w:sz w:val="24"/>
          <w:highlight w:val="none"/>
        </w:rPr>
        <w:t>七、其他补充事宜</w:t>
      </w:r>
      <w:bookmarkEnd w:id="26"/>
      <w:bookmarkEnd w:id="27"/>
    </w:p>
    <w:p>
      <w:pPr>
        <w:pStyle w:val="9"/>
        <w:pageBreakBefore w:val="0"/>
        <w:widowControl w:val="0"/>
        <w:kinsoku/>
        <w:wordWrap/>
        <w:overflowPunct/>
        <w:topLinePunct w:val="0"/>
        <w:autoSpaceDE/>
        <w:autoSpaceDN/>
        <w:bidi w:val="0"/>
        <w:adjustRightInd/>
        <w:spacing w:line="380" w:lineRule="exact"/>
        <w:ind w:firstLine="480"/>
        <w:textAlignment w:val="auto"/>
        <w:rPr>
          <w:rFonts w:hint="eastAsia" w:ascii="新宋体" w:hAnsi="新宋体" w:eastAsia="新宋体"/>
          <w:kern w:val="1"/>
        </w:rPr>
      </w:pPr>
      <w:bookmarkStart w:id="28" w:name="_Toc35393805"/>
      <w:bookmarkStart w:id="29" w:name="_Toc28359018"/>
      <w:bookmarkStart w:id="30" w:name="_Toc35393636"/>
      <w:bookmarkStart w:id="31" w:name="_Toc28359095"/>
      <w:r>
        <w:rPr>
          <w:rFonts w:hint="eastAsia" w:ascii="新宋体" w:hAnsi="新宋体" w:eastAsia="新宋体"/>
          <w:kern w:val="1"/>
          <w:highlight w:val="none"/>
        </w:rPr>
        <w:t>投标保证金：</w:t>
      </w:r>
      <w:r>
        <w:rPr>
          <w:rFonts w:hint="eastAsia" w:ascii="新宋体" w:hAnsi="新宋体" w:eastAsia="新宋体"/>
          <w:kern w:val="1"/>
          <w:highlight w:val="none"/>
          <w:lang w:val="en-US" w:eastAsia="zh-CN"/>
        </w:rPr>
        <w:t>5</w:t>
      </w:r>
      <w:r>
        <w:rPr>
          <w:rFonts w:hint="eastAsia" w:ascii="新宋体" w:hAnsi="新宋体" w:eastAsia="新宋体"/>
          <w:kern w:val="1"/>
          <w:highlight w:val="none"/>
        </w:rPr>
        <w:t>000.00元；开户名称：于田县行政服务和公共资源交易中心，开户银行：中国农业银行股份有限公司于田县支行，行号：103896758211，账号：30582101040040596【投标保证金缴纳的截止时间为2022年</w:t>
      </w:r>
      <w:r>
        <w:rPr>
          <w:rFonts w:hint="eastAsia" w:ascii="新宋体" w:hAnsi="新宋体" w:eastAsia="新宋体"/>
          <w:kern w:val="1"/>
          <w:highlight w:val="none"/>
          <w:lang w:val="en-US" w:eastAsia="zh-CN"/>
        </w:rPr>
        <w:t>06</w:t>
      </w:r>
      <w:r>
        <w:rPr>
          <w:rFonts w:hint="eastAsia" w:ascii="新宋体" w:hAnsi="新宋体" w:eastAsia="新宋体"/>
          <w:kern w:val="1"/>
          <w:highlight w:val="none"/>
        </w:rPr>
        <w:t>月</w:t>
      </w:r>
      <w:r>
        <w:rPr>
          <w:rFonts w:hint="eastAsia" w:ascii="新宋体" w:hAnsi="新宋体" w:eastAsia="新宋体"/>
          <w:kern w:val="1"/>
          <w:highlight w:val="none"/>
          <w:lang w:val="en-US" w:eastAsia="zh-CN"/>
        </w:rPr>
        <w:t>30</w:t>
      </w:r>
      <w:r>
        <w:rPr>
          <w:rFonts w:hint="eastAsia" w:ascii="新宋体" w:hAnsi="新宋体" w:eastAsia="新宋体"/>
          <w:kern w:val="1"/>
          <w:highlight w:val="none"/>
        </w:rPr>
        <w:t>日1</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：00（北京时间），缴纳投标保证金时应在付款用途里标明项目名称、用途。投标保证金以进账</w:t>
      </w:r>
      <w:r>
        <w:rPr>
          <w:rFonts w:hint="eastAsia" w:ascii="新宋体" w:hAnsi="新宋体" w:eastAsia="新宋体"/>
          <w:kern w:val="1"/>
        </w:rPr>
        <w:t>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新宋体" w:hAnsi="新宋体" w:eastAsia="新宋体"/>
          <w:b/>
          <w:bCs/>
          <w:kern w:val="1"/>
        </w:rPr>
        <w:t>开标结束后未中标企业现场将开户许可证复印件（须加盖公司公章）递交至于田县公共资源交易中心财务室。</w:t>
      </w:r>
    </w:p>
    <w:p>
      <w:pPr>
        <w:pageBreakBefore w:val="0"/>
        <w:widowControl w:val="0"/>
        <w:kinsoku/>
        <w:wordWrap/>
        <w:overflowPunct/>
        <w:topLinePunct w:val="0"/>
        <w:autoSpaceDE/>
        <w:autoSpaceDN/>
        <w:bidi w:val="0"/>
        <w:adjustRightInd/>
        <w:spacing w:line="380" w:lineRule="exact"/>
        <w:textAlignment w:val="auto"/>
        <w:rPr>
          <w:rFonts w:hint="eastAsia" w:ascii="宋体" w:hAnsi="宋体" w:cs="宋体"/>
          <w:b/>
          <w:bCs/>
          <w:color w:val="auto"/>
          <w:sz w:val="24"/>
        </w:rPr>
      </w:pPr>
      <w:r>
        <w:rPr>
          <w:rFonts w:hint="eastAsia" w:ascii="宋体" w:hAnsi="宋体" w:cs="宋体"/>
          <w:b/>
          <w:bCs/>
          <w:color w:val="auto"/>
          <w:sz w:val="24"/>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pacing w:line="380" w:lineRule="exact"/>
        <w:ind w:firstLine="720" w:firstLineChars="300"/>
        <w:textAlignment w:val="auto"/>
        <w:rPr>
          <w:rFonts w:hint="eastAsia" w:ascii="宋体" w:hAnsi="宋体" w:cs="宋体"/>
          <w:color w:val="auto"/>
          <w:sz w:val="24"/>
        </w:rPr>
      </w:pPr>
      <w:bookmarkStart w:id="32" w:name="_Toc35393637"/>
      <w:bookmarkStart w:id="33" w:name="_Toc35393806"/>
      <w:bookmarkStart w:id="34" w:name="_Toc28359096"/>
      <w:bookmarkStart w:id="35" w:name="_Toc28359019"/>
      <w:r>
        <w:rPr>
          <w:rFonts w:hint="eastAsia" w:ascii="宋体" w:hAnsi="宋体" w:cs="宋体"/>
          <w:color w:val="auto"/>
          <w:sz w:val="24"/>
        </w:rPr>
        <w:t>1.采购人信息</w:t>
      </w:r>
      <w:bookmarkEnd w:id="32"/>
      <w:bookmarkEnd w:id="33"/>
      <w:bookmarkEnd w:id="34"/>
      <w:bookmarkEnd w:id="35"/>
    </w:p>
    <w:p>
      <w:pPr>
        <w:pageBreakBefore w:val="0"/>
        <w:widowControl w:val="0"/>
        <w:kinsoku/>
        <w:wordWrap/>
        <w:overflowPunct/>
        <w:topLinePunct w:val="0"/>
        <w:autoSpaceDE/>
        <w:autoSpaceDN/>
        <w:bidi w:val="0"/>
        <w:adjustRightInd/>
        <w:spacing w:line="3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名    称：</w:t>
      </w:r>
      <w:r>
        <w:rPr>
          <w:rFonts w:hint="eastAsia" w:ascii="宋体" w:hAnsi="宋体" w:cs="宋体"/>
          <w:color w:val="auto"/>
          <w:sz w:val="24"/>
          <w:u w:val="single"/>
          <w:lang w:val="en-US" w:eastAsia="zh-CN"/>
        </w:rPr>
        <w:t>于田县委机关服务中心</w:t>
      </w:r>
    </w:p>
    <w:p>
      <w:pPr>
        <w:pageBreakBefore w:val="0"/>
        <w:widowControl w:val="0"/>
        <w:kinsoku/>
        <w:wordWrap/>
        <w:overflowPunct/>
        <w:topLinePunct w:val="0"/>
        <w:autoSpaceDE/>
        <w:autoSpaceDN/>
        <w:bidi w:val="0"/>
        <w:adjustRightInd/>
        <w:spacing w:line="3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地    址：</w:t>
      </w:r>
      <w:r>
        <w:rPr>
          <w:rFonts w:hint="eastAsia" w:ascii="宋体" w:hAnsi="宋体" w:cs="宋体"/>
          <w:color w:val="auto"/>
          <w:sz w:val="24"/>
          <w:u w:val="single"/>
          <w:lang w:val="en-US" w:eastAsia="zh-CN"/>
        </w:rPr>
        <w:t>于田县玉城东路69号</w:t>
      </w:r>
    </w:p>
    <w:p>
      <w:pPr>
        <w:pageBreakBefore w:val="0"/>
        <w:widowControl w:val="0"/>
        <w:kinsoku/>
        <w:wordWrap/>
        <w:overflowPunct/>
        <w:topLinePunct w:val="0"/>
        <w:autoSpaceDE/>
        <w:autoSpaceDN/>
        <w:bidi w:val="0"/>
        <w:adjustRightInd/>
        <w:spacing w:line="380" w:lineRule="exact"/>
        <w:ind w:left="300" w:hanging="300" w:hangingChars="125"/>
        <w:jc w:val="left"/>
        <w:textAlignment w:val="auto"/>
        <w:rPr>
          <w:rFonts w:hint="eastAsia" w:ascii="宋体" w:hAnsi="宋体" w:cs="宋体"/>
          <w:color w:val="auto"/>
          <w:sz w:val="24"/>
        </w:rPr>
      </w:pPr>
      <w:r>
        <w:rPr>
          <w:rFonts w:hint="eastAsia" w:ascii="宋体" w:hAnsi="宋体" w:cs="宋体"/>
          <w:color w:val="auto"/>
          <w:sz w:val="24"/>
        </w:rPr>
        <w:t xml:space="preserve">      联 系 人：</w:t>
      </w:r>
      <w:r>
        <w:rPr>
          <w:rFonts w:hint="eastAsia" w:ascii="宋体" w:hAnsi="宋体" w:cs="宋体"/>
          <w:color w:val="auto"/>
          <w:sz w:val="24"/>
          <w:u w:val="single"/>
          <w:lang w:val="en-US" w:eastAsia="zh-CN"/>
        </w:rPr>
        <w:t>卫银元</w:t>
      </w:r>
      <w:r>
        <w:rPr>
          <w:rFonts w:hint="eastAsia" w:ascii="宋体" w:hAnsi="宋体" w:cs="宋体"/>
          <w:color w:val="auto"/>
          <w:sz w:val="24"/>
        </w:rPr>
        <w:t xml:space="preserve">     </w:t>
      </w:r>
    </w:p>
    <w:p>
      <w:pPr>
        <w:pageBreakBefore w:val="0"/>
        <w:widowControl w:val="0"/>
        <w:kinsoku/>
        <w:wordWrap/>
        <w:overflowPunct/>
        <w:topLinePunct w:val="0"/>
        <w:autoSpaceDE/>
        <w:autoSpaceDN/>
        <w:bidi w:val="0"/>
        <w:adjustRightInd/>
        <w:spacing w:line="380" w:lineRule="exact"/>
        <w:ind w:firstLine="720" w:firstLineChars="300"/>
        <w:jc w:val="left"/>
        <w:textAlignment w:val="auto"/>
        <w:rPr>
          <w:rFonts w:hint="default" w:ascii="宋体" w:hAnsi="宋体" w:cs="宋体"/>
          <w:color w:val="auto"/>
          <w:sz w:val="24"/>
          <w:lang w:val="en-US"/>
        </w:rPr>
      </w:pPr>
      <w:r>
        <w:rPr>
          <w:rFonts w:hint="eastAsia" w:ascii="宋体" w:hAnsi="宋体" w:cs="宋体"/>
          <w:color w:val="auto"/>
          <w:sz w:val="24"/>
        </w:rPr>
        <w:t>联系方式：</w:t>
      </w:r>
      <w:r>
        <w:rPr>
          <w:rFonts w:hint="eastAsia" w:ascii="宋体" w:hAnsi="宋体"/>
          <w:color w:val="auto"/>
          <w:sz w:val="24"/>
          <w:szCs w:val="24"/>
          <w:u w:val="single"/>
          <w:lang w:val="en-US" w:eastAsia="zh-CN"/>
        </w:rPr>
        <w:t>15509036956</w:t>
      </w:r>
    </w:p>
    <w:p>
      <w:pPr>
        <w:pageBreakBefore w:val="0"/>
        <w:widowControl w:val="0"/>
        <w:kinsoku/>
        <w:wordWrap/>
        <w:overflowPunct/>
        <w:topLinePunct w:val="0"/>
        <w:autoSpaceDE/>
        <w:autoSpaceDN/>
        <w:bidi w:val="0"/>
        <w:adjustRightInd/>
        <w:spacing w:line="380" w:lineRule="exact"/>
        <w:ind w:firstLine="720" w:firstLineChars="300"/>
        <w:textAlignment w:val="auto"/>
        <w:rPr>
          <w:rFonts w:hint="eastAsia" w:ascii="宋体" w:hAnsi="宋体" w:eastAsia="宋体" w:cs="宋体"/>
          <w:color w:val="auto"/>
          <w:sz w:val="24"/>
          <w:lang w:eastAsia="zh-CN"/>
        </w:rPr>
      </w:pPr>
      <w:bookmarkStart w:id="36" w:name="_Toc28359020"/>
      <w:bookmarkStart w:id="37" w:name="_Toc35393638"/>
      <w:bookmarkStart w:id="38" w:name="_Toc28359097"/>
      <w:bookmarkStart w:id="39" w:name="_Toc35393807"/>
      <w:r>
        <w:rPr>
          <w:rFonts w:hint="eastAsia" w:ascii="宋体" w:hAnsi="宋体" w:cs="宋体"/>
          <w:color w:val="auto"/>
          <w:sz w:val="24"/>
        </w:rPr>
        <w:t>2.采购代理机构信息</w:t>
      </w:r>
      <w:bookmarkEnd w:id="36"/>
      <w:bookmarkEnd w:id="37"/>
      <w:bookmarkEnd w:id="38"/>
      <w:bookmarkEnd w:id="39"/>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pacing w:line="380" w:lineRule="exact"/>
        <w:ind w:firstLine="720" w:firstLineChars="300"/>
        <w:textAlignment w:val="auto"/>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u w:val="single"/>
        </w:rPr>
        <w:t>新疆惠文建设工程项目管理咨询有限公司</w:t>
      </w:r>
    </w:p>
    <w:p>
      <w:pPr>
        <w:pageBreakBefore w:val="0"/>
        <w:widowControl w:val="0"/>
        <w:kinsoku/>
        <w:wordWrap/>
        <w:overflowPunct/>
        <w:topLinePunct w:val="0"/>
        <w:autoSpaceDE/>
        <w:autoSpaceDN/>
        <w:bidi w:val="0"/>
        <w:adjustRightInd/>
        <w:spacing w:line="380" w:lineRule="exact"/>
        <w:ind w:firstLine="720" w:firstLineChars="300"/>
        <w:textAlignment w:val="auto"/>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和田市阿恰勒东路11号</w:t>
      </w:r>
    </w:p>
    <w:p>
      <w:pPr>
        <w:pStyle w:val="6"/>
        <w:pageBreakBefore w:val="0"/>
        <w:widowControl w:val="0"/>
        <w:kinsoku/>
        <w:wordWrap/>
        <w:overflowPunct/>
        <w:topLinePunct w:val="0"/>
        <w:autoSpaceDE/>
        <w:autoSpaceDN/>
        <w:bidi w:val="0"/>
        <w:adjustRightInd/>
        <w:spacing w:line="380" w:lineRule="exact"/>
        <w:ind w:firstLine="720" w:firstLineChars="300"/>
        <w:textAlignment w:val="auto"/>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马玉燕</w:t>
      </w:r>
    </w:p>
    <w:p>
      <w:pPr>
        <w:pageBreakBefore w:val="0"/>
        <w:widowControl w:val="0"/>
        <w:kinsoku/>
        <w:wordWrap/>
        <w:overflowPunct/>
        <w:topLinePunct w:val="0"/>
        <w:autoSpaceDE/>
        <w:autoSpaceDN/>
        <w:bidi w:val="0"/>
        <w:adjustRightInd/>
        <w:spacing w:line="380" w:lineRule="exact"/>
        <w:ind w:firstLine="720" w:firstLineChars="300"/>
        <w:textAlignment w:val="auto"/>
      </w:pPr>
      <w:r>
        <w:rPr>
          <w:rFonts w:hint="eastAsia" w:ascii="宋体" w:hAnsi="宋体" w:cs="宋体"/>
          <w:color w:val="auto"/>
          <w:sz w:val="24"/>
        </w:rPr>
        <w:t>联系方式：</w:t>
      </w:r>
      <w:r>
        <w:rPr>
          <w:rFonts w:hint="eastAsia" w:ascii="宋体" w:hAnsi="宋体" w:cs="宋体"/>
          <w:color w:val="auto"/>
          <w:sz w:val="24"/>
          <w:u w:val="single"/>
        </w:rPr>
        <w:t>13999656168/0903-2520049</w:t>
      </w:r>
      <w:bookmarkStart w:id="40" w:name="_GoBack"/>
      <w:bookmarkEnd w:id="4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560"/>
        </w:tabs>
        <w:ind w:left="1560" w:hanging="720"/>
      </w:pPr>
      <w:rPr>
        <w:rFonts w:hint="default"/>
      </w:rPr>
    </w:lvl>
    <w:lvl w:ilvl="2" w:tentative="0">
      <w:start w:val="1"/>
      <w:numFmt w:val="decimalEnclosedCircle"/>
      <w:lvlText w:val="%3"/>
      <w:lvlJc w:val="left"/>
      <w:pPr>
        <w:tabs>
          <w:tab w:val="left" w:pos="1620"/>
        </w:tabs>
        <w:ind w:left="1620" w:hanging="360"/>
      </w:pPr>
      <w:rPr>
        <w:rFonts w:hint="eastAsia"/>
      </w:rPr>
    </w:lvl>
    <w:lvl w:ilvl="3" w:tentative="0">
      <w:start w:val="1"/>
      <w:numFmt w:val="decimal"/>
      <w:lvlText w:val="%4、"/>
      <w:lvlJc w:val="left"/>
      <w:pPr>
        <w:tabs>
          <w:tab w:val="left" w:pos="2400"/>
        </w:tabs>
        <w:ind w:left="2400" w:hanging="720"/>
      </w:pPr>
      <w:rPr>
        <w:rFonts w:hint="eastAsia"/>
      </w:rPr>
    </w:lvl>
    <w:lvl w:ilvl="4" w:tentative="0">
      <w:start w:val="1"/>
      <w:numFmt w:val="upperLetter"/>
      <w:pStyle w:val="3"/>
      <w:lvlText w:val="%5、"/>
      <w:lvlJc w:val="left"/>
      <w:pPr>
        <w:tabs>
          <w:tab w:val="left" w:pos="2820"/>
        </w:tabs>
        <w:ind w:left="2820" w:hanging="720"/>
      </w:pPr>
      <w:rPr>
        <w:rFonts w:hint="eastAsia"/>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ZWY0YjRjODZhNTBjYzE4ZGY1OWZlNzgxZDIxYjAifQ=="/>
  </w:docVars>
  <w:rsids>
    <w:rsidRoot w:val="17F41FC4"/>
    <w:rsid w:val="01931BD9"/>
    <w:rsid w:val="01C2313F"/>
    <w:rsid w:val="01FA01FD"/>
    <w:rsid w:val="039B1478"/>
    <w:rsid w:val="04736394"/>
    <w:rsid w:val="096F5086"/>
    <w:rsid w:val="0CF63E15"/>
    <w:rsid w:val="0D3156AB"/>
    <w:rsid w:val="10C90A57"/>
    <w:rsid w:val="11953977"/>
    <w:rsid w:val="12D20073"/>
    <w:rsid w:val="14115A22"/>
    <w:rsid w:val="164452C2"/>
    <w:rsid w:val="16A614D1"/>
    <w:rsid w:val="171B0477"/>
    <w:rsid w:val="17F41FC4"/>
    <w:rsid w:val="188C4254"/>
    <w:rsid w:val="199C636A"/>
    <w:rsid w:val="1CA81A32"/>
    <w:rsid w:val="1F865B8E"/>
    <w:rsid w:val="22404694"/>
    <w:rsid w:val="23D10D3F"/>
    <w:rsid w:val="243C7C31"/>
    <w:rsid w:val="264B2FCC"/>
    <w:rsid w:val="29C163F4"/>
    <w:rsid w:val="29F16DC8"/>
    <w:rsid w:val="2C8B2322"/>
    <w:rsid w:val="2DA6610C"/>
    <w:rsid w:val="2DE97352"/>
    <w:rsid w:val="2EE42162"/>
    <w:rsid w:val="300D0244"/>
    <w:rsid w:val="30A4241A"/>
    <w:rsid w:val="30C714A1"/>
    <w:rsid w:val="32D62664"/>
    <w:rsid w:val="339B2F43"/>
    <w:rsid w:val="34BD5761"/>
    <w:rsid w:val="35020CF9"/>
    <w:rsid w:val="35CE603F"/>
    <w:rsid w:val="391A7DDB"/>
    <w:rsid w:val="3C31280F"/>
    <w:rsid w:val="3E7166A7"/>
    <w:rsid w:val="3F8E0AC0"/>
    <w:rsid w:val="41CF4659"/>
    <w:rsid w:val="434C45B0"/>
    <w:rsid w:val="46C055BF"/>
    <w:rsid w:val="4D1F7095"/>
    <w:rsid w:val="4D6A3D2C"/>
    <w:rsid w:val="4D934C0B"/>
    <w:rsid w:val="4DCF1F1C"/>
    <w:rsid w:val="4F244251"/>
    <w:rsid w:val="4FF0157E"/>
    <w:rsid w:val="51062CAA"/>
    <w:rsid w:val="52277889"/>
    <w:rsid w:val="53F84BB6"/>
    <w:rsid w:val="54F9450B"/>
    <w:rsid w:val="57947A7F"/>
    <w:rsid w:val="5A5F0303"/>
    <w:rsid w:val="5A5F2A98"/>
    <w:rsid w:val="5AC058F6"/>
    <w:rsid w:val="5BEC4619"/>
    <w:rsid w:val="5C96693D"/>
    <w:rsid w:val="5DCF7A62"/>
    <w:rsid w:val="64365ED0"/>
    <w:rsid w:val="64B73A97"/>
    <w:rsid w:val="64CF198C"/>
    <w:rsid w:val="652E523A"/>
    <w:rsid w:val="657D1B52"/>
    <w:rsid w:val="658A426F"/>
    <w:rsid w:val="65970A67"/>
    <w:rsid w:val="665745E7"/>
    <w:rsid w:val="68A91C39"/>
    <w:rsid w:val="697031EF"/>
    <w:rsid w:val="6AB03CD7"/>
    <w:rsid w:val="6D1E3C1B"/>
    <w:rsid w:val="72EE6FE1"/>
    <w:rsid w:val="74B31E43"/>
    <w:rsid w:val="76C122EE"/>
    <w:rsid w:val="77982542"/>
    <w:rsid w:val="793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4"/>
        <w:numId w:val="1"/>
      </w:numPr>
      <w:tabs>
        <w:tab w:val="left" w:pos="0"/>
        <w:tab w:val="clear" w:pos="2820"/>
      </w:tabs>
      <w:ind w:hanging="2820"/>
      <w:outlineLvl w:val="0"/>
    </w:pPr>
    <w:rPr>
      <w:rFonts w:ascii="仿宋_GB2312" w:eastAsia="仿宋_GB2312"/>
      <w:sz w:val="32"/>
      <w:szCs w:val="32"/>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6">
    <w:name w:val="Plain Text"/>
    <w:basedOn w:val="1"/>
    <w:qFormat/>
    <w:uiPriority w:val="0"/>
    <w:rPr>
      <w:rFonts w:ascii="宋体" w:hAnsi="Courier New"/>
      <w:sz w:val="11"/>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00" w:lineRule="auto"/>
    </w:pPr>
    <w:rPr>
      <w:sz w:val="24"/>
      <w:szCs w:val="24"/>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1938</Characters>
  <Lines>0</Lines>
  <Paragraphs>0</Paragraphs>
  <TotalTime>7</TotalTime>
  <ScaleCrop>false</ScaleCrop>
  <LinksUpToDate>false</LinksUpToDate>
  <CharactersWithSpaces>2083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2020-11-10T07:02:00Z</dcterms:created>
  <dc:creator>Asus</dc:creator>
  <cp:lastModifiedBy>张亮</cp:lastModifiedBy>
  <cp:lastPrinted>2022-05-28T06:41:00Z</cp:lastPrinted>
  <dcterms:modified xsi:type="dcterms:W3CDTF">2022-06-21T05:13:23Z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1FA53B2AA56C417AAE5982DF9E034CDD</vt:lpwstr>
  </property>
</Properties>
</file>