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cs="宋体"/>
          <w:szCs w:val="21"/>
        </w:rPr>
      </w:pPr>
    </w:p>
    <w:p>
      <w:pPr>
        <w:spacing w:line="360" w:lineRule="auto"/>
        <w:jc w:val="center"/>
        <w:rPr>
          <w:rFonts w:ascii="宋体" w:cs="宋体"/>
          <w:b/>
          <w:bCs/>
          <w:sz w:val="36"/>
          <w:szCs w:val="36"/>
        </w:rPr>
      </w:pPr>
      <w:r>
        <w:rPr>
          <w:rFonts w:hint="eastAsia" w:ascii="宋体" w:cs="宋体"/>
          <w:b/>
          <w:bCs/>
          <w:sz w:val="36"/>
          <w:szCs w:val="36"/>
        </w:rPr>
        <w:t>新疆维吾尔自治区动物卫生监督所</w:t>
      </w:r>
    </w:p>
    <w:p>
      <w:pPr>
        <w:spacing w:line="360" w:lineRule="auto"/>
        <w:jc w:val="center"/>
        <w:rPr>
          <w:rFonts w:ascii="宋体" w:cs="宋体"/>
          <w:b/>
          <w:bCs/>
          <w:sz w:val="36"/>
          <w:szCs w:val="36"/>
        </w:rPr>
      </w:pPr>
      <w:r>
        <w:rPr>
          <w:rFonts w:hint="eastAsia" w:ascii="宋体" w:cs="宋体"/>
          <w:b/>
          <w:bCs/>
          <w:sz w:val="36"/>
          <w:szCs w:val="36"/>
        </w:rPr>
        <w:t>2022年实验室仪器设备采购项目（</w:t>
      </w:r>
      <w:r>
        <w:rPr>
          <w:rFonts w:hint="eastAsia" w:ascii="宋体" w:cs="宋体"/>
          <w:b/>
          <w:bCs/>
          <w:sz w:val="36"/>
          <w:szCs w:val="36"/>
          <w:lang w:val="en-US" w:eastAsia="zh-CN"/>
        </w:rPr>
        <w:t>三</w:t>
      </w:r>
      <w:r>
        <w:rPr>
          <w:rFonts w:hint="eastAsia" w:ascii="宋体" w:cs="宋体"/>
          <w:b/>
          <w:bCs/>
          <w:sz w:val="36"/>
          <w:szCs w:val="36"/>
        </w:rPr>
        <w:t>次）</w:t>
      </w:r>
    </w:p>
    <w:p>
      <w:pPr>
        <w:spacing w:line="360" w:lineRule="auto"/>
        <w:jc w:val="center"/>
        <w:rPr>
          <w:rFonts w:hint="default" w:ascii="宋体" w:eastAsia="宋体" w:cs="宋体"/>
          <w:b/>
          <w:bCs/>
          <w:sz w:val="36"/>
          <w:szCs w:val="36"/>
          <w:lang w:val="en-US" w:eastAsia="zh-CN"/>
        </w:rPr>
      </w:pPr>
      <w:r>
        <w:rPr>
          <w:rFonts w:hint="eastAsia" w:ascii="宋体" w:cs="宋体"/>
          <w:b/>
          <w:bCs/>
          <w:sz w:val="36"/>
          <w:szCs w:val="36"/>
        </w:rPr>
        <w:t>XJHZ(GK)2022-1</w:t>
      </w:r>
      <w:r>
        <w:rPr>
          <w:rFonts w:hint="eastAsia" w:ascii="宋体" w:cs="宋体"/>
          <w:b/>
          <w:bCs/>
          <w:sz w:val="36"/>
          <w:szCs w:val="36"/>
          <w:lang w:val="en-US" w:eastAsia="zh-CN"/>
        </w:rPr>
        <w:t>18</w:t>
      </w:r>
    </w:p>
    <w:p>
      <w:pPr>
        <w:spacing w:line="360" w:lineRule="auto"/>
        <w:jc w:val="center"/>
        <w:rPr>
          <w:rFonts w:ascii="宋体" w:cs="宋体"/>
          <w:b/>
          <w:bCs/>
          <w:sz w:val="48"/>
          <w:szCs w:val="48"/>
        </w:rPr>
      </w:pPr>
    </w:p>
    <w:p>
      <w:pPr>
        <w:spacing w:line="360" w:lineRule="auto"/>
        <w:jc w:val="center"/>
        <w:rPr>
          <w:rFonts w:ascii="宋体" w:cs="宋体"/>
          <w:b/>
          <w:bCs/>
          <w:sz w:val="84"/>
          <w:szCs w:val="84"/>
        </w:rPr>
      </w:pPr>
      <w:r>
        <w:rPr>
          <w:rFonts w:hint="eastAsia" w:ascii="宋体" w:cs="宋体"/>
          <w:b/>
          <w:bCs/>
          <w:sz w:val="84"/>
          <w:szCs w:val="84"/>
        </w:rPr>
        <w:t>招</w:t>
      </w:r>
    </w:p>
    <w:p>
      <w:pPr>
        <w:spacing w:line="360" w:lineRule="auto"/>
        <w:jc w:val="center"/>
        <w:rPr>
          <w:rFonts w:ascii="宋体" w:cs="宋体"/>
          <w:b/>
          <w:bCs/>
          <w:sz w:val="84"/>
          <w:szCs w:val="84"/>
        </w:rPr>
      </w:pPr>
      <w:r>
        <w:rPr>
          <w:rFonts w:hint="eastAsia" w:ascii="宋体" w:cs="宋体"/>
          <w:b/>
          <w:bCs/>
          <w:sz w:val="84"/>
          <w:szCs w:val="84"/>
        </w:rPr>
        <w:t>标</w:t>
      </w:r>
    </w:p>
    <w:p>
      <w:pPr>
        <w:spacing w:line="360" w:lineRule="auto"/>
        <w:jc w:val="center"/>
        <w:rPr>
          <w:rFonts w:ascii="宋体" w:cs="宋体"/>
          <w:b/>
          <w:bCs/>
          <w:sz w:val="84"/>
          <w:szCs w:val="84"/>
        </w:rPr>
      </w:pPr>
      <w:r>
        <w:rPr>
          <w:rFonts w:hint="eastAsia" w:ascii="宋体" w:cs="宋体"/>
          <w:b/>
          <w:bCs/>
          <w:sz w:val="84"/>
          <w:szCs w:val="84"/>
        </w:rPr>
        <w:t>文</w:t>
      </w:r>
    </w:p>
    <w:p>
      <w:pPr>
        <w:spacing w:line="360" w:lineRule="auto"/>
        <w:jc w:val="center"/>
      </w:pPr>
      <w:r>
        <w:rPr>
          <w:rFonts w:hint="eastAsia" w:ascii="宋体" w:cs="宋体"/>
          <w:b/>
          <w:bCs/>
          <w:sz w:val="84"/>
          <w:szCs w:val="84"/>
        </w:rPr>
        <w:t>件</w:t>
      </w:r>
    </w:p>
    <w:p>
      <w:pPr>
        <w:spacing w:line="360" w:lineRule="auto"/>
        <w:rPr>
          <w:rFonts w:ascii="宋体" w:cs="宋体"/>
          <w:szCs w:val="21"/>
        </w:rPr>
      </w:pPr>
    </w:p>
    <w:p>
      <w:pPr>
        <w:spacing w:line="360" w:lineRule="auto"/>
        <w:jc w:val="left"/>
        <w:rPr>
          <w:rFonts w:ascii="宋体" w:cs="宋体"/>
          <w:sz w:val="24"/>
        </w:rPr>
      </w:pPr>
      <w:r>
        <w:rPr>
          <w:rFonts w:hint="eastAsia" w:ascii="宋体" w:cs="宋体"/>
          <w:sz w:val="24"/>
        </w:rPr>
        <w:t>采购人：新疆维吾尔自治区动物卫生监督所</w:t>
      </w:r>
    </w:p>
    <w:p>
      <w:pPr>
        <w:spacing w:line="360" w:lineRule="auto"/>
        <w:jc w:val="left"/>
        <w:rPr>
          <w:rFonts w:ascii="宋体" w:cs="宋体"/>
          <w:sz w:val="24"/>
        </w:rPr>
      </w:pPr>
      <w:r>
        <w:rPr>
          <w:rFonts w:hint="eastAsia" w:ascii="宋体" w:cs="宋体"/>
          <w:sz w:val="24"/>
        </w:rPr>
        <w:t>地址：乌鲁木齐市高新技术开发区蓝天路268号</w:t>
      </w:r>
    </w:p>
    <w:p>
      <w:pPr>
        <w:spacing w:line="360" w:lineRule="auto"/>
        <w:jc w:val="left"/>
        <w:rPr>
          <w:rFonts w:ascii="宋体" w:cs="宋体"/>
          <w:sz w:val="24"/>
        </w:rPr>
      </w:pPr>
      <w:r>
        <w:rPr>
          <w:rFonts w:hint="eastAsia" w:ascii="宋体" w:cs="宋体"/>
          <w:sz w:val="24"/>
        </w:rPr>
        <w:t>联系人：赵耀国</w:t>
      </w:r>
    </w:p>
    <w:p>
      <w:pPr>
        <w:spacing w:line="360" w:lineRule="auto"/>
        <w:jc w:val="left"/>
        <w:rPr>
          <w:rFonts w:ascii="宋体" w:cs="宋体"/>
          <w:sz w:val="24"/>
        </w:rPr>
      </w:pPr>
      <w:r>
        <w:rPr>
          <w:rFonts w:hint="eastAsia" w:ascii="宋体" w:cs="宋体"/>
          <w:sz w:val="24"/>
        </w:rPr>
        <w:t>电话：18899505068</w:t>
      </w:r>
    </w:p>
    <w:p>
      <w:pPr>
        <w:spacing w:line="360" w:lineRule="auto"/>
        <w:rPr>
          <w:rFonts w:ascii="宋体" w:cs="宋体"/>
          <w:szCs w:val="21"/>
        </w:rPr>
      </w:pPr>
    </w:p>
    <w:p>
      <w:pPr>
        <w:spacing w:line="360" w:lineRule="auto"/>
        <w:jc w:val="left"/>
        <w:rPr>
          <w:rFonts w:ascii="宋体" w:cs="宋体"/>
          <w:sz w:val="24"/>
        </w:rPr>
      </w:pPr>
      <w:r>
        <w:rPr>
          <w:rFonts w:hint="eastAsia" w:ascii="宋体" w:cs="宋体"/>
          <w:sz w:val="24"/>
        </w:rPr>
        <w:t>采购代理机构名称：新疆世纪华中工程项目管理有限公司</w:t>
      </w:r>
    </w:p>
    <w:p>
      <w:pPr>
        <w:spacing w:line="360" w:lineRule="auto"/>
        <w:jc w:val="left"/>
        <w:rPr>
          <w:rFonts w:ascii="宋体" w:cs="宋体"/>
          <w:sz w:val="24"/>
        </w:rPr>
      </w:pPr>
      <w:r>
        <w:rPr>
          <w:rFonts w:hint="eastAsia" w:ascii="宋体" w:cs="宋体"/>
          <w:sz w:val="24"/>
        </w:rPr>
        <w:t>地址：乌鲁木齐市米东区中颐北路公务员小区F区F14号楼3层</w:t>
      </w:r>
    </w:p>
    <w:p>
      <w:pPr>
        <w:spacing w:line="360" w:lineRule="auto"/>
        <w:jc w:val="left"/>
        <w:rPr>
          <w:rFonts w:ascii="宋体" w:cs="宋体"/>
          <w:sz w:val="24"/>
        </w:rPr>
      </w:pPr>
      <w:r>
        <w:rPr>
          <w:rFonts w:hint="eastAsia" w:ascii="宋体" w:cs="宋体"/>
          <w:sz w:val="24"/>
        </w:rPr>
        <w:t>联系人：孙共青</w:t>
      </w:r>
    </w:p>
    <w:p>
      <w:pPr>
        <w:spacing w:line="360" w:lineRule="auto"/>
        <w:jc w:val="left"/>
        <w:rPr>
          <w:rFonts w:ascii="宋体" w:cs="宋体"/>
          <w:sz w:val="24"/>
        </w:rPr>
      </w:pPr>
      <w:r>
        <w:rPr>
          <w:rFonts w:hint="eastAsia" w:ascii="宋体" w:cs="宋体"/>
          <w:sz w:val="24"/>
        </w:rPr>
        <w:t>电话：0991-3382836</w:t>
      </w:r>
    </w:p>
    <w:p>
      <w:pPr>
        <w:spacing w:line="360" w:lineRule="auto"/>
        <w:jc w:val="center"/>
        <w:rPr>
          <w:rFonts w:ascii="宋体" w:cs="宋体"/>
          <w:sz w:val="24"/>
        </w:rPr>
      </w:pPr>
      <w:r>
        <w:rPr>
          <w:rFonts w:hint="eastAsia" w:ascii="宋体" w:cs="宋体"/>
          <w:sz w:val="24"/>
        </w:rPr>
        <w:t>日期：2022年</w:t>
      </w:r>
      <w:r>
        <w:rPr>
          <w:rFonts w:hint="eastAsia" w:ascii="宋体" w:cs="宋体"/>
          <w:sz w:val="24"/>
          <w:lang w:val="en-US" w:eastAsia="zh-CN"/>
        </w:rPr>
        <w:t>6</w:t>
      </w:r>
      <w:r>
        <w:rPr>
          <w:rFonts w:hint="eastAsia" w:ascii="宋体" w:cs="宋体"/>
          <w:sz w:val="24"/>
        </w:rPr>
        <w:t>月</w:t>
      </w:r>
    </w:p>
    <w:p>
      <w:pPr>
        <w:spacing w:line="360" w:lineRule="auto"/>
        <w:jc w:val="center"/>
        <w:rPr>
          <w:rFonts w:hint="eastAsia" w:asciiTheme="minorEastAsia" w:hAnsiTheme="minorEastAsia" w:eastAsiaTheme="minorEastAsia" w:cstheme="minorEastAsia"/>
          <w:b/>
          <w:bCs/>
          <w:sz w:val="32"/>
          <w:szCs w:val="32"/>
          <w:lang w:eastAsia="zh-CN"/>
        </w:rPr>
      </w:pPr>
      <w:r>
        <w:rPr>
          <w:rFonts w:hint="eastAsia" w:asciiTheme="minorEastAsia" w:hAnsiTheme="minorEastAsia" w:eastAsiaTheme="minorEastAsia" w:cstheme="minorEastAsia"/>
          <w:b/>
          <w:bCs/>
          <w:sz w:val="32"/>
          <w:szCs w:val="32"/>
          <w:lang w:eastAsia="zh-CN"/>
        </w:rPr>
        <w:t>招标公告</w:t>
      </w:r>
    </w:p>
    <w:tbl>
      <w:tblPr>
        <w:tblStyle w:val="23"/>
        <w:tblW w:w="8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2" w:hRule="atLeast"/>
        </w:trPr>
        <w:tc>
          <w:tcPr>
            <w:tcW w:w="8485"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kern w:val="0"/>
                <w:sz w:val="21"/>
                <w:szCs w:val="21"/>
                <w:lang w:eastAsia="zh-CN"/>
              </w:rPr>
            </w:pPr>
            <w:r>
              <w:rPr>
                <w:rFonts w:hint="eastAsia" w:asciiTheme="minorEastAsia" w:hAnsiTheme="minorEastAsia" w:eastAsiaTheme="minorEastAsia" w:cstheme="minorEastAsia"/>
                <w:b/>
                <w:bCs/>
                <w:kern w:val="0"/>
                <w:sz w:val="21"/>
                <w:szCs w:val="21"/>
                <w:lang w:eastAsia="zh-CN"/>
              </w:rPr>
              <w:t>项目概况</w:t>
            </w:r>
          </w:p>
          <w:p>
            <w:pPr>
              <w:pStyle w:val="12"/>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rPr>
            </w:pPr>
            <w:r>
              <w:rPr>
                <w:rFonts w:hint="eastAsia" w:ascii="宋体" w:cs="宋体"/>
                <w:color w:val="000000"/>
                <w:kern w:val="0"/>
                <w:szCs w:val="21"/>
              </w:rPr>
              <w:t>新疆维吾尔自治区动物卫生监督所2022年仪器设备采购项目（</w:t>
            </w:r>
            <w:r>
              <w:rPr>
                <w:rFonts w:hint="eastAsia" w:ascii="宋体" w:cs="宋体"/>
                <w:color w:val="000000"/>
                <w:kern w:val="0"/>
                <w:szCs w:val="21"/>
                <w:lang w:val="en-US" w:eastAsia="zh-CN"/>
              </w:rPr>
              <w:t>三</w:t>
            </w:r>
            <w:r>
              <w:rPr>
                <w:rFonts w:hint="eastAsia" w:ascii="宋体" w:cs="宋体"/>
                <w:color w:val="000000"/>
                <w:kern w:val="0"/>
                <w:szCs w:val="21"/>
              </w:rPr>
              <w:t>次）</w:t>
            </w:r>
            <w:r>
              <w:rPr>
                <w:rFonts w:hint="eastAsia" w:asciiTheme="minorEastAsia" w:hAnsiTheme="minorEastAsia" w:eastAsiaTheme="minorEastAsia" w:cstheme="minorEastAsia"/>
                <w:b w:val="0"/>
                <w:bCs w:val="0"/>
                <w:kern w:val="0"/>
                <w:sz w:val="21"/>
                <w:szCs w:val="21"/>
                <w:lang w:val="en-US" w:eastAsia="zh-CN"/>
              </w:rPr>
              <w:t>的潜在投标人应在新疆世纪华中工程项目管理有限公司（</w:t>
            </w:r>
            <w:r>
              <w:rPr>
                <w:rFonts w:hint="eastAsia" w:asciiTheme="minorEastAsia" w:hAnsiTheme="minorEastAsia" w:eastAsiaTheme="minorEastAsia" w:cstheme="minorEastAsia"/>
                <w:b w:val="0"/>
                <w:bCs w:val="0"/>
                <w:kern w:val="0"/>
                <w:sz w:val="21"/>
                <w:szCs w:val="21"/>
              </w:rPr>
              <w:t>乌鲁木齐</w:t>
            </w:r>
            <w:r>
              <w:rPr>
                <w:rFonts w:hint="eastAsia" w:asciiTheme="minorEastAsia" w:hAnsiTheme="minorEastAsia" w:eastAsiaTheme="minorEastAsia" w:cstheme="minorEastAsia"/>
                <w:b w:val="0"/>
                <w:bCs w:val="0"/>
                <w:kern w:val="0"/>
                <w:sz w:val="21"/>
                <w:szCs w:val="21"/>
                <w:lang w:eastAsia="zh-CN"/>
              </w:rPr>
              <w:t>市</w:t>
            </w:r>
            <w:r>
              <w:rPr>
                <w:rFonts w:hint="eastAsia" w:asciiTheme="minorEastAsia" w:hAnsiTheme="minorEastAsia" w:eastAsiaTheme="minorEastAsia" w:cstheme="minorEastAsia"/>
                <w:b w:val="0"/>
                <w:bCs w:val="0"/>
                <w:kern w:val="0"/>
                <w:sz w:val="21"/>
                <w:szCs w:val="21"/>
              </w:rPr>
              <w:t>米东区中颐北路乾和家园F区F14号楼1-3单元30</w:t>
            </w:r>
            <w:r>
              <w:rPr>
                <w:rFonts w:hint="eastAsia" w:asciiTheme="minorEastAsia" w:hAnsiTheme="minorEastAsia" w:eastAsiaTheme="minorEastAsia" w:cstheme="minorEastAsia"/>
                <w:b w:val="0"/>
                <w:bCs w:val="0"/>
                <w:kern w:val="0"/>
                <w:sz w:val="21"/>
                <w:szCs w:val="21"/>
                <w:lang w:val="en-US" w:eastAsia="zh-CN"/>
              </w:rPr>
              <w:t>3</w:t>
            </w:r>
            <w:r>
              <w:rPr>
                <w:rFonts w:hint="eastAsia" w:asciiTheme="minorEastAsia" w:hAnsiTheme="minorEastAsia" w:eastAsiaTheme="minorEastAsia" w:cstheme="minorEastAsia"/>
                <w:b w:val="0"/>
                <w:bCs w:val="0"/>
                <w:kern w:val="0"/>
                <w:sz w:val="21"/>
                <w:szCs w:val="21"/>
              </w:rPr>
              <w:t>室</w:t>
            </w:r>
            <w:r>
              <w:rPr>
                <w:rFonts w:hint="eastAsia" w:asciiTheme="minorEastAsia" w:hAnsiTheme="minorEastAsia" w:eastAsiaTheme="minorEastAsia" w:cstheme="minorEastAsia"/>
                <w:b w:val="0"/>
                <w:bCs w:val="0"/>
                <w:color w:val="000000"/>
                <w:kern w:val="0"/>
                <w:sz w:val="21"/>
                <w:szCs w:val="21"/>
                <w:lang w:val="en-US" w:eastAsia="zh-CN" w:bidi="ar-SA"/>
              </w:rPr>
              <w:t>）获取招标文件，并于2022年6月</w:t>
            </w:r>
            <w:r>
              <w:rPr>
                <w:rFonts w:hint="eastAsia" w:asciiTheme="minorEastAsia" w:hAnsiTheme="minorEastAsia" w:eastAsiaTheme="minorEastAsia" w:cstheme="minorEastAsia"/>
                <w:b w:val="0"/>
                <w:bCs w:val="0"/>
                <w:color w:val="000000" w:themeColor="text1"/>
                <w:kern w:val="0"/>
                <w:sz w:val="21"/>
                <w:szCs w:val="21"/>
                <w:lang w:val="en-US" w:eastAsia="zh-CN" w:bidi="ar-SA"/>
                <w14:textFill>
                  <w14:solidFill>
                    <w14:schemeClr w14:val="tx1"/>
                  </w14:solidFill>
                </w14:textFill>
              </w:rPr>
              <w:t>27</w:t>
            </w:r>
            <w:r>
              <w:rPr>
                <w:rFonts w:hint="eastAsia" w:asciiTheme="minorEastAsia" w:hAnsiTheme="minorEastAsia" w:eastAsiaTheme="minorEastAsia" w:cstheme="minorEastAsia"/>
                <w:b w:val="0"/>
                <w:bCs w:val="0"/>
                <w:color w:val="000000"/>
                <w:kern w:val="0"/>
                <w:sz w:val="21"/>
                <w:szCs w:val="21"/>
                <w:lang w:val="en-US" w:eastAsia="zh-CN" w:bidi="ar-SA"/>
              </w:rPr>
              <w:t>日11：00（北京时间）前递交投标文件。</w:t>
            </w:r>
          </w:p>
        </w:tc>
      </w:tr>
    </w:tbl>
    <w:p>
      <w:pPr>
        <w:numPr>
          <w:ilvl w:val="0"/>
          <w:numId w:val="0"/>
        </w:numPr>
        <w:bidi w:val="0"/>
        <w:rPr>
          <w:rFonts w:hint="eastAsia" w:asciiTheme="minorEastAsia" w:hAnsiTheme="minorEastAsia" w:eastAsiaTheme="minorEastAsia" w:cstheme="minorEastAsia"/>
          <w:b/>
          <w:bCs/>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bCs/>
          <w:sz w:val="21"/>
          <w:szCs w:val="21"/>
          <w:lang w:val="en-US" w:eastAsia="zh-CN"/>
        </w:rPr>
        <w:t>一、项目基本情况</w:t>
      </w:r>
      <w:r>
        <w:rPr>
          <w:rFonts w:hint="eastAsia" w:asciiTheme="minorEastAsia" w:hAnsiTheme="minorEastAsia" w:eastAsiaTheme="minorEastAsia" w:cstheme="minorEastAsia"/>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项目编号：XJHZ(GK)2022-118</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t>项目</w:t>
      </w:r>
      <w:r>
        <w:rPr>
          <w:rFonts w:hint="eastAsia" w:asciiTheme="minorEastAsia" w:hAnsiTheme="minorEastAsia" w:eastAsiaTheme="minorEastAsia" w:cstheme="minorEastAsia"/>
          <w:sz w:val="21"/>
          <w:szCs w:val="21"/>
          <w:lang w:val="en-US" w:eastAsia="zh-CN"/>
        </w:rPr>
        <w:t>名称：</w:t>
      </w:r>
      <w:r>
        <w:rPr>
          <w:rFonts w:hint="eastAsia" w:ascii="宋体" w:cs="宋体"/>
          <w:color w:val="000000"/>
          <w:kern w:val="0"/>
          <w:szCs w:val="21"/>
        </w:rPr>
        <w:t>新疆维吾尔自治区动物卫生监督所2022年仪器设备采购项目（</w:t>
      </w:r>
      <w:r>
        <w:rPr>
          <w:rFonts w:hint="eastAsia" w:ascii="宋体" w:cs="宋体"/>
          <w:color w:val="000000"/>
          <w:kern w:val="0"/>
          <w:szCs w:val="21"/>
          <w:lang w:val="en-US" w:eastAsia="zh-CN"/>
        </w:rPr>
        <w:t>三</w:t>
      </w:r>
      <w:r>
        <w:rPr>
          <w:rFonts w:hint="eastAsia" w:ascii="宋体" w:cs="宋体"/>
          <w:color w:val="000000"/>
          <w:kern w:val="0"/>
          <w:szCs w:val="21"/>
        </w:rPr>
        <w:t>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采购</w:t>
      </w:r>
      <w:r>
        <w:rPr>
          <w:rFonts w:hint="eastAsia" w:asciiTheme="minorEastAsia" w:hAnsiTheme="minorEastAsia" w:eastAsiaTheme="minorEastAsia" w:cstheme="minorEastAsia"/>
          <w:sz w:val="21"/>
          <w:szCs w:val="21"/>
          <w:lang w:eastAsia="zh-CN"/>
        </w:rPr>
        <w:t>方式：公开招标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预算金额：1000000.00元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最高限价：1000000.00元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数量：1</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单位：项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asciiTheme="minorEastAsia" w:hAnsiTheme="minorEastAsia" w:eastAsiaTheme="minorEastAsia" w:cstheme="minorEastAsia"/>
          <w:sz w:val="21"/>
          <w:szCs w:val="21"/>
          <w:lang w:val="en-US" w:eastAsia="zh-CN"/>
        </w:rPr>
        <w:t>采购内容：</w:t>
      </w:r>
      <w:r>
        <w:rPr>
          <w:rFonts w:hint="eastAsia" w:ascii="宋体" w:cs="宋体"/>
          <w:color w:val="000000"/>
          <w:kern w:val="0"/>
          <w:szCs w:val="21"/>
        </w:rPr>
        <w:t>新疆维吾尔自治区动物卫生监督所2022年仪器设备采购</w:t>
      </w:r>
      <w:r>
        <w:rPr>
          <w:rFonts w:hint="eastAsia" w:ascii="宋体" w:cs="宋体"/>
          <w:color w:val="000000"/>
          <w:kern w:val="0"/>
          <w:szCs w:val="21"/>
          <w:lang w:eastAsia="zh-CN"/>
        </w:rPr>
        <w:t>（</w:t>
      </w:r>
      <w:r>
        <w:rPr>
          <w:rFonts w:hint="eastAsia" w:ascii="宋体" w:cs="宋体"/>
          <w:color w:val="000000"/>
          <w:kern w:val="0"/>
          <w:szCs w:val="21"/>
          <w:lang w:val="en-US" w:eastAsia="zh-CN"/>
        </w:rPr>
        <w:t>具体</w:t>
      </w:r>
      <w:r>
        <w:rPr>
          <w:rFonts w:hint="eastAsia"/>
        </w:rPr>
        <w:t>详见采购文件</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eastAsia="宋体" w:asciiTheme="minorEastAsia" w:hAnsiTheme="minorEastAsia" w:cstheme="minorEastAsia"/>
          <w:sz w:val="21"/>
          <w:szCs w:val="21"/>
          <w:lang w:val="en-US" w:eastAsia="zh-CN"/>
        </w:rPr>
      </w:pPr>
      <w:r>
        <w:rPr>
          <w:rFonts w:hint="eastAsia"/>
          <w:lang w:val="en-US" w:eastAsia="zh-CN"/>
        </w:rPr>
        <w:t>供货期限：</w:t>
      </w:r>
      <w:r>
        <w:rPr>
          <w:rFonts w:hint="eastAsia"/>
        </w:rPr>
        <w:t>详见采购文件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二、</w:t>
      </w:r>
      <w:r>
        <w:rPr>
          <w:rFonts w:hint="eastAsia" w:asciiTheme="minorEastAsia" w:hAnsiTheme="minorEastAsia" w:eastAsiaTheme="minorEastAsia" w:cstheme="minorEastAsia"/>
          <w:b/>
          <w:bCs/>
          <w:sz w:val="21"/>
          <w:szCs w:val="21"/>
          <w:lang w:eastAsia="zh-CN"/>
        </w:rPr>
        <w:t>投标</w:t>
      </w:r>
      <w:r>
        <w:rPr>
          <w:rFonts w:hint="eastAsia" w:asciiTheme="minorEastAsia" w:hAnsiTheme="minorEastAsia" w:eastAsiaTheme="minorEastAsia" w:cstheme="minorEastAsia"/>
          <w:b/>
          <w:bCs/>
          <w:sz w:val="21"/>
          <w:szCs w:val="21"/>
        </w:rPr>
        <w:t>人的资格要求：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 xml:space="preserve">2.1 </w:t>
      </w:r>
      <w:r>
        <w:rPr>
          <w:rFonts w:hint="eastAsia" w:asciiTheme="minorEastAsia" w:hAnsiTheme="minorEastAsia" w:eastAsiaTheme="minorEastAsia" w:cstheme="minorEastAsia"/>
          <w:sz w:val="21"/>
          <w:szCs w:val="21"/>
        </w:rPr>
        <w:t>本项目的</w:t>
      </w:r>
      <w:r>
        <w:rPr>
          <w:rFonts w:hint="eastAsia" w:asciiTheme="minorEastAsia" w:hAnsiTheme="minorEastAsia" w:eastAsiaTheme="minorEastAsia" w:cstheme="minorEastAsia"/>
          <w:sz w:val="21"/>
          <w:szCs w:val="21"/>
          <w:lang w:eastAsia="zh-CN"/>
        </w:rPr>
        <w:t>一般</w:t>
      </w:r>
      <w:r>
        <w:rPr>
          <w:rFonts w:hint="eastAsia" w:asciiTheme="minorEastAsia" w:hAnsiTheme="minorEastAsia" w:eastAsiaTheme="minorEastAsia" w:cstheme="minorEastAsia"/>
          <w:sz w:val="21"/>
          <w:szCs w:val="21"/>
        </w:rPr>
        <w:t>资格要求：</w:t>
      </w:r>
    </w:p>
    <w:p>
      <w:pPr>
        <w:pStyle w:val="21"/>
        <w:spacing w:before="0" w:beforeAutospacing="0" w:after="0" w:afterAutospacing="0" w:line="500" w:lineRule="exact"/>
        <w:ind w:firstLine="420" w:firstLineChars="20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⑴ 满足《中华人民共和国政府采购法》第二十二条规定；</w:t>
      </w:r>
    </w:p>
    <w:p>
      <w:pPr>
        <w:pStyle w:val="21"/>
        <w:numPr>
          <w:ilvl w:val="0"/>
          <w:numId w:val="0"/>
        </w:numPr>
        <w:spacing w:before="0" w:beforeAutospacing="0" w:after="0" w:afterAutospacing="0" w:line="500" w:lineRule="exact"/>
        <w:ind w:firstLine="630" w:firstLineChars="30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①具有独立承担民事责任的能力；</w:t>
      </w:r>
    </w:p>
    <w:p>
      <w:pPr>
        <w:pStyle w:val="21"/>
        <w:numPr>
          <w:ilvl w:val="0"/>
          <w:numId w:val="0"/>
        </w:numPr>
        <w:spacing w:before="0" w:beforeAutospacing="0" w:after="0" w:afterAutospacing="0" w:line="500" w:lineRule="exact"/>
        <w:ind w:firstLine="630" w:firstLineChars="30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②具有良好的商业信誉和健全的</w:t>
      </w:r>
      <w:r>
        <w:rPr>
          <w:rFonts w:hint="eastAsia" w:asciiTheme="minorEastAsia" w:hAnsiTheme="minorEastAsia" w:eastAsiaTheme="minorEastAsia" w:cstheme="minorEastAsia"/>
          <w:kern w:val="2"/>
          <w:sz w:val="21"/>
          <w:szCs w:val="21"/>
          <w:lang w:val="en-US" w:eastAsia="zh-CN" w:bidi="ar-SA"/>
        </w:rPr>
        <w:fldChar w:fldCharType="begin"/>
      </w:r>
      <w:r>
        <w:rPr>
          <w:rFonts w:hint="eastAsia" w:asciiTheme="minorEastAsia" w:hAnsiTheme="minorEastAsia" w:eastAsiaTheme="minorEastAsia" w:cstheme="minorEastAsia"/>
          <w:kern w:val="2"/>
          <w:sz w:val="21"/>
          <w:szCs w:val="21"/>
          <w:lang w:val="en-US" w:eastAsia="zh-CN" w:bidi="ar-SA"/>
        </w:rPr>
        <w:instrText xml:space="preserve"> HYPERLINK "http://www.so.com/s?q=%E8%B4%A2%E5%8A%A1%E4%BC%9A%E8%AE%A1%E5%88%B6%E5%BA%A6&amp;ie=utf-8&amp;src=internal_wenda_recommend_textn" \t "https://wenda.so.com/q/_blank" </w:instrText>
      </w:r>
      <w:r>
        <w:rPr>
          <w:rFonts w:hint="eastAsia" w:asciiTheme="minorEastAsia" w:hAnsiTheme="minorEastAsia" w:eastAsiaTheme="minorEastAsia" w:cstheme="minorEastAsia"/>
          <w:kern w:val="2"/>
          <w:sz w:val="21"/>
          <w:szCs w:val="21"/>
          <w:lang w:val="en-US" w:eastAsia="zh-CN" w:bidi="ar-SA"/>
        </w:rPr>
        <w:fldChar w:fldCharType="separate"/>
      </w:r>
      <w:r>
        <w:rPr>
          <w:rFonts w:hint="eastAsia" w:asciiTheme="minorEastAsia" w:hAnsiTheme="minorEastAsia" w:eastAsiaTheme="minorEastAsia" w:cstheme="minorEastAsia"/>
          <w:kern w:val="2"/>
          <w:sz w:val="21"/>
          <w:szCs w:val="21"/>
          <w:lang w:val="en-US" w:eastAsia="zh-CN" w:bidi="ar-SA"/>
        </w:rPr>
        <w:t>财务会计制度</w:t>
      </w:r>
      <w:r>
        <w:rPr>
          <w:rFonts w:hint="eastAsia" w:asciiTheme="minorEastAsia" w:hAnsiTheme="minorEastAsia" w:eastAsiaTheme="minorEastAsia" w:cstheme="minorEastAsia"/>
          <w:kern w:val="2"/>
          <w:sz w:val="21"/>
          <w:szCs w:val="21"/>
          <w:lang w:val="en-US" w:eastAsia="zh-CN" w:bidi="ar-SA"/>
        </w:rPr>
        <w:fldChar w:fldCharType="end"/>
      </w:r>
      <w:r>
        <w:rPr>
          <w:rFonts w:hint="eastAsia" w:asciiTheme="minorEastAsia" w:hAnsiTheme="minorEastAsia" w:eastAsiaTheme="minorEastAsia" w:cstheme="minorEastAsia"/>
          <w:kern w:val="2"/>
          <w:sz w:val="21"/>
          <w:szCs w:val="21"/>
          <w:lang w:val="en-US" w:eastAsia="zh-CN" w:bidi="ar-SA"/>
        </w:rPr>
        <w:t>；</w:t>
      </w:r>
    </w:p>
    <w:p>
      <w:pPr>
        <w:pStyle w:val="21"/>
        <w:numPr>
          <w:ilvl w:val="0"/>
          <w:numId w:val="0"/>
        </w:numPr>
        <w:spacing w:before="0" w:beforeAutospacing="0" w:after="0" w:afterAutospacing="0" w:line="500" w:lineRule="exact"/>
        <w:ind w:firstLine="630" w:firstLineChars="30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③具有履行合同所必需的设备和专业技术能力；</w:t>
      </w:r>
    </w:p>
    <w:p>
      <w:pPr>
        <w:pStyle w:val="21"/>
        <w:numPr>
          <w:ilvl w:val="0"/>
          <w:numId w:val="0"/>
        </w:numPr>
        <w:spacing w:before="0" w:beforeAutospacing="0" w:after="0" w:afterAutospacing="0" w:line="500" w:lineRule="exact"/>
        <w:ind w:firstLine="630" w:firstLineChars="30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④有依法缴纳税收和</w:t>
      </w:r>
      <w:r>
        <w:rPr>
          <w:rFonts w:hint="eastAsia" w:asciiTheme="minorEastAsia" w:hAnsiTheme="minorEastAsia" w:eastAsiaTheme="minorEastAsia" w:cstheme="minorEastAsia"/>
          <w:kern w:val="2"/>
          <w:sz w:val="21"/>
          <w:szCs w:val="21"/>
          <w:lang w:val="en-US" w:eastAsia="zh-CN" w:bidi="ar-SA"/>
        </w:rPr>
        <w:fldChar w:fldCharType="begin"/>
      </w:r>
      <w:r>
        <w:rPr>
          <w:rFonts w:hint="eastAsia" w:asciiTheme="minorEastAsia" w:hAnsiTheme="minorEastAsia" w:eastAsiaTheme="minorEastAsia" w:cstheme="minorEastAsia"/>
          <w:kern w:val="2"/>
          <w:sz w:val="21"/>
          <w:szCs w:val="21"/>
          <w:lang w:val="en-US" w:eastAsia="zh-CN" w:bidi="ar-SA"/>
        </w:rPr>
        <w:instrText xml:space="preserve"> HYPERLINK "http://www.so.com/s?q=%E7%A4%BE%E4%BC%9A%E4%BF%9D%E9%9A%9C%E8%B5%84%E9%87%91&amp;ie=utf-8&amp;src=internal_wenda_recommend_textn" \t "https://wenda.so.com/q/_blank" </w:instrText>
      </w:r>
      <w:r>
        <w:rPr>
          <w:rFonts w:hint="eastAsia" w:asciiTheme="minorEastAsia" w:hAnsiTheme="minorEastAsia" w:eastAsiaTheme="minorEastAsia" w:cstheme="minorEastAsia"/>
          <w:kern w:val="2"/>
          <w:sz w:val="21"/>
          <w:szCs w:val="21"/>
          <w:lang w:val="en-US" w:eastAsia="zh-CN" w:bidi="ar-SA"/>
        </w:rPr>
        <w:fldChar w:fldCharType="separate"/>
      </w:r>
      <w:r>
        <w:rPr>
          <w:rFonts w:hint="eastAsia" w:asciiTheme="minorEastAsia" w:hAnsiTheme="minorEastAsia" w:eastAsiaTheme="minorEastAsia" w:cstheme="minorEastAsia"/>
          <w:kern w:val="2"/>
          <w:sz w:val="21"/>
          <w:szCs w:val="21"/>
          <w:lang w:val="en-US" w:eastAsia="zh-CN" w:bidi="ar-SA"/>
        </w:rPr>
        <w:t>社会保障资金</w:t>
      </w:r>
      <w:r>
        <w:rPr>
          <w:rFonts w:hint="eastAsia" w:asciiTheme="minorEastAsia" w:hAnsiTheme="minorEastAsia" w:eastAsiaTheme="minorEastAsia" w:cstheme="minorEastAsia"/>
          <w:kern w:val="2"/>
          <w:sz w:val="21"/>
          <w:szCs w:val="21"/>
          <w:lang w:val="en-US" w:eastAsia="zh-CN" w:bidi="ar-SA"/>
        </w:rPr>
        <w:fldChar w:fldCharType="end"/>
      </w:r>
      <w:r>
        <w:rPr>
          <w:rFonts w:hint="eastAsia" w:asciiTheme="minorEastAsia" w:hAnsiTheme="minorEastAsia" w:eastAsiaTheme="minorEastAsia" w:cstheme="minorEastAsia"/>
          <w:kern w:val="2"/>
          <w:sz w:val="21"/>
          <w:szCs w:val="21"/>
          <w:lang w:val="en-US" w:eastAsia="zh-CN" w:bidi="ar-SA"/>
        </w:rPr>
        <w:t>的良好记录；</w:t>
      </w:r>
    </w:p>
    <w:p>
      <w:pPr>
        <w:pStyle w:val="21"/>
        <w:numPr>
          <w:ilvl w:val="0"/>
          <w:numId w:val="0"/>
        </w:numPr>
        <w:spacing w:before="0" w:beforeAutospacing="0" w:after="0" w:afterAutospacing="0" w:line="500" w:lineRule="exact"/>
        <w:ind w:firstLine="630" w:firstLineChars="30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⑤参加政府采购活动前三年内，在经营活动中没有重大违法记录；</w:t>
      </w:r>
    </w:p>
    <w:p>
      <w:pPr>
        <w:pStyle w:val="21"/>
        <w:numPr>
          <w:ilvl w:val="0"/>
          <w:numId w:val="0"/>
        </w:numPr>
        <w:spacing w:before="0" w:beforeAutospacing="0" w:after="0" w:afterAutospacing="0" w:line="500" w:lineRule="exact"/>
        <w:ind w:firstLine="630" w:firstLineChars="30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⑥法律、行政法规规定的其他条件。</w:t>
      </w:r>
    </w:p>
    <w:p>
      <w:pPr>
        <w:pStyle w:val="21"/>
        <w:numPr>
          <w:ilvl w:val="0"/>
          <w:numId w:val="0"/>
        </w:numPr>
        <w:spacing w:before="0" w:beforeAutospacing="0" w:after="0" w:afterAutospacing="0" w:line="500" w:lineRule="exact"/>
        <w:ind w:firstLine="420" w:firstLineChars="20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⑵ 单位负责人为同一人或者存在直接控股、管理关系的不同投标人，不得参加本项目同一合同项下的政府采购活动。</w:t>
      </w:r>
    </w:p>
    <w:p>
      <w:pPr>
        <w:pStyle w:val="21"/>
        <w:numPr>
          <w:ilvl w:val="0"/>
          <w:numId w:val="0"/>
        </w:numPr>
        <w:spacing w:before="0" w:beforeAutospacing="0" w:after="0" w:afterAutospacing="0" w:line="500" w:lineRule="exact"/>
        <w:ind w:firstLine="420" w:firstLineChars="200"/>
        <w:rPr>
          <w:rFonts w:hint="eastAsia" w:asciiTheme="minorEastAsia" w:hAnsiTheme="minorEastAsia" w:eastAsiaTheme="minorEastAsia" w:cstheme="minorEastAsia"/>
          <w:kern w:val="2"/>
          <w:sz w:val="21"/>
          <w:szCs w:val="21"/>
          <w:lang w:val="en-US" w:eastAsia="zh-CN" w:bidi="ar-SA"/>
        </w:rPr>
      </w:pPr>
      <w:r>
        <w:rPr>
          <w:rFonts w:hint="eastAsia" w:ascii="宋体" w:hAnsi="宋体" w:eastAsia="宋体" w:cs="宋体"/>
          <w:kern w:val="2"/>
          <w:sz w:val="21"/>
          <w:szCs w:val="21"/>
          <w:lang w:val="en-US" w:eastAsia="zh-CN" w:bidi="ar-SA"/>
        </w:rPr>
        <w:t>⑶</w:t>
      </w:r>
      <w:r>
        <w:rPr>
          <w:rFonts w:hint="eastAsia" w:asciiTheme="minorEastAsia" w:hAnsiTheme="minorEastAsia" w:eastAsiaTheme="minorEastAsia" w:cstheme="minorEastAsia"/>
          <w:kern w:val="2"/>
          <w:sz w:val="21"/>
          <w:szCs w:val="21"/>
          <w:lang w:val="en-US" w:eastAsia="zh-CN" w:bidi="ar-SA"/>
        </w:rPr>
        <w:t xml:space="preserve"> 为本采购项目提供整体设计、规范编制或者项目管理、监理、检测等服务的，不得再参加本项目的其他招标采购活动。</w:t>
      </w:r>
    </w:p>
    <w:p>
      <w:pPr>
        <w:pStyle w:val="21"/>
        <w:numPr>
          <w:ilvl w:val="0"/>
          <w:numId w:val="0"/>
        </w:numPr>
        <w:spacing w:before="0" w:beforeAutospacing="0" w:after="0" w:afterAutospacing="0" w:line="500" w:lineRule="exact"/>
        <w:ind w:firstLine="420" w:firstLineChars="200"/>
        <w:rPr>
          <w:rFonts w:hint="eastAsia" w:asciiTheme="minorEastAsia" w:hAnsiTheme="minorEastAsia" w:eastAsiaTheme="minorEastAsia" w:cstheme="minorEastAsia"/>
          <w:kern w:val="2"/>
          <w:sz w:val="21"/>
          <w:szCs w:val="21"/>
          <w:lang w:val="en-US" w:eastAsia="zh-CN" w:bidi="ar-SA"/>
        </w:rPr>
      </w:pPr>
      <w:r>
        <w:rPr>
          <w:rFonts w:hint="eastAsia" w:ascii="宋体" w:hAnsi="宋体" w:eastAsia="宋体" w:cs="宋体"/>
          <w:kern w:val="2"/>
          <w:sz w:val="21"/>
          <w:szCs w:val="21"/>
          <w:lang w:val="en-US" w:eastAsia="zh-CN" w:bidi="ar-SA"/>
        </w:rPr>
        <w:t>⑷</w:t>
      </w:r>
      <w:r>
        <w:rPr>
          <w:rFonts w:hint="eastAsia" w:asciiTheme="minorEastAsia" w:hAnsiTheme="minorEastAsia" w:eastAsiaTheme="minorEastAsia" w:cstheme="minorEastAsia"/>
          <w:kern w:val="2"/>
          <w:sz w:val="21"/>
          <w:szCs w:val="21"/>
          <w:lang w:val="en-US" w:eastAsia="zh-CN" w:bidi="ar-SA"/>
        </w:rPr>
        <w:t xml:space="preserve"> 未被列入失信被执行人、重大税收违法案件当事人名单，未被列入政府采购严重违法失信行为记录名单。</w:t>
      </w:r>
    </w:p>
    <w:p>
      <w:pPr>
        <w:pStyle w:val="21"/>
        <w:numPr>
          <w:ilvl w:val="0"/>
          <w:numId w:val="0"/>
        </w:numPr>
        <w:spacing w:before="0" w:beforeAutospacing="0" w:after="0" w:afterAutospacing="0" w:line="500" w:lineRule="exact"/>
        <w:ind w:firstLine="420" w:firstLineChars="200"/>
        <w:rPr>
          <w:rFonts w:hint="eastAsia" w:asciiTheme="minorEastAsia" w:hAnsiTheme="minorEastAsia" w:eastAsiaTheme="minorEastAsia" w:cstheme="minorEastAsia"/>
          <w:kern w:val="2"/>
          <w:sz w:val="21"/>
          <w:szCs w:val="21"/>
          <w:lang w:val="en-US" w:eastAsia="zh-CN" w:bidi="ar-SA"/>
        </w:rPr>
      </w:pPr>
      <w:r>
        <w:rPr>
          <w:rFonts w:hint="eastAsia" w:ascii="宋体" w:hAnsi="宋体" w:eastAsia="宋体" w:cs="宋体"/>
          <w:kern w:val="2"/>
          <w:sz w:val="21"/>
          <w:szCs w:val="21"/>
          <w:lang w:val="en-US" w:eastAsia="zh-CN" w:bidi="ar-SA"/>
        </w:rPr>
        <w:t>⑸</w:t>
      </w:r>
      <w:r>
        <w:rPr>
          <w:rFonts w:hint="eastAsia" w:asciiTheme="minorEastAsia" w:hAnsiTheme="minorEastAsia" w:eastAsiaTheme="minorEastAsia" w:cstheme="minorEastAsia"/>
          <w:kern w:val="2"/>
          <w:sz w:val="21"/>
          <w:szCs w:val="21"/>
          <w:lang w:val="en-US" w:eastAsia="zh-CN" w:bidi="ar-SA"/>
        </w:rPr>
        <w:t xml:space="preserve"> 落实政府采购政策需满足的资格要求：本项目为非专门面向中小企业采购的项目。符合政府采购优先（节约能源、保护环境）采购政策及促进中小企业（监狱企业、残疾人福利性单位）发展政策的，依据规定给予评审优惠。</w:t>
      </w:r>
    </w:p>
    <w:p>
      <w:pPr>
        <w:pStyle w:val="21"/>
        <w:numPr>
          <w:ilvl w:val="0"/>
          <w:numId w:val="0"/>
        </w:numPr>
        <w:spacing w:before="0" w:beforeAutospacing="0" w:after="0" w:afterAutospacing="0" w:line="500" w:lineRule="exact"/>
        <w:ind w:firstLine="420" w:firstLineChars="200"/>
        <w:rPr>
          <w:rFonts w:hint="eastAsia" w:asciiTheme="minorEastAsia" w:hAnsiTheme="minorEastAsia" w:eastAsiaTheme="minorEastAsia" w:cstheme="minorEastAsia"/>
          <w:kern w:val="2"/>
          <w:sz w:val="21"/>
          <w:szCs w:val="21"/>
          <w:lang w:val="en-US" w:eastAsia="zh-CN" w:bidi="ar-SA"/>
        </w:rPr>
      </w:pPr>
      <w:r>
        <w:rPr>
          <w:rFonts w:hint="eastAsia" w:ascii="宋体" w:hAnsi="宋体" w:eastAsia="宋体" w:cs="宋体"/>
          <w:kern w:val="2"/>
          <w:sz w:val="21"/>
          <w:szCs w:val="21"/>
          <w:lang w:val="en-US" w:eastAsia="zh-CN" w:bidi="ar-SA"/>
        </w:rPr>
        <w:t>⑹</w:t>
      </w:r>
      <w:r>
        <w:rPr>
          <w:rFonts w:hint="eastAsia" w:asciiTheme="minorEastAsia" w:hAnsiTheme="minorEastAsia" w:eastAsiaTheme="minorEastAsia" w:cstheme="minorEastAsia"/>
          <w:kern w:val="2"/>
          <w:sz w:val="21"/>
          <w:szCs w:val="21"/>
          <w:lang w:val="en-US" w:eastAsia="zh-CN" w:bidi="ar-SA"/>
        </w:rPr>
        <w:t xml:space="preserve"> 本项目不接受联合体</w:t>
      </w:r>
    </w:p>
    <w:p>
      <w:pPr>
        <w:pStyle w:val="21"/>
        <w:numPr>
          <w:ilvl w:val="0"/>
          <w:numId w:val="0"/>
        </w:numPr>
        <w:spacing w:before="0" w:beforeAutospacing="0" w:after="0" w:afterAutospacing="0" w:line="500" w:lineRule="exact"/>
        <w:ind w:firstLine="420" w:firstLineChars="20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2.2 本项目的特定资格要求：</w:t>
      </w:r>
    </w:p>
    <w:p>
      <w:pPr>
        <w:pStyle w:val="21"/>
        <w:numPr>
          <w:ilvl w:val="0"/>
          <w:numId w:val="0"/>
        </w:numPr>
        <w:spacing w:before="0" w:beforeAutospacing="0" w:after="0" w:afterAutospacing="0" w:line="500" w:lineRule="exact"/>
        <w:ind w:firstLine="630" w:firstLineChars="30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rPr>
        <w:t>三、获取</w:t>
      </w:r>
      <w:r>
        <w:rPr>
          <w:rFonts w:hint="eastAsia" w:asciiTheme="minorEastAsia" w:hAnsiTheme="minorEastAsia" w:eastAsiaTheme="minorEastAsia" w:cstheme="minorEastAsia"/>
          <w:b/>
          <w:bCs/>
          <w:sz w:val="21"/>
          <w:szCs w:val="21"/>
          <w:lang w:val="en-US" w:eastAsia="zh-CN"/>
        </w:rPr>
        <w:t>采购</w:t>
      </w:r>
      <w:r>
        <w:rPr>
          <w:rFonts w:hint="eastAsia" w:asciiTheme="minorEastAsia" w:hAnsiTheme="minorEastAsia" w:eastAsiaTheme="minorEastAsia" w:cstheme="minorEastAsia"/>
          <w:b/>
          <w:bCs/>
          <w:sz w:val="21"/>
          <w:szCs w:val="21"/>
        </w:rPr>
        <w:t>文件</w:t>
      </w:r>
      <w:r>
        <w:rPr>
          <w:rFonts w:hint="eastAsia" w:asciiTheme="minorEastAsia" w:hAnsiTheme="minorEastAsia" w:eastAsiaTheme="minorEastAsia" w:cstheme="minorEastAsia"/>
          <w:b/>
          <w:bCs/>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时间：</w:t>
      </w:r>
      <w:r>
        <w:rPr>
          <w:rFonts w:hint="eastAsia" w:asciiTheme="minorEastAsia" w:hAnsiTheme="minorEastAsia" w:eastAsiaTheme="minorEastAsia" w:cstheme="minorEastAsia"/>
          <w:sz w:val="21"/>
          <w:szCs w:val="21"/>
        </w:rPr>
        <w:t>2022年</w:t>
      </w: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lang w:val="en-US" w:eastAsia="zh-CN"/>
        </w:rPr>
        <w:t>7</w:t>
      </w:r>
      <w:r>
        <w:rPr>
          <w:rFonts w:hint="eastAsia" w:asciiTheme="minorEastAsia" w:hAnsiTheme="minorEastAsia" w:eastAsiaTheme="minorEastAsia" w:cstheme="minorEastAsia"/>
          <w:sz w:val="21"/>
          <w:szCs w:val="21"/>
        </w:rPr>
        <w:t>日至2022年</w:t>
      </w: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lang w:val="en-US" w:eastAsia="zh-CN"/>
        </w:rPr>
        <w:t xml:space="preserve"> 13</w:t>
      </w:r>
      <w:r>
        <w:rPr>
          <w:rFonts w:hint="eastAsia" w:asciiTheme="minorEastAsia" w:hAnsiTheme="minorEastAsia" w:eastAsiaTheme="minorEastAsia" w:cstheme="minorEastAsia"/>
          <w:sz w:val="21"/>
          <w:szCs w:val="21"/>
        </w:rPr>
        <w:t>日（北京时间</w:t>
      </w:r>
      <w:r>
        <w:rPr>
          <w:rFonts w:hint="eastAsia" w:asciiTheme="minorEastAsia" w:hAnsiTheme="minorEastAsia" w:eastAsiaTheme="minorEastAsia" w:cstheme="minorEastAsia"/>
          <w:sz w:val="21"/>
          <w:szCs w:val="21"/>
          <w:lang w:eastAsia="zh-CN"/>
        </w:rPr>
        <w:t>，法定</w:t>
      </w:r>
      <w:r>
        <w:rPr>
          <w:rFonts w:hint="eastAsia" w:asciiTheme="minorEastAsia" w:hAnsiTheme="minorEastAsia" w:eastAsiaTheme="minorEastAsia" w:cstheme="minorEastAsia"/>
          <w:sz w:val="21"/>
          <w:szCs w:val="21"/>
        </w:rPr>
        <w:t>节假日除外）</w:t>
      </w:r>
    </w:p>
    <w:p>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每天</w:t>
      </w:r>
      <w:r>
        <w:rPr>
          <w:rFonts w:hint="eastAsia" w:asciiTheme="minorEastAsia" w:hAnsiTheme="minorEastAsia" w:eastAsiaTheme="minorEastAsia" w:cstheme="minorEastAsia"/>
          <w:sz w:val="21"/>
          <w:szCs w:val="21"/>
        </w:rPr>
        <w:t>上午10:00-13:30，下午15:30-18:00，</w:t>
      </w:r>
    </w:p>
    <w:p>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地点：</w:t>
      </w:r>
      <w:r>
        <w:rPr>
          <w:rFonts w:hint="eastAsia" w:asciiTheme="minorEastAsia" w:hAnsiTheme="minorEastAsia" w:eastAsiaTheme="minorEastAsia" w:cstheme="minorEastAsia"/>
          <w:sz w:val="21"/>
          <w:szCs w:val="21"/>
        </w:rPr>
        <w:t>乌鲁木齐</w:t>
      </w:r>
      <w:r>
        <w:rPr>
          <w:rFonts w:hint="eastAsia" w:asciiTheme="minorEastAsia" w:hAnsiTheme="minorEastAsia" w:eastAsiaTheme="minorEastAsia" w:cstheme="minorEastAsia"/>
          <w:sz w:val="21"/>
          <w:szCs w:val="21"/>
          <w:lang w:eastAsia="zh-CN"/>
        </w:rPr>
        <w:t>市</w:t>
      </w:r>
      <w:r>
        <w:rPr>
          <w:rFonts w:hint="eastAsia" w:asciiTheme="minorEastAsia" w:hAnsiTheme="minorEastAsia" w:eastAsiaTheme="minorEastAsia" w:cstheme="minorEastAsia"/>
          <w:sz w:val="21"/>
          <w:szCs w:val="21"/>
        </w:rPr>
        <w:t>米东区中颐北路乾和家园F区F14号楼1-3单元30</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室</w:t>
      </w:r>
    </w:p>
    <w:p>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default"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eastAsia="zh-CN"/>
        </w:rPr>
        <w:t>方式：</w:t>
      </w:r>
      <w:r>
        <w:rPr>
          <w:rFonts w:hint="eastAsia" w:asciiTheme="minorEastAsia" w:hAnsiTheme="minorEastAsia" w:eastAsiaTheme="minorEastAsia" w:cstheme="minorEastAsia"/>
          <w:sz w:val="21"/>
          <w:szCs w:val="21"/>
          <w:lang w:val="en-US" w:eastAsia="zh-CN"/>
        </w:rPr>
        <w:t>线下获取</w:t>
      </w:r>
    </w:p>
    <w:p>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t>售价：￥</w:t>
      </w:r>
      <w:r>
        <w:rPr>
          <w:rFonts w:hint="eastAsia" w:asciiTheme="minorEastAsia" w:hAnsiTheme="minorEastAsia" w:eastAsiaTheme="minorEastAsia" w:cstheme="minorEastAsia"/>
          <w:sz w:val="21"/>
          <w:szCs w:val="21"/>
          <w:lang w:val="en-US" w:eastAsia="zh-CN"/>
        </w:rPr>
        <w:t>300.00元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bCs/>
          <w:sz w:val="21"/>
          <w:szCs w:val="21"/>
        </w:rPr>
        <w:t>四、提交投标文件截止时间、开标时间和地点</w:t>
      </w:r>
      <w:r>
        <w:rPr>
          <w:rFonts w:hint="eastAsia" w:asciiTheme="minorEastAsia" w:hAnsiTheme="minorEastAsia" w:eastAsiaTheme="minorEastAsia" w:cstheme="minorEastAsia"/>
          <w:b/>
          <w:bCs/>
          <w:sz w:val="21"/>
          <w:szCs w:val="21"/>
          <w:lang w:val="en-US" w:eastAsia="zh-CN"/>
        </w:rPr>
        <w:t>:</w:t>
      </w:r>
      <w:r>
        <w:rPr>
          <w:rFonts w:hint="eastAsia" w:asciiTheme="minorEastAsia" w:hAnsiTheme="minorEastAsia" w:eastAsiaTheme="minorEastAsia" w:cstheme="minorEastAsia"/>
          <w:sz w:val="21"/>
          <w:szCs w:val="21"/>
        </w:rPr>
        <w:t>（北京时间</w:t>
      </w:r>
      <w:r>
        <w:rPr>
          <w:rFonts w:hint="eastAsia" w:asciiTheme="minorEastAsia" w:hAnsiTheme="minorEastAsia" w:eastAsiaTheme="minorEastAsia" w:cstheme="minorEastAsia"/>
          <w:sz w:val="21"/>
          <w:szCs w:val="21"/>
          <w:lang w:eastAsia="zh-CN"/>
        </w:rPr>
        <w:t>，如有调整、另行通知</w:t>
      </w:r>
      <w:r>
        <w:rPr>
          <w:rFonts w:hint="eastAsia" w:asciiTheme="minorEastAsia" w:hAnsiTheme="minorEastAsia" w:eastAsiaTheme="minorEastAsia" w:cstheme="minorEastAsia"/>
          <w:sz w:val="21"/>
          <w:szCs w:val="21"/>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提交投标文件截止时间：202</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lang w:val="en-US" w:eastAsia="zh-CN"/>
        </w:rPr>
        <w:t>27</w:t>
      </w:r>
      <w:r>
        <w:rPr>
          <w:rFonts w:hint="eastAsia" w:asciiTheme="minorEastAsia" w:hAnsiTheme="minorEastAsia" w:eastAsiaTheme="minorEastAsia" w:cstheme="minorEastAsia"/>
          <w:sz w:val="21"/>
          <w:szCs w:val="21"/>
        </w:rPr>
        <w:t>日 11:00</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投标地点：乌鲁木齐</w:t>
      </w:r>
      <w:r>
        <w:rPr>
          <w:rFonts w:hint="eastAsia" w:asciiTheme="minorEastAsia" w:hAnsiTheme="minorEastAsia" w:eastAsiaTheme="minorEastAsia" w:cstheme="minorEastAsia"/>
          <w:sz w:val="21"/>
          <w:szCs w:val="21"/>
          <w:lang w:eastAsia="zh-CN"/>
        </w:rPr>
        <w:t>市</w:t>
      </w:r>
      <w:r>
        <w:rPr>
          <w:rFonts w:hint="eastAsia" w:asciiTheme="minorEastAsia" w:hAnsiTheme="minorEastAsia" w:eastAsiaTheme="minorEastAsia" w:cstheme="minorEastAsia"/>
          <w:sz w:val="21"/>
          <w:szCs w:val="21"/>
        </w:rPr>
        <w:t>米东区中颐北路乾和家园F区F14号楼1-3单元30</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开标时间：202</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lang w:val="en-US" w:eastAsia="zh-CN"/>
        </w:rPr>
        <w:t>27</w:t>
      </w:r>
      <w:r>
        <w:rPr>
          <w:rFonts w:hint="eastAsia" w:asciiTheme="minorEastAsia" w:hAnsiTheme="minorEastAsia" w:eastAsiaTheme="minorEastAsia" w:cstheme="minorEastAsia"/>
          <w:sz w:val="21"/>
          <w:szCs w:val="21"/>
        </w:rPr>
        <w:t>日 11:00</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开标地点：乌鲁木齐</w:t>
      </w:r>
      <w:r>
        <w:rPr>
          <w:rFonts w:hint="eastAsia" w:asciiTheme="minorEastAsia" w:hAnsiTheme="minorEastAsia" w:eastAsiaTheme="minorEastAsia" w:cstheme="minorEastAsia"/>
          <w:sz w:val="21"/>
          <w:szCs w:val="21"/>
          <w:lang w:eastAsia="zh-CN"/>
        </w:rPr>
        <w:t>市</w:t>
      </w:r>
      <w:r>
        <w:rPr>
          <w:rFonts w:hint="eastAsia" w:asciiTheme="minorEastAsia" w:hAnsiTheme="minorEastAsia" w:eastAsiaTheme="minorEastAsia" w:cstheme="minorEastAsia"/>
          <w:sz w:val="21"/>
          <w:szCs w:val="21"/>
        </w:rPr>
        <w:t>米东区中颐北路乾和家园F区F14号楼1-3单元30</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室</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rPr>
        <w:t>五、公告期限</w:t>
      </w:r>
      <w:r>
        <w:rPr>
          <w:rFonts w:hint="eastAsia" w:asciiTheme="minorEastAsia" w:hAnsiTheme="minorEastAsia" w:eastAsiaTheme="minorEastAsia" w:cstheme="minorEastAsia"/>
          <w:b/>
          <w:bCs/>
          <w:sz w:val="21"/>
          <w:szCs w:val="21"/>
          <w:lang w:val="en-US" w:eastAsia="zh-CN"/>
        </w:rPr>
        <w:t>:</w:t>
      </w:r>
    </w:p>
    <w:p>
      <w:pPr>
        <w:pStyle w:val="21"/>
        <w:spacing w:before="0" w:beforeAutospacing="0" w:after="0" w:afterAutospacing="0" w:line="500" w:lineRule="exact"/>
        <w:ind w:firstLine="420" w:firstLineChars="20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自本公告发布之</w:t>
      </w:r>
      <w:r>
        <w:rPr>
          <w:rFonts w:hint="eastAsia" w:asciiTheme="minorEastAsia" w:hAnsiTheme="minorEastAsia" w:eastAsiaTheme="minorEastAsia" w:cstheme="minorEastAsia"/>
          <w:kern w:val="2"/>
          <w:sz w:val="21"/>
          <w:szCs w:val="21"/>
          <w:lang w:val="en-US" w:eastAsia="zh-CN" w:bidi="ar-SA"/>
        </w:rPr>
        <w:t>日起5个工作日。</w:t>
      </w:r>
    </w:p>
    <w:p>
      <w:pPr>
        <w:pStyle w:val="21"/>
        <w:spacing w:before="0" w:beforeAutospacing="0" w:after="0" w:afterAutospacing="0" w:line="500" w:lineRule="exact"/>
        <w:jc w:val="both"/>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六、其他补充事宜 </w:t>
      </w:r>
    </w:p>
    <w:p>
      <w:pPr>
        <w:spacing w:line="500" w:lineRule="exact"/>
        <w:ind w:firstLine="420" w:firstLineChars="20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报名携带资料：</w:t>
      </w:r>
    </w:p>
    <w:p>
      <w:pPr>
        <w:spacing w:line="500" w:lineRule="exact"/>
        <w:ind w:firstLine="420" w:firstLineChars="20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(1)具有有效的营业执照、税务登记证、组织机构代码证（或“三证合一”的营业执照或当地公证处出具的上述证书的公证书原件）。</w:t>
      </w:r>
    </w:p>
    <w:p>
      <w:pPr>
        <w:spacing w:line="500" w:lineRule="exact"/>
        <w:ind w:firstLine="420" w:firstLineChars="20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(2)有依法缴纳税收和社会保障资金的良好记录 (提供近半年任意连续二个月依法缴纳税收和社会保障资金的相关材料,如依法免税或不需要缴纳社会保障资金的,应提供相应证明文件)。具有良好的商业信誉和健全的财务会计制度（2022年1月1日以前注册成立的供应商提供2021年度的财务审计报告或财务报表，2022年1月1日以后注册成立的供应商提供具有健全的财务制度承诺函）。</w:t>
      </w:r>
    </w:p>
    <w:p>
      <w:pPr>
        <w:spacing w:line="500" w:lineRule="exact"/>
        <w:ind w:firstLine="420" w:firstLineChars="20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 xml:space="preserve">(3)参加政府采购活动近三年内,在经营活动中没有重大违法记录(提供书面声明原件；若响应供应商自成立之日起不足3年的,需提供成立至今的书面声明原件)。 </w:t>
      </w:r>
    </w:p>
    <w:p>
      <w:pPr>
        <w:spacing w:line="500" w:lineRule="exact"/>
        <w:ind w:firstLine="420" w:firstLineChars="20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(4)法定代表人身份证明书及法定代表人身份证或授权委托书及委托代理人身份证。</w:t>
      </w:r>
    </w:p>
    <w:p>
      <w:pPr>
        <w:pStyle w:val="21"/>
        <w:spacing w:before="0" w:beforeAutospacing="0" w:after="0" w:afterAutospacing="0" w:line="500" w:lineRule="exact"/>
        <w:ind w:firstLine="420" w:firstLineChars="20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(5)良好的信用记录佐证材料：</w:t>
      </w:r>
    </w:p>
    <w:p>
      <w:pPr>
        <w:pStyle w:val="21"/>
        <w:spacing w:before="0" w:beforeAutospacing="0" w:after="0" w:afterAutospacing="0" w:line="500" w:lineRule="exact"/>
        <w:ind w:firstLine="630" w:firstLineChars="300"/>
        <w:rPr>
          <w:rFonts w:hint="eastAsia" w:asciiTheme="minorEastAsia" w:hAnsiTheme="minorEastAsia" w:eastAsiaTheme="minorEastAsia" w:cstheme="minorEastAsia"/>
          <w:kern w:val="2"/>
          <w:sz w:val="21"/>
          <w:szCs w:val="21"/>
          <w:lang w:val="en-US" w:eastAsia="zh-CN" w:bidi="ar-SA"/>
        </w:rPr>
      </w:pPr>
      <w:r>
        <w:rPr>
          <w:rFonts w:hint="default" w:asciiTheme="minorEastAsia" w:hAnsiTheme="minorEastAsia" w:eastAsiaTheme="minorEastAsia" w:cstheme="minorEastAsia"/>
          <w:kern w:val="2"/>
          <w:sz w:val="21"/>
          <w:szCs w:val="21"/>
          <w:lang w:val="en-US" w:eastAsia="zh-CN" w:bidi="ar-SA"/>
        </w:rPr>
        <w:t>①</w:t>
      </w:r>
      <w:r>
        <w:rPr>
          <w:rFonts w:hint="eastAsia" w:asciiTheme="minorEastAsia" w:hAnsiTheme="minorEastAsia" w:eastAsiaTheme="minorEastAsia" w:cstheme="minorEastAsia"/>
          <w:kern w:val="2"/>
          <w:sz w:val="21"/>
          <w:szCs w:val="21"/>
          <w:lang w:val="en-US" w:eastAsia="zh-CN" w:bidi="ar-SA"/>
        </w:rPr>
        <w:t>“信用中国”（www.creditchina.gov.cn）未被列入重大税收违法案件当事人名单；</w:t>
      </w:r>
    </w:p>
    <w:p>
      <w:pPr>
        <w:pStyle w:val="21"/>
        <w:spacing w:before="0" w:beforeAutospacing="0" w:after="0" w:afterAutospacing="0" w:line="500" w:lineRule="exact"/>
        <w:ind w:firstLine="630" w:firstLineChars="300"/>
        <w:rPr>
          <w:rFonts w:hint="eastAsia" w:asciiTheme="minorEastAsia" w:hAnsiTheme="minorEastAsia" w:eastAsiaTheme="minorEastAsia" w:cstheme="minorEastAsia"/>
          <w:kern w:val="2"/>
          <w:sz w:val="21"/>
          <w:szCs w:val="21"/>
          <w:lang w:val="en-US" w:eastAsia="zh-CN" w:bidi="ar-SA"/>
        </w:rPr>
      </w:pPr>
      <w:r>
        <w:rPr>
          <w:rFonts w:hint="default" w:asciiTheme="minorEastAsia" w:hAnsiTheme="minorEastAsia" w:eastAsiaTheme="minorEastAsia" w:cstheme="minorEastAsia"/>
          <w:kern w:val="2"/>
          <w:sz w:val="21"/>
          <w:szCs w:val="21"/>
          <w:lang w:val="en-US" w:eastAsia="zh-CN" w:bidi="ar-SA"/>
        </w:rPr>
        <w:t>②</w:t>
      </w:r>
      <w:r>
        <w:rPr>
          <w:rFonts w:hint="eastAsia" w:asciiTheme="minorEastAsia" w:hAnsiTheme="minorEastAsia" w:eastAsiaTheme="minorEastAsia" w:cstheme="minorEastAsia"/>
          <w:kern w:val="2"/>
          <w:sz w:val="21"/>
          <w:szCs w:val="21"/>
          <w:lang w:val="en-US" w:eastAsia="zh-CN" w:bidi="ar-SA"/>
        </w:rPr>
        <w:t>“中国执行信息公开网”（http://zxgk.court.gov.cn/）未被列入失信被执行人；</w:t>
      </w:r>
    </w:p>
    <w:p>
      <w:pPr>
        <w:pStyle w:val="21"/>
        <w:spacing w:before="0" w:beforeAutospacing="0" w:after="0" w:afterAutospacing="0" w:line="500" w:lineRule="exact"/>
        <w:ind w:firstLine="630" w:firstLineChars="300"/>
        <w:rPr>
          <w:rFonts w:hint="eastAsia" w:asciiTheme="minorEastAsia" w:hAnsiTheme="minorEastAsia" w:eastAsiaTheme="minorEastAsia" w:cstheme="minorEastAsia"/>
          <w:kern w:val="2"/>
          <w:sz w:val="21"/>
          <w:szCs w:val="21"/>
          <w:lang w:val="en-US" w:eastAsia="zh-CN" w:bidi="ar-SA"/>
        </w:rPr>
      </w:pPr>
      <w:r>
        <w:rPr>
          <w:rFonts w:hint="default" w:asciiTheme="minorEastAsia" w:hAnsiTheme="minorEastAsia" w:eastAsiaTheme="minorEastAsia" w:cstheme="minorEastAsia"/>
          <w:kern w:val="2"/>
          <w:sz w:val="21"/>
          <w:szCs w:val="21"/>
          <w:lang w:val="en-US" w:eastAsia="zh-CN" w:bidi="ar-SA"/>
        </w:rPr>
        <w:t>③</w:t>
      </w:r>
      <w:r>
        <w:rPr>
          <w:rFonts w:hint="eastAsia" w:asciiTheme="minorEastAsia" w:hAnsiTheme="minorEastAsia" w:eastAsiaTheme="minorEastAsia" w:cstheme="minorEastAsia"/>
          <w:kern w:val="2"/>
          <w:sz w:val="21"/>
          <w:szCs w:val="21"/>
          <w:lang w:val="en-US" w:eastAsia="zh-CN" w:bidi="ar-SA"/>
        </w:rPr>
        <w:t>“中国政府采购网”（www.ccgp.gov.cn）网站上未被列入政府采购严重违法失信行为记录名单；</w:t>
      </w:r>
    </w:p>
    <w:p>
      <w:pPr>
        <w:pStyle w:val="21"/>
        <w:spacing w:before="0" w:beforeAutospacing="0" w:after="0" w:afterAutospacing="0" w:line="500" w:lineRule="exact"/>
        <w:ind w:firstLine="630" w:firstLineChars="30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④中国裁判文书网（http://wenshu.court.gov.cn/）查询近三年无因投标申请人违约或不恰当履约引起的合同终止、纠纷、争议、仲裁和公诉纪录和无行贿犯罪记录证明。（提供加盖公章的网页打印件，网页打印件打印日期须在本项目报名期内）</w:t>
      </w:r>
    </w:p>
    <w:p>
      <w:pPr>
        <w:keepNext w:val="0"/>
        <w:keepLines w:val="0"/>
        <w:pageBreakBefore w:val="0"/>
        <w:widowControl w:val="0"/>
        <w:kinsoku/>
        <w:wordWrap/>
        <w:overflowPunct/>
        <w:topLinePunct w:val="0"/>
        <w:autoSpaceDE/>
        <w:autoSpaceDN/>
        <w:bidi w:val="0"/>
        <w:adjustRightInd/>
        <w:snapToGrid/>
        <w:spacing w:line="360" w:lineRule="auto"/>
        <w:ind w:firstLine="630" w:firstLineChars="300"/>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以上资料需提交相应证明资料及复印件（加盖公章），在报名时需验原件后留存复印件，请各单位准备好各项资料。</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报名时提交的资料查验不代表资格审查的最终通过或合格。</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bCs/>
          <w:sz w:val="21"/>
          <w:szCs w:val="21"/>
          <w:lang w:eastAsia="zh-CN"/>
        </w:rPr>
        <w:t>六</w:t>
      </w:r>
      <w:r>
        <w:rPr>
          <w:rFonts w:hint="eastAsia" w:asciiTheme="minorEastAsia" w:hAnsiTheme="minorEastAsia" w:eastAsiaTheme="minorEastAsia" w:cstheme="minorEastAsia"/>
          <w:b/>
          <w:bCs/>
          <w:sz w:val="21"/>
          <w:szCs w:val="21"/>
        </w:rPr>
        <w:t>、对本次采购提出询问，请按以下方式联系</w:t>
      </w:r>
      <w:r>
        <w:rPr>
          <w:rFonts w:hint="eastAsia" w:asciiTheme="minorEastAsia" w:hAnsiTheme="minorEastAsia" w:eastAsiaTheme="minorEastAsia" w:cstheme="minorEastAsia"/>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 xml:space="preserve"> 采购</w:t>
      </w:r>
      <w:r>
        <w:rPr>
          <w:rFonts w:hint="eastAsia" w:asciiTheme="minorEastAsia" w:hAnsiTheme="minorEastAsia" w:eastAsiaTheme="minorEastAsia" w:cstheme="minorEastAsia"/>
          <w:sz w:val="21"/>
          <w:szCs w:val="21"/>
        </w:rPr>
        <w:t>人信息</w:t>
      </w:r>
    </w:p>
    <w:p>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名称：新疆维吾尔自治区动物卫生监督所</w:t>
      </w:r>
    </w:p>
    <w:p>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地址：</w:t>
      </w:r>
      <w:r>
        <w:rPr>
          <w:rFonts w:hint="eastAsia" w:asciiTheme="minorEastAsia" w:hAnsiTheme="minorEastAsia" w:eastAsiaTheme="minorEastAsia" w:cstheme="minorEastAsia"/>
          <w:sz w:val="21"/>
          <w:szCs w:val="21"/>
          <w:lang w:eastAsia="zh-CN"/>
        </w:rPr>
        <w:t>乌鲁木齐市高新技术开发区蓝天路</w:t>
      </w:r>
      <w:r>
        <w:rPr>
          <w:rFonts w:hint="eastAsia" w:asciiTheme="minorEastAsia" w:hAnsiTheme="minorEastAsia" w:eastAsiaTheme="minorEastAsia" w:cstheme="minorEastAsia"/>
          <w:sz w:val="21"/>
          <w:szCs w:val="21"/>
          <w:lang w:val="en-US" w:eastAsia="zh-CN"/>
        </w:rPr>
        <w:t>268号</w:t>
      </w:r>
    </w:p>
    <w:p>
      <w:pPr>
        <w:keepNext/>
        <w:widowControl/>
        <w:ind w:firstLine="840" w:firstLineChars="400"/>
        <w:jc w:val="left"/>
        <w:rPr>
          <w:rFonts w:hint="eastAsia" w:ascii="宋体" w:hAnsi="Calibri" w:eastAsia="宋体" w:cs="宋体"/>
          <w:color w:val="000000"/>
          <w:kern w:val="0"/>
          <w:sz w:val="21"/>
          <w:szCs w:val="21"/>
          <w:lang w:val="en-US" w:eastAsia="zh-CN" w:bidi="ar-SA"/>
        </w:rPr>
      </w:pPr>
      <w:r>
        <w:rPr>
          <w:rFonts w:hint="eastAsia" w:ascii="宋体" w:hAnsi="Calibri" w:eastAsia="宋体" w:cs="宋体"/>
          <w:color w:val="000000"/>
          <w:kern w:val="0"/>
          <w:sz w:val="21"/>
          <w:szCs w:val="21"/>
          <w:lang w:val="en-US" w:eastAsia="zh-CN" w:bidi="ar-SA"/>
        </w:rPr>
        <w:t>联系人：赵耀国</w:t>
      </w:r>
    </w:p>
    <w:p>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Calibri" w:eastAsia="宋体" w:cs="宋体"/>
          <w:color w:val="000000"/>
          <w:kern w:val="0"/>
          <w:sz w:val="21"/>
          <w:szCs w:val="21"/>
          <w:lang w:val="en-US" w:eastAsia="zh-CN" w:bidi="ar-SA"/>
        </w:rPr>
      </w:pPr>
      <w:r>
        <w:rPr>
          <w:rFonts w:hint="eastAsia" w:ascii="宋体" w:hAnsi="Calibri" w:eastAsia="宋体" w:cs="宋体"/>
          <w:color w:val="000000"/>
          <w:kern w:val="0"/>
          <w:sz w:val="21"/>
          <w:szCs w:val="21"/>
          <w:lang w:val="en-US" w:eastAsia="zh-CN" w:bidi="ar-SA"/>
        </w:rPr>
        <w:t>电话：18899505068</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val="en-US" w:eastAsia="zh-CN"/>
        </w:rPr>
        <w:t xml:space="preserve"> 采购</w:t>
      </w:r>
      <w:r>
        <w:rPr>
          <w:rFonts w:hint="eastAsia" w:asciiTheme="minorEastAsia" w:hAnsiTheme="minorEastAsia" w:eastAsiaTheme="minorEastAsia" w:cstheme="minorEastAsia"/>
          <w:sz w:val="21"/>
          <w:szCs w:val="21"/>
        </w:rPr>
        <w:t>代理机构信息</w:t>
      </w:r>
    </w:p>
    <w:p>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名称：</w:t>
      </w:r>
      <w:r>
        <w:rPr>
          <w:rFonts w:hint="eastAsia" w:asciiTheme="minorEastAsia" w:hAnsiTheme="minorEastAsia" w:eastAsiaTheme="minorEastAsia" w:cstheme="minorEastAsia"/>
          <w:sz w:val="21"/>
          <w:szCs w:val="21"/>
          <w:lang w:eastAsia="zh-CN"/>
        </w:rPr>
        <w:t>新疆世纪华中工程项目管理有限公司</w:t>
      </w:r>
    </w:p>
    <w:p>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地址：</w:t>
      </w:r>
      <w:r>
        <w:rPr>
          <w:rFonts w:hint="eastAsia" w:asciiTheme="minorEastAsia" w:hAnsiTheme="minorEastAsia" w:eastAsiaTheme="minorEastAsia" w:cstheme="minorEastAsia"/>
          <w:sz w:val="21"/>
          <w:szCs w:val="21"/>
        </w:rPr>
        <w:t>乌鲁木齐</w:t>
      </w:r>
      <w:r>
        <w:rPr>
          <w:rFonts w:hint="eastAsia" w:asciiTheme="minorEastAsia" w:hAnsiTheme="minorEastAsia" w:eastAsiaTheme="minorEastAsia" w:cstheme="minorEastAsia"/>
          <w:sz w:val="21"/>
          <w:szCs w:val="21"/>
          <w:lang w:eastAsia="zh-CN"/>
        </w:rPr>
        <w:t>市</w:t>
      </w:r>
      <w:r>
        <w:rPr>
          <w:rFonts w:hint="eastAsia" w:asciiTheme="minorEastAsia" w:hAnsiTheme="minorEastAsia" w:eastAsiaTheme="minorEastAsia" w:cstheme="minorEastAsia"/>
          <w:sz w:val="21"/>
          <w:szCs w:val="21"/>
        </w:rPr>
        <w:t>米东区中颐北路乾和家园F区F14号楼1-3单元30</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室</w:t>
      </w:r>
    </w:p>
    <w:p>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电话：</w:t>
      </w:r>
      <w:r>
        <w:rPr>
          <w:rFonts w:hint="eastAsia" w:asciiTheme="minorEastAsia" w:hAnsiTheme="minorEastAsia" w:eastAsiaTheme="minorEastAsia" w:cstheme="minorEastAsia"/>
          <w:sz w:val="21"/>
          <w:szCs w:val="21"/>
          <w:lang w:val="en-US" w:eastAsia="zh-CN"/>
        </w:rPr>
        <w:t>0991-3382836</w:t>
      </w:r>
      <w:r>
        <w:rPr>
          <w:rFonts w:hint="eastAsia" w:asciiTheme="minorEastAsia" w:hAnsiTheme="minorEastAsia" w:eastAsiaTheme="minorEastAsia" w:cstheme="minorEastAsia"/>
          <w:sz w:val="21"/>
          <w:szCs w:val="21"/>
        </w:rPr>
        <w:t>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 xml:space="preserve">6.3 </w:t>
      </w:r>
      <w:r>
        <w:rPr>
          <w:rFonts w:hint="eastAsia" w:asciiTheme="minorEastAsia" w:hAnsiTheme="minorEastAsia" w:eastAsiaTheme="minorEastAsia" w:cstheme="minorEastAsia"/>
          <w:sz w:val="21"/>
          <w:szCs w:val="21"/>
          <w:lang w:eastAsia="zh-CN"/>
        </w:rPr>
        <w:t>项目联系方式</w:t>
      </w:r>
    </w:p>
    <w:p>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t>联系人：孙共青</w:t>
      </w:r>
      <w:r>
        <w:rPr>
          <w:rFonts w:hint="eastAsia" w:asciiTheme="minorEastAsia" w:hAnsiTheme="minorEastAsia" w:eastAsiaTheme="minorEastAsia" w:cstheme="minorEastAsia"/>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Theme="minorEastAsia" w:hAnsiTheme="minorEastAsia" w:eastAsiaTheme="minorEastAsia" w:cstheme="minorEastAsia"/>
          <w:sz w:val="21"/>
          <w:szCs w:val="21"/>
        </w:rPr>
        <w:sectPr>
          <w:footerReference r:id="rId3" w:type="first"/>
          <w:pgSz w:w="11906" w:h="16838"/>
          <w:pgMar w:top="1701" w:right="1417" w:bottom="1701" w:left="1701" w:header="851" w:footer="992" w:gutter="0"/>
          <w:pgNumType w:fmt="numberInDash" w:start="1"/>
          <w:cols w:space="720" w:num="1"/>
          <w:docGrid w:type="lines" w:linePitch="312" w:charSpace="0"/>
        </w:sectPr>
      </w:pPr>
      <w:r>
        <w:rPr>
          <w:rFonts w:hint="eastAsia" w:asciiTheme="minorEastAsia" w:hAnsiTheme="minorEastAsia" w:eastAsiaTheme="minorEastAsia" w:cstheme="minorEastAsia"/>
          <w:sz w:val="21"/>
          <w:szCs w:val="21"/>
          <w:lang w:eastAsia="zh-CN"/>
        </w:rPr>
        <w:t>电话：</w:t>
      </w:r>
      <w:r>
        <w:rPr>
          <w:rFonts w:hint="eastAsia" w:asciiTheme="minorEastAsia" w:hAnsiTheme="minorEastAsia" w:eastAsiaTheme="minorEastAsia" w:cstheme="minorEastAsia"/>
          <w:sz w:val="21"/>
          <w:szCs w:val="21"/>
          <w:lang w:val="en-US" w:eastAsia="zh-CN"/>
        </w:rPr>
        <w:t>18130881910</w:t>
      </w:r>
    </w:p>
    <w:p>
      <w:pPr>
        <w:pStyle w:val="2"/>
      </w:pPr>
    </w:p>
    <w:p>
      <w:pPr>
        <w:jc w:val="center"/>
        <w:rPr>
          <w:sz w:val="28"/>
          <w:szCs w:val="28"/>
        </w:rPr>
      </w:pPr>
      <w:r>
        <w:rPr>
          <w:rFonts w:ascii="宋体"/>
          <w:sz w:val="28"/>
          <w:szCs w:val="28"/>
        </w:rPr>
        <w:t>目录</w:t>
      </w:r>
    </w:p>
    <w:p>
      <w:pPr>
        <w:pStyle w:val="18"/>
        <w:tabs>
          <w:tab w:val="right" w:leader="dot" w:pos="8788"/>
        </w:tabs>
      </w:pPr>
      <w:r>
        <w:rPr>
          <w:rFonts w:hint="eastAsia" w:ascii="宋体" w:cs="宋体"/>
          <w:szCs w:val="21"/>
        </w:rPr>
        <w:fldChar w:fldCharType="begin"/>
      </w:r>
      <w:r>
        <w:rPr>
          <w:rFonts w:hint="eastAsia" w:ascii="宋体" w:cs="宋体"/>
          <w:szCs w:val="21"/>
        </w:rPr>
        <w:instrText xml:space="preserve">TOC \o "1-3" \h \u </w:instrText>
      </w:r>
      <w:r>
        <w:rPr>
          <w:rFonts w:hint="eastAsia" w:ascii="宋体" w:cs="宋体"/>
          <w:szCs w:val="21"/>
        </w:rPr>
        <w:fldChar w:fldCharType="separate"/>
      </w:r>
      <w:r>
        <w:rPr>
          <w:rFonts w:hint="eastAsia" w:ascii="宋体" w:cs="宋体"/>
          <w:szCs w:val="21"/>
        </w:rPr>
        <w:fldChar w:fldCharType="begin"/>
      </w:r>
      <w:r>
        <w:rPr>
          <w:rFonts w:hint="eastAsia" w:ascii="宋体" w:cs="宋体"/>
          <w:szCs w:val="21"/>
        </w:rPr>
        <w:instrText xml:space="preserve"> HYPERLINK \l _Toc13989 </w:instrText>
      </w:r>
      <w:r>
        <w:rPr>
          <w:rFonts w:hint="eastAsia" w:ascii="宋体" w:cs="宋体"/>
          <w:szCs w:val="21"/>
        </w:rPr>
        <w:fldChar w:fldCharType="separate"/>
      </w:r>
      <w:r>
        <w:rPr>
          <w:rFonts w:hint="eastAsia" w:ascii="黑体" w:eastAsia="黑体" w:cs="黑体"/>
        </w:rPr>
        <w:t>第一章   投标人须知前附表</w:t>
      </w:r>
      <w:r>
        <w:tab/>
      </w:r>
      <w:r>
        <w:fldChar w:fldCharType="begin"/>
      </w:r>
      <w:r>
        <w:instrText xml:space="preserve"> PAGEREF _Toc13989 \h </w:instrText>
      </w:r>
      <w:r>
        <w:fldChar w:fldCharType="separate"/>
      </w:r>
      <w:r>
        <w:t>- 1 -</w:t>
      </w:r>
      <w:r>
        <w:fldChar w:fldCharType="end"/>
      </w:r>
      <w:r>
        <w:rPr>
          <w:rFonts w:hint="eastAsia" w:ascii="宋体" w:cs="宋体"/>
          <w:szCs w:val="21"/>
        </w:rPr>
        <w:fldChar w:fldCharType="end"/>
      </w:r>
    </w:p>
    <w:p>
      <w:pPr>
        <w:pStyle w:val="18"/>
        <w:tabs>
          <w:tab w:val="right" w:leader="dot" w:pos="8788"/>
        </w:tabs>
      </w:pPr>
      <w:r>
        <w:rPr>
          <w:rFonts w:hint="eastAsia" w:ascii="宋体" w:cs="宋体"/>
          <w:szCs w:val="21"/>
        </w:rPr>
        <w:fldChar w:fldCharType="begin"/>
      </w:r>
      <w:r>
        <w:rPr>
          <w:rFonts w:hint="eastAsia" w:ascii="宋体" w:cs="宋体"/>
          <w:szCs w:val="21"/>
        </w:rPr>
        <w:instrText xml:space="preserve"> HYPERLINK \l _Toc17552 </w:instrText>
      </w:r>
      <w:r>
        <w:rPr>
          <w:rFonts w:hint="eastAsia" w:ascii="宋体" w:cs="宋体"/>
          <w:szCs w:val="21"/>
        </w:rPr>
        <w:fldChar w:fldCharType="separate"/>
      </w:r>
      <w:r>
        <w:rPr>
          <w:rFonts w:hint="eastAsia" w:ascii="黑体" w:eastAsia="黑体" w:cs="黑体"/>
        </w:rPr>
        <w:t>第二章 投标须知</w:t>
      </w:r>
      <w:r>
        <w:tab/>
      </w:r>
      <w:r>
        <w:fldChar w:fldCharType="begin"/>
      </w:r>
      <w:r>
        <w:instrText xml:space="preserve"> PAGEREF _Toc17552 \h </w:instrText>
      </w:r>
      <w:r>
        <w:fldChar w:fldCharType="separate"/>
      </w:r>
      <w:r>
        <w:t>- 9 -</w:t>
      </w:r>
      <w:r>
        <w:fldChar w:fldCharType="end"/>
      </w:r>
      <w:r>
        <w:rPr>
          <w:rFonts w:hint="eastAsia" w:ascii="宋体" w:cs="宋体"/>
          <w:szCs w:val="21"/>
        </w:rPr>
        <w:fldChar w:fldCharType="end"/>
      </w:r>
    </w:p>
    <w:p>
      <w:pPr>
        <w:pStyle w:val="20"/>
        <w:tabs>
          <w:tab w:val="right" w:leader="dot" w:pos="8788"/>
        </w:tabs>
      </w:pPr>
      <w:r>
        <w:rPr>
          <w:rFonts w:hint="eastAsia" w:ascii="宋体" w:cs="宋体"/>
          <w:szCs w:val="21"/>
        </w:rPr>
        <w:fldChar w:fldCharType="begin"/>
      </w:r>
      <w:r>
        <w:rPr>
          <w:rFonts w:hint="eastAsia" w:ascii="宋体" w:cs="宋体"/>
          <w:szCs w:val="21"/>
        </w:rPr>
        <w:instrText xml:space="preserve"> HYPERLINK \l _Toc10640 </w:instrText>
      </w:r>
      <w:r>
        <w:rPr>
          <w:rFonts w:hint="eastAsia" w:ascii="宋体" w:cs="宋体"/>
          <w:szCs w:val="21"/>
        </w:rPr>
        <w:fldChar w:fldCharType="separate"/>
      </w:r>
      <w:r>
        <w:rPr>
          <w:rFonts w:ascii="Times New Roman" w:hAnsi="Times New Roman"/>
          <w:szCs w:val="24"/>
        </w:rPr>
        <w:t>第</w:t>
      </w:r>
      <w:r>
        <w:rPr>
          <w:rFonts w:hint="eastAsia" w:ascii="Times New Roman" w:hAnsi="Times New Roman"/>
          <w:szCs w:val="24"/>
        </w:rPr>
        <w:t>一</w:t>
      </w:r>
      <w:r>
        <w:rPr>
          <w:rFonts w:ascii="Times New Roman" w:hAnsi="Times New Roman"/>
          <w:szCs w:val="24"/>
        </w:rPr>
        <w:t>节</w:t>
      </w:r>
      <w:r>
        <w:rPr>
          <w:rFonts w:hint="eastAsia" w:ascii="Times New Roman" w:hAnsi="Times New Roman"/>
          <w:szCs w:val="24"/>
        </w:rPr>
        <w:t xml:space="preserve"> 总则</w:t>
      </w:r>
      <w:r>
        <w:tab/>
      </w:r>
      <w:r>
        <w:fldChar w:fldCharType="begin"/>
      </w:r>
      <w:r>
        <w:instrText xml:space="preserve"> PAGEREF _Toc10640 \h </w:instrText>
      </w:r>
      <w:r>
        <w:fldChar w:fldCharType="separate"/>
      </w:r>
      <w:r>
        <w:t>- 9 -</w:t>
      </w:r>
      <w:r>
        <w:fldChar w:fldCharType="end"/>
      </w:r>
      <w:r>
        <w:rPr>
          <w:rFonts w:hint="eastAsia" w:ascii="宋体" w:cs="宋体"/>
          <w:szCs w:val="21"/>
        </w:rPr>
        <w:fldChar w:fldCharType="end"/>
      </w:r>
    </w:p>
    <w:p>
      <w:pPr>
        <w:pStyle w:val="20"/>
        <w:tabs>
          <w:tab w:val="right" w:leader="dot" w:pos="8788"/>
        </w:tabs>
      </w:pPr>
      <w:r>
        <w:rPr>
          <w:rFonts w:hint="eastAsia" w:ascii="宋体" w:cs="宋体"/>
          <w:szCs w:val="21"/>
        </w:rPr>
        <w:fldChar w:fldCharType="begin"/>
      </w:r>
      <w:r>
        <w:rPr>
          <w:rFonts w:hint="eastAsia" w:ascii="宋体" w:cs="宋体"/>
          <w:szCs w:val="21"/>
        </w:rPr>
        <w:instrText xml:space="preserve"> HYPERLINK \l _Toc12728 </w:instrText>
      </w:r>
      <w:r>
        <w:rPr>
          <w:rFonts w:hint="eastAsia" w:ascii="宋体" w:cs="宋体"/>
          <w:szCs w:val="21"/>
        </w:rPr>
        <w:fldChar w:fldCharType="separate"/>
      </w:r>
      <w:r>
        <w:rPr>
          <w:rFonts w:ascii="Times New Roman" w:hAnsi="Times New Roman"/>
          <w:szCs w:val="24"/>
        </w:rPr>
        <w:t>第二节</w:t>
      </w:r>
      <w:r>
        <w:rPr>
          <w:rFonts w:hint="eastAsia" w:ascii="Times New Roman" w:hAnsi="Times New Roman"/>
          <w:szCs w:val="24"/>
        </w:rPr>
        <w:t xml:space="preserve"> 招标文件</w:t>
      </w:r>
      <w:r>
        <w:tab/>
      </w:r>
      <w:r>
        <w:fldChar w:fldCharType="begin"/>
      </w:r>
      <w:r>
        <w:instrText xml:space="preserve"> PAGEREF _Toc12728 \h </w:instrText>
      </w:r>
      <w:r>
        <w:fldChar w:fldCharType="separate"/>
      </w:r>
      <w:r>
        <w:t>- 14 -</w:t>
      </w:r>
      <w:r>
        <w:fldChar w:fldCharType="end"/>
      </w:r>
      <w:r>
        <w:rPr>
          <w:rFonts w:hint="eastAsia" w:ascii="宋体" w:cs="宋体"/>
          <w:szCs w:val="21"/>
        </w:rPr>
        <w:fldChar w:fldCharType="end"/>
      </w:r>
    </w:p>
    <w:p>
      <w:pPr>
        <w:pStyle w:val="20"/>
        <w:tabs>
          <w:tab w:val="right" w:leader="dot" w:pos="8788"/>
        </w:tabs>
      </w:pPr>
      <w:r>
        <w:rPr>
          <w:rFonts w:hint="eastAsia" w:ascii="宋体" w:cs="宋体"/>
          <w:szCs w:val="21"/>
        </w:rPr>
        <w:fldChar w:fldCharType="begin"/>
      </w:r>
      <w:r>
        <w:rPr>
          <w:rFonts w:hint="eastAsia" w:ascii="宋体" w:cs="宋体"/>
          <w:szCs w:val="21"/>
        </w:rPr>
        <w:instrText xml:space="preserve"> HYPERLINK \l _Toc2419 </w:instrText>
      </w:r>
      <w:r>
        <w:rPr>
          <w:rFonts w:hint="eastAsia" w:ascii="宋体" w:cs="宋体"/>
          <w:szCs w:val="21"/>
        </w:rPr>
        <w:fldChar w:fldCharType="separate"/>
      </w:r>
      <w:r>
        <w:rPr>
          <w:rFonts w:ascii="Times New Roman" w:hAnsi="Times New Roman"/>
          <w:szCs w:val="24"/>
        </w:rPr>
        <w:t>第</w:t>
      </w:r>
      <w:r>
        <w:rPr>
          <w:rFonts w:hint="eastAsia" w:ascii="Times New Roman" w:hAnsi="Times New Roman"/>
          <w:szCs w:val="24"/>
        </w:rPr>
        <w:t>三</w:t>
      </w:r>
      <w:r>
        <w:rPr>
          <w:rFonts w:ascii="Times New Roman" w:hAnsi="Times New Roman"/>
          <w:szCs w:val="24"/>
        </w:rPr>
        <w:t>节</w:t>
      </w:r>
      <w:r>
        <w:rPr>
          <w:rFonts w:hint="eastAsia" w:ascii="Times New Roman" w:hAnsi="Times New Roman"/>
          <w:szCs w:val="24"/>
        </w:rPr>
        <w:t xml:space="preserve"> 投标文件</w:t>
      </w:r>
      <w:r>
        <w:tab/>
      </w:r>
      <w:r>
        <w:fldChar w:fldCharType="begin"/>
      </w:r>
      <w:r>
        <w:instrText xml:space="preserve"> PAGEREF _Toc2419 \h </w:instrText>
      </w:r>
      <w:r>
        <w:fldChar w:fldCharType="separate"/>
      </w:r>
      <w:r>
        <w:t>- 15 -</w:t>
      </w:r>
      <w:r>
        <w:fldChar w:fldCharType="end"/>
      </w:r>
      <w:r>
        <w:rPr>
          <w:rFonts w:hint="eastAsia" w:ascii="宋体" w:cs="宋体"/>
          <w:szCs w:val="21"/>
        </w:rPr>
        <w:fldChar w:fldCharType="end"/>
      </w:r>
    </w:p>
    <w:p>
      <w:pPr>
        <w:pStyle w:val="20"/>
        <w:tabs>
          <w:tab w:val="right" w:leader="dot" w:pos="8788"/>
        </w:tabs>
      </w:pPr>
      <w:r>
        <w:rPr>
          <w:rFonts w:hint="eastAsia" w:ascii="宋体" w:cs="宋体"/>
          <w:szCs w:val="21"/>
        </w:rPr>
        <w:fldChar w:fldCharType="begin"/>
      </w:r>
      <w:r>
        <w:rPr>
          <w:rFonts w:hint="eastAsia" w:ascii="宋体" w:cs="宋体"/>
          <w:szCs w:val="21"/>
        </w:rPr>
        <w:instrText xml:space="preserve"> HYPERLINK \l _Toc12442 </w:instrText>
      </w:r>
      <w:r>
        <w:rPr>
          <w:rFonts w:hint="eastAsia" w:ascii="宋体" w:cs="宋体"/>
          <w:szCs w:val="21"/>
        </w:rPr>
        <w:fldChar w:fldCharType="separate"/>
      </w:r>
      <w:r>
        <w:rPr>
          <w:rFonts w:ascii="Times New Roman" w:hAnsi="Times New Roman"/>
          <w:szCs w:val="24"/>
        </w:rPr>
        <w:t>第</w:t>
      </w:r>
      <w:r>
        <w:rPr>
          <w:rFonts w:hint="eastAsia" w:ascii="Times New Roman" w:hAnsi="Times New Roman"/>
          <w:szCs w:val="24"/>
        </w:rPr>
        <w:t>四</w:t>
      </w:r>
      <w:r>
        <w:rPr>
          <w:rFonts w:ascii="Times New Roman" w:hAnsi="Times New Roman"/>
          <w:szCs w:val="24"/>
        </w:rPr>
        <w:t>节</w:t>
      </w:r>
      <w:r>
        <w:rPr>
          <w:rFonts w:hint="eastAsia" w:ascii="Times New Roman" w:hAnsi="Times New Roman"/>
          <w:szCs w:val="24"/>
        </w:rPr>
        <w:t xml:space="preserve"> 投标</w:t>
      </w:r>
      <w:r>
        <w:tab/>
      </w:r>
      <w:r>
        <w:fldChar w:fldCharType="begin"/>
      </w:r>
      <w:r>
        <w:instrText xml:space="preserve"> PAGEREF _Toc12442 \h </w:instrText>
      </w:r>
      <w:r>
        <w:fldChar w:fldCharType="separate"/>
      </w:r>
      <w:r>
        <w:t>- 20 -</w:t>
      </w:r>
      <w:r>
        <w:fldChar w:fldCharType="end"/>
      </w:r>
      <w:r>
        <w:rPr>
          <w:rFonts w:hint="eastAsia" w:ascii="宋体" w:cs="宋体"/>
          <w:szCs w:val="21"/>
        </w:rPr>
        <w:fldChar w:fldCharType="end"/>
      </w:r>
    </w:p>
    <w:p>
      <w:pPr>
        <w:pStyle w:val="20"/>
        <w:tabs>
          <w:tab w:val="right" w:leader="dot" w:pos="8788"/>
        </w:tabs>
      </w:pPr>
      <w:r>
        <w:rPr>
          <w:rFonts w:hint="eastAsia" w:ascii="宋体" w:cs="宋体"/>
          <w:szCs w:val="21"/>
        </w:rPr>
        <w:fldChar w:fldCharType="begin"/>
      </w:r>
      <w:r>
        <w:rPr>
          <w:rFonts w:hint="eastAsia" w:ascii="宋体" w:cs="宋体"/>
          <w:szCs w:val="21"/>
        </w:rPr>
        <w:instrText xml:space="preserve"> HYPERLINK \l _Toc29520 </w:instrText>
      </w:r>
      <w:r>
        <w:rPr>
          <w:rFonts w:hint="eastAsia" w:ascii="宋体" w:cs="宋体"/>
          <w:szCs w:val="21"/>
        </w:rPr>
        <w:fldChar w:fldCharType="separate"/>
      </w:r>
      <w:r>
        <w:rPr>
          <w:rFonts w:ascii="Times New Roman" w:hAnsi="Times New Roman"/>
          <w:szCs w:val="24"/>
        </w:rPr>
        <w:t>第</w:t>
      </w:r>
      <w:r>
        <w:rPr>
          <w:rFonts w:hint="eastAsia" w:ascii="Times New Roman" w:hAnsi="Times New Roman"/>
          <w:szCs w:val="24"/>
        </w:rPr>
        <w:t>五</w:t>
      </w:r>
      <w:r>
        <w:rPr>
          <w:rFonts w:ascii="Times New Roman" w:hAnsi="Times New Roman"/>
          <w:szCs w:val="24"/>
        </w:rPr>
        <w:t>节</w:t>
      </w:r>
      <w:r>
        <w:rPr>
          <w:rFonts w:hint="eastAsia" w:ascii="Times New Roman" w:hAnsi="Times New Roman"/>
          <w:szCs w:val="24"/>
        </w:rPr>
        <w:t xml:space="preserve"> 开标</w:t>
      </w:r>
      <w:r>
        <w:tab/>
      </w:r>
      <w:r>
        <w:fldChar w:fldCharType="begin"/>
      </w:r>
      <w:r>
        <w:instrText xml:space="preserve"> PAGEREF _Toc29520 \h </w:instrText>
      </w:r>
      <w:r>
        <w:fldChar w:fldCharType="separate"/>
      </w:r>
      <w:r>
        <w:t>- 20 -</w:t>
      </w:r>
      <w:r>
        <w:fldChar w:fldCharType="end"/>
      </w:r>
      <w:r>
        <w:rPr>
          <w:rFonts w:hint="eastAsia" w:ascii="宋体" w:cs="宋体"/>
          <w:szCs w:val="21"/>
        </w:rPr>
        <w:fldChar w:fldCharType="end"/>
      </w:r>
    </w:p>
    <w:p>
      <w:pPr>
        <w:pStyle w:val="20"/>
        <w:tabs>
          <w:tab w:val="right" w:leader="dot" w:pos="8788"/>
        </w:tabs>
      </w:pPr>
      <w:r>
        <w:rPr>
          <w:rFonts w:hint="eastAsia" w:ascii="宋体" w:cs="宋体"/>
          <w:szCs w:val="21"/>
        </w:rPr>
        <w:fldChar w:fldCharType="begin"/>
      </w:r>
      <w:r>
        <w:rPr>
          <w:rFonts w:hint="eastAsia" w:ascii="宋体" w:cs="宋体"/>
          <w:szCs w:val="21"/>
        </w:rPr>
        <w:instrText xml:space="preserve"> HYPERLINK \l _Toc31005 </w:instrText>
      </w:r>
      <w:r>
        <w:rPr>
          <w:rFonts w:hint="eastAsia" w:ascii="宋体" w:cs="宋体"/>
          <w:szCs w:val="21"/>
        </w:rPr>
        <w:fldChar w:fldCharType="separate"/>
      </w:r>
      <w:r>
        <w:rPr>
          <w:rFonts w:ascii="Times New Roman" w:hAnsi="Times New Roman"/>
          <w:szCs w:val="24"/>
        </w:rPr>
        <w:t>第</w:t>
      </w:r>
      <w:r>
        <w:rPr>
          <w:rFonts w:hint="eastAsia" w:ascii="Times New Roman" w:hAnsi="Times New Roman"/>
          <w:szCs w:val="24"/>
        </w:rPr>
        <w:t>六</w:t>
      </w:r>
      <w:r>
        <w:rPr>
          <w:rFonts w:ascii="Times New Roman" w:hAnsi="Times New Roman"/>
          <w:szCs w:val="24"/>
        </w:rPr>
        <w:t>节</w:t>
      </w:r>
      <w:r>
        <w:rPr>
          <w:rFonts w:hint="eastAsia" w:ascii="Times New Roman" w:hAnsi="Times New Roman"/>
          <w:szCs w:val="24"/>
        </w:rPr>
        <w:t xml:space="preserve"> 评标</w:t>
      </w:r>
      <w:r>
        <w:tab/>
      </w:r>
      <w:r>
        <w:fldChar w:fldCharType="begin"/>
      </w:r>
      <w:r>
        <w:instrText xml:space="preserve"> PAGEREF _Toc31005 \h </w:instrText>
      </w:r>
      <w:r>
        <w:fldChar w:fldCharType="separate"/>
      </w:r>
      <w:r>
        <w:t>- 22 -</w:t>
      </w:r>
      <w:r>
        <w:fldChar w:fldCharType="end"/>
      </w:r>
      <w:r>
        <w:rPr>
          <w:rFonts w:hint="eastAsia" w:ascii="宋体" w:cs="宋体"/>
          <w:szCs w:val="21"/>
        </w:rPr>
        <w:fldChar w:fldCharType="end"/>
      </w:r>
    </w:p>
    <w:p>
      <w:pPr>
        <w:pStyle w:val="20"/>
        <w:tabs>
          <w:tab w:val="right" w:leader="dot" w:pos="8788"/>
        </w:tabs>
      </w:pPr>
      <w:r>
        <w:rPr>
          <w:rFonts w:hint="eastAsia" w:ascii="宋体" w:cs="宋体"/>
          <w:szCs w:val="21"/>
        </w:rPr>
        <w:fldChar w:fldCharType="begin"/>
      </w:r>
      <w:r>
        <w:rPr>
          <w:rFonts w:hint="eastAsia" w:ascii="宋体" w:cs="宋体"/>
          <w:szCs w:val="21"/>
        </w:rPr>
        <w:instrText xml:space="preserve"> HYPERLINK \l _Toc23191 </w:instrText>
      </w:r>
      <w:r>
        <w:rPr>
          <w:rFonts w:hint="eastAsia" w:ascii="宋体" w:cs="宋体"/>
          <w:szCs w:val="21"/>
        </w:rPr>
        <w:fldChar w:fldCharType="separate"/>
      </w:r>
      <w:r>
        <w:rPr>
          <w:rFonts w:ascii="Times New Roman" w:hAnsi="Times New Roman"/>
          <w:szCs w:val="24"/>
        </w:rPr>
        <w:t>第</w:t>
      </w:r>
      <w:r>
        <w:rPr>
          <w:rFonts w:hint="eastAsia" w:ascii="Times New Roman" w:hAnsi="Times New Roman"/>
          <w:szCs w:val="24"/>
        </w:rPr>
        <w:t>七</w:t>
      </w:r>
      <w:r>
        <w:rPr>
          <w:rFonts w:ascii="Times New Roman" w:hAnsi="Times New Roman"/>
          <w:szCs w:val="24"/>
        </w:rPr>
        <w:t>节</w:t>
      </w:r>
      <w:r>
        <w:rPr>
          <w:rFonts w:hint="eastAsia" w:ascii="Times New Roman" w:hAnsi="Times New Roman"/>
          <w:szCs w:val="24"/>
        </w:rPr>
        <w:t xml:space="preserve"> 合同授予</w:t>
      </w:r>
      <w:r>
        <w:tab/>
      </w:r>
      <w:r>
        <w:fldChar w:fldCharType="begin"/>
      </w:r>
      <w:r>
        <w:instrText xml:space="preserve"> PAGEREF _Toc23191 \h </w:instrText>
      </w:r>
      <w:r>
        <w:fldChar w:fldCharType="separate"/>
      </w:r>
      <w:r>
        <w:t>- 24 -</w:t>
      </w:r>
      <w:r>
        <w:fldChar w:fldCharType="end"/>
      </w:r>
      <w:r>
        <w:rPr>
          <w:rFonts w:hint="eastAsia" w:ascii="宋体" w:cs="宋体"/>
          <w:szCs w:val="21"/>
        </w:rPr>
        <w:fldChar w:fldCharType="end"/>
      </w:r>
    </w:p>
    <w:p>
      <w:pPr>
        <w:pStyle w:val="20"/>
        <w:tabs>
          <w:tab w:val="right" w:leader="dot" w:pos="8788"/>
        </w:tabs>
      </w:pPr>
      <w:r>
        <w:rPr>
          <w:rFonts w:hint="eastAsia" w:ascii="宋体" w:cs="宋体"/>
          <w:szCs w:val="21"/>
        </w:rPr>
        <w:fldChar w:fldCharType="begin"/>
      </w:r>
      <w:r>
        <w:rPr>
          <w:rFonts w:hint="eastAsia" w:ascii="宋体" w:cs="宋体"/>
          <w:szCs w:val="21"/>
        </w:rPr>
        <w:instrText xml:space="preserve"> HYPERLINK \l _Toc1910 </w:instrText>
      </w:r>
      <w:r>
        <w:rPr>
          <w:rFonts w:hint="eastAsia" w:ascii="宋体" w:cs="宋体"/>
          <w:szCs w:val="21"/>
        </w:rPr>
        <w:fldChar w:fldCharType="separate"/>
      </w:r>
      <w:r>
        <w:rPr>
          <w:rFonts w:ascii="Times New Roman" w:hAnsi="Times New Roman"/>
          <w:szCs w:val="24"/>
        </w:rPr>
        <w:t>第</w:t>
      </w:r>
      <w:r>
        <w:rPr>
          <w:rFonts w:hint="eastAsia" w:ascii="Times New Roman" w:hAnsi="Times New Roman"/>
          <w:szCs w:val="24"/>
        </w:rPr>
        <w:t>八</w:t>
      </w:r>
      <w:r>
        <w:rPr>
          <w:rFonts w:ascii="Times New Roman" w:hAnsi="Times New Roman"/>
          <w:szCs w:val="24"/>
        </w:rPr>
        <w:t>节</w:t>
      </w:r>
      <w:r>
        <w:rPr>
          <w:rFonts w:hint="eastAsia" w:ascii="Times New Roman" w:hAnsi="Times New Roman"/>
          <w:szCs w:val="24"/>
        </w:rPr>
        <w:t xml:space="preserve"> 重新招标和不再招标</w:t>
      </w:r>
      <w:r>
        <w:tab/>
      </w:r>
      <w:r>
        <w:fldChar w:fldCharType="begin"/>
      </w:r>
      <w:r>
        <w:instrText xml:space="preserve"> PAGEREF _Toc1910 \h </w:instrText>
      </w:r>
      <w:r>
        <w:fldChar w:fldCharType="separate"/>
      </w:r>
      <w:r>
        <w:t>- 25 -</w:t>
      </w:r>
      <w:r>
        <w:fldChar w:fldCharType="end"/>
      </w:r>
      <w:r>
        <w:rPr>
          <w:rFonts w:hint="eastAsia" w:ascii="宋体" w:cs="宋体"/>
          <w:szCs w:val="21"/>
        </w:rPr>
        <w:fldChar w:fldCharType="end"/>
      </w:r>
    </w:p>
    <w:p>
      <w:pPr>
        <w:pStyle w:val="20"/>
        <w:tabs>
          <w:tab w:val="right" w:leader="dot" w:pos="8788"/>
        </w:tabs>
      </w:pPr>
      <w:r>
        <w:rPr>
          <w:rFonts w:hint="eastAsia" w:ascii="宋体" w:cs="宋体"/>
          <w:szCs w:val="21"/>
        </w:rPr>
        <w:fldChar w:fldCharType="begin"/>
      </w:r>
      <w:r>
        <w:rPr>
          <w:rFonts w:hint="eastAsia" w:ascii="宋体" w:cs="宋体"/>
          <w:szCs w:val="21"/>
        </w:rPr>
        <w:instrText xml:space="preserve"> HYPERLINK \l _Toc20265 </w:instrText>
      </w:r>
      <w:r>
        <w:rPr>
          <w:rFonts w:hint="eastAsia" w:ascii="宋体" w:cs="宋体"/>
          <w:szCs w:val="21"/>
        </w:rPr>
        <w:fldChar w:fldCharType="separate"/>
      </w:r>
      <w:r>
        <w:rPr>
          <w:rFonts w:ascii="Times New Roman" w:hAnsi="Times New Roman"/>
          <w:szCs w:val="24"/>
        </w:rPr>
        <w:t>第</w:t>
      </w:r>
      <w:r>
        <w:rPr>
          <w:rFonts w:hint="eastAsia" w:ascii="Times New Roman" w:hAnsi="Times New Roman"/>
          <w:szCs w:val="24"/>
        </w:rPr>
        <w:t>九</w:t>
      </w:r>
      <w:r>
        <w:rPr>
          <w:rFonts w:ascii="Times New Roman" w:hAnsi="Times New Roman"/>
          <w:szCs w:val="24"/>
        </w:rPr>
        <w:t>节</w:t>
      </w:r>
      <w:r>
        <w:rPr>
          <w:rFonts w:hint="eastAsia" w:ascii="Times New Roman" w:hAnsi="Times New Roman"/>
          <w:szCs w:val="24"/>
        </w:rPr>
        <w:t xml:space="preserve"> 纪律和监督</w:t>
      </w:r>
      <w:r>
        <w:tab/>
      </w:r>
      <w:r>
        <w:fldChar w:fldCharType="begin"/>
      </w:r>
      <w:r>
        <w:instrText xml:space="preserve"> PAGEREF _Toc20265 \h </w:instrText>
      </w:r>
      <w:r>
        <w:fldChar w:fldCharType="separate"/>
      </w:r>
      <w:r>
        <w:t>- 26 -</w:t>
      </w:r>
      <w:r>
        <w:fldChar w:fldCharType="end"/>
      </w:r>
      <w:r>
        <w:rPr>
          <w:rFonts w:hint="eastAsia" w:ascii="宋体" w:cs="宋体"/>
          <w:szCs w:val="21"/>
        </w:rPr>
        <w:fldChar w:fldCharType="end"/>
      </w:r>
    </w:p>
    <w:p>
      <w:pPr>
        <w:pStyle w:val="20"/>
        <w:tabs>
          <w:tab w:val="right" w:leader="dot" w:pos="8788"/>
        </w:tabs>
      </w:pPr>
      <w:r>
        <w:rPr>
          <w:rFonts w:hint="eastAsia" w:ascii="宋体" w:cs="宋体"/>
          <w:szCs w:val="21"/>
        </w:rPr>
        <w:fldChar w:fldCharType="begin"/>
      </w:r>
      <w:r>
        <w:rPr>
          <w:rFonts w:hint="eastAsia" w:ascii="宋体" w:cs="宋体"/>
          <w:szCs w:val="21"/>
        </w:rPr>
        <w:instrText xml:space="preserve"> HYPERLINK \l _Toc1680 </w:instrText>
      </w:r>
      <w:r>
        <w:rPr>
          <w:rFonts w:hint="eastAsia" w:ascii="宋体" w:cs="宋体"/>
          <w:szCs w:val="21"/>
        </w:rPr>
        <w:fldChar w:fldCharType="separate"/>
      </w:r>
      <w:r>
        <w:rPr>
          <w:rFonts w:ascii="Times New Roman" w:hAnsi="Times New Roman"/>
          <w:szCs w:val="24"/>
        </w:rPr>
        <w:t>第</w:t>
      </w:r>
      <w:r>
        <w:rPr>
          <w:rFonts w:hint="eastAsia" w:ascii="Times New Roman" w:hAnsi="Times New Roman"/>
          <w:szCs w:val="24"/>
        </w:rPr>
        <w:t>十</w:t>
      </w:r>
      <w:r>
        <w:rPr>
          <w:rFonts w:ascii="Times New Roman" w:hAnsi="Times New Roman"/>
          <w:szCs w:val="24"/>
        </w:rPr>
        <w:t>节</w:t>
      </w:r>
      <w:r>
        <w:rPr>
          <w:rFonts w:hint="eastAsia" w:ascii="Times New Roman" w:hAnsi="Times New Roman"/>
          <w:szCs w:val="24"/>
        </w:rPr>
        <w:t xml:space="preserve"> 需要补充的其他内容</w:t>
      </w:r>
      <w:r>
        <w:tab/>
      </w:r>
      <w:r>
        <w:fldChar w:fldCharType="begin"/>
      </w:r>
      <w:r>
        <w:instrText xml:space="preserve"> PAGEREF _Toc1680 \h </w:instrText>
      </w:r>
      <w:r>
        <w:fldChar w:fldCharType="separate"/>
      </w:r>
      <w:r>
        <w:t>- 29 -</w:t>
      </w:r>
      <w:r>
        <w:fldChar w:fldCharType="end"/>
      </w:r>
      <w:r>
        <w:rPr>
          <w:rFonts w:hint="eastAsia" w:ascii="宋体" w:cs="宋体"/>
          <w:szCs w:val="21"/>
        </w:rPr>
        <w:fldChar w:fldCharType="end"/>
      </w:r>
    </w:p>
    <w:p>
      <w:pPr>
        <w:pStyle w:val="18"/>
        <w:tabs>
          <w:tab w:val="right" w:leader="dot" w:pos="8788"/>
        </w:tabs>
      </w:pPr>
      <w:r>
        <w:rPr>
          <w:rFonts w:hint="eastAsia" w:ascii="宋体" w:cs="宋体"/>
          <w:szCs w:val="21"/>
        </w:rPr>
        <w:fldChar w:fldCharType="begin"/>
      </w:r>
      <w:r>
        <w:rPr>
          <w:rFonts w:hint="eastAsia" w:ascii="宋体" w:cs="宋体"/>
          <w:szCs w:val="21"/>
        </w:rPr>
        <w:instrText xml:space="preserve"> HYPERLINK \l _Toc2184 </w:instrText>
      </w:r>
      <w:r>
        <w:rPr>
          <w:rFonts w:hint="eastAsia" w:ascii="宋体" w:cs="宋体"/>
          <w:szCs w:val="21"/>
        </w:rPr>
        <w:fldChar w:fldCharType="separate"/>
      </w:r>
      <w:r>
        <w:rPr>
          <w:rFonts w:hint="eastAsia" w:ascii="黑体" w:eastAsia="黑体" w:cs="黑体"/>
        </w:rPr>
        <w:t>第三章  评标办法</w:t>
      </w:r>
      <w:r>
        <w:tab/>
      </w:r>
      <w:r>
        <w:fldChar w:fldCharType="begin"/>
      </w:r>
      <w:r>
        <w:instrText xml:space="preserve"> PAGEREF _Toc2184 \h </w:instrText>
      </w:r>
      <w:r>
        <w:fldChar w:fldCharType="separate"/>
      </w:r>
      <w:r>
        <w:t>- 30 -</w:t>
      </w:r>
      <w:r>
        <w:fldChar w:fldCharType="end"/>
      </w:r>
      <w:r>
        <w:rPr>
          <w:rFonts w:hint="eastAsia" w:ascii="宋体" w:cs="宋体"/>
          <w:szCs w:val="21"/>
        </w:rPr>
        <w:fldChar w:fldCharType="end"/>
      </w:r>
    </w:p>
    <w:p>
      <w:pPr>
        <w:pStyle w:val="20"/>
        <w:tabs>
          <w:tab w:val="right" w:leader="dot" w:pos="8788"/>
        </w:tabs>
      </w:pPr>
      <w:r>
        <w:rPr>
          <w:rFonts w:hint="eastAsia" w:ascii="宋体" w:cs="宋体"/>
          <w:szCs w:val="21"/>
        </w:rPr>
        <w:fldChar w:fldCharType="begin"/>
      </w:r>
      <w:r>
        <w:rPr>
          <w:rFonts w:hint="eastAsia" w:ascii="宋体" w:cs="宋体"/>
          <w:szCs w:val="21"/>
        </w:rPr>
        <w:instrText xml:space="preserve"> HYPERLINK \l _Toc20234 </w:instrText>
      </w:r>
      <w:r>
        <w:rPr>
          <w:rFonts w:hint="eastAsia" w:ascii="宋体" w:cs="宋体"/>
          <w:szCs w:val="21"/>
        </w:rPr>
        <w:fldChar w:fldCharType="separate"/>
      </w:r>
      <w:r>
        <w:rPr>
          <w:rFonts w:ascii="Times New Roman" w:hAnsi="Times New Roman"/>
          <w:szCs w:val="24"/>
        </w:rPr>
        <w:t>第一节</w:t>
      </w:r>
      <w:r>
        <w:rPr>
          <w:rFonts w:hint="eastAsia" w:ascii="Times New Roman" w:hAnsi="Times New Roman"/>
          <w:szCs w:val="24"/>
        </w:rPr>
        <w:t xml:space="preserve"> </w:t>
      </w:r>
      <w:r>
        <w:rPr>
          <w:rFonts w:cs="宋体"/>
          <w:bCs/>
          <w:szCs w:val="24"/>
        </w:rPr>
        <w:t>评标方法</w:t>
      </w:r>
      <w:r>
        <w:tab/>
      </w:r>
      <w:r>
        <w:fldChar w:fldCharType="begin"/>
      </w:r>
      <w:r>
        <w:instrText xml:space="preserve"> PAGEREF _Toc20234 \h </w:instrText>
      </w:r>
      <w:r>
        <w:fldChar w:fldCharType="separate"/>
      </w:r>
      <w:r>
        <w:t>- 30 -</w:t>
      </w:r>
      <w:r>
        <w:fldChar w:fldCharType="end"/>
      </w:r>
      <w:r>
        <w:rPr>
          <w:rFonts w:hint="eastAsia" w:ascii="宋体" w:cs="宋体"/>
          <w:szCs w:val="21"/>
        </w:rPr>
        <w:fldChar w:fldCharType="end"/>
      </w:r>
    </w:p>
    <w:p>
      <w:pPr>
        <w:pStyle w:val="20"/>
        <w:tabs>
          <w:tab w:val="right" w:leader="dot" w:pos="8788"/>
        </w:tabs>
      </w:pPr>
      <w:r>
        <w:rPr>
          <w:rFonts w:hint="eastAsia" w:ascii="宋体" w:cs="宋体"/>
          <w:szCs w:val="21"/>
        </w:rPr>
        <w:fldChar w:fldCharType="begin"/>
      </w:r>
      <w:r>
        <w:rPr>
          <w:rFonts w:hint="eastAsia" w:ascii="宋体" w:cs="宋体"/>
          <w:szCs w:val="21"/>
        </w:rPr>
        <w:instrText xml:space="preserve"> HYPERLINK \l _Toc1908 </w:instrText>
      </w:r>
      <w:r>
        <w:rPr>
          <w:rFonts w:hint="eastAsia" w:ascii="宋体" w:cs="宋体"/>
          <w:szCs w:val="21"/>
        </w:rPr>
        <w:fldChar w:fldCharType="separate"/>
      </w:r>
      <w:r>
        <w:rPr>
          <w:rFonts w:ascii="Times New Roman" w:hAnsi="Times New Roman"/>
          <w:szCs w:val="24"/>
        </w:rPr>
        <w:t>第二节</w:t>
      </w:r>
      <w:r>
        <w:rPr>
          <w:rFonts w:hint="eastAsia" w:ascii="Times New Roman" w:hAnsi="Times New Roman"/>
          <w:szCs w:val="24"/>
        </w:rPr>
        <w:t xml:space="preserve"> </w:t>
      </w:r>
      <w:r>
        <w:rPr>
          <w:rFonts w:cs="宋体"/>
          <w:bCs/>
          <w:szCs w:val="24"/>
        </w:rPr>
        <w:t>评标标准</w:t>
      </w:r>
      <w:r>
        <w:tab/>
      </w:r>
      <w:r>
        <w:fldChar w:fldCharType="begin"/>
      </w:r>
      <w:r>
        <w:instrText xml:space="preserve"> PAGEREF _Toc1908 \h </w:instrText>
      </w:r>
      <w:r>
        <w:fldChar w:fldCharType="separate"/>
      </w:r>
      <w:r>
        <w:t>- 30 -</w:t>
      </w:r>
      <w:r>
        <w:fldChar w:fldCharType="end"/>
      </w:r>
      <w:r>
        <w:rPr>
          <w:rFonts w:hint="eastAsia" w:ascii="宋体" w:cs="宋体"/>
          <w:szCs w:val="21"/>
        </w:rPr>
        <w:fldChar w:fldCharType="end"/>
      </w:r>
    </w:p>
    <w:p>
      <w:pPr>
        <w:pStyle w:val="20"/>
        <w:tabs>
          <w:tab w:val="right" w:leader="dot" w:pos="8788"/>
        </w:tabs>
      </w:pPr>
      <w:r>
        <w:rPr>
          <w:rFonts w:hint="eastAsia" w:ascii="宋体" w:cs="宋体"/>
          <w:szCs w:val="21"/>
        </w:rPr>
        <w:fldChar w:fldCharType="begin"/>
      </w:r>
      <w:r>
        <w:rPr>
          <w:rFonts w:hint="eastAsia" w:ascii="宋体" w:cs="宋体"/>
          <w:szCs w:val="21"/>
        </w:rPr>
        <w:instrText xml:space="preserve"> HYPERLINK \l _Toc9941 </w:instrText>
      </w:r>
      <w:r>
        <w:rPr>
          <w:rFonts w:hint="eastAsia" w:ascii="宋体" w:cs="宋体"/>
          <w:szCs w:val="21"/>
        </w:rPr>
        <w:fldChar w:fldCharType="separate"/>
      </w:r>
      <w:r>
        <w:rPr>
          <w:rFonts w:ascii="Times New Roman" w:hAnsi="Times New Roman"/>
          <w:szCs w:val="24"/>
        </w:rPr>
        <w:t>第三节</w:t>
      </w:r>
      <w:r>
        <w:rPr>
          <w:rFonts w:hint="eastAsia" w:ascii="Times New Roman" w:hAnsi="Times New Roman"/>
          <w:szCs w:val="24"/>
        </w:rPr>
        <w:t xml:space="preserve"> </w:t>
      </w:r>
      <w:r>
        <w:rPr>
          <w:rFonts w:cs="宋体"/>
          <w:bCs/>
          <w:szCs w:val="24"/>
        </w:rPr>
        <w:t>评标程序</w:t>
      </w:r>
      <w:r>
        <w:tab/>
      </w:r>
      <w:r>
        <w:fldChar w:fldCharType="begin"/>
      </w:r>
      <w:r>
        <w:instrText xml:space="preserve"> PAGEREF _Toc9941 \h </w:instrText>
      </w:r>
      <w:r>
        <w:fldChar w:fldCharType="separate"/>
      </w:r>
      <w:r>
        <w:t>- 30 -</w:t>
      </w:r>
      <w:r>
        <w:fldChar w:fldCharType="end"/>
      </w:r>
      <w:r>
        <w:rPr>
          <w:rFonts w:hint="eastAsia" w:ascii="宋体" w:cs="宋体"/>
          <w:szCs w:val="21"/>
        </w:rPr>
        <w:fldChar w:fldCharType="end"/>
      </w:r>
    </w:p>
    <w:p>
      <w:pPr>
        <w:pStyle w:val="20"/>
        <w:tabs>
          <w:tab w:val="right" w:leader="dot" w:pos="8788"/>
        </w:tabs>
      </w:pPr>
      <w:r>
        <w:rPr>
          <w:rFonts w:hint="eastAsia" w:ascii="宋体" w:cs="宋体"/>
          <w:szCs w:val="21"/>
        </w:rPr>
        <w:fldChar w:fldCharType="begin"/>
      </w:r>
      <w:r>
        <w:rPr>
          <w:rFonts w:hint="eastAsia" w:ascii="宋体" w:cs="宋体"/>
          <w:szCs w:val="21"/>
        </w:rPr>
        <w:instrText xml:space="preserve"> HYPERLINK \l _Toc27013 </w:instrText>
      </w:r>
      <w:r>
        <w:rPr>
          <w:rFonts w:hint="eastAsia" w:ascii="宋体" w:cs="宋体"/>
          <w:szCs w:val="21"/>
        </w:rPr>
        <w:fldChar w:fldCharType="separate"/>
      </w:r>
      <w:r>
        <w:rPr>
          <w:rFonts w:cs="宋体"/>
          <w:szCs w:val="24"/>
        </w:rPr>
        <w:t xml:space="preserve">第四节 </w:t>
      </w:r>
      <w:r>
        <w:rPr>
          <w:rFonts w:cs="宋体"/>
          <w:bCs/>
          <w:szCs w:val="24"/>
        </w:rPr>
        <w:t>评标准备</w:t>
      </w:r>
      <w:r>
        <w:tab/>
      </w:r>
      <w:r>
        <w:fldChar w:fldCharType="begin"/>
      </w:r>
      <w:r>
        <w:instrText xml:space="preserve"> PAGEREF _Toc27013 \h </w:instrText>
      </w:r>
      <w:r>
        <w:fldChar w:fldCharType="separate"/>
      </w:r>
      <w:r>
        <w:t>- 30 -</w:t>
      </w:r>
      <w:r>
        <w:fldChar w:fldCharType="end"/>
      </w:r>
      <w:r>
        <w:rPr>
          <w:rFonts w:hint="eastAsia" w:ascii="宋体" w:cs="宋体"/>
          <w:szCs w:val="21"/>
        </w:rPr>
        <w:fldChar w:fldCharType="end"/>
      </w:r>
    </w:p>
    <w:p>
      <w:pPr>
        <w:pStyle w:val="20"/>
        <w:tabs>
          <w:tab w:val="right" w:leader="dot" w:pos="8788"/>
        </w:tabs>
      </w:pPr>
      <w:r>
        <w:rPr>
          <w:rFonts w:hint="eastAsia" w:ascii="宋体" w:cs="宋体"/>
          <w:szCs w:val="21"/>
        </w:rPr>
        <w:fldChar w:fldCharType="begin"/>
      </w:r>
      <w:r>
        <w:rPr>
          <w:rFonts w:hint="eastAsia" w:ascii="宋体" w:cs="宋体"/>
          <w:szCs w:val="21"/>
        </w:rPr>
        <w:instrText xml:space="preserve"> HYPERLINK \l _Toc3821 </w:instrText>
      </w:r>
      <w:r>
        <w:rPr>
          <w:rFonts w:hint="eastAsia" w:ascii="宋体" w:cs="宋体"/>
          <w:szCs w:val="21"/>
        </w:rPr>
        <w:fldChar w:fldCharType="separate"/>
      </w:r>
      <w:r>
        <w:rPr>
          <w:rFonts w:cs="宋体"/>
          <w:szCs w:val="24"/>
        </w:rPr>
        <w:t>第</w:t>
      </w:r>
      <w:r>
        <w:rPr>
          <w:rFonts w:hint="eastAsia" w:cs="宋体"/>
          <w:szCs w:val="24"/>
        </w:rPr>
        <w:t>五</w:t>
      </w:r>
      <w:r>
        <w:rPr>
          <w:rFonts w:cs="宋体"/>
          <w:szCs w:val="24"/>
        </w:rPr>
        <w:t xml:space="preserve">节 </w:t>
      </w:r>
      <w:r>
        <w:rPr>
          <w:rFonts w:cs="宋体"/>
          <w:bCs/>
          <w:szCs w:val="24"/>
        </w:rPr>
        <w:t>评标</w:t>
      </w:r>
      <w:r>
        <w:rPr>
          <w:rFonts w:hint="eastAsia" w:cs="宋体"/>
          <w:bCs/>
          <w:szCs w:val="24"/>
        </w:rPr>
        <w:t>办法</w:t>
      </w:r>
      <w:r>
        <w:tab/>
      </w:r>
      <w:r>
        <w:fldChar w:fldCharType="begin"/>
      </w:r>
      <w:r>
        <w:instrText xml:space="preserve"> PAGEREF _Toc3821 \h </w:instrText>
      </w:r>
      <w:r>
        <w:fldChar w:fldCharType="separate"/>
      </w:r>
      <w:r>
        <w:t>- 37 -</w:t>
      </w:r>
      <w:r>
        <w:fldChar w:fldCharType="end"/>
      </w:r>
      <w:r>
        <w:rPr>
          <w:rFonts w:hint="eastAsia" w:ascii="宋体" w:cs="宋体"/>
          <w:szCs w:val="21"/>
        </w:rPr>
        <w:fldChar w:fldCharType="end"/>
      </w:r>
    </w:p>
    <w:p>
      <w:pPr>
        <w:pStyle w:val="18"/>
        <w:tabs>
          <w:tab w:val="right" w:leader="dot" w:pos="8788"/>
        </w:tabs>
      </w:pPr>
      <w:r>
        <w:rPr>
          <w:rFonts w:hint="eastAsia" w:ascii="宋体" w:cs="宋体"/>
          <w:szCs w:val="21"/>
        </w:rPr>
        <w:fldChar w:fldCharType="begin"/>
      </w:r>
      <w:r>
        <w:rPr>
          <w:rFonts w:hint="eastAsia" w:ascii="宋体" w:cs="宋体"/>
          <w:szCs w:val="21"/>
        </w:rPr>
        <w:instrText xml:space="preserve"> HYPERLINK \l _Toc9858 </w:instrText>
      </w:r>
      <w:r>
        <w:rPr>
          <w:rFonts w:hint="eastAsia" w:ascii="宋体" w:cs="宋体"/>
          <w:szCs w:val="21"/>
        </w:rPr>
        <w:fldChar w:fldCharType="separate"/>
      </w:r>
      <w:r>
        <w:rPr>
          <w:rFonts w:hint="eastAsia" w:ascii="黑体" w:eastAsia="黑体" w:cs="黑体"/>
        </w:rPr>
        <w:t>第四章  合同条款及格式</w:t>
      </w:r>
      <w:r>
        <w:tab/>
      </w:r>
      <w:r>
        <w:fldChar w:fldCharType="begin"/>
      </w:r>
      <w:r>
        <w:instrText xml:space="preserve"> PAGEREF _Toc9858 \h </w:instrText>
      </w:r>
      <w:r>
        <w:fldChar w:fldCharType="separate"/>
      </w:r>
      <w:r>
        <w:t>- 41 -</w:t>
      </w:r>
      <w:r>
        <w:fldChar w:fldCharType="end"/>
      </w:r>
      <w:r>
        <w:rPr>
          <w:rFonts w:hint="eastAsia" w:ascii="宋体" w:cs="宋体"/>
          <w:szCs w:val="21"/>
        </w:rPr>
        <w:fldChar w:fldCharType="end"/>
      </w:r>
    </w:p>
    <w:p>
      <w:pPr>
        <w:pStyle w:val="20"/>
        <w:tabs>
          <w:tab w:val="right" w:leader="dot" w:pos="8788"/>
        </w:tabs>
      </w:pPr>
      <w:r>
        <w:rPr>
          <w:rFonts w:hint="eastAsia" w:ascii="宋体" w:cs="宋体"/>
          <w:szCs w:val="21"/>
        </w:rPr>
        <w:fldChar w:fldCharType="begin"/>
      </w:r>
      <w:r>
        <w:rPr>
          <w:rFonts w:hint="eastAsia" w:ascii="宋体" w:cs="宋体"/>
          <w:szCs w:val="21"/>
        </w:rPr>
        <w:instrText xml:space="preserve"> HYPERLINK \l _Toc6091 </w:instrText>
      </w:r>
      <w:r>
        <w:rPr>
          <w:rFonts w:hint="eastAsia" w:ascii="宋体" w:cs="宋体"/>
          <w:szCs w:val="21"/>
        </w:rPr>
        <w:fldChar w:fldCharType="separate"/>
      </w:r>
      <w:r>
        <w:rPr>
          <w:rFonts w:ascii="Times New Roman" w:hAnsi="Times New Roman"/>
          <w:szCs w:val="24"/>
        </w:rPr>
        <w:t>第</w:t>
      </w:r>
      <w:r>
        <w:rPr>
          <w:rFonts w:hint="eastAsia" w:ascii="Times New Roman" w:hAnsi="Times New Roman"/>
          <w:szCs w:val="24"/>
        </w:rPr>
        <w:t>一</w:t>
      </w:r>
      <w:r>
        <w:rPr>
          <w:rFonts w:ascii="Times New Roman" w:hAnsi="Times New Roman"/>
          <w:szCs w:val="24"/>
        </w:rPr>
        <w:t>节</w:t>
      </w:r>
      <w:r>
        <w:rPr>
          <w:rFonts w:hint="eastAsia" w:ascii="Times New Roman" w:hAnsi="Times New Roman"/>
          <w:szCs w:val="24"/>
        </w:rPr>
        <w:t xml:space="preserve"> </w:t>
      </w:r>
      <w:r>
        <w:rPr>
          <w:rFonts w:hint="eastAsia" w:cs="宋体"/>
          <w:bCs/>
          <w:szCs w:val="24"/>
        </w:rPr>
        <w:t>通用合同条款</w:t>
      </w:r>
      <w:r>
        <w:tab/>
      </w:r>
      <w:r>
        <w:fldChar w:fldCharType="begin"/>
      </w:r>
      <w:r>
        <w:instrText xml:space="preserve"> PAGEREF _Toc6091 \h </w:instrText>
      </w:r>
      <w:r>
        <w:fldChar w:fldCharType="separate"/>
      </w:r>
      <w:r>
        <w:t>- 41 -</w:t>
      </w:r>
      <w:r>
        <w:fldChar w:fldCharType="end"/>
      </w:r>
      <w:r>
        <w:rPr>
          <w:rFonts w:hint="eastAsia" w:ascii="宋体" w:cs="宋体"/>
          <w:szCs w:val="21"/>
        </w:rPr>
        <w:fldChar w:fldCharType="end"/>
      </w:r>
    </w:p>
    <w:p>
      <w:pPr>
        <w:pStyle w:val="20"/>
        <w:tabs>
          <w:tab w:val="right" w:leader="dot" w:pos="8788"/>
        </w:tabs>
      </w:pPr>
      <w:r>
        <w:rPr>
          <w:rFonts w:hint="eastAsia" w:ascii="宋体" w:cs="宋体"/>
          <w:szCs w:val="21"/>
        </w:rPr>
        <w:fldChar w:fldCharType="begin"/>
      </w:r>
      <w:r>
        <w:rPr>
          <w:rFonts w:hint="eastAsia" w:ascii="宋体" w:cs="宋体"/>
          <w:szCs w:val="21"/>
        </w:rPr>
        <w:instrText xml:space="preserve"> HYPERLINK \l _Toc28038 </w:instrText>
      </w:r>
      <w:r>
        <w:rPr>
          <w:rFonts w:hint="eastAsia" w:ascii="宋体" w:cs="宋体"/>
          <w:szCs w:val="21"/>
        </w:rPr>
        <w:fldChar w:fldCharType="separate"/>
      </w:r>
      <w:r>
        <w:rPr>
          <w:rFonts w:ascii="Times New Roman" w:hAnsi="Times New Roman"/>
          <w:szCs w:val="24"/>
        </w:rPr>
        <w:t>第二节</w:t>
      </w:r>
      <w:r>
        <w:rPr>
          <w:rFonts w:hint="eastAsia" w:ascii="Times New Roman" w:hAnsi="Times New Roman"/>
          <w:szCs w:val="24"/>
        </w:rPr>
        <w:t xml:space="preserve"> </w:t>
      </w:r>
      <w:r>
        <w:rPr>
          <w:rFonts w:hint="eastAsia" w:cs="宋体"/>
          <w:bCs/>
          <w:szCs w:val="24"/>
        </w:rPr>
        <w:t>专用合同条款</w:t>
      </w:r>
      <w:r>
        <w:tab/>
      </w:r>
      <w:r>
        <w:fldChar w:fldCharType="begin"/>
      </w:r>
      <w:r>
        <w:instrText xml:space="preserve"> PAGEREF _Toc28038 \h </w:instrText>
      </w:r>
      <w:r>
        <w:fldChar w:fldCharType="separate"/>
      </w:r>
      <w:r>
        <w:t>- 48 -</w:t>
      </w:r>
      <w:r>
        <w:fldChar w:fldCharType="end"/>
      </w:r>
      <w:r>
        <w:rPr>
          <w:rFonts w:hint="eastAsia" w:ascii="宋体" w:cs="宋体"/>
          <w:szCs w:val="21"/>
        </w:rPr>
        <w:fldChar w:fldCharType="end"/>
      </w:r>
    </w:p>
    <w:p>
      <w:pPr>
        <w:pStyle w:val="18"/>
        <w:tabs>
          <w:tab w:val="right" w:leader="dot" w:pos="8788"/>
        </w:tabs>
      </w:pPr>
      <w:r>
        <w:rPr>
          <w:rFonts w:hint="eastAsia" w:ascii="宋体" w:cs="宋体"/>
          <w:szCs w:val="21"/>
        </w:rPr>
        <w:fldChar w:fldCharType="begin"/>
      </w:r>
      <w:r>
        <w:rPr>
          <w:rFonts w:hint="eastAsia" w:ascii="宋体" w:cs="宋体"/>
          <w:szCs w:val="21"/>
        </w:rPr>
        <w:instrText xml:space="preserve"> HYPERLINK \l _Toc14979 </w:instrText>
      </w:r>
      <w:r>
        <w:rPr>
          <w:rFonts w:hint="eastAsia" w:ascii="宋体" w:cs="宋体"/>
          <w:szCs w:val="21"/>
        </w:rPr>
        <w:fldChar w:fldCharType="separate"/>
      </w:r>
      <w:r>
        <w:rPr>
          <w:rFonts w:hint="eastAsia" w:ascii="黑体" w:eastAsia="黑体" w:cs="黑体"/>
        </w:rPr>
        <w:t>第五章 技术标准和要求</w:t>
      </w:r>
      <w:r>
        <w:tab/>
      </w:r>
      <w:r>
        <w:fldChar w:fldCharType="begin"/>
      </w:r>
      <w:r>
        <w:instrText xml:space="preserve"> PAGEREF _Toc14979 \h </w:instrText>
      </w:r>
      <w:r>
        <w:fldChar w:fldCharType="separate"/>
      </w:r>
      <w:r>
        <w:t>- 52 -</w:t>
      </w:r>
      <w:r>
        <w:fldChar w:fldCharType="end"/>
      </w:r>
      <w:r>
        <w:rPr>
          <w:rFonts w:hint="eastAsia" w:ascii="宋体" w:cs="宋体"/>
          <w:szCs w:val="21"/>
        </w:rPr>
        <w:fldChar w:fldCharType="end"/>
      </w:r>
    </w:p>
    <w:p>
      <w:pPr>
        <w:pStyle w:val="18"/>
        <w:tabs>
          <w:tab w:val="right" w:leader="dot" w:pos="8788"/>
        </w:tabs>
      </w:pPr>
      <w:r>
        <w:rPr>
          <w:rFonts w:hint="eastAsia" w:ascii="宋体" w:cs="宋体"/>
          <w:szCs w:val="21"/>
        </w:rPr>
        <w:fldChar w:fldCharType="begin"/>
      </w:r>
      <w:r>
        <w:rPr>
          <w:rFonts w:hint="eastAsia" w:ascii="宋体" w:cs="宋体"/>
          <w:szCs w:val="21"/>
        </w:rPr>
        <w:instrText xml:space="preserve"> HYPERLINK \l _Toc18480 </w:instrText>
      </w:r>
      <w:r>
        <w:rPr>
          <w:rFonts w:hint="eastAsia" w:ascii="宋体" w:cs="宋体"/>
          <w:szCs w:val="21"/>
        </w:rPr>
        <w:fldChar w:fldCharType="separate"/>
      </w:r>
      <w:r>
        <w:rPr>
          <w:rFonts w:hint="eastAsia" w:ascii="黑体" w:eastAsia="黑体" w:cs="黑体"/>
        </w:rPr>
        <w:t>第六章  投标文件格式</w:t>
      </w:r>
      <w:r>
        <w:tab/>
      </w:r>
      <w:r>
        <w:fldChar w:fldCharType="begin"/>
      </w:r>
      <w:r>
        <w:instrText xml:space="preserve"> PAGEREF _Toc18480 \h </w:instrText>
      </w:r>
      <w:r>
        <w:fldChar w:fldCharType="separate"/>
      </w:r>
      <w:r>
        <w:t>- 65 -</w:t>
      </w:r>
      <w:r>
        <w:fldChar w:fldCharType="end"/>
      </w:r>
      <w:r>
        <w:rPr>
          <w:rFonts w:hint="eastAsia" w:ascii="宋体" w:cs="宋体"/>
          <w:szCs w:val="21"/>
        </w:rPr>
        <w:fldChar w:fldCharType="end"/>
      </w:r>
    </w:p>
    <w:p>
      <w:pPr>
        <w:pStyle w:val="20"/>
        <w:tabs>
          <w:tab w:val="right" w:leader="dot" w:pos="8788"/>
        </w:tabs>
      </w:pPr>
      <w:r>
        <w:rPr>
          <w:rFonts w:hint="eastAsia" w:ascii="宋体" w:cs="宋体"/>
          <w:szCs w:val="21"/>
        </w:rPr>
        <w:fldChar w:fldCharType="begin"/>
      </w:r>
      <w:r>
        <w:rPr>
          <w:rFonts w:hint="eastAsia" w:ascii="宋体" w:cs="宋体"/>
          <w:szCs w:val="21"/>
        </w:rPr>
        <w:instrText xml:space="preserve"> HYPERLINK \l _Toc25513 </w:instrText>
      </w:r>
      <w:r>
        <w:rPr>
          <w:rFonts w:hint="eastAsia" w:ascii="宋体" w:cs="宋体"/>
          <w:szCs w:val="21"/>
        </w:rPr>
        <w:fldChar w:fldCharType="separate"/>
      </w:r>
      <w:r>
        <w:rPr>
          <w:rFonts w:hint="eastAsia" w:ascii="宋体" w:cs="宋体"/>
        </w:rPr>
        <w:t>第一节 投标文件封面示例</w:t>
      </w:r>
      <w:r>
        <w:tab/>
      </w:r>
      <w:r>
        <w:fldChar w:fldCharType="begin"/>
      </w:r>
      <w:r>
        <w:instrText xml:space="preserve"> PAGEREF _Toc25513 \h </w:instrText>
      </w:r>
      <w:r>
        <w:fldChar w:fldCharType="separate"/>
      </w:r>
      <w:r>
        <w:t>- 65 -</w:t>
      </w:r>
      <w:r>
        <w:fldChar w:fldCharType="end"/>
      </w:r>
      <w:r>
        <w:rPr>
          <w:rFonts w:hint="eastAsia" w:ascii="宋体" w:cs="宋体"/>
          <w:szCs w:val="21"/>
        </w:rPr>
        <w:fldChar w:fldCharType="end"/>
      </w:r>
    </w:p>
    <w:p>
      <w:pPr>
        <w:pStyle w:val="20"/>
        <w:tabs>
          <w:tab w:val="right" w:leader="dot" w:pos="8788"/>
        </w:tabs>
      </w:pPr>
      <w:r>
        <w:rPr>
          <w:rFonts w:hint="eastAsia" w:ascii="宋体" w:cs="宋体"/>
          <w:szCs w:val="21"/>
        </w:rPr>
        <w:fldChar w:fldCharType="begin"/>
      </w:r>
      <w:r>
        <w:rPr>
          <w:rFonts w:hint="eastAsia" w:ascii="宋体" w:cs="宋体"/>
          <w:szCs w:val="21"/>
        </w:rPr>
        <w:instrText xml:space="preserve"> HYPERLINK \l _Toc7282 </w:instrText>
      </w:r>
      <w:r>
        <w:rPr>
          <w:rFonts w:hint="eastAsia" w:ascii="宋体" w:cs="宋体"/>
          <w:szCs w:val="21"/>
        </w:rPr>
        <w:fldChar w:fldCharType="separate"/>
      </w:r>
      <w:r>
        <w:rPr>
          <w:rFonts w:hint="eastAsia" w:ascii="宋体" w:cs="宋体"/>
        </w:rPr>
        <w:t>第二节 投标文件目录示例</w:t>
      </w:r>
      <w:r>
        <w:tab/>
      </w:r>
      <w:r>
        <w:fldChar w:fldCharType="begin"/>
      </w:r>
      <w:r>
        <w:instrText xml:space="preserve"> PAGEREF _Toc7282 \h </w:instrText>
      </w:r>
      <w:r>
        <w:fldChar w:fldCharType="separate"/>
      </w:r>
      <w:r>
        <w:t>- 66 -</w:t>
      </w:r>
      <w:r>
        <w:fldChar w:fldCharType="end"/>
      </w:r>
      <w:r>
        <w:rPr>
          <w:rFonts w:hint="eastAsia" w:ascii="宋体" w:cs="宋体"/>
          <w:szCs w:val="21"/>
        </w:rPr>
        <w:fldChar w:fldCharType="end"/>
      </w:r>
    </w:p>
    <w:p>
      <w:pPr>
        <w:pStyle w:val="18"/>
        <w:tabs>
          <w:tab w:val="right" w:leader="dot" w:pos="8788"/>
        </w:tabs>
      </w:pPr>
      <w:r>
        <w:rPr>
          <w:rFonts w:hint="eastAsia" w:ascii="宋体" w:cs="宋体"/>
          <w:szCs w:val="21"/>
        </w:rPr>
        <w:fldChar w:fldCharType="begin"/>
      </w:r>
      <w:r>
        <w:rPr>
          <w:rFonts w:hint="eastAsia" w:ascii="宋体" w:cs="宋体"/>
          <w:szCs w:val="21"/>
        </w:rPr>
        <w:instrText xml:space="preserve"> HYPERLINK \l _Toc1642 </w:instrText>
      </w:r>
      <w:r>
        <w:rPr>
          <w:rFonts w:hint="eastAsia" w:ascii="宋体" w:cs="宋体"/>
          <w:szCs w:val="21"/>
        </w:rPr>
        <w:fldChar w:fldCharType="separate"/>
      </w:r>
      <w:r>
        <w:rPr>
          <w:rFonts w:hint="eastAsia" w:ascii="黑体" w:eastAsia="黑体" w:cs="黑体"/>
          <w:bCs/>
        </w:rPr>
        <w:t>第七章 补充条款</w:t>
      </w:r>
      <w:r>
        <w:tab/>
      </w:r>
      <w:r>
        <w:fldChar w:fldCharType="begin"/>
      </w:r>
      <w:r>
        <w:instrText xml:space="preserve"> PAGEREF _Toc1642 \h </w:instrText>
      </w:r>
      <w:r>
        <w:fldChar w:fldCharType="separate"/>
      </w:r>
      <w:r>
        <w:t>- 81 -</w:t>
      </w:r>
      <w:r>
        <w:fldChar w:fldCharType="end"/>
      </w:r>
      <w:r>
        <w:rPr>
          <w:rFonts w:hint="eastAsia" w:ascii="宋体" w:cs="宋体"/>
          <w:szCs w:val="21"/>
        </w:rPr>
        <w:fldChar w:fldCharType="end"/>
      </w:r>
    </w:p>
    <w:p>
      <w:pPr>
        <w:spacing w:line="360" w:lineRule="auto"/>
        <w:rPr>
          <w:rFonts w:ascii="宋体" w:cs="宋体"/>
          <w:szCs w:val="21"/>
        </w:rPr>
      </w:pPr>
      <w:r>
        <w:rPr>
          <w:rFonts w:hint="eastAsia" w:ascii="宋体" w:cs="宋体"/>
          <w:szCs w:val="21"/>
        </w:rPr>
        <w:fldChar w:fldCharType="end"/>
      </w:r>
    </w:p>
    <w:p>
      <w:pPr>
        <w:spacing w:line="360" w:lineRule="auto"/>
        <w:rPr>
          <w:rFonts w:ascii="宋体" w:cs="宋体"/>
          <w:szCs w:val="21"/>
        </w:rPr>
      </w:pPr>
    </w:p>
    <w:p>
      <w:pPr>
        <w:pStyle w:val="3"/>
        <w:jc w:val="center"/>
        <w:rPr>
          <w:rFonts w:ascii="黑体" w:eastAsia="黑体" w:cs="黑体"/>
          <w:sz w:val="24"/>
        </w:rPr>
      </w:pPr>
    </w:p>
    <w:p>
      <w:pPr>
        <w:rPr>
          <w:rFonts w:ascii="黑体" w:eastAsia="黑体" w:cs="黑体"/>
          <w:sz w:val="24"/>
        </w:rPr>
      </w:pPr>
    </w:p>
    <w:p>
      <w:pPr>
        <w:pStyle w:val="4"/>
        <w:rPr>
          <w:rFonts w:ascii="黑体" w:eastAsia="黑体" w:cs="黑体"/>
          <w:sz w:val="24"/>
        </w:rPr>
      </w:pPr>
    </w:p>
    <w:p>
      <w:pPr>
        <w:pStyle w:val="5"/>
      </w:pPr>
    </w:p>
    <w:p>
      <w:pPr>
        <w:pStyle w:val="5"/>
      </w:pPr>
    </w:p>
    <w:p>
      <w:pPr>
        <w:pStyle w:val="3"/>
        <w:jc w:val="center"/>
        <w:rPr>
          <w:rFonts w:ascii="黑体" w:eastAsia="黑体" w:cs="黑体"/>
          <w:sz w:val="24"/>
        </w:rPr>
        <w:sectPr>
          <w:footerReference r:id="rId4" w:type="default"/>
          <w:pgSz w:w="11906" w:h="16838"/>
          <w:pgMar w:top="1701" w:right="1417" w:bottom="1701" w:left="1701" w:header="851" w:footer="992" w:gutter="0"/>
          <w:pgNumType w:fmt="numberInDash" w:start="1"/>
          <w:cols w:space="720" w:num="1"/>
          <w:docGrid w:type="lines" w:linePitch="312" w:charSpace="0"/>
        </w:sectPr>
      </w:pPr>
    </w:p>
    <w:p>
      <w:pPr>
        <w:pStyle w:val="3"/>
        <w:jc w:val="center"/>
        <w:rPr>
          <w:rFonts w:ascii="黑体" w:eastAsia="黑体" w:cs="黑体"/>
          <w:sz w:val="24"/>
        </w:rPr>
      </w:pPr>
      <w:bookmarkStart w:id="0" w:name="_Toc13989"/>
      <w:r>
        <w:rPr>
          <w:rFonts w:hint="eastAsia" w:ascii="黑体" w:eastAsia="黑体" w:cs="黑体"/>
          <w:sz w:val="24"/>
        </w:rPr>
        <w:t>第一章   投标人须知前附表</w:t>
      </w:r>
      <w:bookmarkEnd w:id="0"/>
    </w:p>
    <w:tbl>
      <w:tblPr>
        <w:tblStyle w:val="23"/>
        <w:tblW w:w="908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
      <w:tblGrid>
        <w:gridCol w:w="813"/>
        <w:gridCol w:w="1410"/>
        <w:gridCol w:w="68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87" w:hRule="atLeast"/>
          <w:jc w:val="center"/>
        </w:trPr>
        <w:tc>
          <w:tcPr>
            <w:tcW w:w="813" w:type="dxa"/>
            <w:vAlign w:val="center"/>
          </w:tcPr>
          <w:p>
            <w:pPr>
              <w:keepNext/>
              <w:widowControl/>
              <w:jc w:val="center"/>
              <w:rPr>
                <w:rFonts w:hint="eastAsia" w:ascii="宋体" w:cs="宋体"/>
                <w:b/>
                <w:bCs/>
                <w:kern w:val="0"/>
                <w:szCs w:val="21"/>
              </w:rPr>
            </w:pPr>
            <w:r>
              <w:rPr>
                <w:rFonts w:hint="eastAsia" w:ascii="宋体" w:cs="宋体"/>
                <w:b/>
                <w:bCs/>
                <w:kern w:val="0"/>
                <w:szCs w:val="21"/>
              </w:rPr>
              <w:t>条款号</w:t>
            </w:r>
          </w:p>
        </w:tc>
        <w:tc>
          <w:tcPr>
            <w:tcW w:w="1410" w:type="dxa"/>
            <w:tcBorders>
              <w:right w:val="single" w:color="auto" w:sz="4" w:space="0"/>
            </w:tcBorders>
            <w:vAlign w:val="center"/>
          </w:tcPr>
          <w:p>
            <w:pPr>
              <w:keepNext/>
              <w:widowControl/>
              <w:jc w:val="center"/>
              <w:rPr>
                <w:rFonts w:hint="eastAsia" w:ascii="宋体" w:cs="宋体"/>
                <w:b/>
                <w:bCs/>
                <w:kern w:val="0"/>
                <w:szCs w:val="21"/>
              </w:rPr>
            </w:pPr>
            <w:r>
              <w:rPr>
                <w:rFonts w:hint="eastAsia" w:ascii="宋体" w:cs="宋体"/>
                <w:b/>
                <w:bCs/>
                <w:kern w:val="0"/>
                <w:szCs w:val="21"/>
              </w:rPr>
              <w:t>项   目</w:t>
            </w:r>
          </w:p>
        </w:tc>
        <w:tc>
          <w:tcPr>
            <w:tcW w:w="6857" w:type="dxa"/>
            <w:tcBorders>
              <w:left w:val="single" w:color="auto" w:sz="4" w:space="0"/>
            </w:tcBorders>
            <w:vAlign w:val="center"/>
          </w:tcPr>
          <w:p>
            <w:pPr>
              <w:keepNext/>
              <w:widowControl/>
              <w:jc w:val="center"/>
              <w:rPr>
                <w:rFonts w:hint="eastAsia" w:ascii="宋体" w:cs="宋体"/>
                <w:b/>
                <w:bCs/>
                <w:kern w:val="0"/>
                <w:szCs w:val="21"/>
              </w:rPr>
            </w:pPr>
            <w:r>
              <w:rPr>
                <w:rFonts w:hint="eastAsia" w:ascii="宋体" w:cs="宋体"/>
                <w:b/>
                <w:bCs/>
                <w:kern w:val="0"/>
                <w:szCs w:val="21"/>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tcBorders>
              <w:bottom w:val="single" w:color="auto" w:sz="4" w:space="0"/>
            </w:tcBorders>
            <w:vAlign w:val="center"/>
          </w:tcPr>
          <w:p>
            <w:pPr>
              <w:jc w:val="center"/>
              <w:rPr>
                <w:rFonts w:ascii="宋体"/>
                <w:kern w:val="0"/>
                <w:szCs w:val="21"/>
              </w:rPr>
            </w:pPr>
            <w:r>
              <w:rPr>
                <w:rFonts w:hint="eastAsia" w:ascii="宋体"/>
                <w:kern w:val="0"/>
                <w:szCs w:val="21"/>
              </w:rPr>
              <w:t>1</w:t>
            </w:r>
          </w:p>
        </w:tc>
        <w:tc>
          <w:tcPr>
            <w:tcW w:w="1410" w:type="dxa"/>
            <w:tcBorders>
              <w:right w:val="single" w:color="auto" w:sz="4" w:space="0"/>
            </w:tcBorders>
            <w:vAlign w:val="center"/>
          </w:tcPr>
          <w:p>
            <w:pPr>
              <w:keepNext/>
              <w:widowControl/>
              <w:jc w:val="distribute"/>
              <w:rPr>
                <w:rFonts w:ascii="黑体" w:eastAsia="黑体" w:cs="黑体"/>
                <w:kern w:val="0"/>
                <w:szCs w:val="21"/>
              </w:rPr>
            </w:pPr>
            <w:r>
              <w:rPr>
                <w:rFonts w:hint="eastAsia" w:ascii="黑体" w:eastAsia="黑体" w:cs="黑体"/>
                <w:kern w:val="0"/>
                <w:szCs w:val="21"/>
              </w:rPr>
              <w:t>采购人</w:t>
            </w:r>
          </w:p>
        </w:tc>
        <w:tc>
          <w:tcPr>
            <w:tcW w:w="6857" w:type="dxa"/>
            <w:tcBorders>
              <w:left w:val="single" w:color="auto" w:sz="4" w:space="0"/>
            </w:tcBorders>
            <w:vAlign w:val="center"/>
          </w:tcPr>
          <w:p>
            <w:pPr>
              <w:widowControl/>
              <w:wordWrap w:val="0"/>
              <w:spacing w:line="440" w:lineRule="exact"/>
              <w:jc w:val="left"/>
              <w:rPr>
                <w:rFonts w:hint="eastAsia" w:ascii="宋体" w:hAnsi="Calibri" w:eastAsia="宋体" w:cs="宋体"/>
                <w:color w:val="000000"/>
                <w:kern w:val="0"/>
                <w:sz w:val="21"/>
                <w:szCs w:val="21"/>
                <w:lang w:val="en-US" w:eastAsia="zh-CN" w:bidi="ar-SA"/>
              </w:rPr>
            </w:pPr>
            <w:r>
              <w:rPr>
                <w:rFonts w:hint="eastAsia" w:ascii="宋体" w:hAnsi="Calibri" w:eastAsia="宋体" w:cs="宋体"/>
                <w:color w:val="000000"/>
                <w:kern w:val="0"/>
                <w:sz w:val="21"/>
                <w:szCs w:val="21"/>
                <w:lang w:val="en-US" w:eastAsia="zh-CN" w:bidi="ar-SA"/>
              </w:rPr>
              <w:t>名称：新疆维吾尔自治区动物卫生监督所</w:t>
            </w:r>
          </w:p>
          <w:p>
            <w:pPr>
              <w:keepNext/>
              <w:widowControl/>
              <w:jc w:val="left"/>
              <w:rPr>
                <w:rFonts w:hint="eastAsia" w:ascii="宋体" w:hAnsi="Calibri" w:eastAsia="宋体" w:cs="宋体"/>
                <w:color w:val="000000"/>
                <w:kern w:val="0"/>
                <w:sz w:val="21"/>
                <w:szCs w:val="21"/>
                <w:lang w:val="en-US" w:eastAsia="zh-CN" w:bidi="ar-SA"/>
              </w:rPr>
            </w:pPr>
            <w:r>
              <w:rPr>
                <w:rFonts w:hint="eastAsia" w:ascii="宋体" w:hAnsi="Calibri" w:eastAsia="宋体" w:cs="宋体"/>
                <w:color w:val="000000"/>
                <w:kern w:val="0"/>
                <w:sz w:val="21"/>
                <w:szCs w:val="21"/>
                <w:lang w:val="en-US" w:eastAsia="zh-CN" w:bidi="ar-SA"/>
              </w:rPr>
              <w:t>地址：乌鲁木齐市高新技术开发区蓝天路268号</w:t>
            </w:r>
          </w:p>
          <w:p>
            <w:pPr>
              <w:keepNext/>
              <w:widowControl/>
              <w:jc w:val="left"/>
              <w:rPr>
                <w:rFonts w:hint="eastAsia" w:ascii="宋体" w:hAnsi="Calibri" w:eastAsia="宋体" w:cs="宋体"/>
                <w:color w:val="000000"/>
                <w:kern w:val="0"/>
                <w:sz w:val="21"/>
                <w:szCs w:val="21"/>
                <w:lang w:val="en-US" w:eastAsia="zh-CN" w:bidi="ar-SA"/>
              </w:rPr>
            </w:pPr>
            <w:r>
              <w:rPr>
                <w:rFonts w:hint="eastAsia" w:ascii="宋体" w:hAnsi="Calibri" w:eastAsia="宋体" w:cs="宋体"/>
                <w:color w:val="000000"/>
                <w:kern w:val="0"/>
                <w:sz w:val="21"/>
                <w:szCs w:val="21"/>
                <w:lang w:val="en-US" w:eastAsia="zh-CN" w:bidi="ar-SA"/>
              </w:rPr>
              <w:t>联系人：赵耀国</w:t>
            </w:r>
          </w:p>
          <w:p>
            <w:pPr>
              <w:keepNext/>
              <w:widowControl/>
              <w:jc w:val="left"/>
              <w:rPr>
                <w:rFonts w:ascii="宋体" w:cs="宋体"/>
                <w:color w:val="000000"/>
                <w:kern w:val="0"/>
                <w:szCs w:val="21"/>
              </w:rPr>
            </w:pPr>
            <w:r>
              <w:rPr>
                <w:rFonts w:hint="eastAsia" w:ascii="宋体" w:hAnsi="Calibri" w:eastAsia="宋体" w:cs="宋体"/>
                <w:color w:val="000000"/>
                <w:kern w:val="0"/>
                <w:sz w:val="21"/>
                <w:szCs w:val="21"/>
                <w:lang w:val="en-US" w:eastAsia="zh-CN" w:bidi="ar-SA"/>
              </w:rPr>
              <w:t>电话：18899505068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tcBorders>
              <w:top w:val="single" w:color="auto" w:sz="4" w:space="0"/>
              <w:bottom w:val="single" w:color="auto" w:sz="4" w:space="0"/>
            </w:tcBorders>
            <w:vAlign w:val="center"/>
          </w:tcPr>
          <w:p>
            <w:pPr>
              <w:jc w:val="center"/>
              <w:rPr>
                <w:rFonts w:hint="eastAsia" w:eastAsia="宋体"/>
                <w:lang w:val="en-US" w:eastAsia="zh-CN"/>
              </w:rPr>
            </w:pPr>
            <w:r>
              <w:rPr>
                <w:rFonts w:hint="eastAsia" w:ascii="宋体"/>
                <w:kern w:val="0"/>
                <w:szCs w:val="21"/>
                <w:lang w:val="en-US" w:eastAsia="zh-CN"/>
              </w:rPr>
              <w:t>2</w:t>
            </w:r>
          </w:p>
        </w:tc>
        <w:tc>
          <w:tcPr>
            <w:tcW w:w="1410" w:type="dxa"/>
            <w:tcBorders>
              <w:bottom w:val="single" w:color="auto" w:sz="4" w:space="0"/>
            </w:tcBorders>
            <w:vAlign w:val="center"/>
          </w:tcPr>
          <w:p>
            <w:pPr>
              <w:keepNext/>
              <w:widowControl/>
              <w:jc w:val="distribute"/>
              <w:rPr>
                <w:rFonts w:ascii="黑体" w:eastAsia="黑体" w:cs="黑体"/>
                <w:kern w:val="0"/>
                <w:szCs w:val="21"/>
              </w:rPr>
            </w:pPr>
            <w:r>
              <w:rPr>
                <w:rFonts w:hint="eastAsia" w:ascii="黑体" w:eastAsia="黑体" w:cs="黑体"/>
                <w:kern w:val="0"/>
                <w:szCs w:val="21"/>
              </w:rPr>
              <w:t>采购代理机构</w:t>
            </w:r>
          </w:p>
        </w:tc>
        <w:tc>
          <w:tcPr>
            <w:tcW w:w="6857" w:type="dxa"/>
            <w:vAlign w:val="center"/>
          </w:tcPr>
          <w:p>
            <w:pPr>
              <w:keepNext/>
              <w:widowControl/>
              <w:jc w:val="left"/>
            </w:pPr>
            <w:r>
              <w:rPr>
                <w:rFonts w:hint="eastAsia"/>
              </w:rPr>
              <w:t>名称：新疆世纪华中工程项目管理有限公司</w:t>
            </w:r>
          </w:p>
          <w:p>
            <w:pPr>
              <w:pStyle w:val="9"/>
              <w:numPr>
                <w:ilvl w:val="0"/>
                <w:numId w:val="0"/>
              </w:numPr>
              <w:rPr>
                <w:rFonts w:ascii="宋体" w:eastAsia="宋体" w:cs="宋体"/>
                <w:color w:val="000000"/>
                <w:kern w:val="0"/>
                <w:sz w:val="21"/>
                <w:szCs w:val="21"/>
              </w:rPr>
            </w:pPr>
            <w:r>
              <w:rPr>
                <w:rFonts w:hint="eastAsia" w:ascii="宋体" w:eastAsia="宋体" w:cs="宋体"/>
                <w:color w:val="000000"/>
                <w:kern w:val="0"/>
                <w:sz w:val="21"/>
                <w:szCs w:val="21"/>
              </w:rPr>
              <w:t>地址：</w:t>
            </w:r>
            <w:r>
              <w:rPr>
                <w:rFonts w:hint="eastAsia" w:ascii="宋体" w:eastAsia="宋体" w:cs="宋体"/>
                <w:kern w:val="0"/>
                <w:sz w:val="21"/>
                <w:szCs w:val="21"/>
              </w:rPr>
              <w:t>乌鲁木齐市米东区中颐北路乾和家园F区F14号楼1-3单元303室</w:t>
            </w:r>
          </w:p>
          <w:p>
            <w:pPr>
              <w:pStyle w:val="9"/>
              <w:numPr>
                <w:ilvl w:val="0"/>
                <w:numId w:val="0"/>
              </w:numPr>
              <w:rPr>
                <w:rFonts w:ascii="宋体" w:eastAsia="宋体" w:cs="宋体"/>
                <w:color w:val="000000"/>
                <w:kern w:val="0"/>
                <w:sz w:val="21"/>
                <w:szCs w:val="21"/>
              </w:rPr>
            </w:pPr>
            <w:r>
              <w:rPr>
                <w:rFonts w:hint="eastAsia" w:ascii="宋体" w:eastAsia="宋体" w:cs="宋体"/>
                <w:color w:val="000000"/>
                <w:kern w:val="0"/>
                <w:sz w:val="21"/>
                <w:szCs w:val="21"/>
              </w:rPr>
              <w:t>联系人：孙共青</w:t>
            </w:r>
          </w:p>
          <w:p>
            <w:pPr>
              <w:pStyle w:val="9"/>
              <w:numPr>
                <w:ilvl w:val="0"/>
                <w:numId w:val="0"/>
              </w:numPr>
              <w:rPr>
                <w:rFonts w:ascii="宋体" w:eastAsia="宋体" w:cs="宋体"/>
                <w:color w:val="000000"/>
                <w:kern w:val="0"/>
                <w:sz w:val="21"/>
                <w:szCs w:val="21"/>
              </w:rPr>
            </w:pPr>
            <w:r>
              <w:rPr>
                <w:rFonts w:hint="eastAsia" w:ascii="宋体" w:eastAsia="宋体" w:cs="宋体"/>
                <w:color w:val="000000"/>
                <w:kern w:val="0"/>
                <w:sz w:val="21"/>
                <w:szCs w:val="21"/>
              </w:rPr>
              <w:t>电话：0991-3382836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tcBorders>
              <w:top w:val="single" w:color="auto" w:sz="4" w:space="0"/>
              <w:bottom w:val="single" w:color="auto" w:sz="4" w:space="0"/>
            </w:tcBorders>
            <w:vAlign w:val="center"/>
          </w:tcPr>
          <w:p>
            <w:pPr>
              <w:jc w:val="center"/>
              <w:rPr>
                <w:rFonts w:hint="default" w:ascii="宋体"/>
                <w:kern w:val="0"/>
                <w:szCs w:val="21"/>
                <w:lang w:val="en-US" w:eastAsia="zh-CN"/>
              </w:rPr>
            </w:pPr>
            <w:r>
              <w:rPr>
                <w:rFonts w:hint="eastAsia" w:ascii="宋体"/>
                <w:kern w:val="0"/>
                <w:szCs w:val="21"/>
                <w:lang w:val="en-US" w:eastAsia="zh-CN"/>
              </w:rPr>
              <w:t>3</w:t>
            </w:r>
          </w:p>
        </w:tc>
        <w:tc>
          <w:tcPr>
            <w:tcW w:w="1410" w:type="dxa"/>
            <w:tcBorders>
              <w:bottom w:val="single" w:color="auto" w:sz="4" w:space="0"/>
            </w:tcBorders>
            <w:vAlign w:val="center"/>
          </w:tcPr>
          <w:p>
            <w:pPr>
              <w:keepNext/>
              <w:widowControl/>
              <w:jc w:val="distribute"/>
              <w:rPr>
                <w:rFonts w:hint="eastAsia" w:ascii="黑体" w:eastAsia="黑体" w:cs="黑体"/>
                <w:kern w:val="0"/>
                <w:szCs w:val="21"/>
              </w:rPr>
            </w:pPr>
            <w:r>
              <w:rPr>
                <w:rFonts w:hint="eastAsia" w:ascii="黑体" w:eastAsia="黑体" w:cs="黑体"/>
                <w:kern w:val="0"/>
                <w:szCs w:val="21"/>
              </w:rPr>
              <w:t>项目基本情况</w:t>
            </w:r>
          </w:p>
        </w:tc>
        <w:tc>
          <w:tcPr>
            <w:tcW w:w="6857" w:type="dxa"/>
            <w:vAlign w:val="center"/>
          </w:tcPr>
          <w:p>
            <w:pPr>
              <w:keepNext/>
              <w:widowControl/>
              <w:jc w:val="left"/>
            </w:pPr>
            <w:r>
              <w:rPr>
                <w:rFonts w:hint="eastAsia"/>
                <w:lang w:val="en-US" w:eastAsia="zh-CN"/>
              </w:rPr>
              <w:t>项目</w:t>
            </w:r>
            <w:r>
              <w:rPr>
                <w:rFonts w:hint="eastAsia"/>
              </w:rPr>
              <w:t>名称：</w:t>
            </w:r>
            <w:r>
              <w:rPr>
                <w:rFonts w:hint="eastAsia" w:ascii="宋体" w:cs="宋体"/>
                <w:color w:val="000000"/>
                <w:kern w:val="0"/>
                <w:szCs w:val="21"/>
              </w:rPr>
              <w:t>新疆维吾尔自治区动物卫生监督所2022年仪器设备采购项目（</w:t>
            </w:r>
            <w:r>
              <w:rPr>
                <w:rFonts w:hint="eastAsia" w:ascii="宋体" w:cs="宋体"/>
                <w:color w:val="000000"/>
                <w:kern w:val="0"/>
                <w:szCs w:val="21"/>
                <w:lang w:val="en-US" w:eastAsia="zh-CN"/>
              </w:rPr>
              <w:t>三</w:t>
            </w:r>
            <w:r>
              <w:rPr>
                <w:rFonts w:hint="eastAsia" w:ascii="宋体" w:cs="宋体"/>
                <w:color w:val="000000"/>
                <w:kern w:val="0"/>
                <w:szCs w:val="21"/>
              </w:rPr>
              <w:t>次）</w:t>
            </w:r>
          </w:p>
          <w:p>
            <w:pPr>
              <w:pStyle w:val="9"/>
              <w:numPr>
                <w:ilvl w:val="0"/>
                <w:numId w:val="0"/>
              </w:numPr>
              <w:rPr>
                <w:rFonts w:hint="eastAsia" w:ascii="Calibri" w:hAnsi="Calibri" w:eastAsia="宋体" w:cs="Arial"/>
                <w:kern w:val="2"/>
                <w:sz w:val="21"/>
                <w:szCs w:val="24"/>
                <w:lang w:val="en-US" w:eastAsia="zh-CN" w:bidi="ar-SA"/>
              </w:rPr>
            </w:pPr>
            <w:r>
              <w:rPr>
                <w:rFonts w:hint="eastAsia" w:ascii="Calibri" w:hAnsi="Calibri" w:eastAsia="宋体" w:cs="Arial"/>
                <w:kern w:val="2"/>
                <w:sz w:val="21"/>
                <w:szCs w:val="24"/>
                <w:lang w:val="en-US" w:eastAsia="zh-CN" w:bidi="ar-SA"/>
              </w:rPr>
              <w:t>项目编号：XJHZ(GK)2022-118</w:t>
            </w:r>
          </w:p>
          <w:p>
            <w:pPr>
              <w:pStyle w:val="9"/>
              <w:numPr>
                <w:ilvl w:val="0"/>
                <w:numId w:val="0"/>
              </w:numPr>
              <w:rPr>
                <w:rFonts w:hint="eastAsia" w:ascii="Calibri" w:hAnsi="Calibri" w:eastAsia="宋体" w:cs="Arial"/>
                <w:kern w:val="2"/>
                <w:sz w:val="21"/>
                <w:szCs w:val="24"/>
                <w:lang w:val="en-US" w:eastAsia="zh-CN" w:bidi="ar-SA"/>
              </w:rPr>
            </w:pPr>
            <w:r>
              <w:rPr>
                <w:rFonts w:hint="eastAsia" w:ascii="Calibri" w:hAnsi="Calibri" w:eastAsia="宋体" w:cs="Arial"/>
                <w:kern w:val="2"/>
                <w:sz w:val="21"/>
                <w:szCs w:val="24"/>
                <w:lang w:val="en-US" w:eastAsia="zh-CN" w:bidi="ar-SA"/>
              </w:rPr>
              <w:t>预算金额：1000000.00元</w:t>
            </w:r>
          </w:p>
          <w:p>
            <w:pPr>
              <w:keepNext/>
              <w:widowControl/>
              <w:jc w:val="left"/>
              <w:rPr>
                <w:rFonts w:hint="default"/>
                <w:lang w:val="en-US" w:eastAsia="zh-CN"/>
              </w:rPr>
            </w:pPr>
            <w:r>
              <w:rPr>
                <w:rFonts w:hint="eastAsia" w:ascii="Calibri" w:hAnsi="Calibri" w:eastAsia="宋体" w:cs="Arial"/>
                <w:kern w:val="2"/>
                <w:sz w:val="21"/>
                <w:szCs w:val="24"/>
                <w:lang w:val="en-US" w:eastAsia="zh-CN" w:bidi="ar-SA"/>
              </w:rPr>
              <w:t>最高限价：10</w:t>
            </w:r>
            <w:r>
              <w:rPr>
                <w:rFonts w:hint="eastAsia"/>
                <w:lang w:val="en-US" w:eastAsia="zh-CN"/>
              </w:rPr>
              <w:t>00000.00元</w:t>
            </w:r>
          </w:p>
          <w:p>
            <w:pPr>
              <w:keepNext/>
              <w:widowControl/>
              <w:jc w:val="left"/>
              <w:rPr>
                <w:rFonts w:hint="eastAsia"/>
              </w:rPr>
            </w:pPr>
            <w:r>
              <w:rPr>
                <w:rFonts w:hint="eastAsia"/>
              </w:rPr>
              <w:t>采购内容： 详见采购文件</w:t>
            </w:r>
          </w:p>
          <w:p>
            <w:pPr>
              <w:keepNext/>
              <w:widowControl/>
              <w:jc w:val="left"/>
              <w:rPr>
                <w:rFonts w:hint="default"/>
                <w:lang w:val="en-US" w:eastAsia="zh-CN"/>
              </w:rPr>
            </w:pPr>
            <w:r>
              <w:rPr>
                <w:rFonts w:hint="eastAsia"/>
              </w:rPr>
              <w:t>采购</w:t>
            </w:r>
            <w:r>
              <w:rPr>
                <w:rFonts w:hint="eastAsia"/>
                <w:lang w:val="en-US" w:eastAsia="zh-CN"/>
              </w:rPr>
              <w:t>数量</w:t>
            </w:r>
            <w:r>
              <w:rPr>
                <w:rFonts w:hint="eastAsia"/>
              </w:rPr>
              <w:t xml:space="preserve">： </w:t>
            </w:r>
            <w:r>
              <w:rPr>
                <w:rFonts w:hint="eastAsia"/>
                <w:lang w:val="en-US" w:eastAsia="zh-CN"/>
              </w:rPr>
              <w:t>1批</w:t>
            </w:r>
          </w:p>
          <w:p>
            <w:pPr>
              <w:keepNext/>
              <w:widowControl/>
              <w:jc w:val="left"/>
              <w:rPr>
                <w:rFonts w:hint="eastAsia"/>
              </w:rPr>
            </w:pPr>
            <w:r>
              <w:rPr>
                <w:rFonts w:hint="eastAsia"/>
                <w:lang w:val="en-US" w:eastAsia="zh-CN"/>
              </w:rPr>
              <w:t>资金情况</w:t>
            </w:r>
            <w:r>
              <w:rPr>
                <w:rFonts w:hint="eastAsia"/>
              </w:rPr>
              <w:t xml:space="preserve">： </w:t>
            </w:r>
            <w:r>
              <w:rPr>
                <w:rFonts w:hint="eastAsia" w:ascii="宋体" w:cs="宋体"/>
                <w:color w:val="auto"/>
                <w:kern w:val="0"/>
                <w:szCs w:val="21"/>
              </w:rPr>
              <w:t>财政资金</w:t>
            </w:r>
            <w:r>
              <w:rPr>
                <w:rFonts w:hint="eastAsia"/>
              </w:rPr>
              <w:t xml:space="preserve"> </w:t>
            </w:r>
          </w:p>
          <w:p>
            <w:pPr>
              <w:keepNext/>
              <w:widowControl/>
              <w:jc w:val="left"/>
              <w:rPr>
                <w:rFonts w:hint="eastAsia" w:ascii="宋体" w:cs="宋体"/>
                <w:color w:val="000000"/>
                <w:kern w:val="0"/>
                <w:szCs w:val="21"/>
                <w:lang w:eastAsia="zh-CN"/>
              </w:rPr>
            </w:pPr>
            <w:r>
              <w:rPr>
                <w:rFonts w:hint="eastAsia"/>
              </w:rPr>
              <w:t>服务/供货/完工期限：</w:t>
            </w:r>
            <w:r>
              <w:rPr>
                <w:rFonts w:hint="eastAsia" w:ascii="宋体" w:cs="宋体"/>
                <w:color w:val="000000"/>
                <w:kern w:val="0"/>
                <w:szCs w:val="21"/>
              </w:rPr>
              <w:t>合同签订后</w:t>
            </w:r>
            <w:r>
              <w:rPr>
                <w:rFonts w:hint="eastAsia" w:ascii="宋体" w:cs="宋体"/>
                <w:color w:val="000000"/>
                <w:kern w:val="0"/>
                <w:szCs w:val="21"/>
                <w:lang w:val="en-US" w:eastAsia="zh-CN"/>
              </w:rPr>
              <w:t>45</w:t>
            </w:r>
            <w:r>
              <w:rPr>
                <w:rFonts w:hint="eastAsia" w:ascii="宋体" w:cs="宋体"/>
                <w:color w:val="000000"/>
                <w:kern w:val="0"/>
                <w:szCs w:val="21"/>
              </w:rPr>
              <w:t>天内完成供货及服务</w:t>
            </w:r>
            <w:r>
              <w:rPr>
                <w:rFonts w:hint="eastAsia" w:ascii="宋体" w:cs="宋体"/>
                <w:color w:val="000000"/>
                <w:kern w:val="0"/>
                <w:szCs w:val="21"/>
                <w:lang w:eastAsia="zh-CN"/>
              </w:rPr>
              <w:t>，</w:t>
            </w:r>
          </w:p>
          <w:p>
            <w:pPr>
              <w:keepNext/>
              <w:widowControl/>
              <w:jc w:val="left"/>
              <w:rPr>
                <w:rFonts w:hint="eastAsia"/>
              </w:rPr>
            </w:pPr>
            <w:r>
              <w:rPr>
                <w:rFonts w:hint="eastAsia"/>
              </w:rPr>
              <w:t>服务/供货/建设地点：</w:t>
            </w:r>
            <w:r>
              <w:rPr>
                <w:rFonts w:hint="eastAsia" w:ascii="宋体" w:cs="宋体"/>
                <w:color w:val="000000"/>
                <w:kern w:val="0"/>
                <w:szCs w:val="21"/>
              </w:rPr>
              <w:t>乌鲁木齐市高新技术开发区蓝天路268号新疆维吾尔自治区动物卫生监督所办公场所</w:t>
            </w:r>
          </w:p>
          <w:p>
            <w:pPr>
              <w:keepNext/>
              <w:widowControl/>
              <w:jc w:val="left"/>
              <w:rPr>
                <w:rFonts w:hint="eastAsia"/>
                <w:lang w:val="en-US" w:eastAsia="zh-CN"/>
              </w:rPr>
            </w:pPr>
            <w:r>
              <w:rPr>
                <w:rFonts w:hint="eastAsia"/>
              </w:rPr>
              <w:t>付款方式：项目验收合格后支付合同金额的97%，质保期满后10个工作日内支付余款。（如有调整，以采购人意见为准）</w:t>
            </w:r>
          </w:p>
          <w:p>
            <w:pPr>
              <w:keepNext/>
              <w:widowControl/>
              <w:jc w:val="left"/>
              <w:rPr>
                <w:rFonts w:hint="eastAsia"/>
                <w:lang w:val="en-US" w:eastAsia="zh-CN"/>
              </w:rPr>
            </w:pPr>
            <w:r>
              <w:rPr>
                <w:rFonts w:hint="eastAsia"/>
                <w:lang w:val="en-US" w:eastAsia="zh-CN"/>
              </w:rPr>
              <w:t>采购方式：</w:t>
            </w:r>
            <w:r>
              <w:rPr>
                <w:rFonts w:hint="eastAsia" w:ascii="宋体" w:cs="宋体"/>
                <w:kern w:val="0"/>
                <w:szCs w:val="21"/>
              </w:rPr>
              <w:t>公开招标</w:t>
            </w:r>
          </w:p>
          <w:p>
            <w:pPr>
              <w:keepNext/>
              <w:widowControl/>
              <w:jc w:val="left"/>
              <w:rPr>
                <w:rFonts w:hint="default"/>
                <w:lang w:val="en-US" w:eastAsia="zh-CN"/>
              </w:rPr>
            </w:pPr>
            <w:r>
              <w:rPr>
                <w:rFonts w:hint="eastAsia"/>
                <w:lang w:val="en-US" w:eastAsia="zh-CN"/>
              </w:rPr>
              <w:t>质保期：2年</w:t>
            </w:r>
          </w:p>
          <w:p>
            <w:pPr>
              <w:keepNext/>
              <w:widowControl/>
              <w:jc w:val="left"/>
              <w:rPr>
                <w:rFonts w:hint="eastAsia" w:ascii="宋体" w:eastAsia="宋体" w:cs="宋体"/>
                <w:color w:val="000000"/>
                <w:kern w:val="0"/>
                <w:sz w:val="21"/>
                <w:szCs w:val="21"/>
              </w:rPr>
            </w:pPr>
            <w:r>
              <w:rPr>
                <w:rFonts w:hint="eastAsia"/>
              </w:rPr>
              <w:t xml:space="preserve">采购内容： 详见采购文件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tcBorders>
              <w:top w:val="single" w:color="auto" w:sz="4" w:space="0"/>
              <w:bottom w:val="single" w:color="auto" w:sz="4" w:space="0"/>
            </w:tcBorders>
            <w:vAlign w:val="center"/>
          </w:tcPr>
          <w:p>
            <w:pPr>
              <w:jc w:val="center"/>
              <w:rPr>
                <w:rFonts w:hint="default" w:ascii="宋体"/>
                <w:kern w:val="0"/>
                <w:szCs w:val="21"/>
                <w:lang w:val="en-US" w:eastAsia="zh-CN"/>
              </w:rPr>
            </w:pPr>
            <w:r>
              <w:rPr>
                <w:rFonts w:hint="eastAsia" w:ascii="宋体"/>
                <w:kern w:val="0"/>
                <w:szCs w:val="21"/>
                <w:lang w:val="en-US" w:eastAsia="zh-CN"/>
              </w:rPr>
              <w:t>4</w:t>
            </w:r>
          </w:p>
        </w:tc>
        <w:tc>
          <w:tcPr>
            <w:tcW w:w="1410" w:type="dxa"/>
            <w:tcBorders>
              <w:bottom w:val="single" w:color="auto" w:sz="4" w:space="0"/>
            </w:tcBorders>
            <w:vAlign w:val="center"/>
          </w:tcPr>
          <w:p>
            <w:pPr>
              <w:keepNext/>
              <w:widowControl/>
              <w:jc w:val="distribute"/>
              <w:rPr>
                <w:rFonts w:hint="eastAsia" w:ascii="黑体" w:eastAsia="黑体" w:cs="黑体"/>
                <w:kern w:val="0"/>
                <w:szCs w:val="21"/>
              </w:rPr>
            </w:pPr>
            <w:r>
              <w:rPr>
                <w:rFonts w:hint="eastAsia" w:ascii="黑体" w:eastAsia="黑体" w:cs="黑体"/>
                <w:kern w:val="0"/>
                <w:szCs w:val="21"/>
              </w:rPr>
              <w:t>投标人资格</w:t>
            </w:r>
          </w:p>
        </w:tc>
        <w:tc>
          <w:tcPr>
            <w:tcW w:w="6857" w:type="dxa"/>
            <w:vAlign w:val="center"/>
          </w:tcPr>
          <w:p>
            <w:pPr>
              <w:keepNext/>
              <w:widowControl/>
              <w:ind w:firstLine="420" w:firstLineChars="200"/>
              <w:jc w:val="left"/>
              <w:rPr>
                <w:rFonts w:hint="eastAsia" w:ascii="宋体" w:cs="宋体"/>
                <w:color w:val="000000"/>
                <w:kern w:val="0"/>
                <w:szCs w:val="21"/>
              </w:rPr>
            </w:pPr>
            <w:r>
              <w:rPr>
                <w:rFonts w:hint="eastAsia" w:ascii="宋体" w:cs="宋体"/>
                <w:color w:val="000000"/>
                <w:kern w:val="0"/>
                <w:szCs w:val="21"/>
              </w:rPr>
              <w:t>具有承担本项目的能力以及符合下述条件的供应商（制造商、代理商）均为合格的投标人：</w:t>
            </w:r>
          </w:p>
          <w:p>
            <w:pPr>
              <w:keepNext/>
              <w:widowControl/>
              <w:jc w:val="left"/>
              <w:rPr>
                <w:rFonts w:hint="eastAsia" w:ascii="宋体" w:cs="宋体"/>
                <w:color w:val="000000"/>
                <w:kern w:val="0"/>
                <w:szCs w:val="21"/>
              </w:rPr>
            </w:pPr>
            <w:r>
              <w:rPr>
                <w:rFonts w:hint="eastAsia" w:ascii="宋体" w:cs="宋体"/>
                <w:color w:val="000000"/>
                <w:kern w:val="0"/>
                <w:szCs w:val="21"/>
                <w:lang w:val="en-US" w:eastAsia="zh-CN"/>
              </w:rPr>
              <w:t>1、</w:t>
            </w:r>
            <w:r>
              <w:rPr>
                <w:rFonts w:hint="eastAsia" w:ascii="宋体" w:cs="宋体"/>
                <w:color w:val="000000"/>
                <w:kern w:val="0"/>
                <w:szCs w:val="21"/>
              </w:rPr>
              <w:t>满足《中华人民共和国政府采购法》第二十二条规定：</w:t>
            </w:r>
          </w:p>
          <w:p>
            <w:pPr>
              <w:keepNext/>
              <w:widowControl/>
              <w:jc w:val="left"/>
              <w:rPr>
                <w:rFonts w:hint="eastAsia" w:ascii="宋体" w:cs="宋体"/>
                <w:color w:val="000000"/>
                <w:kern w:val="0"/>
                <w:szCs w:val="21"/>
              </w:rPr>
            </w:pPr>
            <w:r>
              <w:rPr>
                <w:rFonts w:hint="eastAsia" w:ascii="宋体" w:cs="宋体"/>
                <w:color w:val="000000"/>
                <w:kern w:val="0"/>
                <w:szCs w:val="21"/>
              </w:rPr>
              <w:fldChar w:fldCharType="begin"/>
            </w:r>
            <w:r>
              <w:rPr>
                <w:rFonts w:hint="eastAsia" w:ascii="宋体" w:cs="宋体"/>
                <w:color w:val="000000"/>
                <w:kern w:val="0"/>
                <w:szCs w:val="21"/>
              </w:rPr>
              <w:instrText xml:space="preserve"> = 1 \* GB3 </w:instrText>
            </w:r>
            <w:r>
              <w:rPr>
                <w:rFonts w:hint="eastAsia" w:ascii="宋体" w:cs="宋体"/>
                <w:color w:val="000000"/>
                <w:kern w:val="0"/>
                <w:szCs w:val="21"/>
              </w:rPr>
              <w:fldChar w:fldCharType="separate"/>
            </w:r>
            <w:r>
              <w:rPr>
                <w:rFonts w:hint="eastAsia" w:ascii="宋体" w:cs="宋体"/>
                <w:color w:val="000000"/>
                <w:kern w:val="0"/>
                <w:szCs w:val="21"/>
              </w:rPr>
              <w:t>①</w:t>
            </w:r>
            <w:r>
              <w:rPr>
                <w:rFonts w:hint="eastAsia" w:ascii="宋体" w:cs="宋体"/>
                <w:color w:val="000000"/>
                <w:kern w:val="0"/>
                <w:szCs w:val="21"/>
              </w:rPr>
              <w:fldChar w:fldCharType="end"/>
            </w:r>
            <w:r>
              <w:rPr>
                <w:rFonts w:hint="eastAsia" w:ascii="宋体" w:cs="宋体"/>
                <w:color w:val="000000"/>
                <w:kern w:val="0"/>
                <w:szCs w:val="21"/>
              </w:rPr>
              <w:t>具有独立承担民事责任的能力；</w:t>
            </w:r>
          </w:p>
          <w:p>
            <w:pPr>
              <w:keepNext/>
              <w:widowControl/>
              <w:jc w:val="left"/>
              <w:rPr>
                <w:rFonts w:hint="eastAsia" w:ascii="宋体" w:cs="宋体"/>
                <w:color w:val="000000"/>
                <w:kern w:val="0"/>
                <w:szCs w:val="21"/>
              </w:rPr>
            </w:pPr>
            <w:r>
              <w:rPr>
                <w:rFonts w:hint="eastAsia" w:ascii="宋体" w:cs="宋体"/>
                <w:color w:val="000000"/>
                <w:kern w:val="0"/>
                <w:szCs w:val="21"/>
              </w:rPr>
              <w:fldChar w:fldCharType="begin"/>
            </w:r>
            <w:r>
              <w:rPr>
                <w:rFonts w:hint="eastAsia" w:ascii="宋体" w:cs="宋体"/>
                <w:color w:val="000000"/>
                <w:kern w:val="0"/>
                <w:szCs w:val="21"/>
              </w:rPr>
              <w:instrText xml:space="preserve"> = 2 \* GB3 </w:instrText>
            </w:r>
            <w:r>
              <w:rPr>
                <w:rFonts w:hint="eastAsia" w:ascii="宋体" w:cs="宋体"/>
                <w:color w:val="000000"/>
                <w:kern w:val="0"/>
                <w:szCs w:val="21"/>
              </w:rPr>
              <w:fldChar w:fldCharType="separate"/>
            </w:r>
            <w:r>
              <w:rPr>
                <w:rFonts w:hint="eastAsia" w:ascii="宋体" w:cs="宋体"/>
                <w:color w:val="000000"/>
                <w:kern w:val="0"/>
                <w:szCs w:val="21"/>
              </w:rPr>
              <w:t>②</w:t>
            </w:r>
            <w:r>
              <w:rPr>
                <w:rFonts w:hint="eastAsia" w:ascii="宋体" w:cs="宋体"/>
                <w:color w:val="000000"/>
                <w:kern w:val="0"/>
                <w:szCs w:val="21"/>
              </w:rPr>
              <w:fldChar w:fldCharType="end"/>
            </w:r>
            <w:r>
              <w:rPr>
                <w:rFonts w:hint="eastAsia" w:ascii="宋体" w:cs="宋体"/>
                <w:color w:val="000000"/>
                <w:kern w:val="0"/>
                <w:szCs w:val="21"/>
              </w:rPr>
              <w:t>具有良好的商业信誉和健全的</w:t>
            </w:r>
            <w:r>
              <w:rPr>
                <w:rFonts w:hint="eastAsia" w:ascii="宋体" w:cs="宋体"/>
                <w:color w:val="000000"/>
                <w:kern w:val="0"/>
                <w:szCs w:val="21"/>
              </w:rPr>
              <w:fldChar w:fldCharType="begin"/>
            </w:r>
            <w:r>
              <w:rPr>
                <w:rFonts w:hint="eastAsia" w:ascii="宋体" w:cs="宋体"/>
                <w:color w:val="000000"/>
                <w:kern w:val="0"/>
                <w:szCs w:val="21"/>
              </w:rPr>
              <w:instrText xml:space="preserve"> HYPERLINK "http://www.so.com/s?q=%E8%B4%A2%E5%8A%A1%E4%BC%9A%E8%AE%A1%E5%88%B6%E5%BA%A6&amp;ie=utf-8&amp;src=internal_wenda_recommend_textn" \t "https://wenda.so.com/q/_blank" </w:instrText>
            </w:r>
            <w:r>
              <w:rPr>
                <w:rFonts w:hint="eastAsia" w:ascii="宋体" w:cs="宋体"/>
                <w:color w:val="000000"/>
                <w:kern w:val="0"/>
                <w:szCs w:val="21"/>
              </w:rPr>
              <w:fldChar w:fldCharType="separate"/>
            </w:r>
            <w:r>
              <w:rPr>
                <w:rFonts w:hint="eastAsia" w:ascii="宋体" w:cs="宋体"/>
                <w:color w:val="000000"/>
                <w:kern w:val="0"/>
                <w:szCs w:val="21"/>
              </w:rPr>
              <w:t>财务会计制度</w:t>
            </w:r>
            <w:r>
              <w:rPr>
                <w:rFonts w:hint="eastAsia" w:ascii="宋体" w:cs="宋体"/>
                <w:color w:val="000000"/>
                <w:kern w:val="0"/>
                <w:szCs w:val="21"/>
              </w:rPr>
              <w:fldChar w:fldCharType="end"/>
            </w:r>
            <w:r>
              <w:rPr>
                <w:rFonts w:hint="eastAsia" w:ascii="宋体" w:cs="宋体"/>
                <w:color w:val="000000"/>
                <w:kern w:val="0"/>
                <w:szCs w:val="21"/>
              </w:rPr>
              <w:t>；</w:t>
            </w:r>
          </w:p>
          <w:p>
            <w:pPr>
              <w:keepNext/>
              <w:widowControl/>
              <w:jc w:val="left"/>
              <w:rPr>
                <w:rFonts w:hint="eastAsia" w:ascii="宋体" w:cs="宋体"/>
                <w:color w:val="000000"/>
                <w:kern w:val="0"/>
                <w:szCs w:val="21"/>
              </w:rPr>
            </w:pPr>
            <w:r>
              <w:rPr>
                <w:rFonts w:hint="eastAsia" w:ascii="宋体" w:cs="宋体"/>
                <w:color w:val="000000"/>
                <w:kern w:val="0"/>
                <w:szCs w:val="21"/>
              </w:rPr>
              <w:fldChar w:fldCharType="begin"/>
            </w:r>
            <w:r>
              <w:rPr>
                <w:rFonts w:hint="eastAsia" w:ascii="宋体" w:cs="宋体"/>
                <w:color w:val="000000"/>
                <w:kern w:val="0"/>
                <w:szCs w:val="21"/>
              </w:rPr>
              <w:instrText xml:space="preserve"> = 3 \* GB3 </w:instrText>
            </w:r>
            <w:r>
              <w:rPr>
                <w:rFonts w:hint="eastAsia" w:ascii="宋体" w:cs="宋体"/>
                <w:color w:val="000000"/>
                <w:kern w:val="0"/>
                <w:szCs w:val="21"/>
              </w:rPr>
              <w:fldChar w:fldCharType="separate"/>
            </w:r>
            <w:r>
              <w:rPr>
                <w:rFonts w:hint="eastAsia" w:ascii="宋体" w:cs="宋体"/>
                <w:color w:val="000000"/>
                <w:kern w:val="0"/>
                <w:szCs w:val="21"/>
              </w:rPr>
              <w:t>③</w:t>
            </w:r>
            <w:r>
              <w:rPr>
                <w:rFonts w:hint="eastAsia" w:ascii="宋体" w:cs="宋体"/>
                <w:color w:val="000000"/>
                <w:kern w:val="0"/>
                <w:szCs w:val="21"/>
              </w:rPr>
              <w:fldChar w:fldCharType="end"/>
            </w:r>
            <w:r>
              <w:rPr>
                <w:rFonts w:hint="eastAsia" w:ascii="宋体" w:cs="宋体"/>
                <w:color w:val="000000"/>
                <w:kern w:val="0"/>
                <w:szCs w:val="21"/>
              </w:rPr>
              <w:t>具有履行合同所必需的设备和专业技术能力；</w:t>
            </w:r>
          </w:p>
          <w:p>
            <w:pPr>
              <w:keepNext/>
              <w:widowControl/>
              <w:jc w:val="left"/>
              <w:rPr>
                <w:rFonts w:hint="eastAsia" w:ascii="宋体" w:cs="宋体"/>
                <w:color w:val="000000"/>
                <w:kern w:val="0"/>
                <w:szCs w:val="21"/>
              </w:rPr>
            </w:pPr>
            <w:r>
              <w:rPr>
                <w:rFonts w:hint="eastAsia" w:ascii="宋体" w:cs="宋体"/>
                <w:color w:val="000000"/>
                <w:kern w:val="0"/>
                <w:szCs w:val="21"/>
              </w:rPr>
              <w:fldChar w:fldCharType="begin"/>
            </w:r>
            <w:r>
              <w:rPr>
                <w:rFonts w:hint="eastAsia" w:ascii="宋体" w:cs="宋体"/>
                <w:color w:val="000000"/>
                <w:kern w:val="0"/>
                <w:szCs w:val="21"/>
              </w:rPr>
              <w:instrText xml:space="preserve"> = 4 \* GB3 </w:instrText>
            </w:r>
            <w:r>
              <w:rPr>
                <w:rFonts w:hint="eastAsia" w:ascii="宋体" w:cs="宋体"/>
                <w:color w:val="000000"/>
                <w:kern w:val="0"/>
                <w:szCs w:val="21"/>
              </w:rPr>
              <w:fldChar w:fldCharType="separate"/>
            </w:r>
            <w:r>
              <w:rPr>
                <w:rFonts w:hint="eastAsia" w:ascii="宋体" w:cs="宋体"/>
                <w:color w:val="000000"/>
                <w:kern w:val="0"/>
                <w:szCs w:val="21"/>
              </w:rPr>
              <w:t>④</w:t>
            </w:r>
            <w:r>
              <w:rPr>
                <w:rFonts w:hint="eastAsia" w:ascii="宋体" w:cs="宋体"/>
                <w:color w:val="000000"/>
                <w:kern w:val="0"/>
                <w:szCs w:val="21"/>
              </w:rPr>
              <w:fldChar w:fldCharType="end"/>
            </w:r>
            <w:r>
              <w:rPr>
                <w:rFonts w:hint="eastAsia" w:ascii="宋体" w:cs="宋体"/>
                <w:color w:val="000000"/>
                <w:kern w:val="0"/>
                <w:szCs w:val="21"/>
              </w:rPr>
              <w:t>有依法缴纳税收和</w:t>
            </w:r>
            <w:r>
              <w:rPr>
                <w:rFonts w:hint="eastAsia" w:ascii="宋体" w:cs="宋体"/>
                <w:color w:val="000000"/>
                <w:kern w:val="0"/>
                <w:szCs w:val="21"/>
              </w:rPr>
              <w:fldChar w:fldCharType="begin"/>
            </w:r>
            <w:r>
              <w:rPr>
                <w:rFonts w:hint="eastAsia" w:ascii="宋体" w:cs="宋体"/>
                <w:color w:val="000000"/>
                <w:kern w:val="0"/>
                <w:szCs w:val="21"/>
              </w:rPr>
              <w:instrText xml:space="preserve"> HYPERLINK "http://www.so.com/s?q=%E7%A4%BE%E4%BC%9A%E4%BF%9D%E9%9A%9C%E8%B5%84%E9%87%91&amp;ie=utf-8&amp;src=internal_wenda_recommend_textn" \t "https://wenda.so.com/q/_blank" </w:instrText>
            </w:r>
            <w:r>
              <w:rPr>
                <w:rFonts w:hint="eastAsia" w:ascii="宋体" w:cs="宋体"/>
                <w:color w:val="000000"/>
                <w:kern w:val="0"/>
                <w:szCs w:val="21"/>
              </w:rPr>
              <w:fldChar w:fldCharType="separate"/>
            </w:r>
            <w:r>
              <w:rPr>
                <w:rFonts w:hint="eastAsia" w:ascii="宋体" w:cs="宋体"/>
                <w:color w:val="000000"/>
                <w:kern w:val="0"/>
                <w:szCs w:val="21"/>
              </w:rPr>
              <w:t>社会保障资金</w:t>
            </w:r>
            <w:r>
              <w:rPr>
                <w:rFonts w:hint="eastAsia" w:ascii="宋体" w:cs="宋体"/>
                <w:color w:val="000000"/>
                <w:kern w:val="0"/>
                <w:szCs w:val="21"/>
              </w:rPr>
              <w:fldChar w:fldCharType="end"/>
            </w:r>
            <w:r>
              <w:rPr>
                <w:rFonts w:hint="eastAsia" w:ascii="宋体" w:cs="宋体"/>
                <w:color w:val="000000"/>
                <w:kern w:val="0"/>
                <w:szCs w:val="21"/>
              </w:rPr>
              <w:t>的良好记录；</w:t>
            </w:r>
          </w:p>
          <w:p>
            <w:pPr>
              <w:keepNext/>
              <w:widowControl/>
              <w:jc w:val="left"/>
              <w:rPr>
                <w:rFonts w:hint="eastAsia" w:ascii="宋体" w:cs="宋体"/>
                <w:color w:val="000000"/>
                <w:kern w:val="0"/>
                <w:szCs w:val="21"/>
              </w:rPr>
            </w:pPr>
            <w:r>
              <w:rPr>
                <w:rFonts w:hint="eastAsia" w:ascii="宋体" w:cs="宋体"/>
                <w:color w:val="000000"/>
                <w:kern w:val="0"/>
                <w:szCs w:val="21"/>
              </w:rPr>
              <w:fldChar w:fldCharType="begin"/>
            </w:r>
            <w:r>
              <w:rPr>
                <w:rFonts w:hint="eastAsia" w:ascii="宋体" w:cs="宋体"/>
                <w:color w:val="000000"/>
                <w:kern w:val="0"/>
                <w:szCs w:val="21"/>
              </w:rPr>
              <w:instrText xml:space="preserve"> = 5 \* GB3 </w:instrText>
            </w:r>
            <w:r>
              <w:rPr>
                <w:rFonts w:hint="eastAsia" w:ascii="宋体" w:cs="宋体"/>
                <w:color w:val="000000"/>
                <w:kern w:val="0"/>
                <w:szCs w:val="21"/>
              </w:rPr>
              <w:fldChar w:fldCharType="separate"/>
            </w:r>
            <w:r>
              <w:rPr>
                <w:rFonts w:hint="eastAsia" w:ascii="宋体" w:cs="宋体"/>
                <w:color w:val="000000"/>
                <w:kern w:val="0"/>
                <w:szCs w:val="21"/>
              </w:rPr>
              <w:t>⑤</w:t>
            </w:r>
            <w:r>
              <w:rPr>
                <w:rFonts w:hint="eastAsia" w:ascii="宋体" w:cs="宋体"/>
                <w:color w:val="000000"/>
                <w:kern w:val="0"/>
                <w:szCs w:val="21"/>
              </w:rPr>
              <w:fldChar w:fldCharType="end"/>
            </w:r>
            <w:r>
              <w:rPr>
                <w:rFonts w:hint="eastAsia" w:ascii="宋体" w:cs="宋体"/>
                <w:color w:val="000000"/>
                <w:kern w:val="0"/>
                <w:szCs w:val="21"/>
              </w:rPr>
              <w:t>参加政府采购活动前三年内，在经营活动中没有重大违法记录；</w:t>
            </w:r>
          </w:p>
          <w:p>
            <w:pPr>
              <w:keepNext/>
              <w:widowControl/>
              <w:jc w:val="left"/>
              <w:rPr>
                <w:rFonts w:hint="eastAsia" w:ascii="宋体" w:cs="宋体"/>
                <w:color w:val="000000"/>
                <w:kern w:val="0"/>
                <w:szCs w:val="21"/>
              </w:rPr>
            </w:pPr>
            <w:r>
              <w:rPr>
                <w:rFonts w:hint="eastAsia" w:ascii="宋体" w:cs="宋体"/>
                <w:color w:val="000000"/>
                <w:kern w:val="0"/>
                <w:szCs w:val="21"/>
              </w:rPr>
              <w:fldChar w:fldCharType="begin"/>
            </w:r>
            <w:r>
              <w:rPr>
                <w:rFonts w:hint="eastAsia" w:ascii="宋体" w:cs="宋体"/>
                <w:color w:val="000000"/>
                <w:kern w:val="0"/>
                <w:szCs w:val="21"/>
              </w:rPr>
              <w:instrText xml:space="preserve"> = 6 \* GB3 </w:instrText>
            </w:r>
            <w:r>
              <w:rPr>
                <w:rFonts w:hint="eastAsia" w:ascii="宋体" w:cs="宋体"/>
                <w:color w:val="000000"/>
                <w:kern w:val="0"/>
                <w:szCs w:val="21"/>
              </w:rPr>
              <w:fldChar w:fldCharType="separate"/>
            </w:r>
            <w:r>
              <w:rPr>
                <w:rFonts w:hint="eastAsia" w:ascii="宋体" w:cs="宋体"/>
                <w:color w:val="000000"/>
                <w:kern w:val="0"/>
                <w:szCs w:val="21"/>
              </w:rPr>
              <w:t>⑥</w:t>
            </w:r>
            <w:r>
              <w:rPr>
                <w:rFonts w:hint="eastAsia" w:ascii="宋体" w:cs="宋体"/>
                <w:color w:val="000000"/>
                <w:kern w:val="0"/>
                <w:szCs w:val="21"/>
              </w:rPr>
              <w:fldChar w:fldCharType="end"/>
            </w:r>
            <w:r>
              <w:rPr>
                <w:rFonts w:hint="eastAsia" w:ascii="宋体" w:cs="宋体"/>
                <w:color w:val="000000"/>
                <w:kern w:val="0"/>
                <w:szCs w:val="21"/>
              </w:rPr>
              <w:t>法律、行政法规规定的其他条件。</w:t>
            </w:r>
          </w:p>
          <w:p>
            <w:pPr>
              <w:keepNext/>
              <w:widowControl/>
              <w:jc w:val="left"/>
              <w:rPr>
                <w:rFonts w:hint="eastAsia" w:ascii="宋体" w:cs="宋体"/>
                <w:color w:val="000000"/>
                <w:kern w:val="0"/>
                <w:szCs w:val="21"/>
              </w:rPr>
            </w:pPr>
            <w:r>
              <w:rPr>
                <w:rFonts w:hint="eastAsia" w:ascii="宋体" w:cs="宋体"/>
                <w:color w:val="000000"/>
                <w:kern w:val="0"/>
                <w:szCs w:val="21"/>
              </w:rPr>
              <w:t>2、单位负责人为同一人或者存在直接控股、管理关系的不同投标人，不得参加本项目同一合同项下的政府采购活动。</w:t>
            </w:r>
          </w:p>
          <w:p>
            <w:pPr>
              <w:keepNext/>
              <w:widowControl/>
              <w:jc w:val="left"/>
              <w:rPr>
                <w:rFonts w:hint="eastAsia" w:ascii="宋体" w:cs="宋体"/>
                <w:color w:val="000000"/>
                <w:kern w:val="0"/>
                <w:szCs w:val="21"/>
              </w:rPr>
            </w:pPr>
            <w:r>
              <w:rPr>
                <w:rFonts w:hint="eastAsia" w:ascii="宋体" w:cs="宋体"/>
                <w:color w:val="000000"/>
                <w:kern w:val="0"/>
                <w:szCs w:val="21"/>
              </w:rPr>
              <w:t>3、为本采购项目提供整体设计、规范编制或者项目管理、监理、检测等服务的，不得再参加本项目的其他招标采购活动。</w:t>
            </w:r>
          </w:p>
          <w:p>
            <w:pPr>
              <w:keepNext/>
              <w:widowControl/>
              <w:jc w:val="left"/>
              <w:rPr>
                <w:rFonts w:hint="eastAsia" w:ascii="宋体" w:cs="宋体"/>
                <w:color w:val="000000"/>
                <w:kern w:val="0"/>
                <w:szCs w:val="21"/>
              </w:rPr>
            </w:pPr>
            <w:r>
              <w:rPr>
                <w:rFonts w:hint="eastAsia" w:ascii="宋体" w:cs="宋体"/>
                <w:color w:val="000000"/>
                <w:kern w:val="0"/>
                <w:szCs w:val="21"/>
              </w:rPr>
              <w:t>4、未被列入失信被执行人、重大税收违法案件当事人名单，未被列入政府采购严重违法失信行为记录名单。</w:t>
            </w:r>
          </w:p>
          <w:p>
            <w:pPr>
              <w:keepNext/>
              <w:widowControl/>
              <w:jc w:val="left"/>
              <w:rPr>
                <w:rFonts w:hint="eastAsia" w:ascii="宋体" w:cs="宋体"/>
                <w:color w:val="000000"/>
                <w:kern w:val="0"/>
                <w:szCs w:val="21"/>
              </w:rPr>
            </w:pPr>
            <w:r>
              <w:rPr>
                <w:rFonts w:hint="eastAsia" w:ascii="宋体" w:cs="宋体"/>
                <w:color w:val="000000"/>
                <w:kern w:val="0"/>
                <w:szCs w:val="21"/>
              </w:rPr>
              <w:t>5、落实政府采购政策需满足的资格要求：本项目为非专门面向中小企业采购的项目。符合政府采购优先（节约能源、保护环境）采购政策及促进中小企业（监狱企业、残疾人福利性单位）发展政策的，依据规定给予评审优惠。</w:t>
            </w:r>
          </w:p>
          <w:p>
            <w:pPr>
              <w:keepNext/>
              <w:widowControl/>
              <w:jc w:val="left"/>
              <w:rPr>
                <w:rFonts w:hint="eastAsia"/>
              </w:rPr>
            </w:pPr>
            <w:r>
              <w:rPr>
                <w:rFonts w:hint="eastAsia" w:ascii="宋体" w:cs="宋体"/>
                <w:color w:val="000000"/>
                <w:kern w:val="0"/>
                <w:szCs w:val="21"/>
              </w:rPr>
              <w:t>6、法律、法规规定的其他要求。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vAlign w:val="center"/>
          </w:tcPr>
          <w:p>
            <w:pPr>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5</w:t>
            </w:r>
          </w:p>
        </w:tc>
        <w:tc>
          <w:tcPr>
            <w:tcW w:w="1410" w:type="dxa"/>
            <w:vAlign w:val="center"/>
          </w:tcPr>
          <w:p>
            <w:pPr>
              <w:keepNext/>
              <w:widowControl/>
              <w:jc w:val="distribute"/>
              <w:rPr>
                <w:rFonts w:ascii="黑体" w:eastAsia="黑体" w:cs="黑体"/>
                <w:color w:val="000000"/>
                <w:kern w:val="0"/>
                <w:szCs w:val="21"/>
              </w:rPr>
            </w:pPr>
            <w:r>
              <w:rPr>
                <w:rFonts w:hint="eastAsia" w:ascii="黑体" w:eastAsia="黑体" w:cs="黑体"/>
                <w:color w:val="000000"/>
                <w:kern w:val="0"/>
                <w:szCs w:val="21"/>
              </w:rPr>
              <w:t>核心产品</w:t>
            </w:r>
          </w:p>
        </w:tc>
        <w:tc>
          <w:tcPr>
            <w:tcW w:w="6857" w:type="dxa"/>
            <w:vAlign w:val="center"/>
          </w:tcPr>
          <w:p>
            <w:pPr>
              <w:keepNext/>
              <w:widowControl/>
              <w:jc w:val="left"/>
              <w:rPr>
                <w:rFonts w:asciiTheme="minorEastAsia" w:hAnsiTheme="minorEastAsia" w:cstheme="minorEastAsia"/>
                <w:kern w:val="0"/>
                <w:szCs w:val="21"/>
              </w:rPr>
            </w:pPr>
            <w:r>
              <w:rPr>
                <w:rFonts w:hint="eastAsia" w:asciiTheme="minorEastAsia" w:hAnsiTheme="minorEastAsia" w:eastAsiaTheme="minorEastAsia" w:cstheme="minorEastAsia"/>
                <w:kern w:val="0"/>
                <w:szCs w:val="21"/>
              </w:rPr>
              <w:sym w:font="Wingdings" w:char="00FE"/>
            </w:r>
            <w:r>
              <w:rPr>
                <w:rFonts w:hint="eastAsia" w:asciiTheme="minorEastAsia" w:hAnsiTheme="minorEastAsia" w:eastAsiaTheme="minorEastAsia" w:cstheme="minorEastAsia"/>
                <w:kern w:val="0"/>
                <w:szCs w:val="21"/>
              </w:rPr>
              <w:t>无</w:t>
            </w:r>
          </w:p>
          <w:p>
            <w:pPr>
              <w:keepNext/>
              <w:widowControl/>
              <w:jc w:val="left"/>
              <w:rPr>
                <w:rFonts w:ascii="宋体" w:cs="宋体" w:eastAsiaTheme="minorEastAsia"/>
                <w:color w:val="000000"/>
                <w:kern w:val="0"/>
                <w:szCs w:val="21"/>
              </w:rPr>
            </w:pPr>
            <w:r>
              <w:rPr>
                <w:rFonts w:hint="eastAsia" w:asciiTheme="minorEastAsia" w:hAnsiTheme="minorEastAsia" w:eastAsiaTheme="minorEastAsia" w:cstheme="minorEastAsia"/>
                <w:kern w:val="0"/>
                <w:szCs w:val="21"/>
              </w:rPr>
              <w:sym w:font="Wingdings" w:char="00A8"/>
            </w:r>
            <w:r>
              <w:rPr>
                <w:rFonts w:hint="eastAsia" w:asciiTheme="minorEastAsia" w:hAnsiTheme="minorEastAsia" w:eastAsiaTheme="minorEastAsia" w:cstheme="minorEastAsia"/>
                <w:kern w:val="0"/>
                <w:szCs w:val="21"/>
              </w:rPr>
              <w:t>若有则为：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vAlign w:val="center"/>
          </w:tcPr>
          <w:p>
            <w:pPr>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6</w:t>
            </w:r>
          </w:p>
        </w:tc>
        <w:tc>
          <w:tcPr>
            <w:tcW w:w="1410" w:type="dxa"/>
            <w:vAlign w:val="center"/>
          </w:tcPr>
          <w:p>
            <w:pPr>
              <w:keepNext/>
              <w:widowControl/>
              <w:jc w:val="distribute"/>
              <w:rPr>
                <w:rFonts w:hint="eastAsia" w:ascii="黑体" w:hAnsi="黑体" w:eastAsia="黑体" w:cs="黑体"/>
                <w:kern w:val="0"/>
                <w:szCs w:val="21"/>
                <w:lang w:val="en-US" w:eastAsia="zh-CN"/>
              </w:rPr>
            </w:pPr>
            <w:r>
              <w:rPr>
                <w:rFonts w:hint="eastAsia" w:ascii="黑体" w:hAnsi="黑体" w:eastAsia="黑体" w:cs="黑体"/>
                <w:kern w:val="0"/>
                <w:szCs w:val="21"/>
                <w:lang w:val="en-US" w:eastAsia="zh-CN"/>
              </w:rPr>
              <w:t>是否允许</w:t>
            </w:r>
          </w:p>
          <w:p>
            <w:pPr>
              <w:keepNext/>
              <w:widowControl/>
              <w:jc w:val="distribute"/>
              <w:rPr>
                <w:rFonts w:hint="eastAsia" w:ascii="黑体" w:eastAsia="黑体" w:cs="黑体"/>
                <w:color w:val="000000"/>
                <w:kern w:val="0"/>
                <w:szCs w:val="21"/>
              </w:rPr>
            </w:pPr>
            <w:r>
              <w:rPr>
                <w:rFonts w:hint="eastAsia" w:ascii="黑体" w:hAnsi="黑体" w:eastAsia="黑体" w:cs="黑体"/>
                <w:kern w:val="0"/>
                <w:szCs w:val="21"/>
              </w:rPr>
              <w:t>联合体投标</w:t>
            </w:r>
          </w:p>
        </w:tc>
        <w:tc>
          <w:tcPr>
            <w:tcW w:w="6857" w:type="dxa"/>
            <w:vAlign w:val="center"/>
          </w:tcPr>
          <w:p>
            <w:pPr>
              <w:keepNext/>
              <w:widowControl/>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sym w:font="Wingdings" w:char="00FE"/>
            </w:r>
            <w:r>
              <w:rPr>
                <w:rFonts w:hint="eastAsia" w:asciiTheme="minorEastAsia" w:hAnsiTheme="minorEastAsia" w:eastAsiaTheme="minorEastAsia" w:cstheme="minorEastAsia"/>
                <w:kern w:val="0"/>
                <w:szCs w:val="21"/>
              </w:rPr>
              <w:t>不接受</w:t>
            </w:r>
          </w:p>
          <w:p>
            <w:pPr>
              <w:keepNext/>
              <w:widowControl/>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sym w:font="Wingdings" w:char="00A8"/>
            </w:r>
            <w:r>
              <w:rPr>
                <w:rFonts w:hint="eastAsia" w:asciiTheme="minorEastAsia" w:hAnsiTheme="minorEastAsia" w:eastAsiaTheme="minorEastAsia" w:cstheme="minorEastAsia"/>
                <w:kern w:val="0"/>
                <w:szCs w:val="21"/>
              </w:rPr>
              <w:t>接受，联合体投标的须在投标文件中提供联合体协议书，联合体所有成员不得超过2家，联合体的任何一方均不得再与其他投标单位联合。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vAlign w:val="center"/>
          </w:tcPr>
          <w:p>
            <w:pPr>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7</w:t>
            </w:r>
          </w:p>
        </w:tc>
        <w:tc>
          <w:tcPr>
            <w:tcW w:w="1410" w:type="dxa"/>
            <w:vAlign w:val="center"/>
          </w:tcPr>
          <w:p>
            <w:pPr>
              <w:keepNext/>
              <w:widowControl/>
              <w:jc w:val="distribute"/>
              <w:rPr>
                <w:rFonts w:hint="eastAsia" w:ascii="黑体" w:hAnsi="黑体" w:eastAsia="黑体" w:cs="黑体"/>
                <w:kern w:val="0"/>
                <w:szCs w:val="21"/>
              </w:rPr>
            </w:pPr>
            <w:r>
              <w:rPr>
                <w:rFonts w:hint="eastAsia" w:ascii="黑体" w:hAnsi="黑体" w:eastAsia="黑体" w:cs="黑体"/>
                <w:kern w:val="0"/>
                <w:szCs w:val="21"/>
              </w:rPr>
              <w:t>计量单位</w:t>
            </w:r>
          </w:p>
        </w:tc>
        <w:tc>
          <w:tcPr>
            <w:tcW w:w="6857" w:type="dxa"/>
            <w:vAlign w:val="center"/>
          </w:tcPr>
          <w:p>
            <w:pPr>
              <w:keepNext/>
              <w:widowControl/>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sym w:font="Wingdings" w:char="00FE"/>
            </w:r>
            <w:r>
              <w:rPr>
                <w:rFonts w:hint="eastAsia" w:asciiTheme="minorEastAsia" w:hAnsiTheme="minorEastAsia" w:eastAsiaTheme="minorEastAsia" w:cstheme="minorEastAsia"/>
                <w:kern w:val="0"/>
                <w:szCs w:val="21"/>
              </w:rPr>
              <w:t>中华人民共和国法定计量单位</w:t>
            </w:r>
          </w:p>
          <w:p>
            <w:pPr>
              <w:keepNext/>
              <w:widowControl/>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sym w:font="Wingdings" w:char="00A8"/>
            </w:r>
            <w:r>
              <w:rPr>
                <w:rFonts w:hint="eastAsia" w:asciiTheme="minorEastAsia" w:hAnsiTheme="minorEastAsia" w:eastAsiaTheme="minorEastAsia" w:cstheme="minorEastAsia"/>
                <w:kern w:val="0"/>
                <w:szCs w:val="21"/>
              </w:rPr>
              <w:t xml:space="preserve">其他：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tcBorders>
              <w:bottom w:val="single" w:color="auto" w:sz="4" w:space="0"/>
            </w:tcBorders>
            <w:vAlign w:val="center"/>
          </w:tcPr>
          <w:p>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8</w:t>
            </w:r>
          </w:p>
        </w:tc>
        <w:tc>
          <w:tcPr>
            <w:tcW w:w="1410" w:type="dxa"/>
            <w:vAlign w:val="center"/>
          </w:tcPr>
          <w:p>
            <w:pPr>
              <w:keepNext/>
              <w:widowControl/>
              <w:jc w:val="distribute"/>
              <w:rPr>
                <w:rFonts w:ascii="黑体" w:eastAsia="黑体" w:cs="黑体"/>
                <w:kern w:val="0"/>
                <w:szCs w:val="21"/>
              </w:rPr>
            </w:pPr>
            <w:r>
              <w:rPr>
                <w:rFonts w:hint="eastAsia" w:ascii="黑体" w:hAnsi="黑体" w:eastAsia="黑体" w:cs="黑体"/>
                <w:kern w:val="0"/>
                <w:szCs w:val="21"/>
                <w:lang w:val="en-US" w:eastAsia="zh-CN"/>
              </w:rPr>
              <w:t>现场考察、开标前答疑会</w:t>
            </w:r>
          </w:p>
        </w:tc>
        <w:tc>
          <w:tcPr>
            <w:tcW w:w="6857" w:type="dxa"/>
            <w:vAlign w:val="center"/>
          </w:tcPr>
          <w:p>
            <w:pPr>
              <w:keepNext/>
              <w:widowControl/>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sym w:font="Wingdings" w:char="00FE"/>
            </w:r>
            <w:r>
              <w:rPr>
                <w:rFonts w:hint="eastAsia" w:asciiTheme="minorEastAsia" w:hAnsiTheme="minorEastAsia" w:eastAsiaTheme="minorEastAsia" w:cstheme="minorEastAsia"/>
                <w:kern w:val="0"/>
                <w:szCs w:val="21"/>
              </w:rPr>
              <w:t>不组织</w:t>
            </w:r>
          </w:p>
          <w:p>
            <w:pPr>
              <w:keepNext/>
              <w:widowControl/>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sym w:font="Wingdings" w:char="00A8"/>
            </w:r>
            <w:r>
              <w:rPr>
                <w:rFonts w:hint="eastAsia" w:asciiTheme="minorEastAsia" w:hAnsiTheme="minorEastAsia" w:eastAsiaTheme="minorEastAsia" w:cstheme="minorEastAsia"/>
                <w:kern w:val="0"/>
                <w:szCs w:val="21"/>
              </w:rPr>
              <w:t xml:space="preserve">组织，时  间：                          </w:t>
            </w:r>
          </w:p>
          <w:p>
            <w:pPr>
              <w:keepNext/>
              <w:widowControl/>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地  点：                           </w:t>
            </w:r>
          </w:p>
          <w:p>
            <w:pPr>
              <w:keepNext/>
              <w:widowControl/>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联系人：                           </w:t>
            </w:r>
          </w:p>
          <w:p>
            <w:pPr>
              <w:keepNext/>
              <w:widowControl/>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电  话：                           </w:t>
            </w:r>
          </w:p>
          <w:p>
            <w:pPr>
              <w:keepNext/>
              <w:widowControl/>
              <w:jc w:val="left"/>
              <w:rPr>
                <w:rFonts w:ascii="宋体" w:cs="宋体"/>
                <w:kern w:val="0"/>
                <w:szCs w:val="21"/>
              </w:rPr>
            </w:pPr>
            <w:r>
              <w:rPr>
                <w:rFonts w:hint="eastAsia" w:asciiTheme="minorEastAsia" w:hAnsiTheme="minorEastAsia" w:eastAsiaTheme="minorEastAsia" w:cstheme="minorEastAsia"/>
                <w:kern w:val="0"/>
                <w:szCs w:val="21"/>
              </w:rPr>
              <w:sym w:font="Wingdings" w:char="00A8"/>
            </w:r>
            <w:r>
              <w:rPr>
                <w:rFonts w:hint="eastAsia" w:asciiTheme="minorEastAsia" w:hAnsiTheme="minorEastAsia" w:eastAsiaTheme="minorEastAsia" w:cstheme="minorEastAsia"/>
                <w:kern w:val="0"/>
                <w:szCs w:val="21"/>
              </w:rPr>
              <w:t>组织，招标（采购）文件提供期限截止后以书面形式通知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tcBorders>
              <w:top w:val="single" w:color="auto" w:sz="4" w:space="0"/>
              <w:bottom w:val="single" w:color="auto" w:sz="4" w:space="0"/>
            </w:tcBorders>
            <w:vAlign w:val="center"/>
          </w:tcPr>
          <w:p>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9</w:t>
            </w:r>
          </w:p>
        </w:tc>
        <w:tc>
          <w:tcPr>
            <w:tcW w:w="1410" w:type="dxa"/>
            <w:vAlign w:val="center"/>
          </w:tcPr>
          <w:p>
            <w:pPr>
              <w:keepNext/>
              <w:widowControl/>
              <w:jc w:val="distribute"/>
              <w:rPr>
                <w:rFonts w:ascii="黑体" w:hAnsi="黑体" w:eastAsia="黑体" w:cs="黑体"/>
                <w:kern w:val="0"/>
                <w:szCs w:val="21"/>
              </w:rPr>
            </w:pPr>
            <w:r>
              <w:rPr>
                <w:rFonts w:hint="eastAsia" w:ascii="黑体" w:hAnsi="黑体" w:eastAsia="黑体" w:cs="黑体"/>
                <w:kern w:val="0"/>
                <w:szCs w:val="21"/>
              </w:rPr>
              <w:t>投标</w:t>
            </w:r>
          </w:p>
          <w:p>
            <w:pPr>
              <w:keepNext/>
              <w:widowControl/>
              <w:jc w:val="distribute"/>
              <w:rPr>
                <w:rFonts w:ascii="黑体" w:eastAsia="黑体" w:cs="黑体"/>
                <w:kern w:val="0"/>
                <w:szCs w:val="21"/>
              </w:rPr>
            </w:pPr>
            <w:r>
              <w:rPr>
                <w:rFonts w:hint="eastAsia" w:ascii="黑体" w:hAnsi="黑体" w:eastAsia="黑体" w:cs="黑体"/>
                <w:kern w:val="0"/>
                <w:szCs w:val="21"/>
              </w:rPr>
              <w:t>预备会</w:t>
            </w:r>
          </w:p>
        </w:tc>
        <w:tc>
          <w:tcPr>
            <w:tcW w:w="6857" w:type="dxa"/>
            <w:vAlign w:val="center"/>
          </w:tcPr>
          <w:p>
            <w:pPr>
              <w:keepNext/>
              <w:widowControl/>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sym w:font="Wingdings" w:char="00FE"/>
            </w:r>
            <w:r>
              <w:rPr>
                <w:rFonts w:hint="eastAsia" w:asciiTheme="minorEastAsia" w:hAnsiTheme="minorEastAsia" w:eastAsiaTheme="minorEastAsia" w:cstheme="minorEastAsia"/>
                <w:kern w:val="0"/>
                <w:szCs w:val="21"/>
              </w:rPr>
              <w:t>不召开</w:t>
            </w:r>
          </w:p>
          <w:p>
            <w:pPr>
              <w:keepNext/>
              <w:widowControl/>
              <w:jc w:val="left"/>
              <w:rPr>
                <w:rFonts w:ascii="宋体" w:cs="宋体"/>
                <w:kern w:val="0"/>
                <w:szCs w:val="21"/>
              </w:rPr>
            </w:pPr>
            <w:r>
              <w:rPr>
                <w:rFonts w:hint="eastAsia" w:asciiTheme="minorEastAsia" w:hAnsiTheme="minorEastAsia" w:eastAsiaTheme="minorEastAsia" w:cstheme="minorEastAsia"/>
                <w:kern w:val="0"/>
                <w:szCs w:val="21"/>
              </w:rPr>
              <w:sym w:font="Wingdings" w:char="00A8"/>
            </w:r>
            <w:r>
              <w:rPr>
                <w:rFonts w:hint="eastAsia" w:asciiTheme="minorEastAsia" w:hAnsiTheme="minorEastAsia" w:eastAsiaTheme="minorEastAsia" w:cstheme="minorEastAsia"/>
                <w:kern w:val="0"/>
                <w:szCs w:val="21"/>
              </w:rPr>
              <w:t>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tcBorders>
              <w:top w:val="single" w:color="auto" w:sz="4" w:space="0"/>
              <w:bottom w:val="single" w:color="auto" w:sz="4" w:space="0"/>
            </w:tcBorders>
            <w:vAlign w:val="center"/>
          </w:tcPr>
          <w:p>
            <w:pPr>
              <w:jc w:val="center"/>
              <w:rPr>
                <w:rFonts w:hint="default" w:eastAsia="宋体"/>
                <w:lang w:val="en-US" w:eastAsia="zh-CN"/>
              </w:rPr>
            </w:pPr>
            <w:r>
              <w:rPr>
                <w:rFonts w:hint="eastAsia" w:asciiTheme="minorEastAsia" w:hAnsiTheme="minorEastAsia" w:eastAsiaTheme="minorEastAsia" w:cstheme="minorEastAsia"/>
                <w:lang w:val="en-US" w:eastAsia="zh-CN"/>
              </w:rPr>
              <w:t>10</w:t>
            </w:r>
          </w:p>
        </w:tc>
        <w:tc>
          <w:tcPr>
            <w:tcW w:w="1410" w:type="dxa"/>
            <w:vAlign w:val="center"/>
          </w:tcPr>
          <w:p>
            <w:pPr>
              <w:keepNext/>
              <w:widowControl/>
              <w:jc w:val="distribute"/>
              <w:rPr>
                <w:rFonts w:ascii="黑体" w:eastAsia="黑体" w:cs="黑体"/>
                <w:kern w:val="0"/>
                <w:szCs w:val="21"/>
              </w:rPr>
            </w:pPr>
            <w:r>
              <w:rPr>
                <w:rFonts w:hint="eastAsia" w:ascii="黑体" w:hAnsi="黑体" w:eastAsia="黑体" w:cs="黑体"/>
                <w:kern w:val="0"/>
                <w:szCs w:val="21"/>
              </w:rPr>
              <w:t>样品或演示</w:t>
            </w:r>
          </w:p>
        </w:tc>
        <w:tc>
          <w:tcPr>
            <w:tcW w:w="6857" w:type="dxa"/>
            <w:vAlign w:val="center"/>
          </w:tcPr>
          <w:p>
            <w:pPr>
              <w:keepNext/>
              <w:widowControl/>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lang w:val="en-US" w:eastAsia="zh-CN"/>
              </w:rPr>
              <w:t>1、</w:t>
            </w:r>
            <w:r>
              <w:rPr>
                <w:rFonts w:hint="eastAsia" w:asciiTheme="minorEastAsia" w:hAnsiTheme="minorEastAsia" w:eastAsiaTheme="minorEastAsia" w:cstheme="minorEastAsia"/>
                <w:kern w:val="0"/>
                <w:szCs w:val="21"/>
              </w:rPr>
              <w:t>样品</w:t>
            </w:r>
          </w:p>
          <w:p>
            <w:pPr>
              <w:keepNext/>
              <w:widowControl/>
              <w:ind w:firstLine="210" w:firstLineChars="1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sym w:font="Wingdings" w:char="00FE"/>
            </w:r>
            <w:r>
              <w:rPr>
                <w:rFonts w:hint="eastAsia" w:asciiTheme="minorEastAsia" w:hAnsiTheme="minorEastAsia" w:eastAsiaTheme="minorEastAsia" w:cstheme="minorEastAsia"/>
                <w:kern w:val="0"/>
                <w:szCs w:val="21"/>
              </w:rPr>
              <w:t>不需要提供样品</w:t>
            </w:r>
          </w:p>
          <w:p>
            <w:pPr>
              <w:keepNext/>
              <w:widowControl/>
              <w:ind w:firstLine="210" w:firstLineChars="1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sym w:font="Wingdings" w:char="00A8"/>
            </w:r>
            <w:r>
              <w:rPr>
                <w:rFonts w:hint="eastAsia" w:asciiTheme="minorEastAsia" w:hAnsiTheme="minorEastAsia" w:eastAsiaTheme="minorEastAsia" w:cstheme="minorEastAsia"/>
                <w:kern w:val="0"/>
                <w:szCs w:val="21"/>
              </w:rPr>
              <w:t>需要提供样品</w:t>
            </w:r>
          </w:p>
          <w:p>
            <w:pPr>
              <w:keepNext/>
              <w:widowControl/>
              <w:ind w:firstLine="420" w:firstLineChars="200"/>
              <w:jc w:val="left"/>
              <w:rPr>
                <w:rFonts w:hint="eastAsia" w:asciiTheme="minorEastAsia" w:hAnsiTheme="minorEastAsia" w:eastAsiaTheme="minorEastAsia" w:cstheme="minorEastAsia"/>
                <w:kern w:val="0"/>
                <w:szCs w:val="21"/>
              </w:rPr>
            </w:pPr>
            <w:r>
              <w:rPr>
                <w:rFonts w:hint="eastAsia" w:ascii="宋体" w:hAnsi="宋体" w:eastAsia="宋体" w:cs="宋体"/>
                <w:kern w:val="0"/>
                <w:szCs w:val="21"/>
              </w:rPr>
              <w:t>⑴</w:t>
            </w:r>
            <w:r>
              <w:rPr>
                <w:rFonts w:hint="eastAsia" w:asciiTheme="minorEastAsia" w:hAnsiTheme="minorEastAsia" w:eastAsiaTheme="minorEastAsia" w:cstheme="minorEastAsia"/>
                <w:kern w:val="0"/>
                <w:szCs w:val="21"/>
              </w:rPr>
              <w:t>递交样品的截止时间：   年  月  日  时（北京时间）</w:t>
            </w:r>
          </w:p>
          <w:p>
            <w:pPr>
              <w:keepNext/>
              <w:widowControl/>
              <w:ind w:firstLine="630" w:firstLineChars="3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递交样品地点：                     </w:t>
            </w:r>
          </w:p>
          <w:p>
            <w:pPr>
              <w:keepNext/>
              <w:widowControl/>
              <w:ind w:firstLine="630" w:firstLineChars="3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递交样品联系人：                   </w:t>
            </w:r>
          </w:p>
          <w:p>
            <w:pPr>
              <w:keepNext/>
              <w:widowControl/>
              <w:ind w:firstLine="630" w:firstLineChars="3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递交样品联系电话：                 </w:t>
            </w:r>
          </w:p>
          <w:p>
            <w:pPr>
              <w:keepNext/>
              <w:widowControl/>
              <w:ind w:firstLine="420" w:firstLineChars="200"/>
              <w:jc w:val="left"/>
              <w:rPr>
                <w:rFonts w:hint="eastAsia" w:asciiTheme="minorEastAsia" w:hAnsiTheme="minorEastAsia" w:eastAsiaTheme="minorEastAsia" w:cstheme="minorEastAsia"/>
                <w:kern w:val="0"/>
                <w:szCs w:val="21"/>
              </w:rPr>
            </w:pPr>
            <w:r>
              <w:rPr>
                <w:rFonts w:hint="eastAsia" w:ascii="宋体" w:hAnsi="宋体" w:eastAsia="宋体" w:cs="宋体"/>
                <w:kern w:val="0"/>
                <w:szCs w:val="21"/>
              </w:rPr>
              <w:t>⑵</w:t>
            </w:r>
            <w:r>
              <w:rPr>
                <w:rFonts w:hint="eastAsia" w:asciiTheme="minorEastAsia" w:hAnsiTheme="minorEastAsia" w:eastAsiaTheme="minorEastAsia" w:cstheme="minorEastAsia"/>
                <w:kern w:val="0"/>
                <w:szCs w:val="21"/>
              </w:rPr>
              <w:t xml:space="preserve">样品制作的标准和要求：             </w:t>
            </w:r>
          </w:p>
          <w:p>
            <w:pPr>
              <w:keepNext/>
              <w:widowControl/>
              <w:ind w:firstLine="420" w:firstLineChars="200"/>
              <w:jc w:val="left"/>
              <w:rPr>
                <w:rFonts w:hint="eastAsia" w:asciiTheme="minorEastAsia" w:hAnsiTheme="minorEastAsia" w:eastAsiaTheme="minorEastAsia" w:cstheme="minorEastAsia"/>
                <w:kern w:val="0"/>
                <w:szCs w:val="21"/>
              </w:rPr>
            </w:pPr>
            <w:r>
              <w:rPr>
                <w:rFonts w:hint="eastAsia" w:ascii="宋体" w:hAnsi="宋体" w:eastAsia="宋体" w:cs="宋体"/>
                <w:kern w:val="0"/>
                <w:szCs w:val="21"/>
              </w:rPr>
              <w:t>⑶</w:t>
            </w:r>
            <w:r>
              <w:rPr>
                <w:rFonts w:hint="eastAsia" w:asciiTheme="minorEastAsia" w:hAnsiTheme="minorEastAsia" w:eastAsiaTheme="minorEastAsia" w:cstheme="minorEastAsia"/>
                <w:kern w:val="0"/>
                <w:szCs w:val="21"/>
              </w:rPr>
              <w:t xml:space="preserve">随样品提交相关检测报告要求：       </w:t>
            </w:r>
          </w:p>
          <w:p>
            <w:pPr>
              <w:keepNext/>
              <w:widowControl/>
              <w:ind w:firstLine="630" w:firstLineChars="3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（包含是否要求提供、检测机构要求、检测内容等）</w:t>
            </w:r>
          </w:p>
          <w:p>
            <w:pPr>
              <w:keepNext/>
              <w:widowControl/>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样品的封存及退回：中标投标人的样品将由采购人进行保管、封存，并作为履约验收的参考。未中标的投标人提供的样品，应当由采购人进行保管、封存，中标公告之日起七个工作日后，由未中标人自行领回或经未中标人同意后自行处理。</w:t>
            </w:r>
          </w:p>
          <w:p>
            <w:pPr>
              <w:keepNext/>
              <w:widowControl/>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lang w:val="en-US" w:eastAsia="zh-CN"/>
              </w:rPr>
              <w:t>2、</w:t>
            </w:r>
            <w:r>
              <w:rPr>
                <w:rFonts w:hint="eastAsia" w:asciiTheme="minorEastAsia" w:hAnsiTheme="minorEastAsia" w:eastAsiaTheme="minorEastAsia" w:cstheme="minorEastAsia"/>
                <w:kern w:val="0"/>
                <w:szCs w:val="21"/>
              </w:rPr>
              <w:t>演示</w:t>
            </w:r>
          </w:p>
          <w:p>
            <w:pPr>
              <w:keepNext/>
              <w:widowControl/>
              <w:ind w:firstLine="210" w:firstLineChars="1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sym w:font="Wingdings" w:char="F0FE"/>
            </w:r>
            <w:r>
              <w:rPr>
                <w:rFonts w:hint="eastAsia" w:asciiTheme="minorEastAsia" w:hAnsiTheme="minorEastAsia" w:eastAsiaTheme="minorEastAsia" w:cstheme="minorEastAsia"/>
                <w:kern w:val="0"/>
                <w:szCs w:val="21"/>
              </w:rPr>
              <w:t>不需要提供演示</w:t>
            </w:r>
          </w:p>
          <w:p>
            <w:pPr>
              <w:keepNext/>
              <w:widowControl/>
              <w:ind w:firstLine="210" w:firstLineChars="1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sym w:font="Wingdings" w:char="00A8"/>
            </w:r>
            <w:r>
              <w:rPr>
                <w:rFonts w:hint="eastAsia" w:asciiTheme="minorEastAsia" w:hAnsiTheme="minorEastAsia" w:eastAsiaTheme="minorEastAsia" w:cstheme="minorEastAsia"/>
                <w:kern w:val="0"/>
                <w:szCs w:val="21"/>
              </w:rPr>
              <w:t>需要提供演示</w:t>
            </w:r>
          </w:p>
          <w:p>
            <w:pPr>
              <w:keepNext/>
              <w:widowControl/>
              <w:ind w:firstLine="420" w:firstLineChars="200"/>
              <w:jc w:val="left"/>
              <w:rPr>
                <w:rFonts w:hint="eastAsia" w:asciiTheme="minorEastAsia" w:hAnsiTheme="minorEastAsia" w:eastAsiaTheme="minorEastAsia" w:cstheme="minorEastAsia"/>
                <w:kern w:val="0"/>
                <w:szCs w:val="21"/>
              </w:rPr>
            </w:pPr>
            <w:r>
              <w:rPr>
                <w:rFonts w:hint="eastAsia" w:ascii="宋体" w:hAnsi="宋体" w:eastAsia="宋体" w:cs="宋体"/>
                <w:kern w:val="0"/>
                <w:szCs w:val="21"/>
              </w:rPr>
              <w:t>⑴</w:t>
            </w:r>
            <w:r>
              <w:rPr>
                <w:rFonts w:hint="eastAsia" w:asciiTheme="minorEastAsia" w:hAnsiTheme="minorEastAsia" w:eastAsiaTheme="minorEastAsia" w:cstheme="minorEastAsia"/>
                <w:kern w:val="0"/>
                <w:szCs w:val="21"/>
              </w:rPr>
              <w:t xml:space="preserve">演示时间及顺序：            </w:t>
            </w:r>
          </w:p>
          <w:p>
            <w:pPr>
              <w:keepNext/>
              <w:widowControl/>
              <w:ind w:firstLine="420" w:firstLineChars="200"/>
              <w:jc w:val="left"/>
              <w:rPr>
                <w:rFonts w:hint="eastAsia" w:asciiTheme="minorEastAsia" w:hAnsiTheme="minorEastAsia" w:eastAsiaTheme="minorEastAsia" w:cstheme="minorEastAsia"/>
                <w:kern w:val="0"/>
                <w:szCs w:val="21"/>
              </w:rPr>
            </w:pPr>
            <w:r>
              <w:rPr>
                <w:rFonts w:hint="eastAsia" w:ascii="宋体" w:hAnsi="宋体" w:eastAsia="宋体" w:cs="宋体"/>
                <w:kern w:val="0"/>
                <w:szCs w:val="21"/>
              </w:rPr>
              <w:t>⑵</w:t>
            </w:r>
            <w:r>
              <w:rPr>
                <w:rFonts w:hint="eastAsia" w:asciiTheme="minorEastAsia" w:hAnsiTheme="minorEastAsia" w:eastAsiaTheme="minorEastAsia" w:cstheme="minorEastAsia"/>
                <w:kern w:val="0"/>
                <w:szCs w:val="21"/>
              </w:rPr>
              <w:t xml:space="preserve">演示地点：                        </w:t>
            </w:r>
          </w:p>
          <w:p>
            <w:pPr>
              <w:keepNext/>
              <w:widowControl/>
              <w:ind w:firstLine="420" w:firstLineChars="200"/>
              <w:jc w:val="left"/>
              <w:rPr>
                <w:rFonts w:hint="eastAsia" w:asciiTheme="minorEastAsia" w:hAnsiTheme="minorEastAsia" w:eastAsiaTheme="minorEastAsia" w:cstheme="minorEastAsia"/>
                <w:kern w:val="0"/>
                <w:szCs w:val="21"/>
              </w:rPr>
            </w:pPr>
            <w:r>
              <w:rPr>
                <w:rFonts w:hint="eastAsia" w:ascii="宋体" w:hAnsi="宋体" w:eastAsia="宋体" w:cs="宋体"/>
                <w:kern w:val="0"/>
                <w:szCs w:val="21"/>
              </w:rPr>
              <w:t>⑶</w:t>
            </w:r>
            <w:r>
              <w:rPr>
                <w:rFonts w:hint="eastAsia" w:asciiTheme="minorEastAsia" w:hAnsiTheme="minorEastAsia" w:eastAsiaTheme="minorEastAsia" w:cstheme="minorEastAsia"/>
                <w:kern w:val="0"/>
                <w:szCs w:val="21"/>
              </w:rPr>
              <w:t xml:space="preserve">演示内容：                  </w:t>
            </w:r>
          </w:p>
          <w:p>
            <w:pPr>
              <w:keepNext/>
              <w:widowControl/>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lang w:val="en-US" w:eastAsia="zh-CN"/>
              </w:rPr>
              <w:t xml:space="preserve">    </w:t>
            </w:r>
            <w:r>
              <w:rPr>
                <w:rFonts w:hint="eastAsia" w:ascii="宋体" w:hAnsi="宋体" w:eastAsia="宋体" w:cs="宋体"/>
                <w:kern w:val="0"/>
                <w:szCs w:val="21"/>
                <w:lang w:val="en-US" w:eastAsia="zh-CN"/>
              </w:rPr>
              <w:t>⑷</w:t>
            </w:r>
            <w:r>
              <w:rPr>
                <w:rFonts w:hint="eastAsia" w:asciiTheme="minorEastAsia" w:hAnsiTheme="minorEastAsia" w:eastAsiaTheme="minorEastAsia" w:cstheme="minorEastAsia"/>
                <w:kern w:val="0"/>
                <w:szCs w:val="21"/>
              </w:rPr>
              <w:t xml:space="preserve">演示要求：                  </w:t>
            </w:r>
          </w:p>
          <w:p>
            <w:pPr>
              <w:keepNext/>
              <w:widowControl/>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lang w:val="en-US" w:eastAsia="zh-CN"/>
              </w:rPr>
              <w:t>3、</w:t>
            </w:r>
            <w:r>
              <w:rPr>
                <w:rFonts w:hint="eastAsia" w:asciiTheme="minorEastAsia" w:hAnsiTheme="minorEastAsia" w:eastAsiaTheme="minorEastAsia" w:cstheme="minorEastAsia"/>
                <w:b/>
                <w:bCs/>
                <w:kern w:val="0"/>
                <w:szCs w:val="21"/>
              </w:rPr>
              <w:t>备注：</w:t>
            </w:r>
          </w:p>
          <w:p>
            <w:pPr>
              <w:keepNext/>
              <w:widowControl/>
              <w:ind w:firstLine="422" w:firstLineChars="200"/>
              <w:jc w:val="left"/>
              <w:rPr>
                <w:rFonts w:hint="eastAsia" w:asciiTheme="minorEastAsia" w:hAnsiTheme="minorEastAsia" w:eastAsiaTheme="minorEastAsia" w:cstheme="minorEastAsia"/>
                <w:b/>
                <w:bCs/>
                <w:kern w:val="0"/>
                <w:szCs w:val="21"/>
              </w:rPr>
            </w:pPr>
            <w:r>
              <w:rPr>
                <w:rFonts w:hint="eastAsia" w:ascii="宋体" w:hAnsi="宋体" w:eastAsia="宋体" w:cs="宋体"/>
                <w:b/>
                <w:bCs/>
                <w:kern w:val="0"/>
                <w:szCs w:val="21"/>
              </w:rPr>
              <w:t>⑴</w:t>
            </w:r>
            <w:r>
              <w:rPr>
                <w:rFonts w:hint="eastAsia" w:asciiTheme="minorEastAsia" w:hAnsiTheme="minorEastAsia" w:eastAsiaTheme="minorEastAsia" w:cstheme="minorEastAsia"/>
                <w:b/>
                <w:bCs/>
                <w:kern w:val="0"/>
                <w:szCs w:val="21"/>
              </w:rPr>
              <w:t>经评标委员会认定为演示内容不能满足招标（采购）文件要求的视为无效投标。</w:t>
            </w:r>
          </w:p>
          <w:p>
            <w:pPr>
              <w:keepNext/>
              <w:widowControl/>
              <w:ind w:firstLine="422" w:firstLineChars="200"/>
              <w:jc w:val="left"/>
              <w:rPr>
                <w:rFonts w:ascii="宋体" w:cs="宋体"/>
                <w:kern w:val="0"/>
                <w:szCs w:val="21"/>
              </w:rPr>
            </w:pPr>
            <w:r>
              <w:rPr>
                <w:rFonts w:hint="eastAsia" w:ascii="宋体" w:hAnsi="宋体" w:eastAsia="宋体" w:cs="宋体"/>
                <w:b/>
                <w:bCs/>
                <w:kern w:val="0"/>
                <w:szCs w:val="21"/>
              </w:rPr>
              <w:t>⑵</w:t>
            </w:r>
            <w:r>
              <w:rPr>
                <w:rFonts w:hint="eastAsia" w:asciiTheme="minorEastAsia" w:hAnsiTheme="minorEastAsia" w:eastAsiaTheme="minorEastAsia" w:cstheme="minorEastAsia"/>
                <w:b/>
                <w:bCs/>
                <w:kern w:val="0"/>
                <w:szCs w:val="21"/>
              </w:rPr>
              <w:t>演示应在规定时限内完成。演示不完整的，按实际演示功能记分。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tcBorders>
              <w:top w:val="single" w:color="auto" w:sz="4" w:space="0"/>
              <w:bottom w:val="single" w:color="auto" w:sz="4" w:space="0"/>
            </w:tcBorders>
            <w:vAlign w:val="center"/>
          </w:tcPr>
          <w:p>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11</w:t>
            </w:r>
          </w:p>
        </w:tc>
        <w:tc>
          <w:tcPr>
            <w:tcW w:w="1410" w:type="dxa"/>
            <w:vAlign w:val="center"/>
          </w:tcPr>
          <w:p>
            <w:pPr>
              <w:keepNext/>
              <w:widowControl/>
              <w:jc w:val="distribute"/>
              <w:rPr>
                <w:rFonts w:ascii="黑体" w:eastAsia="黑体" w:cs="黑体"/>
                <w:kern w:val="0"/>
                <w:szCs w:val="21"/>
              </w:rPr>
            </w:pPr>
            <w:r>
              <w:rPr>
                <w:rFonts w:hint="eastAsia" w:ascii="黑体" w:hAnsi="黑体" w:eastAsia="黑体" w:cs="黑体"/>
                <w:kern w:val="0"/>
                <w:szCs w:val="21"/>
              </w:rPr>
              <w:t>资格审查方式</w:t>
            </w:r>
          </w:p>
        </w:tc>
        <w:tc>
          <w:tcPr>
            <w:tcW w:w="6857" w:type="dxa"/>
            <w:vAlign w:val="center"/>
          </w:tcPr>
          <w:p>
            <w:pPr>
              <w:keepNext/>
              <w:widowControl/>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sym w:font="Wingdings" w:char="00FE"/>
            </w:r>
            <w:r>
              <w:rPr>
                <w:rFonts w:hint="eastAsia" w:asciiTheme="minorEastAsia" w:hAnsiTheme="minorEastAsia" w:eastAsiaTheme="minorEastAsia" w:cstheme="minorEastAsia"/>
                <w:kern w:val="0"/>
                <w:szCs w:val="21"/>
              </w:rPr>
              <w:t>资格后审</w:t>
            </w:r>
          </w:p>
          <w:p>
            <w:pPr>
              <w:keepNext/>
              <w:widowControl/>
              <w:jc w:val="left"/>
              <w:rPr>
                <w:rFonts w:ascii="宋体" w:cs="宋体"/>
                <w:kern w:val="0"/>
                <w:szCs w:val="21"/>
              </w:rPr>
            </w:pPr>
            <w:r>
              <w:rPr>
                <w:rFonts w:hint="eastAsia" w:asciiTheme="minorEastAsia" w:hAnsiTheme="minorEastAsia" w:eastAsiaTheme="minorEastAsia" w:cstheme="minorEastAsia"/>
                <w:kern w:val="0"/>
                <w:szCs w:val="21"/>
              </w:rPr>
              <w:sym w:font="Wingdings" w:char="00A8"/>
            </w:r>
            <w:r>
              <w:rPr>
                <w:rFonts w:hint="eastAsia" w:asciiTheme="minorEastAsia" w:hAnsiTheme="minorEastAsia" w:eastAsiaTheme="minorEastAsia" w:cstheme="minorEastAsia"/>
                <w:kern w:val="0"/>
                <w:szCs w:val="21"/>
              </w:rPr>
              <w:t>资格预审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tcBorders>
              <w:top w:val="single" w:color="auto" w:sz="4" w:space="0"/>
              <w:bottom w:val="single" w:color="auto" w:sz="4" w:space="0"/>
            </w:tcBorders>
            <w:vAlign w:val="center"/>
          </w:tcPr>
          <w:p>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12</w:t>
            </w:r>
          </w:p>
        </w:tc>
        <w:tc>
          <w:tcPr>
            <w:tcW w:w="1410" w:type="dxa"/>
            <w:vAlign w:val="center"/>
          </w:tcPr>
          <w:p>
            <w:pPr>
              <w:keepNext/>
              <w:widowControl/>
              <w:jc w:val="distribute"/>
              <w:rPr>
                <w:rFonts w:ascii="黑体" w:eastAsia="黑体" w:cs="黑体"/>
                <w:kern w:val="0"/>
                <w:szCs w:val="21"/>
              </w:rPr>
            </w:pPr>
            <w:r>
              <w:rPr>
                <w:rFonts w:hint="eastAsia" w:ascii="黑体" w:eastAsia="黑体" w:cs="黑体"/>
                <w:kern w:val="0"/>
                <w:szCs w:val="21"/>
              </w:rPr>
              <w:t>替代方案</w:t>
            </w:r>
          </w:p>
        </w:tc>
        <w:tc>
          <w:tcPr>
            <w:tcW w:w="6857" w:type="dxa"/>
            <w:vAlign w:val="center"/>
          </w:tcPr>
          <w:p>
            <w:pPr>
              <w:keepNext/>
              <w:widowControl/>
              <w:jc w:val="left"/>
              <w:rPr>
                <w:rFonts w:ascii="宋体" w:cs="宋体"/>
                <w:kern w:val="0"/>
                <w:szCs w:val="21"/>
              </w:rPr>
            </w:pPr>
            <w:r>
              <w:rPr>
                <w:rFonts w:hint="eastAsia" w:ascii="宋体" w:cs="宋体"/>
                <w:kern w:val="0"/>
                <w:szCs w:val="21"/>
              </w:rPr>
              <w:t>不允许投标人提交替代方案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tcBorders>
              <w:top w:val="single" w:color="auto" w:sz="4" w:space="0"/>
              <w:bottom w:val="single" w:color="auto" w:sz="4" w:space="0"/>
            </w:tcBorders>
            <w:vAlign w:val="center"/>
          </w:tcPr>
          <w:p>
            <w:pPr>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13</w:t>
            </w:r>
          </w:p>
        </w:tc>
        <w:tc>
          <w:tcPr>
            <w:tcW w:w="1410" w:type="dxa"/>
            <w:vAlign w:val="center"/>
          </w:tcPr>
          <w:p>
            <w:pPr>
              <w:keepNext/>
              <w:widowControl/>
              <w:jc w:val="distribute"/>
              <w:rPr>
                <w:rFonts w:hint="eastAsia" w:ascii="黑体" w:eastAsia="黑体" w:cs="黑体"/>
                <w:kern w:val="0"/>
                <w:szCs w:val="21"/>
              </w:rPr>
            </w:pPr>
            <w:r>
              <w:rPr>
                <w:rFonts w:hint="eastAsia" w:ascii="黑体" w:eastAsia="黑体" w:cs="黑体"/>
                <w:kern w:val="0"/>
                <w:szCs w:val="21"/>
              </w:rPr>
              <w:t>投标报价</w:t>
            </w:r>
          </w:p>
          <w:p>
            <w:pPr>
              <w:keepNext/>
              <w:widowControl/>
              <w:jc w:val="distribute"/>
              <w:rPr>
                <w:rFonts w:hint="eastAsia" w:ascii="黑体" w:eastAsia="黑体" w:cs="黑体"/>
                <w:kern w:val="0"/>
                <w:szCs w:val="21"/>
              </w:rPr>
            </w:pPr>
            <w:r>
              <w:rPr>
                <w:rFonts w:hint="eastAsia" w:ascii="黑体" w:eastAsia="黑体" w:cs="黑体"/>
                <w:kern w:val="0"/>
                <w:szCs w:val="21"/>
              </w:rPr>
              <w:t>货币要求</w:t>
            </w:r>
          </w:p>
        </w:tc>
        <w:tc>
          <w:tcPr>
            <w:tcW w:w="6857" w:type="dxa"/>
            <w:vAlign w:val="center"/>
          </w:tcPr>
          <w:p>
            <w:pPr>
              <w:keepNext/>
              <w:widowControl/>
              <w:jc w:val="left"/>
              <w:rPr>
                <w:rFonts w:hint="eastAsia" w:ascii="宋体" w:cs="宋体"/>
                <w:kern w:val="0"/>
                <w:szCs w:val="21"/>
              </w:rPr>
            </w:pPr>
            <w:r>
              <w:rPr>
                <w:rFonts w:hint="eastAsia" w:ascii="宋体" w:cs="宋体"/>
                <w:kern w:val="0"/>
                <w:szCs w:val="21"/>
              </w:rPr>
              <w:sym w:font="Wingdings" w:char="00FE"/>
            </w:r>
            <w:r>
              <w:rPr>
                <w:rFonts w:hint="eastAsia" w:ascii="宋体" w:cs="宋体"/>
                <w:kern w:val="0"/>
                <w:szCs w:val="21"/>
              </w:rPr>
              <w:t>所有投标均按</w:t>
            </w:r>
            <w:r>
              <w:rPr>
                <w:rFonts w:hint="eastAsia" w:ascii="宋体" w:cs="宋体"/>
                <w:kern w:val="0"/>
                <w:szCs w:val="21"/>
                <w:u w:val="single"/>
              </w:rPr>
              <w:t xml:space="preserve"> 人民币 </w:t>
            </w:r>
            <w:r>
              <w:rPr>
                <w:rFonts w:hint="eastAsia" w:ascii="宋体" w:cs="宋体"/>
                <w:kern w:val="0"/>
                <w:szCs w:val="21"/>
              </w:rPr>
              <w:t>货币进行报价。</w:t>
            </w:r>
          </w:p>
          <w:p>
            <w:pPr>
              <w:keepNext/>
              <w:widowControl/>
              <w:jc w:val="left"/>
              <w:rPr>
                <w:rFonts w:hint="eastAsia" w:ascii="宋体" w:cs="宋体"/>
                <w:kern w:val="0"/>
                <w:szCs w:val="21"/>
              </w:rPr>
            </w:pPr>
            <w:r>
              <w:rPr>
                <w:rFonts w:hint="eastAsia" w:ascii="宋体" w:cs="宋体"/>
                <w:kern w:val="0"/>
                <w:szCs w:val="21"/>
              </w:rPr>
              <w:sym w:font="Wingdings" w:char="00A8"/>
            </w:r>
            <w:r>
              <w:rPr>
                <w:rFonts w:hint="eastAsia" w:ascii="宋体" w:cs="宋体"/>
                <w:kern w:val="0"/>
                <w:szCs w:val="21"/>
              </w:rPr>
              <w:t xml:space="preserve">其它：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tcBorders>
              <w:top w:val="single" w:color="auto" w:sz="4" w:space="0"/>
              <w:bottom w:val="single" w:color="auto" w:sz="4" w:space="0"/>
            </w:tcBorders>
            <w:vAlign w:val="center"/>
          </w:tcPr>
          <w:p>
            <w:pPr>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14</w:t>
            </w:r>
          </w:p>
        </w:tc>
        <w:tc>
          <w:tcPr>
            <w:tcW w:w="1410" w:type="dxa"/>
            <w:vAlign w:val="center"/>
          </w:tcPr>
          <w:p>
            <w:pPr>
              <w:keepNext/>
              <w:widowControl/>
              <w:jc w:val="distribute"/>
              <w:rPr>
                <w:rFonts w:hint="eastAsia" w:ascii="黑体" w:eastAsia="黑体" w:cs="黑体"/>
                <w:kern w:val="0"/>
                <w:szCs w:val="21"/>
              </w:rPr>
            </w:pPr>
            <w:r>
              <w:rPr>
                <w:rFonts w:hint="eastAsia" w:ascii="黑体" w:eastAsia="黑体" w:cs="黑体"/>
                <w:kern w:val="0"/>
                <w:szCs w:val="21"/>
              </w:rPr>
              <w:t>招标文件费</w:t>
            </w:r>
          </w:p>
        </w:tc>
        <w:tc>
          <w:tcPr>
            <w:tcW w:w="6857" w:type="dxa"/>
            <w:vAlign w:val="center"/>
          </w:tcPr>
          <w:p>
            <w:pPr>
              <w:keepNext/>
              <w:widowControl/>
              <w:jc w:val="left"/>
              <w:rPr>
                <w:rFonts w:hint="eastAsia" w:ascii="宋体" w:cs="宋体"/>
                <w:kern w:val="0"/>
                <w:szCs w:val="21"/>
              </w:rPr>
            </w:pPr>
            <w:r>
              <w:rPr>
                <w:rFonts w:hint="eastAsia" w:ascii="宋体" w:cs="宋体"/>
                <w:kern w:val="0"/>
                <w:szCs w:val="21"/>
              </w:rPr>
              <w:t>300元</w:t>
            </w:r>
            <w:r>
              <w:rPr>
                <w:rFonts w:hint="eastAsia" w:ascii="宋体" w:cs="宋体"/>
                <w:color w:val="000000" w:themeColor="text1"/>
                <w:kern w:val="0"/>
                <w:szCs w:val="21"/>
                <w:lang w:val="en-US" w:eastAsia="zh-CN"/>
                <w14:textFill>
                  <w14:solidFill>
                    <w14:schemeClr w14:val="tx1"/>
                  </w14:solidFill>
                </w14:textFill>
              </w:rPr>
              <w:t>/标包</w:t>
            </w:r>
            <w:r>
              <w:rPr>
                <w:rFonts w:hint="eastAsia" w:ascii="宋体" w:cs="宋体"/>
                <w:kern w:val="0"/>
                <w:szCs w:val="21"/>
              </w:rPr>
              <w:t>，售后不退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tcBorders>
              <w:top w:val="single" w:color="auto" w:sz="4" w:space="0"/>
              <w:bottom w:val="single" w:color="auto" w:sz="4" w:space="0"/>
            </w:tcBorders>
            <w:vAlign w:val="center"/>
          </w:tcPr>
          <w:p>
            <w:pPr>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15</w:t>
            </w:r>
          </w:p>
        </w:tc>
        <w:tc>
          <w:tcPr>
            <w:tcW w:w="1410" w:type="dxa"/>
            <w:vAlign w:val="center"/>
          </w:tcPr>
          <w:p>
            <w:pPr>
              <w:keepNext/>
              <w:widowControl/>
              <w:jc w:val="distribute"/>
              <w:rPr>
                <w:rFonts w:hint="eastAsia" w:ascii="黑体" w:eastAsia="黑体" w:cs="黑体"/>
                <w:kern w:val="0"/>
                <w:szCs w:val="21"/>
              </w:rPr>
            </w:pPr>
            <w:r>
              <w:rPr>
                <w:rFonts w:hint="eastAsia" w:ascii="黑体" w:eastAsia="黑体" w:cs="黑体"/>
                <w:kern w:val="0"/>
                <w:szCs w:val="21"/>
              </w:rPr>
              <w:t>方式</w:t>
            </w:r>
          </w:p>
        </w:tc>
        <w:tc>
          <w:tcPr>
            <w:tcW w:w="6857" w:type="dxa"/>
            <w:vAlign w:val="center"/>
          </w:tcPr>
          <w:p>
            <w:pPr>
              <w:keepNext/>
              <w:widowControl/>
              <w:jc w:val="left"/>
              <w:rPr>
                <w:rFonts w:hint="eastAsia" w:ascii="宋体" w:cs="宋体"/>
                <w:kern w:val="0"/>
                <w:szCs w:val="21"/>
              </w:rPr>
            </w:pPr>
            <w:r>
              <w:rPr>
                <w:rFonts w:hint="eastAsia" w:ascii="宋体" w:cs="宋体"/>
                <w:kern w:val="0"/>
                <w:szCs w:val="21"/>
              </w:rPr>
              <w:t>现场获取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tcBorders>
              <w:top w:val="single" w:color="auto" w:sz="4" w:space="0"/>
              <w:bottom w:val="single" w:color="auto" w:sz="4" w:space="0"/>
            </w:tcBorders>
            <w:vAlign w:val="center"/>
          </w:tcPr>
          <w:p>
            <w:pPr>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16</w:t>
            </w:r>
          </w:p>
        </w:tc>
        <w:tc>
          <w:tcPr>
            <w:tcW w:w="1410" w:type="dxa"/>
            <w:vAlign w:val="center"/>
          </w:tcPr>
          <w:p>
            <w:pPr>
              <w:keepNext/>
              <w:widowControl/>
              <w:jc w:val="distribute"/>
              <w:rPr>
                <w:rFonts w:hint="eastAsia" w:ascii="黑体" w:eastAsia="黑体" w:cs="黑体"/>
                <w:kern w:val="0"/>
                <w:szCs w:val="21"/>
              </w:rPr>
            </w:pPr>
            <w:r>
              <w:rPr>
                <w:rFonts w:hint="eastAsia" w:ascii="黑体" w:eastAsia="黑体" w:cs="黑体"/>
                <w:kern w:val="0"/>
                <w:szCs w:val="21"/>
              </w:rPr>
              <w:t>投标保证金</w:t>
            </w:r>
          </w:p>
        </w:tc>
        <w:tc>
          <w:tcPr>
            <w:tcW w:w="6857" w:type="dxa"/>
            <w:vAlign w:val="center"/>
          </w:tcPr>
          <w:p>
            <w:pPr>
              <w:keepNext/>
              <w:widowControl/>
              <w:jc w:val="left"/>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b/>
                <w:bCs/>
                <w:kern w:val="0"/>
                <w:szCs w:val="21"/>
                <w:lang w:val="en-US" w:eastAsia="zh-CN"/>
              </w:rPr>
              <w:t>1、</w:t>
            </w:r>
            <w:r>
              <w:rPr>
                <w:rFonts w:hint="eastAsia" w:asciiTheme="minorEastAsia" w:hAnsiTheme="minorEastAsia" w:eastAsiaTheme="minorEastAsia" w:cstheme="minorEastAsia"/>
                <w:b/>
                <w:bCs/>
                <w:kern w:val="0"/>
                <w:szCs w:val="21"/>
              </w:rPr>
              <w:t>投标保证金金额：</w:t>
            </w:r>
            <w:r>
              <w:rPr>
                <w:rFonts w:hint="eastAsia" w:asciiTheme="minorEastAsia" w:hAnsiTheme="minorEastAsia" w:eastAsiaTheme="minorEastAsia" w:cstheme="minorEastAsia"/>
                <w:b/>
                <w:bCs/>
                <w:kern w:val="0"/>
                <w:szCs w:val="21"/>
                <w:lang w:val="en-US" w:eastAsia="zh-CN"/>
              </w:rPr>
              <w:t>1</w:t>
            </w:r>
            <w:r>
              <w:rPr>
                <w:rFonts w:hint="eastAsia" w:asciiTheme="minorEastAsia" w:hAnsiTheme="minorEastAsia" w:eastAsiaTheme="minorEastAsia" w:cstheme="minorEastAsia"/>
                <w:b/>
                <w:bCs/>
                <w:kern w:val="0"/>
                <w:szCs w:val="21"/>
              </w:rPr>
              <w:t>0000元</w:t>
            </w:r>
            <w:r>
              <w:rPr>
                <w:rFonts w:hint="eastAsia" w:asciiTheme="minorEastAsia" w:hAnsiTheme="minorEastAsia" w:eastAsiaTheme="minorEastAsia" w:cstheme="minorEastAsia"/>
                <w:b/>
                <w:bCs/>
              </w:rPr>
              <w:t>（以到账时间为准）</w:t>
            </w:r>
          </w:p>
          <w:p>
            <w:pPr>
              <w:keepNext/>
              <w:widowControl/>
              <w:ind w:firstLine="420" w:firstLineChars="200"/>
              <w:jc w:val="left"/>
              <w:rPr>
                <w:rFonts w:asciiTheme="minorEastAsia" w:hAnsiTheme="minorEastAsia" w:eastAsiaTheme="minorEastAsia" w:cstheme="minorEastAsia"/>
              </w:rPr>
            </w:pPr>
            <w:r>
              <w:rPr>
                <w:rFonts w:hint="eastAsia" w:ascii="宋体" w:hAnsi="宋体" w:cs="宋体"/>
                <w:kern w:val="0"/>
                <w:szCs w:val="21"/>
              </w:rPr>
              <w:t>①</w:t>
            </w:r>
            <w:r>
              <w:rPr>
                <w:rFonts w:hint="eastAsia" w:asciiTheme="minorEastAsia" w:hAnsiTheme="minorEastAsia" w:eastAsiaTheme="minorEastAsia" w:cstheme="minorEastAsia"/>
              </w:rPr>
              <w:t>投标保证金以电汇、网银等形式提交的，应在投标截止时间前以投标人的基本账户一次性汇入以下保证金账户。</w:t>
            </w:r>
          </w:p>
          <w:p>
            <w:pPr>
              <w:keepNext/>
              <w:widowControl/>
              <w:ind w:firstLine="420" w:firstLineChars="200"/>
              <w:jc w:val="left"/>
              <w:rPr>
                <w:rFonts w:asciiTheme="minorEastAsia" w:hAnsiTheme="minorEastAsia" w:eastAsiaTheme="minorEastAsia" w:cstheme="minorEastAsia"/>
              </w:rPr>
            </w:pPr>
            <w:r>
              <w:rPr>
                <w:rFonts w:hint="eastAsia" w:ascii="宋体" w:hAnsi="宋体" w:cs="宋体"/>
                <w:kern w:val="0"/>
                <w:szCs w:val="21"/>
              </w:rPr>
              <w:t>②</w:t>
            </w:r>
            <w:r>
              <w:rPr>
                <w:rFonts w:hint="eastAsia" w:asciiTheme="minorEastAsia" w:hAnsiTheme="minorEastAsia" w:eastAsiaTheme="minorEastAsia" w:cstheme="minorEastAsia"/>
              </w:rPr>
              <w:t>投标保证金以保函等票据形式提交的，金融机构、担保机构出具的票据原件须扫描，标书内须附有此票据凭证。</w:t>
            </w:r>
          </w:p>
          <w:p>
            <w:pPr>
              <w:keepNext/>
              <w:widowControl/>
              <w:ind w:firstLine="420" w:firstLineChars="200"/>
              <w:jc w:val="left"/>
              <w:rPr>
                <w:rFonts w:asciiTheme="minorEastAsia" w:hAnsiTheme="minorEastAsia" w:eastAsiaTheme="minorEastAsia" w:cstheme="minorEastAsia"/>
              </w:rPr>
            </w:pPr>
            <w:r>
              <w:rPr>
                <w:rFonts w:hint="eastAsia" w:ascii="宋体" w:hAnsi="宋体" w:cs="宋体"/>
              </w:rPr>
              <w:t>③</w:t>
            </w:r>
            <w:r>
              <w:rPr>
                <w:rFonts w:hint="eastAsia" w:asciiTheme="minorEastAsia" w:hAnsiTheme="minorEastAsia" w:eastAsiaTheme="minorEastAsia" w:cstheme="minorEastAsia"/>
              </w:rPr>
              <w:t>确认到账后，持基本户开户许可证（基本存款账户信息）与招标代理机构工作人员联系开具投标保证金收据并在</w:t>
            </w:r>
            <w:r>
              <w:rPr>
                <w:rFonts w:hint="eastAsia" w:asciiTheme="minorEastAsia" w:hAnsiTheme="minorEastAsia" w:eastAsiaTheme="minorEastAsia" w:cstheme="minorEastAsia"/>
                <w:b/>
                <w:bCs/>
              </w:rPr>
              <w:t>投标文件中附有此票据凭证</w:t>
            </w:r>
            <w:r>
              <w:rPr>
                <w:rFonts w:hint="eastAsia" w:asciiTheme="minorEastAsia" w:hAnsiTheme="minorEastAsia" w:eastAsiaTheme="minorEastAsia" w:cstheme="minorEastAsia"/>
              </w:rPr>
              <w:t>。</w:t>
            </w:r>
          </w:p>
          <w:p>
            <w:pPr>
              <w:ind w:left="422" w:hanging="422" w:hangingChars="200"/>
              <w:rPr>
                <w:rFonts w:asciiTheme="minorEastAsia" w:hAnsiTheme="minorEastAsia" w:eastAsiaTheme="minorEastAsia" w:cstheme="minorEastAsia"/>
                <w:b/>
                <w:bCs/>
              </w:rPr>
            </w:pPr>
            <w:r>
              <w:rPr>
                <w:rFonts w:hint="eastAsia" w:asciiTheme="minorEastAsia" w:hAnsiTheme="minorEastAsia" w:eastAsiaTheme="minorEastAsia" w:cstheme="minorEastAsia"/>
                <w:b/>
                <w:bCs/>
                <w:lang w:val="en-US" w:eastAsia="zh-CN"/>
              </w:rPr>
              <w:t>2、</w:t>
            </w:r>
            <w:r>
              <w:rPr>
                <w:rFonts w:hint="eastAsia" w:asciiTheme="minorEastAsia" w:hAnsiTheme="minorEastAsia" w:eastAsiaTheme="minorEastAsia" w:cstheme="minorEastAsia"/>
                <w:b/>
                <w:bCs/>
              </w:rPr>
              <w:t>保证金账户：</w:t>
            </w:r>
            <w:r>
              <w:rPr>
                <w:rFonts w:hint="eastAsia" w:asciiTheme="minorEastAsia" w:hAnsiTheme="minorEastAsia" w:eastAsiaTheme="minorEastAsia" w:cstheme="minorEastAsia"/>
                <w:b/>
                <w:bCs/>
              </w:rPr>
              <w:br w:type="textWrapping"/>
            </w:r>
            <w:r>
              <w:rPr>
                <w:rFonts w:hint="eastAsia" w:asciiTheme="minorEastAsia" w:hAnsiTheme="minorEastAsia" w:eastAsiaTheme="minorEastAsia" w:cstheme="minorEastAsia"/>
              </w:rPr>
              <w:t>名称：新疆世纪华中工程项目管理有限公司</w:t>
            </w:r>
          </w:p>
          <w:p>
            <w:pPr>
              <w:ind w:left="420" w:leftChars="200"/>
              <w:rPr>
                <w:rFonts w:asciiTheme="minorEastAsia" w:hAnsiTheme="minorEastAsia" w:eastAsiaTheme="minorEastAsia" w:cstheme="minorEastAsia"/>
              </w:rPr>
            </w:pPr>
            <w:r>
              <w:rPr>
                <w:rFonts w:hint="eastAsia" w:asciiTheme="minorEastAsia" w:hAnsiTheme="minorEastAsia" w:eastAsiaTheme="minorEastAsia" w:cstheme="minorEastAsia"/>
              </w:rPr>
              <w:t>账号：807010012010124364078</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行名：新疆天山农村商业银行米东区支行 </w:t>
            </w:r>
          </w:p>
          <w:p>
            <w:pPr>
              <w:snapToGrid w:val="0"/>
              <w:spacing w:line="290" w:lineRule="exact"/>
              <w:ind w:firstLine="420" w:firstLineChars="200"/>
              <w:rPr>
                <w:rFonts w:asciiTheme="minorEastAsia" w:hAnsiTheme="minorEastAsia" w:eastAsiaTheme="minorEastAsia" w:cstheme="minorEastAsia"/>
                <w:b/>
                <w:bCs/>
                <w:szCs w:val="21"/>
              </w:rPr>
            </w:pPr>
            <w:r>
              <w:rPr>
                <w:rFonts w:hint="eastAsia" w:asciiTheme="minorEastAsia" w:hAnsiTheme="minorEastAsia" w:eastAsiaTheme="minorEastAsia" w:cstheme="minorEastAsia"/>
              </w:rPr>
              <w:t xml:space="preserve">行号：402885200018   </w:t>
            </w:r>
            <w:r>
              <w:rPr>
                <w:rFonts w:hint="eastAsia" w:asciiTheme="minorEastAsia" w:hAnsiTheme="minorEastAsia" w:eastAsiaTheme="minorEastAsia" w:cstheme="minorEastAsia"/>
                <w:b/>
                <w:bCs/>
              </w:rPr>
              <w:t xml:space="preserve">  </w:t>
            </w:r>
          </w:p>
          <w:p>
            <w:pPr>
              <w:keepNext/>
              <w:widowControl/>
              <w:numPr>
                <w:ilvl w:val="0"/>
                <w:numId w:val="0"/>
              </w:numPr>
              <w:ind w:left="422" w:hanging="422" w:hanging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lang w:val="en-US" w:eastAsia="zh-CN"/>
              </w:rPr>
              <w:t>3、</w:t>
            </w:r>
            <w:r>
              <w:rPr>
                <w:rFonts w:hint="eastAsia" w:asciiTheme="minorEastAsia" w:hAnsiTheme="minorEastAsia" w:eastAsiaTheme="minorEastAsia" w:cstheme="minorEastAsia"/>
                <w:b/>
                <w:bCs/>
              </w:rPr>
              <w:t>保证金退还方式：</w:t>
            </w:r>
            <w:r>
              <w:rPr>
                <w:rFonts w:hint="eastAsia" w:asciiTheme="minorEastAsia" w:hAnsiTheme="minorEastAsia" w:eastAsiaTheme="minorEastAsia" w:cstheme="minorEastAsia"/>
                <w:b/>
                <w:bCs/>
              </w:rPr>
              <w:br w:type="textWrapping"/>
            </w:r>
            <w:r>
              <w:rPr>
                <w:rFonts w:hint="eastAsia" w:asciiTheme="minorEastAsia" w:hAnsiTheme="minorEastAsia" w:eastAsiaTheme="minorEastAsia" w:cstheme="minorEastAsia"/>
              </w:rPr>
              <w:t>原账户返还</w:t>
            </w:r>
          </w:p>
          <w:p>
            <w:pPr>
              <w:keepNext/>
              <w:widowControl/>
              <w:numPr>
                <w:ilvl w:val="0"/>
                <w:numId w:val="0"/>
              </w:numPr>
              <w:jc w:val="left"/>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b/>
                <w:bCs/>
                <w:lang w:val="en-US" w:eastAsia="zh-CN"/>
              </w:rPr>
              <w:t>4、</w:t>
            </w:r>
            <w:r>
              <w:rPr>
                <w:rFonts w:hint="eastAsia" w:asciiTheme="minorEastAsia" w:hAnsiTheme="minorEastAsia" w:eastAsiaTheme="minorEastAsia" w:cstheme="minorEastAsia"/>
                <w:b/>
                <w:bCs/>
              </w:rPr>
              <w:t>特别提示：</w:t>
            </w:r>
          </w:p>
          <w:p>
            <w:pPr>
              <w:keepNext/>
              <w:widowControl/>
              <w:ind w:firstLine="420" w:firstLineChars="200"/>
              <w:jc w:val="left"/>
              <w:rPr>
                <w:rFonts w:asciiTheme="minorEastAsia" w:hAnsiTheme="minorEastAsia" w:eastAsiaTheme="minorEastAsia" w:cstheme="minorEastAsia"/>
              </w:rPr>
            </w:pPr>
            <w:r>
              <w:rPr>
                <w:rFonts w:hint="eastAsia" w:ascii="宋体" w:hAnsi="宋体" w:cs="宋体"/>
                <w:kern w:val="0"/>
                <w:szCs w:val="21"/>
              </w:rPr>
              <w:t>①</w:t>
            </w:r>
            <w:r>
              <w:rPr>
                <w:rFonts w:hint="eastAsia" w:asciiTheme="minorEastAsia" w:hAnsiTheme="minorEastAsia" w:eastAsiaTheme="minorEastAsia" w:cstheme="minorEastAsia"/>
              </w:rPr>
              <w:t>投标人应认真核对账户信息，将投标保证金汇入以上账户，并自行承担因汇错投标保证金而产生的一切后果。</w:t>
            </w:r>
          </w:p>
          <w:p>
            <w:pPr>
              <w:ind w:firstLine="420" w:firstLineChars="200"/>
              <w:rPr>
                <w:rFonts w:hint="eastAsia" w:ascii="宋体" w:cs="宋体"/>
                <w:kern w:val="0"/>
                <w:szCs w:val="21"/>
              </w:rPr>
            </w:pPr>
            <w:r>
              <w:rPr>
                <w:rFonts w:hint="eastAsia" w:ascii="宋体" w:hAnsi="宋体" w:cs="宋体"/>
                <w:kern w:val="0"/>
                <w:szCs w:val="21"/>
              </w:rPr>
              <w:t>②投标人在转账或电汇的凭证上应按照以下格式注明</w:t>
            </w:r>
            <w:r>
              <w:rPr>
                <w:rFonts w:hint="eastAsia" w:asciiTheme="minorEastAsia" w:hAnsiTheme="minorEastAsia" w:eastAsiaTheme="minorEastAsia" w:cstheme="minorEastAsia"/>
                <w:szCs w:val="21"/>
              </w:rPr>
              <w:t>（xx项目第X标包保证金）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tcBorders>
              <w:top w:val="single" w:color="auto" w:sz="4" w:space="0"/>
              <w:bottom w:val="single" w:color="auto" w:sz="4" w:space="0"/>
            </w:tcBorders>
            <w:vAlign w:val="center"/>
          </w:tcPr>
          <w:p>
            <w:pPr>
              <w:jc w:val="center"/>
              <w:rPr>
                <w:rFonts w:hint="default" w:ascii="宋体" w:eastAsia="宋体"/>
                <w:kern w:val="0"/>
                <w:szCs w:val="21"/>
                <w:lang w:val="en-US" w:eastAsia="zh-CN"/>
              </w:rPr>
            </w:pPr>
            <w:r>
              <w:rPr>
                <w:rFonts w:hint="eastAsia" w:ascii="宋体"/>
                <w:kern w:val="0"/>
                <w:szCs w:val="21"/>
                <w:lang w:val="en-US" w:eastAsia="zh-CN"/>
              </w:rPr>
              <w:t>17</w:t>
            </w:r>
          </w:p>
        </w:tc>
        <w:tc>
          <w:tcPr>
            <w:tcW w:w="1410" w:type="dxa"/>
            <w:vAlign w:val="center"/>
          </w:tcPr>
          <w:p>
            <w:pPr>
              <w:keepNext/>
              <w:widowControl/>
              <w:jc w:val="distribute"/>
              <w:rPr>
                <w:rFonts w:ascii="黑体" w:eastAsia="黑体" w:cs="黑体"/>
                <w:kern w:val="0"/>
                <w:szCs w:val="21"/>
              </w:rPr>
            </w:pPr>
            <w:r>
              <w:rPr>
                <w:rFonts w:hint="eastAsia" w:ascii="黑体" w:eastAsia="黑体" w:cs="黑体"/>
                <w:kern w:val="0"/>
                <w:szCs w:val="21"/>
              </w:rPr>
              <w:t>投标文件</w:t>
            </w:r>
          </w:p>
          <w:p>
            <w:pPr>
              <w:keepNext/>
              <w:widowControl/>
              <w:jc w:val="distribute"/>
              <w:rPr>
                <w:rFonts w:ascii="黑体" w:eastAsia="黑体" w:cs="黑体"/>
                <w:kern w:val="0"/>
                <w:szCs w:val="21"/>
              </w:rPr>
            </w:pPr>
            <w:r>
              <w:rPr>
                <w:rFonts w:hint="eastAsia" w:ascii="黑体" w:eastAsia="黑体" w:cs="黑体"/>
                <w:kern w:val="0"/>
                <w:szCs w:val="21"/>
              </w:rPr>
              <w:t>的获取</w:t>
            </w:r>
          </w:p>
        </w:tc>
        <w:tc>
          <w:tcPr>
            <w:tcW w:w="6857" w:type="dxa"/>
            <w:vAlign w:val="center"/>
          </w:tcPr>
          <w:p>
            <w:pPr>
              <w:keepNext/>
              <w:widowControl/>
              <w:jc w:val="left"/>
              <w:rPr>
                <w:rFonts w:ascii="宋体" w:cs="宋体"/>
                <w:color w:val="000000"/>
                <w:szCs w:val="21"/>
              </w:rPr>
            </w:pPr>
            <w:r>
              <w:rPr>
                <w:rFonts w:hint="eastAsia" w:ascii="宋体" w:cs="宋体"/>
                <w:color w:val="000000"/>
                <w:szCs w:val="21"/>
              </w:rPr>
              <w:t>时间：2022年</w:t>
            </w:r>
            <w:r>
              <w:rPr>
                <w:rFonts w:hint="eastAsia" w:ascii="宋体" w:cs="宋体"/>
                <w:color w:val="000000"/>
                <w:szCs w:val="21"/>
                <w:lang w:val="en-US" w:eastAsia="zh-CN"/>
              </w:rPr>
              <w:t>6</w:t>
            </w:r>
            <w:r>
              <w:rPr>
                <w:rFonts w:hint="eastAsia" w:ascii="宋体" w:cs="宋体"/>
                <w:color w:val="000000"/>
                <w:szCs w:val="21"/>
              </w:rPr>
              <w:t>月</w:t>
            </w:r>
            <w:r>
              <w:rPr>
                <w:rFonts w:hint="eastAsia" w:ascii="宋体" w:cs="宋体"/>
                <w:color w:val="000000"/>
                <w:szCs w:val="21"/>
                <w:lang w:val="en-US" w:eastAsia="zh-CN"/>
              </w:rPr>
              <w:t>7</w:t>
            </w:r>
            <w:r>
              <w:rPr>
                <w:rFonts w:hint="eastAsia" w:ascii="宋体" w:cs="宋体"/>
                <w:color w:val="000000"/>
                <w:szCs w:val="21"/>
              </w:rPr>
              <w:t>日至2022年</w:t>
            </w:r>
            <w:r>
              <w:rPr>
                <w:rFonts w:hint="eastAsia" w:ascii="宋体" w:cs="宋体"/>
                <w:color w:val="000000"/>
                <w:szCs w:val="21"/>
                <w:lang w:val="en-US" w:eastAsia="zh-CN"/>
              </w:rPr>
              <w:t>6</w:t>
            </w:r>
            <w:r>
              <w:rPr>
                <w:rFonts w:hint="eastAsia" w:ascii="宋体" w:cs="宋体"/>
                <w:color w:val="000000"/>
                <w:szCs w:val="21"/>
              </w:rPr>
              <w:t>月</w:t>
            </w:r>
            <w:r>
              <w:rPr>
                <w:rFonts w:hint="eastAsia" w:ascii="宋体" w:cs="宋体"/>
                <w:color w:val="000000"/>
                <w:szCs w:val="21"/>
                <w:lang w:val="en-US" w:eastAsia="zh-CN"/>
              </w:rPr>
              <w:t>13</w:t>
            </w:r>
            <w:r>
              <w:rPr>
                <w:rFonts w:hint="eastAsia" w:ascii="宋体" w:cs="宋体"/>
                <w:color w:val="000000"/>
                <w:szCs w:val="21"/>
              </w:rPr>
              <w:t>日（北京时间，法定节假日除外）</w:t>
            </w:r>
          </w:p>
          <w:p>
            <w:pPr>
              <w:keepNext/>
              <w:widowControl/>
              <w:ind w:firstLine="630" w:firstLineChars="300"/>
              <w:jc w:val="left"/>
              <w:rPr>
                <w:rFonts w:ascii="宋体" w:cs="宋体"/>
                <w:color w:val="000000"/>
                <w:szCs w:val="21"/>
              </w:rPr>
            </w:pPr>
            <w:r>
              <w:rPr>
                <w:rFonts w:hint="eastAsia" w:ascii="宋体" w:cs="宋体"/>
                <w:color w:val="000000"/>
                <w:szCs w:val="21"/>
              </w:rPr>
              <w:t>每天上午10:30至13:30，下午15:30至18:00</w:t>
            </w:r>
          </w:p>
          <w:p>
            <w:pPr>
              <w:keepNext/>
              <w:widowControl/>
              <w:jc w:val="left"/>
              <w:rPr>
                <w:rFonts w:ascii="宋体" w:cs="宋体"/>
                <w:kern w:val="0"/>
                <w:szCs w:val="21"/>
              </w:rPr>
            </w:pPr>
            <w:r>
              <w:rPr>
                <w:rFonts w:hint="eastAsia" w:ascii="宋体" w:cs="宋体"/>
                <w:kern w:val="0"/>
                <w:szCs w:val="21"/>
              </w:rPr>
              <w:t>地点：乌鲁木齐米东区中颐北路乾和家园F区F14号楼1-3单元303室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vMerge w:val="restart"/>
            <w:tcBorders>
              <w:top w:val="single" w:color="auto" w:sz="4" w:space="0"/>
              <w:bottom w:val="single" w:color="auto" w:sz="4" w:space="0"/>
            </w:tcBorders>
            <w:vAlign w:val="center"/>
          </w:tcPr>
          <w:p>
            <w:pPr>
              <w:jc w:val="center"/>
              <w:rPr>
                <w:rFonts w:hint="default" w:ascii="宋体" w:eastAsia="宋体"/>
                <w:kern w:val="0"/>
                <w:szCs w:val="21"/>
                <w:lang w:val="en-US" w:eastAsia="zh-CN"/>
              </w:rPr>
            </w:pPr>
            <w:r>
              <w:rPr>
                <w:rFonts w:hint="eastAsia" w:ascii="宋体"/>
                <w:kern w:val="0"/>
                <w:szCs w:val="21"/>
                <w:lang w:val="en-US" w:eastAsia="zh-CN"/>
              </w:rPr>
              <w:t>18</w:t>
            </w:r>
          </w:p>
        </w:tc>
        <w:tc>
          <w:tcPr>
            <w:tcW w:w="1410" w:type="dxa"/>
            <w:vAlign w:val="center"/>
          </w:tcPr>
          <w:p>
            <w:pPr>
              <w:keepNext/>
              <w:widowControl/>
              <w:jc w:val="distribute"/>
              <w:rPr>
                <w:rFonts w:hint="eastAsia" w:ascii="黑体" w:eastAsia="黑体" w:cs="黑体"/>
                <w:kern w:val="0"/>
                <w:szCs w:val="21"/>
              </w:rPr>
            </w:pPr>
            <w:r>
              <w:rPr>
                <w:rFonts w:hint="eastAsia" w:ascii="黑体" w:eastAsia="黑体" w:cs="黑体"/>
                <w:kern w:val="0"/>
                <w:szCs w:val="21"/>
              </w:rPr>
              <w:t>递交投标（响应）文件截止时间、地点</w:t>
            </w:r>
          </w:p>
        </w:tc>
        <w:tc>
          <w:tcPr>
            <w:tcW w:w="6857" w:type="dxa"/>
            <w:vAlign w:val="center"/>
          </w:tcPr>
          <w:p>
            <w:pPr>
              <w:keepNext/>
              <w:widowControl/>
              <w:jc w:val="left"/>
              <w:rPr>
                <w:rFonts w:ascii="宋体" w:cs="宋体"/>
                <w:kern w:val="0"/>
                <w:szCs w:val="21"/>
              </w:rPr>
            </w:pPr>
            <w:r>
              <w:rPr>
                <w:rFonts w:hint="eastAsia" w:ascii="宋体" w:cs="宋体"/>
                <w:kern w:val="0"/>
                <w:szCs w:val="21"/>
              </w:rPr>
              <w:t>截止时间：2022年</w:t>
            </w:r>
            <w:r>
              <w:rPr>
                <w:rFonts w:hint="eastAsia" w:ascii="宋体" w:cs="宋体"/>
                <w:kern w:val="0"/>
                <w:szCs w:val="21"/>
                <w:lang w:val="en-US" w:eastAsia="zh-CN"/>
              </w:rPr>
              <w:t>6</w:t>
            </w:r>
            <w:r>
              <w:rPr>
                <w:rFonts w:hint="eastAsia" w:ascii="宋体" w:cs="宋体"/>
                <w:kern w:val="0"/>
                <w:szCs w:val="21"/>
              </w:rPr>
              <w:t xml:space="preserve">月 </w:t>
            </w:r>
            <w:r>
              <w:rPr>
                <w:rFonts w:hint="eastAsia" w:ascii="宋体" w:cs="宋体"/>
                <w:kern w:val="0"/>
                <w:szCs w:val="21"/>
                <w:lang w:val="en-US" w:eastAsia="zh-CN"/>
              </w:rPr>
              <w:t>27</w:t>
            </w:r>
            <w:r>
              <w:rPr>
                <w:rFonts w:hint="eastAsia" w:ascii="宋体" w:cs="宋体"/>
                <w:kern w:val="0"/>
                <w:szCs w:val="21"/>
              </w:rPr>
              <w:t>日11:00（北京时间）</w:t>
            </w:r>
          </w:p>
          <w:p>
            <w:pPr>
              <w:keepNext/>
              <w:widowControl/>
              <w:jc w:val="left"/>
              <w:rPr>
                <w:rFonts w:ascii="宋体" w:cs="宋体"/>
                <w:kern w:val="0"/>
                <w:szCs w:val="21"/>
              </w:rPr>
            </w:pPr>
            <w:r>
              <w:rPr>
                <w:rFonts w:hint="eastAsia" w:ascii="宋体" w:cs="宋体"/>
                <w:kern w:val="0"/>
                <w:szCs w:val="21"/>
              </w:rPr>
              <w:t>地点：乌鲁木齐市米东区中颐北路乾和家园F区F14号楼1-3单元303室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vMerge w:val="continue"/>
            <w:tcBorders>
              <w:top w:val="single" w:color="auto" w:sz="4" w:space="0"/>
              <w:bottom w:val="single" w:color="auto" w:sz="4" w:space="0"/>
            </w:tcBorders>
            <w:vAlign w:val="center"/>
          </w:tcPr>
          <w:p/>
        </w:tc>
        <w:tc>
          <w:tcPr>
            <w:tcW w:w="1410" w:type="dxa"/>
            <w:vAlign w:val="center"/>
          </w:tcPr>
          <w:p>
            <w:pPr>
              <w:keepNext/>
              <w:widowControl/>
              <w:jc w:val="distribute"/>
              <w:rPr>
                <w:rFonts w:hint="eastAsia" w:ascii="黑体" w:eastAsia="黑体" w:cs="黑体"/>
                <w:kern w:val="0"/>
                <w:szCs w:val="21"/>
              </w:rPr>
            </w:pPr>
            <w:r>
              <w:rPr>
                <w:rFonts w:hint="eastAsia" w:ascii="黑体" w:eastAsia="黑体" w:cs="黑体"/>
                <w:kern w:val="0"/>
                <w:szCs w:val="21"/>
              </w:rPr>
              <w:t>开标时间、</w:t>
            </w:r>
          </w:p>
          <w:p>
            <w:pPr>
              <w:keepNext/>
              <w:widowControl/>
              <w:jc w:val="distribute"/>
              <w:rPr>
                <w:rFonts w:hint="eastAsia" w:ascii="黑体" w:eastAsia="黑体" w:cs="黑体"/>
                <w:kern w:val="0"/>
                <w:szCs w:val="21"/>
              </w:rPr>
            </w:pPr>
            <w:r>
              <w:rPr>
                <w:rFonts w:hint="eastAsia" w:ascii="黑体" w:eastAsia="黑体" w:cs="黑体"/>
                <w:kern w:val="0"/>
                <w:szCs w:val="21"/>
              </w:rPr>
              <w:t>地点</w:t>
            </w:r>
          </w:p>
        </w:tc>
        <w:tc>
          <w:tcPr>
            <w:tcW w:w="6857" w:type="dxa"/>
            <w:vAlign w:val="center"/>
          </w:tcPr>
          <w:p>
            <w:pPr>
              <w:keepNext/>
              <w:widowControl/>
              <w:jc w:val="left"/>
              <w:rPr>
                <w:rFonts w:ascii="宋体" w:cs="宋体"/>
                <w:color w:val="000000"/>
                <w:szCs w:val="21"/>
              </w:rPr>
            </w:pPr>
            <w:r>
              <w:rPr>
                <w:rFonts w:hint="eastAsia" w:ascii="宋体" w:cs="宋体"/>
                <w:color w:val="000000"/>
                <w:szCs w:val="21"/>
              </w:rPr>
              <w:t>时间：2022年</w:t>
            </w:r>
            <w:r>
              <w:rPr>
                <w:rFonts w:hint="eastAsia" w:ascii="宋体" w:cs="宋体"/>
                <w:color w:val="000000"/>
                <w:szCs w:val="21"/>
                <w:lang w:val="en-US" w:eastAsia="zh-CN"/>
              </w:rPr>
              <w:t>6</w:t>
            </w:r>
            <w:r>
              <w:rPr>
                <w:rFonts w:hint="eastAsia" w:ascii="宋体" w:cs="宋体"/>
                <w:color w:val="000000"/>
                <w:szCs w:val="21"/>
              </w:rPr>
              <w:t xml:space="preserve">月 </w:t>
            </w:r>
            <w:r>
              <w:rPr>
                <w:rFonts w:hint="eastAsia" w:ascii="宋体" w:cs="宋体"/>
                <w:color w:val="000000"/>
                <w:szCs w:val="21"/>
                <w:lang w:val="en-US" w:eastAsia="zh-CN"/>
              </w:rPr>
              <w:t>27</w:t>
            </w:r>
            <w:r>
              <w:rPr>
                <w:rFonts w:hint="eastAsia" w:ascii="宋体" w:cs="宋体"/>
                <w:color w:val="000000"/>
                <w:szCs w:val="21"/>
              </w:rPr>
              <w:t>日11:00（北京时间）</w:t>
            </w:r>
          </w:p>
          <w:p>
            <w:pPr>
              <w:keepNext/>
              <w:widowControl/>
              <w:jc w:val="left"/>
              <w:rPr>
                <w:rFonts w:ascii="宋体" w:cs="宋体"/>
                <w:kern w:val="0"/>
                <w:szCs w:val="21"/>
              </w:rPr>
            </w:pPr>
            <w:r>
              <w:rPr>
                <w:rFonts w:hint="eastAsia" w:ascii="宋体" w:cs="宋体"/>
                <w:kern w:val="0"/>
                <w:szCs w:val="21"/>
              </w:rPr>
              <w:t>地点：乌鲁木齐市米东区中颐北路乾和家园F区F14号楼1-3单元303室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vAlign w:val="center"/>
          </w:tcPr>
          <w:p>
            <w:pPr>
              <w:jc w:val="center"/>
              <w:rPr>
                <w:rFonts w:hint="default" w:ascii="宋体" w:eastAsia="宋体"/>
                <w:kern w:val="0"/>
                <w:szCs w:val="21"/>
                <w:lang w:val="en-US" w:eastAsia="zh-CN"/>
              </w:rPr>
            </w:pPr>
            <w:r>
              <w:rPr>
                <w:rFonts w:hint="eastAsia" w:ascii="宋体"/>
                <w:kern w:val="0"/>
                <w:szCs w:val="21"/>
                <w:lang w:val="en-US" w:eastAsia="zh-CN"/>
              </w:rPr>
              <w:t>19</w:t>
            </w:r>
          </w:p>
        </w:tc>
        <w:tc>
          <w:tcPr>
            <w:tcW w:w="1410" w:type="dxa"/>
            <w:vAlign w:val="center"/>
          </w:tcPr>
          <w:p>
            <w:pPr>
              <w:keepNext/>
              <w:widowControl/>
              <w:jc w:val="distribute"/>
              <w:rPr>
                <w:rFonts w:ascii="黑体" w:eastAsia="黑体" w:cs="黑体"/>
                <w:kern w:val="0"/>
                <w:szCs w:val="21"/>
              </w:rPr>
            </w:pPr>
            <w:r>
              <w:rPr>
                <w:rFonts w:hint="eastAsia" w:ascii="黑体" w:eastAsia="黑体" w:cs="黑体"/>
                <w:kern w:val="0"/>
                <w:szCs w:val="21"/>
              </w:rPr>
              <w:t>投标文件份数</w:t>
            </w:r>
          </w:p>
        </w:tc>
        <w:tc>
          <w:tcPr>
            <w:tcW w:w="6857" w:type="dxa"/>
            <w:vAlign w:val="center"/>
          </w:tcPr>
          <w:p>
            <w:pPr>
              <w:keepNext/>
              <w:widowControl/>
              <w:jc w:val="left"/>
              <w:rPr>
                <w:rFonts w:hint="eastAsia" w:ascii="宋体" w:cs="宋体"/>
                <w:color w:val="000000"/>
                <w:szCs w:val="21"/>
              </w:rPr>
            </w:pPr>
            <w:r>
              <w:rPr>
                <w:rFonts w:hint="eastAsia" w:ascii="宋体" w:cs="宋体"/>
                <w:color w:val="000000"/>
                <w:szCs w:val="21"/>
              </w:rPr>
              <w:t>投标响应性文件必须提交纸质版与电子版。</w:t>
            </w:r>
          </w:p>
          <w:p>
            <w:pPr>
              <w:jc w:val="left"/>
              <w:rPr>
                <w:rFonts w:ascii="宋体" w:cs="宋体"/>
                <w:b/>
                <w:bCs/>
                <w:kern w:val="0"/>
                <w:szCs w:val="21"/>
              </w:rPr>
            </w:pPr>
            <w:r>
              <w:rPr>
                <w:rFonts w:hint="eastAsia" w:ascii="宋体" w:cs="宋体"/>
                <w:b/>
                <w:bCs/>
                <w:color w:val="000000"/>
                <w:szCs w:val="21"/>
                <w:lang w:val="en-US" w:eastAsia="zh-CN"/>
              </w:rPr>
              <w:t>1、</w:t>
            </w:r>
            <w:r>
              <w:rPr>
                <w:rFonts w:hint="eastAsia" w:ascii="宋体" w:cs="宋体"/>
                <w:b/>
                <w:bCs/>
                <w:kern w:val="0"/>
                <w:szCs w:val="21"/>
              </w:rPr>
              <w:t>正本纸质版文件：正本</w:t>
            </w:r>
            <w:r>
              <w:rPr>
                <w:rFonts w:hint="eastAsia" w:ascii="宋体" w:cs="宋体"/>
                <w:b/>
                <w:bCs/>
                <w:kern w:val="0"/>
                <w:szCs w:val="21"/>
                <w:u w:val="single"/>
              </w:rPr>
              <w:t>1</w:t>
            </w:r>
            <w:r>
              <w:rPr>
                <w:rFonts w:hint="eastAsia" w:ascii="宋体" w:cs="宋体"/>
                <w:b/>
                <w:bCs/>
                <w:kern w:val="0"/>
                <w:szCs w:val="21"/>
              </w:rPr>
              <w:t>份，副本</w:t>
            </w:r>
            <w:r>
              <w:rPr>
                <w:rFonts w:hint="eastAsia" w:ascii="宋体" w:cs="宋体"/>
                <w:b/>
                <w:bCs/>
                <w:kern w:val="0"/>
                <w:szCs w:val="21"/>
                <w:u w:val="single"/>
              </w:rPr>
              <w:t xml:space="preserve"> 4 </w:t>
            </w:r>
            <w:r>
              <w:rPr>
                <w:rFonts w:hint="eastAsia" w:ascii="宋体" w:cs="宋体"/>
                <w:b/>
                <w:bCs/>
                <w:kern w:val="0"/>
                <w:szCs w:val="21"/>
              </w:rPr>
              <w:t>份，正、副本一起封装；</w:t>
            </w:r>
          </w:p>
          <w:p>
            <w:pPr>
              <w:jc w:val="left"/>
              <w:rPr>
                <w:rFonts w:ascii="宋体" w:cs="宋体"/>
                <w:b/>
                <w:bCs/>
                <w:kern w:val="0"/>
                <w:szCs w:val="21"/>
              </w:rPr>
            </w:pPr>
            <w:r>
              <w:rPr>
                <w:rFonts w:hint="eastAsia" w:ascii="宋体" w:cs="宋体"/>
                <w:b/>
                <w:bCs/>
                <w:kern w:val="0"/>
                <w:szCs w:val="21"/>
                <w:lang w:val="en-US" w:eastAsia="zh-CN"/>
              </w:rPr>
              <w:t>2、</w:t>
            </w:r>
            <w:r>
              <w:rPr>
                <w:rFonts w:hint="eastAsia" w:ascii="宋体" w:cs="宋体"/>
                <w:b/>
                <w:bCs/>
                <w:kern w:val="0"/>
                <w:szCs w:val="21"/>
              </w:rPr>
              <w:t>电子版文件：</w:t>
            </w:r>
            <w:r>
              <w:rPr>
                <w:rFonts w:hint="eastAsia" w:ascii="宋体" w:cs="宋体"/>
                <w:b/>
                <w:bCs/>
                <w:kern w:val="0"/>
                <w:szCs w:val="21"/>
                <w:u w:val="single"/>
              </w:rPr>
              <w:t>1</w:t>
            </w:r>
            <w:r>
              <w:rPr>
                <w:rFonts w:hint="eastAsia" w:ascii="宋体" w:cs="宋体"/>
                <w:b/>
                <w:bCs/>
                <w:kern w:val="0"/>
                <w:szCs w:val="21"/>
              </w:rPr>
              <w:t xml:space="preserve">份，以U盘形式递交，文件格式为正本签署并加盖公章扫描后的PDF文件和Word可编辑格式，U盘内不得附带任何与本次招标无关内容，与开标一览表（报价表）一起封装； </w:t>
            </w:r>
          </w:p>
          <w:p>
            <w:pPr>
              <w:jc w:val="left"/>
              <w:rPr>
                <w:rFonts w:ascii="宋体" w:cs="宋体"/>
                <w:b/>
                <w:bCs/>
                <w:kern w:val="0"/>
                <w:szCs w:val="21"/>
              </w:rPr>
            </w:pPr>
            <w:r>
              <w:rPr>
                <w:rFonts w:hint="eastAsia" w:ascii="宋体" w:cs="宋体"/>
                <w:b/>
                <w:bCs/>
                <w:kern w:val="0"/>
                <w:szCs w:val="21"/>
                <w:lang w:val="en-US" w:eastAsia="zh-CN"/>
              </w:rPr>
              <w:t>3、</w:t>
            </w:r>
            <w:r>
              <w:rPr>
                <w:rFonts w:hint="eastAsia" w:ascii="宋体" w:cs="宋体"/>
                <w:b/>
                <w:bCs/>
                <w:kern w:val="0"/>
                <w:szCs w:val="21"/>
              </w:rPr>
              <w:t>开标一览表（报价表）：</w:t>
            </w:r>
            <w:r>
              <w:rPr>
                <w:rFonts w:hint="eastAsia" w:ascii="宋体" w:cs="宋体"/>
                <w:b/>
                <w:bCs/>
                <w:kern w:val="0"/>
                <w:szCs w:val="21"/>
                <w:u w:val="single"/>
              </w:rPr>
              <w:t>1</w:t>
            </w:r>
            <w:r>
              <w:rPr>
                <w:rFonts w:hint="eastAsia" w:ascii="宋体" w:cs="宋体"/>
                <w:b/>
                <w:bCs/>
                <w:kern w:val="0"/>
                <w:szCs w:val="21"/>
              </w:rPr>
              <w:t xml:space="preserve">份，与含电子版文件的U盘一起封装； </w:t>
            </w:r>
          </w:p>
          <w:p>
            <w:pPr>
              <w:keepNext/>
              <w:widowControl/>
              <w:jc w:val="left"/>
              <w:rPr>
                <w:rFonts w:ascii="宋体" w:cs="宋体"/>
                <w:b/>
                <w:bCs/>
                <w:color w:val="FF0000"/>
                <w:kern w:val="0"/>
                <w:szCs w:val="21"/>
              </w:rPr>
            </w:pPr>
            <w:r>
              <w:rPr>
                <w:rFonts w:hint="eastAsia" w:ascii="宋体" w:cs="宋体"/>
                <w:b/>
                <w:bCs/>
                <w:kern w:val="0"/>
                <w:szCs w:val="21"/>
                <w:lang w:val="en-US" w:eastAsia="zh-CN"/>
              </w:rPr>
              <w:t>4、</w:t>
            </w:r>
            <w:r>
              <w:rPr>
                <w:rFonts w:hint="eastAsia" w:ascii="宋体" w:cs="宋体"/>
                <w:b/>
                <w:bCs/>
                <w:kern w:val="0"/>
                <w:szCs w:val="21"/>
              </w:rPr>
              <w:t>如不满足以上要求，投标响应文件无效。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vAlign w:val="center"/>
          </w:tcPr>
          <w:p>
            <w:pPr>
              <w:jc w:val="center"/>
              <w:rPr>
                <w:rFonts w:hint="default" w:ascii="宋体"/>
                <w:kern w:val="0"/>
                <w:szCs w:val="21"/>
                <w:lang w:val="en-US" w:eastAsia="zh-CN"/>
              </w:rPr>
            </w:pPr>
            <w:r>
              <w:rPr>
                <w:rFonts w:hint="eastAsia" w:ascii="宋体"/>
                <w:kern w:val="0"/>
                <w:szCs w:val="21"/>
                <w:lang w:val="en-US" w:eastAsia="zh-CN"/>
              </w:rPr>
              <w:t>20</w:t>
            </w:r>
          </w:p>
        </w:tc>
        <w:tc>
          <w:tcPr>
            <w:tcW w:w="1410" w:type="dxa"/>
            <w:vAlign w:val="center"/>
          </w:tcPr>
          <w:p>
            <w:pPr>
              <w:keepNext/>
              <w:widowControl/>
              <w:jc w:val="distribute"/>
              <w:rPr>
                <w:rFonts w:hint="eastAsia" w:ascii="黑体" w:eastAsia="黑体" w:cs="黑体"/>
                <w:kern w:val="0"/>
                <w:szCs w:val="21"/>
              </w:rPr>
            </w:pPr>
            <w:r>
              <w:rPr>
                <w:rFonts w:hint="eastAsia" w:ascii="黑体" w:eastAsia="黑体" w:cs="黑体"/>
                <w:kern w:val="0"/>
                <w:szCs w:val="21"/>
              </w:rPr>
              <w:t>投标（响应）文件密封</w:t>
            </w:r>
          </w:p>
        </w:tc>
        <w:tc>
          <w:tcPr>
            <w:tcW w:w="6857" w:type="dxa"/>
            <w:vAlign w:val="center"/>
          </w:tcPr>
          <w:p>
            <w:pPr>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1、投标人必须按招标（采购）文件内容规定内容制作响应文件，正</w:t>
            </w:r>
            <w:r>
              <w:rPr>
                <w:rFonts w:hint="eastAsia" w:asciiTheme="minorEastAsia" w:hAnsiTheme="minorEastAsia" w:eastAsiaTheme="minorEastAsia" w:cstheme="minorEastAsia"/>
                <w:kern w:val="0"/>
                <w:szCs w:val="21"/>
                <w:lang w:eastAsia="zh-CN"/>
              </w:rPr>
              <w:t>、</w:t>
            </w:r>
            <w:r>
              <w:rPr>
                <w:rFonts w:hint="eastAsia" w:asciiTheme="minorEastAsia" w:hAnsiTheme="minorEastAsia" w:eastAsiaTheme="minorEastAsia" w:cstheme="minorEastAsia"/>
                <w:kern w:val="0"/>
                <w:szCs w:val="21"/>
              </w:rPr>
              <w:t xml:space="preserve">副本及投标（响应）文件正本扫描件（签字盖章后）U盘可密封在同一投标（响应）文件袋中。密封袋封口处加盖单位公章，并注明“开标时启封”等字样。 </w:t>
            </w:r>
          </w:p>
          <w:p>
            <w:pPr>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w:t>
            </w:r>
            <w:r>
              <w:rPr>
                <w:rFonts w:hint="eastAsia" w:asciiTheme="minorEastAsia" w:hAnsiTheme="minorEastAsia" w:eastAsiaTheme="minorEastAsia" w:cstheme="minorEastAsia"/>
                <w:b/>
                <w:bCs/>
                <w:kern w:val="0"/>
                <w:szCs w:val="21"/>
              </w:rPr>
              <w:t>投标人必须按招标（采购）文件规定制作“</w:t>
            </w:r>
            <w:r>
              <w:rPr>
                <w:rFonts w:hint="eastAsia" w:asciiTheme="minorEastAsia" w:hAnsiTheme="minorEastAsia" w:eastAsiaTheme="minorEastAsia" w:cstheme="minorEastAsia"/>
                <w:b/>
                <w:bCs/>
                <w:kern w:val="0"/>
                <w:szCs w:val="21"/>
                <w:lang w:val="en-US" w:eastAsia="zh-CN"/>
              </w:rPr>
              <w:t>开标一览</w:t>
            </w:r>
            <w:r>
              <w:rPr>
                <w:rFonts w:hint="eastAsia" w:asciiTheme="minorEastAsia" w:hAnsiTheme="minorEastAsia" w:eastAsiaTheme="minorEastAsia" w:cstheme="minorEastAsia"/>
                <w:b/>
                <w:bCs/>
                <w:kern w:val="0"/>
                <w:szCs w:val="21"/>
              </w:rPr>
              <w:t>表”并单独密封提交，</w:t>
            </w:r>
            <w:r>
              <w:rPr>
                <w:rFonts w:hint="eastAsia" w:asciiTheme="minorEastAsia" w:hAnsiTheme="minorEastAsia" w:eastAsiaTheme="minorEastAsia" w:cstheme="minorEastAsia"/>
                <w:kern w:val="0"/>
                <w:szCs w:val="21"/>
              </w:rPr>
              <w:t>并在信封上标明“</w:t>
            </w:r>
            <w:r>
              <w:rPr>
                <w:rFonts w:hint="eastAsia" w:asciiTheme="minorEastAsia" w:hAnsiTheme="minorEastAsia" w:eastAsiaTheme="minorEastAsia" w:cstheme="minorEastAsia"/>
                <w:kern w:val="0"/>
                <w:szCs w:val="21"/>
                <w:lang w:val="en-US" w:eastAsia="zh-CN"/>
              </w:rPr>
              <w:t>开标一览</w:t>
            </w:r>
            <w:r>
              <w:rPr>
                <w:rFonts w:hint="eastAsia" w:asciiTheme="minorEastAsia" w:hAnsiTheme="minorEastAsia" w:eastAsiaTheme="minorEastAsia" w:cstheme="minorEastAsia"/>
                <w:kern w:val="0"/>
                <w:szCs w:val="21"/>
              </w:rPr>
              <w:t>表”的字样。不单独提交</w:t>
            </w:r>
            <w:r>
              <w:rPr>
                <w:rFonts w:hint="eastAsia" w:asciiTheme="minorEastAsia" w:hAnsiTheme="minorEastAsia" w:eastAsiaTheme="minorEastAsia" w:cstheme="minorEastAsia"/>
                <w:kern w:val="0"/>
                <w:szCs w:val="21"/>
                <w:lang w:val="en-US" w:eastAsia="zh-CN"/>
              </w:rPr>
              <w:t>开标一览</w:t>
            </w:r>
            <w:r>
              <w:rPr>
                <w:rFonts w:hint="eastAsia" w:asciiTheme="minorEastAsia" w:hAnsiTheme="minorEastAsia" w:eastAsiaTheme="minorEastAsia" w:cstheme="minorEastAsia"/>
                <w:kern w:val="0"/>
                <w:szCs w:val="21"/>
              </w:rPr>
              <w:t>表的，其投标将被拒绝。</w:t>
            </w:r>
          </w:p>
          <w:p>
            <w:pPr>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3、文件袋和《</w:t>
            </w:r>
            <w:r>
              <w:rPr>
                <w:rFonts w:hint="eastAsia" w:asciiTheme="minorEastAsia" w:hAnsiTheme="minorEastAsia" w:eastAsiaTheme="minorEastAsia" w:cstheme="minorEastAsia"/>
                <w:kern w:val="0"/>
                <w:szCs w:val="21"/>
                <w:lang w:val="en-US" w:eastAsia="zh-CN"/>
              </w:rPr>
              <w:t>开标一览</w:t>
            </w:r>
            <w:r>
              <w:rPr>
                <w:rFonts w:hint="eastAsia" w:asciiTheme="minorEastAsia" w:hAnsiTheme="minorEastAsia" w:eastAsiaTheme="minorEastAsia" w:cstheme="minorEastAsia"/>
                <w:kern w:val="0"/>
                <w:szCs w:val="21"/>
              </w:rPr>
              <w:t>表》袋上应写明：</w:t>
            </w:r>
          </w:p>
          <w:p>
            <w:pPr>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投标单位名称：                                </w:t>
            </w:r>
          </w:p>
          <w:p>
            <w:pPr>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项目名称：</w:t>
            </w:r>
          </w:p>
          <w:p>
            <w:pPr>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项目编号：</w:t>
            </w:r>
          </w:p>
          <w:p>
            <w:pPr>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备注：注明“开标时才能启封”字样等。</w:t>
            </w:r>
          </w:p>
          <w:p>
            <w:pPr>
              <w:jc w:val="left"/>
              <w:rPr>
                <w:rFonts w:hint="eastAsia" w:ascii="宋体" w:cs="宋体"/>
                <w:b/>
                <w:bCs/>
                <w:kern w:val="0"/>
                <w:szCs w:val="21"/>
                <w:lang w:val="en-US" w:eastAsia="zh-CN"/>
              </w:rPr>
            </w:pPr>
            <w:r>
              <w:rPr>
                <w:rFonts w:hint="eastAsia" w:asciiTheme="minorEastAsia" w:hAnsiTheme="minorEastAsia" w:eastAsiaTheme="minorEastAsia" w:cstheme="minorEastAsia"/>
                <w:kern w:val="0"/>
                <w:szCs w:val="21"/>
              </w:rPr>
              <w:t>投标（响应）文件正副本、U盘请载明项目名称、项目编号、公司名称，U盘与投标（响应）文件恕不退还。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vAlign w:val="center"/>
          </w:tcPr>
          <w:p>
            <w:pPr>
              <w:jc w:val="center"/>
              <w:rPr>
                <w:rFonts w:hint="default" w:ascii="宋体"/>
                <w:kern w:val="0"/>
                <w:szCs w:val="21"/>
                <w:lang w:val="en-US" w:eastAsia="zh-CN"/>
              </w:rPr>
            </w:pPr>
            <w:r>
              <w:rPr>
                <w:rFonts w:hint="eastAsia" w:ascii="宋体"/>
                <w:kern w:val="0"/>
                <w:szCs w:val="21"/>
                <w:lang w:val="en-US" w:eastAsia="zh-CN"/>
              </w:rPr>
              <w:t>21</w:t>
            </w:r>
          </w:p>
        </w:tc>
        <w:tc>
          <w:tcPr>
            <w:tcW w:w="1410" w:type="dxa"/>
            <w:vAlign w:val="center"/>
          </w:tcPr>
          <w:p>
            <w:pPr>
              <w:keepNext/>
              <w:widowControl/>
              <w:jc w:val="distribute"/>
              <w:rPr>
                <w:rFonts w:hint="eastAsia" w:ascii="黑体" w:eastAsia="黑体" w:cs="黑体"/>
                <w:kern w:val="0"/>
                <w:szCs w:val="21"/>
              </w:rPr>
            </w:pPr>
            <w:r>
              <w:rPr>
                <w:rFonts w:hint="eastAsia" w:ascii="黑体" w:eastAsia="黑体" w:cs="黑体"/>
                <w:kern w:val="0"/>
                <w:szCs w:val="21"/>
              </w:rPr>
              <w:t>投标（响应）文件的</w:t>
            </w:r>
          </w:p>
          <w:p>
            <w:pPr>
              <w:keepNext/>
              <w:widowControl/>
              <w:jc w:val="distribute"/>
              <w:rPr>
                <w:rFonts w:hint="eastAsia" w:ascii="黑体" w:eastAsia="黑体" w:cs="黑体"/>
                <w:kern w:val="0"/>
                <w:szCs w:val="21"/>
              </w:rPr>
            </w:pPr>
            <w:r>
              <w:rPr>
                <w:rFonts w:hint="eastAsia" w:ascii="黑体" w:eastAsia="黑体" w:cs="黑体"/>
                <w:kern w:val="0"/>
                <w:szCs w:val="21"/>
              </w:rPr>
              <w:t>签署规定</w:t>
            </w:r>
          </w:p>
        </w:tc>
        <w:tc>
          <w:tcPr>
            <w:tcW w:w="6857" w:type="dxa"/>
            <w:vAlign w:val="center"/>
          </w:tcPr>
          <w:p>
            <w:pPr>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1、投标（响应）文件的页面必须用印刷体打印。</w:t>
            </w:r>
          </w:p>
          <w:p>
            <w:pPr>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2、投标（响应）文件应清楚工整，一般不准修改。个别非实质性修改之处必须由投标人的法定代表人（负责人）或经其正式授权的代表在修改的每一页上签字或盖投标单位公章后才有效。</w:t>
            </w:r>
          </w:p>
          <w:p>
            <w:pPr>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3、投标（响应）文件应由法定代表人或法人授权代表在规定的签章处逐一签署或加盖单位公章，投标（响应）文件方为有效。</w:t>
            </w:r>
          </w:p>
          <w:p>
            <w:pPr>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4、投标（响应）文件需编好始末页码,如不按要求签署编制的造成的后果由投标人自行负责。</w:t>
            </w:r>
          </w:p>
          <w:p>
            <w:pPr>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5、所有投标（响应）文件必须提交正本一份和副本三份（如不满足将拒绝其投标），并在封面上标记“正本”或“副本”。</w:t>
            </w:r>
          </w:p>
          <w:p>
            <w:pPr>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6、投标（响应）文件的正本与副本应当完全一致。当正本和副本之间出现差异时，以正本为准。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vAlign w:val="center"/>
          </w:tcPr>
          <w:p>
            <w:pPr>
              <w:jc w:val="center"/>
              <w:rPr>
                <w:rFonts w:hint="default" w:ascii="宋体"/>
                <w:kern w:val="0"/>
                <w:szCs w:val="21"/>
                <w:lang w:val="en-US" w:eastAsia="zh-CN"/>
              </w:rPr>
            </w:pPr>
            <w:r>
              <w:rPr>
                <w:rFonts w:hint="eastAsia" w:ascii="宋体"/>
                <w:kern w:val="0"/>
                <w:szCs w:val="21"/>
                <w:lang w:val="en-US" w:eastAsia="zh-CN"/>
              </w:rPr>
              <w:t>22</w:t>
            </w:r>
          </w:p>
        </w:tc>
        <w:tc>
          <w:tcPr>
            <w:tcW w:w="1410" w:type="dxa"/>
            <w:vAlign w:val="center"/>
          </w:tcPr>
          <w:p>
            <w:pPr>
              <w:keepNext/>
              <w:widowControl/>
              <w:jc w:val="distribute"/>
              <w:rPr>
                <w:rFonts w:hint="eastAsia" w:ascii="黑体" w:eastAsia="黑体" w:cs="黑体"/>
                <w:kern w:val="0"/>
                <w:szCs w:val="21"/>
              </w:rPr>
            </w:pPr>
            <w:r>
              <w:rPr>
                <w:rFonts w:hint="eastAsia" w:ascii="黑体" w:eastAsia="黑体" w:cs="黑体"/>
                <w:kern w:val="0"/>
                <w:szCs w:val="21"/>
              </w:rPr>
              <w:t>投标（响应）文件格式</w:t>
            </w:r>
          </w:p>
        </w:tc>
        <w:tc>
          <w:tcPr>
            <w:tcW w:w="6857" w:type="dxa"/>
            <w:vAlign w:val="center"/>
          </w:tcPr>
          <w:p>
            <w:pPr>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1、投标人应按招标（采购）文件提供的范本格式认真填写投标（响应）文件、磋商响应报价表。</w:t>
            </w:r>
          </w:p>
          <w:p>
            <w:pPr>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2、投标人应严格按招标（采购）文件的格式要求及附件向招标公司提交投标（响应）文件，否则视为不响应招标（采购）文件要求，如招标（采购）文件没有提供格式的，投标人可自行设置。</w:t>
            </w:r>
          </w:p>
          <w:p>
            <w:pPr>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3、投标人应将投标（响应）文件按规定的顺序编排、并应编制目录、逐页标注连续页码，必须采用胶装，不得采用活页装订，否则视为无效投标（响应）文件。</w:t>
            </w:r>
          </w:p>
          <w:p>
            <w:pPr>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4、电报、电话、传真、电子邮件等形式的投标概不接受。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vAlign w:val="center"/>
          </w:tcPr>
          <w:p>
            <w:pPr>
              <w:jc w:val="center"/>
              <w:rPr>
                <w:rFonts w:hint="default" w:ascii="宋体"/>
                <w:kern w:val="0"/>
                <w:szCs w:val="21"/>
                <w:lang w:val="en-US" w:eastAsia="zh-CN"/>
              </w:rPr>
            </w:pPr>
            <w:r>
              <w:rPr>
                <w:rFonts w:hint="eastAsia" w:ascii="宋体"/>
                <w:kern w:val="0"/>
                <w:szCs w:val="21"/>
                <w:lang w:val="en-US" w:eastAsia="zh-CN"/>
              </w:rPr>
              <w:t>23</w:t>
            </w:r>
          </w:p>
        </w:tc>
        <w:tc>
          <w:tcPr>
            <w:tcW w:w="1410" w:type="dxa"/>
            <w:vAlign w:val="center"/>
          </w:tcPr>
          <w:p>
            <w:pPr>
              <w:widowControl/>
              <w:jc w:val="center"/>
              <w:rPr>
                <w:rFonts w:hint="eastAsia" w:ascii="黑体" w:eastAsia="黑体" w:cs="黑体"/>
                <w:kern w:val="0"/>
                <w:szCs w:val="21"/>
              </w:rPr>
            </w:pPr>
            <w:r>
              <w:rPr>
                <w:rFonts w:hint="eastAsia" w:ascii="黑体" w:eastAsia="黑体" w:cs="黑体"/>
                <w:kern w:val="0"/>
                <w:szCs w:val="21"/>
              </w:rPr>
              <w:t>评标办法</w:t>
            </w:r>
          </w:p>
        </w:tc>
        <w:tc>
          <w:tcPr>
            <w:tcW w:w="6857" w:type="dxa"/>
            <w:vAlign w:val="center"/>
          </w:tcPr>
          <w:p>
            <w:pPr>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sym w:font="Wingdings" w:char="00FE"/>
            </w:r>
            <w:r>
              <w:rPr>
                <w:rFonts w:hint="eastAsia" w:asciiTheme="minorEastAsia" w:hAnsiTheme="minorEastAsia" w:eastAsiaTheme="minorEastAsia" w:cstheme="minorEastAsia"/>
                <w:kern w:val="0"/>
                <w:szCs w:val="21"/>
              </w:rPr>
              <w:t>综合评分法</w:t>
            </w:r>
          </w:p>
          <w:p>
            <w:pPr>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sym w:font="Wingdings" w:char="00A8"/>
            </w:r>
            <w:r>
              <w:rPr>
                <w:rFonts w:hint="eastAsia" w:asciiTheme="minorEastAsia" w:hAnsiTheme="minorEastAsia" w:eastAsiaTheme="minorEastAsia" w:cstheme="minorEastAsia"/>
                <w:kern w:val="0"/>
                <w:szCs w:val="21"/>
              </w:rPr>
              <w:t xml:space="preserve">最低评标价法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vAlign w:val="center"/>
          </w:tcPr>
          <w:p>
            <w:pPr>
              <w:jc w:val="center"/>
              <w:rPr>
                <w:rFonts w:hint="default" w:ascii="宋体"/>
                <w:kern w:val="0"/>
                <w:szCs w:val="21"/>
                <w:lang w:val="en-US" w:eastAsia="zh-CN"/>
              </w:rPr>
            </w:pPr>
            <w:r>
              <w:rPr>
                <w:rFonts w:hint="eastAsia" w:ascii="宋体"/>
                <w:kern w:val="0"/>
                <w:szCs w:val="21"/>
                <w:lang w:val="en-US" w:eastAsia="zh-CN"/>
              </w:rPr>
              <w:t>24</w:t>
            </w:r>
          </w:p>
        </w:tc>
        <w:tc>
          <w:tcPr>
            <w:tcW w:w="1410" w:type="dxa"/>
            <w:vAlign w:val="center"/>
          </w:tcPr>
          <w:p>
            <w:pPr>
              <w:widowControl/>
              <w:jc w:val="center"/>
              <w:rPr>
                <w:rFonts w:hint="eastAsia" w:ascii="黑体" w:eastAsia="黑体" w:cs="黑体"/>
                <w:kern w:val="0"/>
                <w:szCs w:val="21"/>
              </w:rPr>
            </w:pPr>
            <w:r>
              <w:rPr>
                <w:rFonts w:hint="eastAsia" w:ascii="黑体" w:eastAsia="黑体" w:cs="黑体"/>
                <w:kern w:val="0"/>
                <w:szCs w:val="21"/>
              </w:rPr>
              <w:t>履约保证金</w:t>
            </w:r>
          </w:p>
        </w:tc>
        <w:tc>
          <w:tcPr>
            <w:tcW w:w="6857" w:type="dxa"/>
            <w:vAlign w:val="center"/>
          </w:tcPr>
          <w:p>
            <w:pPr>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sym w:font="Wingdings" w:char="00A8"/>
            </w:r>
            <w:r>
              <w:rPr>
                <w:rFonts w:hint="eastAsia" w:asciiTheme="minorEastAsia" w:hAnsiTheme="minorEastAsia" w:eastAsiaTheme="minorEastAsia" w:cstheme="minorEastAsia"/>
                <w:kern w:val="0"/>
                <w:szCs w:val="21"/>
              </w:rPr>
              <w:t>本项目不收取履约保证金</w:t>
            </w:r>
          </w:p>
          <w:p>
            <w:pPr>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sym w:font="Wingdings" w:char="00FE"/>
            </w:r>
            <w:r>
              <w:rPr>
                <w:rFonts w:hint="eastAsia" w:asciiTheme="minorEastAsia" w:hAnsiTheme="minorEastAsia" w:eastAsiaTheme="minorEastAsia" w:cstheme="minorEastAsia"/>
                <w:kern w:val="0"/>
                <w:szCs w:val="21"/>
              </w:rPr>
              <w:t>本项目收取履约保证金</w:t>
            </w:r>
          </w:p>
          <w:p>
            <w:pPr>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履约保证金金额： 政府采购合同金额的10%为履约保证金（如有调整，以采购人意见为准）    </w:t>
            </w:r>
          </w:p>
          <w:p>
            <w:pPr>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履约保证金递交时间：       按采购人要求执行     </w:t>
            </w:r>
          </w:p>
          <w:p>
            <w:pPr>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履约保证金递交方式：       按采购人要求执行      </w:t>
            </w:r>
          </w:p>
          <w:p>
            <w:pPr>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履约保证金退还时间及规定： 按采购人要求执行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vAlign w:val="center"/>
          </w:tcPr>
          <w:p>
            <w:pPr>
              <w:jc w:val="center"/>
              <w:rPr>
                <w:rFonts w:hint="default" w:ascii="宋体" w:eastAsia="宋体"/>
                <w:kern w:val="0"/>
                <w:szCs w:val="21"/>
                <w:lang w:val="en-US" w:eastAsia="zh-CN"/>
              </w:rPr>
            </w:pPr>
            <w:r>
              <w:rPr>
                <w:rFonts w:hint="eastAsia" w:ascii="宋体"/>
                <w:kern w:val="0"/>
                <w:szCs w:val="21"/>
                <w:lang w:val="en-US" w:eastAsia="zh-CN"/>
              </w:rPr>
              <w:t>25</w:t>
            </w:r>
          </w:p>
        </w:tc>
        <w:tc>
          <w:tcPr>
            <w:tcW w:w="1410" w:type="dxa"/>
            <w:vAlign w:val="center"/>
          </w:tcPr>
          <w:p>
            <w:pPr>
              <w:keepNext/>
              <w:widowControl/>
              <w:jc w:val="distribute"/>
              <w:rPr>
                <w:rFonts w:ascii="黑体" w:eastAsia="黑体" w:cs="黑体"/>
                <w:kern w:val="0"/>
                <w:szCs w:val="21"/>
              </w:rPr>
            </w:pPr>
            <w:r>
              <w:rPr>
                <w:rFonts w:hint="eastAsia" w:ascii="黑体" w:eastAsia="黑体" w:cs="黑体"/>
                <w:kern w:val="0"/>
                <w:szCs w:val="21"/>
              </w:rPr>
              <w:t>投标有效期</w:t>
            </w:r>
          </w:p>
        </w:tc>
        <w:tc>
          <w:tcPr>
            <w:tcW w:w="6857" w:type="dxa"/>
            <w:vAlign w:val="center"/>
          </w:tcPr>
          <w:p>
            <w:pPr>
              <w:jc w:val="left"/>
              <w:rPr>
                <w:rFonts w:hint="default" w:ascii="宋体" w:eastAsia="宋体" w:cs="宋体"/>
                <w:kern w:val="0"/>
                <w:szCs w:val="21"/>
                <w:lang w:val="en-US" w:eastAsia="zh-CN"/>
              </w:rPr>
            </w:pPr>
            <w:r>
              <w:rPr>
                <w:rFonts w:hint="eastAsia" w:ascii="宋体" w:cs="宋体"/>
                <w:kern w:val="0"/>
                <w:szCs w:val="21"/>
              </w:rPr>
              <w:t>自投标截止之日起</w:t>
            </w:r>
            <w:r>
              <w:rPr>
                <w:rFonts w:hint="eastAsia" w:ascii="宋体" w:cs="宋体"/>
                <w:strike w:val="0"/>
                <w:dstrike w:val="0"/>
                <w:color w:val="000000" w:themeColor="text1"/>
                <w:kern w:val="0"/>
                <w:szCs w:val="21"/>
                <w14:textFill>
                  <w14:solidFill>
                    <w14:schemeClr w14:val="tx1"/>
                  </w14:solidFill>
                </w14:textFill>
              </w:rPr>
              <w:t xml:space="preserve"> 90</w:t>
            </w:r>
            <w:r>
              <w:rPr>
                <w:rFonts w:hint="eastAsia" w:ascii="宋体" w:cs="宋体"/>
                <w:kern w:val="0"/>
                <w:szCs w:val="21"/>
              </w:rPr>
              <w:t>个日历日，有效期不满足要求的投标将被视为非实质性响应投标。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vAlign w:val="center"/>
          </w:tcPr>
          <w:p>
            <w:pPr>
              <w:jc w:val="center"/>
              <w:rPr>
                <w:rFonts w:hint="default" w:ascii="宋体" w:eastAsia="宋体"/>
                <w:kern w:val="0"/>
                <w:szCs w:val="21"/>
                <w:lang w:val="en-US" w:eastAsia="zh-CN"/>
              </w:rPr>
            </w:pPr>
            <w:r>
              <w:rPr>
                <w:rFonts w:hint="eastAsia" w:ascii="宋体"/>
                <w:kern w:val="0"/>
                <w:szCs w:val="21"/>
                <w:lang w:val="en-US" w:eastAsia="zh-CN"/>
              </w:rPr>
              <w:t>26</w:t>
            </w:r>
          </w:p>
        </w:tc>
        <w:tc>
          <w:tcPr>
            <w:tcW w:w="1410" w:type="dxa"/>
            <w:vAlign w:val="center"/>
          </w:tcPr>
          <w:p>
            <w:pPr>
              <w:jc w:val="distribute"/>
              <w:rPr>
                <w:rFonts w:ascii="黑体" w:eastAsia="黑体" w:cs="黑体"/>
                <w:kern w:val="0"/>
                <w:szCs w:val="21"/>
              </w:rPr>
            </w:pPr>
            <w:r>
              <w:rPr>
                <w:rFonts w:hint="eastAsia" w:ascii="黑体" w:eastAsia="黑体" w:cs="黑体"/>
                <w:kern w:val="0"/>
                <w:szCs w:val="21"/>
              </w:rPr>
              <w:t>评标委员会</w:t>
            </w:r>
          </w:p>
          <w:p>
            <w:pPr>
              <w:jc w:val="distribute"/>
              <w:rPr>
                <w:rFonts w:ascii="黑体" w:eastAsia="黑体" w:cs="黑体"/>
                <w:kern w:val="0"/>
                <w:szCs w:val="21"/>
              </w:rPr>
            </w:pPr>
            <w:r>
              <w:rPr>
                <w:rFonts w:hint="eastAsia" w:ascii="黑体" w:eastAsia="黑体" w:cs="黑体"/>
                <w:kern w:val="0"/>
                <w:szCs w:val="21"/>
              </w:rPr>
              <w:t>的组建</w:t>
            </w:r>
          </w:p>
        </w:tc>
        <w:tc>
          <w:tcPr>
            <w:tcW w:w="6857" w:type="dxa"/>
            <w:vAlign w:val="center"/>
          </w:tcPr>
          <w:p>
            <w:pPr>
              <w:jc w:val="left"/>
              <w:rPr>
                <w:rFonts w:ascii="宋体" w:cs="宋体"/>
              </w:rPr>
            </w:pPr>
            <w:r>
              <w:rPr>
                <w:rFonts w:hint="eastAsia" w:ascii="宋体" w:cs="宋体"/>
                <w:szCs w:val="21"/>
              </w:rPr>
              <w:t>1</w:t>
            </w:r>
            <w:r>
              <w:rPr>
                <w:rFonts w:hint="eastAsia" w:ascii="宋体" w:cs="宋体"/>
                <w:szCs w:val="21"/>
                <w:lang w:eastAsia="zh-CN"/>
              </w:rPr>
              <w:t>、</w:t>
            </w:r>
            <w:r>
              <w:rPr>
                <w:rFonts w:hint="eastAsia" w:ascii="宋体" w:cs="宋体"/>
                <w:szCs w:val="21"/>
              </w:rPr>
              <w:t>评标委员会由招标人依法组建；</w:t>
            </w:r>
          </w:p>
          <w:p>
            <w:pPr>
              <w:jc w:val="left"/>
              <w:rPr>
                <w:rFonts w:ascii="宋体" w:cs="宋体"/>
                <w:kern w:val="0"/>
                <w:szCs w:val="21"/>
              </w:rPr>
            </w:pPr>
            <w:r>
              <w:rPr>
                <w:rFonts w:hint="eastAsia" w:ascii="宋体" w:cs="宋体"/>
                <w:szCs w:val="21"/>
              </w:rPr>
              <w:t>2</w:t>
            </w:r>
            <w:r>
              <w:rPr>
                <w:rFonts w:hint="eastAsia" w:ascii="宋体" w:cs="宋体"/>
                <w:szCs w:val="21"/>
                <w:lang w:eastAsia="zh-CN"/>
              </w:rPr>
              <w:t>、</w:t>
            </w:r>
            <w:r>
              <w:rPr>
                <w:rFonts w:hint="eastAsia" w:ascii="宋体" w:cs="宋体"/>
                <w:szCs w:val="21"/>
              </w:rPr>
              <w:t>评标专家</w:t>
            </w:r>
            <w:r>
              <w:rPr>
                <w:rFonts w:hint="eastAsia" w:asciiTheme="minorEastAsia" w:hAnsiTheme="minorEastAsia" w:eastAsiaTheme="minorEastAsia" w:cstheme="minorEastAsia"/>
                <w:kern w:val="0"/>
                <w:szCs w:val="21"/>
              </w:rPr>
              <w:t>由采购人的代表和有关技术、经济等方面的专家组成，成员人数为</w:t>
            </w:r>
            <w:r>
              <w:rPr>
                <w:rFonts w:hint="eastAsia" w:asciiTheme="minorEastAsia" w:hAnsiTheme="minorEastAsia" w:eastAsiaTheme="minorEastAsia" w:cstheme="minorEastAsia"/>
                <w:b w:val="0"/>
                <w:bCs w:val="0"/>
                <w:kern w:val="0"/>
                <w:szCs w:val="21"/>
                <w:u w:val="single"/>
              </w:rPr>
              <w:t xml:space="preserve"> 5 </w:t>
            </w:r>
            <w:r>
              <w:rPr>
                <w:rFonts w:hint="eastAsia" w:asciiTheme="minorEastAsia" w:hAnsiTheme="minorEastAsia" w:eastAsiaTheme="minorEastAsia" w:cstheme="minorEastAsia"/>
                <w:kern w:val="0"/>
                <w:szCs w:val="21"/>
              </w:rPr>
              <w:t>人以上单数，其中，技术、经济等方面的专家不得少于成员总数的2/3。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vMerge w:val="restart"/>
            <w:vAlign w:val="center"/>
          </w:tcPr>
          <w:p>
            <w:pPr>
              <w:jc w:val="center"/>
              <w:rPr>
                <w:rFonts w:hint="default" w:ascii="宋体" w:eastAsia="宋体"/>
                <w:kern w:val="0"/>
                <w:szCs w:val="21"/>
                <w:lang w:val="en-US" w:eastAsia="zh-CN"/>
              </w:rPr>
            </w:pPr>
            <w:r>
              <w:rPr>
                <w:rFonts w:hint="eastAsia" w:ascii="宋体"/>
                <w:kern w:val="0"/>
                <w:szCs w:val="21"/>
                <w:lang w:val="en-US" w:eastAsia="zh-CN"/>
              </w:rPr>
              <w:t>27</w:t>
            </w:r>
          </w:p>
        </w:tc>
        <w:tc>
          <w:tcPr>
            <w:tcW w:w="1410" w:type="dxa"/>
            <w:vAlign w:val="center"/>
          </w:tcPr>
          <w:p>
            <w:pPr>
              <w:jc w:val="distribute"/>
              <w:rPr>
                <w:rFonts w:hint="eastAsia" w:ascii="黑体" w:eastAsia="黑体" w:cs="黑体"/>
                <w:kern w:val="0"/>
                <w:szCs w:val="21"/>
                <w:lang w:eastAsia="zh-CN"/>
              </w:rPr>
            </w:pPr>
            <w:r>
              <w:rPr>
                <w:rFonts w:hint="eastAsia" w:ascii="黑体" w:eastAsia="黑体" w:cs="黑体"/>
                <w:kern w:val="0"/>
                <w:szCs w:val="21"/>
              </w:rPr>
              <w:t>中标候选人公示媒</w:t>
            </w:r>
            <w:r>
              <w:rPr>
                <w:rFonts w:hint="eastAsia" w:ascii="黑体" w:eastAsia="黑体" w:cs="黑体"/>
                <w:kern w:val="0"/>
                <w:szCs w:val="21"/>
                <w:lang w:val="en-US" w:eastAsia="zh-CN"/>
              </w:rPr>
              <w:t>体</w:t>
            </w:r>
          </w:p>
        </w:tc>
        <w:tc>
          <w:tcPr>
            <w:tcW w:w="6857" w:type="dxa"/>
            <w:vAlign w:val="center"/>
          </w:tcPr>
          <w:p>
            <w:pPr>
              <w:jc w:val="left"/>
              <w:rPr>
                <w:rFonts w:ascii="宋体" w:cs="宋体"/>
                <w:kern w:val="0"/>
                <w:szCs w:val="21"/>
              </w:rPr>
            </w:pPr>
            <w:r>
              <w:rPr>
                <w:rFonts w:hint="eastAsia" w:ascii="宋体" w:cs="宋体"/>
                <w:kern w:val="0"/>
                <w:szCs w:val="21"/>
              </w:rPr>
              <w:t>新疆政府采购网（http://www.ccgp-xinjiang.gov.cn/</w:t>
            </w:r>
            <w:r>
              <w:rPr>
                <w:rFonts w:ascii="宋体" w:hAnsi="宋体" w:cs="宋体"/>
                <w:szCs w:val="21"/>
              </w:rPr>
              <w:t>home.html</w:t>
            </w:r>
            <w:r>
              <w:rPr>
                <w:rFonts w:hint="eastAsia" w:ascii="宋体" w:cs="宋体"/>
                <w:kern w:val="0"/>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vMerge w:val="continue"/>
            <w:vAlign w:val="center"/>
          </w:tcPr>
          <w:p/>
        </w:tc>
        <w:tc>
          <w:tcPr>
            <w:tcW w:w="1410" w:type="dxa"/>
            <w:vAlign w:val="center"/>
          </w:tcPr>
          <w:p>
            <w:pPr>
              <w:jc w:val="distribute"/>
              <w:rPr>
                <w:rFonts w:ascii="黑体" w:eastAsia="黑体" w:cs="黑体"/>
                <w:kern w:val="0"/>
                <w:szCs w:val="21"/>
              </w:rPr>
            </w:pPr>
            <w:r>
              <w:rPr>
                <w:rFonts w:hint="eastAsia" w:ascii="黑体" w:eastAsia="黑体" w:cs="黑体"/>
                <w:kern w:val="0"/>
                <w:szCs w:val="21"/>
              </w:rPr>
              <w:t>中标候选人</w:t>
            </w:r>
          </w:p>
        </w:tc>
        <w:tc>
          <w:tcPr>
            <w:tcW w:w="6857" w:type="dxa"/>
            <w:vAlign w:val="center"/>
          </w:tcPr>
          <w:p>
            <w:pPr>
              <w:jc w:val="left"/>
              <w:rPr>
                <w:rFonts w:ascii="宋体" w:cs="宋体"/>
                <w:kern w:val="0"/>
                <w:szCs w:val="21"/>
              </w:rPr>
            </w:pPr>
            <w:r>
              <w:rPr>
                <w:rFonts w:hint="eastAsia" w:ascii="宋体" w:cs="宋体"/>
                <w:szCs w:val="21"/>
              </w:rPr>
              <w:t>评标委员会推荐3名中标候选人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vMerge w:val="restart"/>
            <w:vAlign w:val="center"/>
          </w:tcPr>
          <w:p>
            <w:pPr>
              <w:jc w:val="center"/>
              <w:rPr>
                <w:rFonts w:hint="default" w:ascii="宋体" w:eastAsia="宋体"/>
                <w:kern w:val="0"/>
                <w:szCs w:val="21"/>
                <w:lang w:val="en-US" w:eastAsia="zh-CN"/>
              </w:rPr>
            </w:pPr>
            <w:r>
              <w:rPr>
                <w:rFonts w:hint="eastAsia" w:ascii="宋体"/>
                <w:kern w:val="0"/>
                <w:szCs w:val="21"/>
                <w:lang w:val="en-US" w:eastAsia="zh-CN"/>
              </w:rPr>
              <w:t>28</w:t>
            </w:r>
          </w:p>
        </w:tc>
        <w:tc>
          <w:tcPr>
            <w:tcW w:w="1410" w:type="dxa"/>
            <w:vAlign w:val="center"/>
          </w:tcPr>
          <w:p>
            <w:pPr>
              <w:keepNext/>
              <w:widowControl/>
              <w:jc w:val="distribute"/>
              <w:rPr>
                <w:rFonts w:ascii="黑体" w:hAnsi="黑体" w:eastAsia="黑体" w:cs="黑体"/>
                <w:kern w:val="0"/>
                <w:szCs w:val="21"/>
              </w:rPr>
            </w:pPr>
            <w:r>
              <w:rPr>
                <w:rFonts w:hint="eastAsia" w:ascii="黑体" w:hAnsi="黑体" w:eastAsia="黑体" w:cs="黑体"/>
                <w:kern w:val="0"/>
                <w:szCs w:val="21"/>
              </w:rPr>
              <w:t>投标人的</w:t>
            </w:r>
          </w:p>
          <w:p>
            <w:pPr>
              <w:keepNext/>
              <w:widowControl/>
              <w:jc w:val="distribute"/>
              <w:rPr>
                <w:rFonts w:ascii="黑体" w:eastAsia="黑体" w:cs="黑体"/>
                <w:kern w:val="0"/>
                <w:szCs w:val="21"/>
              </w:rPr>
            </w:pPr>
            <w:r>
              <w:rPr>
                <w:rFonts w:hint="eastAsia" w:ascii="黑体" w:hAnsi="黑体" w:eastAsia="黑体" w:cs="黑体"/>
                <w:kern w:val="0"/>
                <w:szCs w:val="21"/>
              </w:rPr>
              <w:t>资格要求</w:t>
            </w:r>
          </w:p>
        </w:tc>
        <w:tc>
          <w:tcPr>
            <w:tcW w:w="6857" w:type="dxa"/>
            <w:vAlign w:val="center"/>
          </w:tcPr>
          <w:p>
            <w:pPr>
              <w:keepNext/>
              <w:widowControl/>
              <w:jc w:val="left"/>
              <w:rPr>
                <w:rFonts w:ascii="宋体" w:cs="宋体"/>
                <w:b/>
                <w:bCs/>
                <w:kern w:val="0"/>
                <w:szCs w:val="21"/>
              </w:rPr>
            </w:pPr>
            <w:r>
              <w:rPr>
                <w:rFonts w:hint="eastAsia" w:asciiTheme="minorEastAsia" w:hAnsiTheme="minorEastAsia" w:eastAsiaTheme="minorEastAsia" w:cstheme="minorEastAsia"/>
              </w:rPr>
              <w:t>满</w:t>
            </w:r>
            <w:r>
              <w:rPr>
                <w:rFonts w:hint="eastAsia" w:asciiTheme="minorEastAsia" w:hAnsiTheme="minorEastAsia" w:eastAsiaTheme="minorEastAsia" w:cstheme="minorEastAsia"/>
                <w:color w:val="000000"/>
                <w:szCs w:val="21"/>
              </w:rPr>
              <w:t>足“招标公告”第二条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vMerge w:val="continue"/>
            <w:vAlign w:val="center"/>
          </w:tcPr>
          <w:p>
            <w:pPr>
              <w:jc w:val="center"/>
              <w:rPr>
                <w:rFonts w:ascii="宋体"/>
                <w:kern w:val="0"/>
                <w:szCs w:val="21"/>
              </w:rPr>
            </w:pPr>
          </w:p>
        </w:tc>
        <w:tc>
          <w:tcPr>
            <w:tcW w:w="1410" w:type="dxa"/>
            <w:vAlign w:val="center"/>
          </w:tcPr>
          <w:p>
            <w:pPr>
              <w:keepNext/>
              <w:widowControl/>
              <w:jc w:val="distribute"/>
              <w:rPr>
                <w:rFonts w:ascii="黑体" w:eastAsia="黑体" w:cs="黑体"/>
                <w:kern w:val="0"/>
                <w:szCs w:val="21"/>
              </w:rPr>
            </w:pPr>
            <w:r>
              <w:rPr>
                <w:rFonts w:hint="eastAsia" w:ascii="黑体" w:eastAsia="黑体" w:cs="黑体"/>
                <w:kern w:val="0"/>
                <w:szCs w:val="21"/>
              </w:rPr>
              <w:t>开标现场</w:t>
            </w:r>
          </w:p>
          <w:p>
            <w:pPr>
              <w:keepNext/>
              <w:widowControl/>
              <w:jc w:val="distribute"/>
              <w:rPr>
                <w:rFonts w:ascii="黑体" w:eastAsia="黑体" w:cs="黑体"/>
                <w:kern w:val="0"/>
                <w:szCs w:val="21"/>
              </w:rPr>
            </w:pPr>
            <w:r>
              <w:rPr>
                <w:rFonts w:hint="eastAsia" w:ascii="黑体" w:eastAsia="黑体" w:cs="黑体"/>
                <w:kern w:val="0"/>
                <w:szCs w:val="21"/>
              </w:rPr>
              <w:t>携带证件</w:t>
            </w:r>
          </w:p>
        </w:tc>
        <w:tc>
          <w:tcPr>
            <w:tcW w:w="6857" w:type="dxa"/>
            <w:vAlign w:val="center"/>
          </w:tcPr>
          <w:p>
            <w:pPr>
              <w:jc w:val="left"/>
              <w:rPr>
                <w:rFonts w:ascii="宋体" w:cs="宋体"/>
                <w:b/>
                <w:bCs/>
                <w:color w:val="000000"/>
                <w:szCs w:val="21"/>
              </w:rPr>
            </w:pPr>
            <w:r>
              <w:rPr>
                <w:rFonts w:hint="eastAsia" w:asciiTheme="minorEastAsia" w:hAnsiTheme="minorEastAsia" w:eastAsiaTheme="minorEastAsia" w:cstheme="minorEastAsia"/>
                <w:color w:val="000000"/>
                <w:szCs w:val="21"/>
                <w:lang w:val="en-US" w:eastAsia="zh-CN"/>
              </w:rPr>
              <w:t>1、</w:t>
            </w:r>
            <w:r>
              <w:rPr>
                <w:rFonts w:hint="eastAsia" w:asciiTheme="minorEastAsia" w:hAnsiTheme="minorEastAsia" w:eastAsiaTheme="minorEastAsia" w:cstheme="minorEastAsia"/>
                <w:color w:val="000000"/>
                <w:szCs w:val="21"/>
              </w:rPr>
              <w:t>投标人须如实提供如下资料</w:t>
            </w:r>
            <w:r>
              <w:rPr>
                <w:rFonts w:hint="eastAsia" w:asciiTheme="minorEastAsia" w:hAnsiTheme="minorEastAsia" w:eastAsiaTheme="minorEastAsia" w:cstheme="minorEastAsia"/>
                <w:b/>
                <w:bCs/>
                <w:color w:val="000000"/>
                <w:szCs w:val="21"/>
              </w:rPr>
              <w:t>（原件备查）</w:t>
            </w:r>
          </w:p>
          <w:p>
            <w:pPr>
              <w:keepNext/>
              <w:widowControl/>
              <w:ind w:firstLine="420" w:firstLineChars="200"/>
              <w:jc w:val="left"/>
              <w:rPr>
                <w:rFonts w:ascii="宋体" w:cs="宋体"/>
              </w:rPr>
            </w:pPr>
            <w:r>
              <w:rPr>
                <w:rFonts w:hint="eastAsia" w:ascii="宋体" w:hAnsi="宋体" w:cs="宋体"/>
                <w:kern w:val="0"/>
                <w:szCs w:val="21"/>
              </w:rPr>
              <w:t>①</w:t>
            </w:r>
            <w:r>
              <w:rPr>
                <w:rFonts w:hint="eastAsia" w:ascii="宋体" w:cs="宋体"/>
                <w:szCs w:val="21"/>
              </w:rPr>
              <w:t>企业法人应提供合法有效的统一社会信用代码的营业执照或事业法人应提供单位法人证书，其他组织应提供合法登记证明文件，自然人的身份证明</w:t>
            </w:r>
            <w:r>
              <w:rPr>
                <w:rFonts w:hint="eastAsia" w:ascii="宋体" w:cs="宋体"/>
              </w:rPr>
              <w:t>；</w:t>
            </w:r>
          </w:p>
          <w:p>
            <w:pPr>
              <w:keepNext/>
              <w:widowControl/>
              <w:ind w:firstLine="420" w:firstLineChars="200"/>
              <w:jc w:val="left"/>
              <w:rPr>
                <w:rFonts w:asciiTheme="minorEastAsia" w:hAnsiTheme="minorEastAsia" w:eastAsiaTheme="minorEastAsia" w:cstheme="minorEastAsia"/>
                <w:kern w:val="0"/>
                <w:szCs w:val="21"/>
              </w:rPr>
            </w:pPr>
            <w:r>
              <w:rPr>
                <w:rFonts w:hint="eastAsia" w:ascii="宋体" w:hAnsi="宋体" w:cs="宋体"/>
                <w:kern w:val="0"/>
                <w:szCs w:val="21"/>
              </w:rPr>
              <w:t>②</w:t>
            </w:r>
            <w:r>
              <w:rPr>
                <w:rFonts w:hint="eastAsia" w:ascii="宋体" w:cs="宋体"/>
              </w:rPr>
              <w:t>法定代表人身份证明书及法定代表人身份证或授权委托书及委托代理人身份证</w:t>
            </w:r>
            <w:r>
              <w:rPr>
                <w:rFonts w:hint="eastAsia" w:asciiTheme="minorEastAsia" w:hAnsiTheme="minorEastAsia" w:eastAsiaTheme="minorEastAsia" w:cstheme="minorEastAsia"/>
                <w:kern w:val="0"/>
                <w:szCs w:val="21"/>
              </w:rPr>
              <w:t>；</w:t>
            </w:r>
          </w:p>
          <w:p>
            <w:pPr>
              <w:keepNext/>
              <w:widowControl/>
              <w:ind w:firstLine="420" w:firstLineChars="200"/>
              <w:jc w:val="left"/>
              <w:rPr>
                <w:rFonts w:ascii="宋体" w:cs="宋体"/>
              </w:rPr>
            </w:pPr>
            <w:r>
              <w:rPr>
                <w:rFonts w:hint="eastAsia" w:ascii="宋体" w:hAnsi="宋体" w:cs="宋体"/>
                <w:color w:val="000000"/>
                <w:szCs w:val="21"/>
              </w:rPr>
              <w:t>③</w:t>
            </w:r>
            <w:r>
              <w:rPr>
                <w:rFonts w:hint="eastAsia" w:ascii="宋体" w:cs="宋体"/>
              </w:rPr>
              <w:t>通过“信用中</w:t>
            </w:r>
            <w:r>
              <w:rPr>
                <w:rFonts w:hint="eastAsia" w:asciiTheme="minorEastAsia" w:hAnsiTheme="minorEastAsia" w:eastAsiaTheme="minorEastAsia" w:cstheme="minorEastAsia"/>
                <w:kern w:val="0"/>
                <w:szCs w:val="21"/>
              </w:rPr>
              <w:t>国”（www.creditchina.gov.cn）、中国政府采购网（www.ccgp.gov.cn）等渠道查询投标人至本项目评审时的信用记录并保存信用记录结果网页截图</w:t>
            </w:r>
            <w:r>
              <w:rPr>
                <w:rFonts w:hint="eastAsia" w:ascii="宋体" w:cs="宋体"/>
              </w:rPr>
              <w:t>；</w:t>
            </w:r>
          </w:p>
          <w:p>
            <w:pPr>
              <w:keepNext/>
              <w:widowControl/>
              <w:ind w:firstLine="420" w:firstLineChars="200"/>
              <w:jc w:val="left"/>
              <w:rPr>
                <w:rFonts w:asciiTheme="minorEastAsia" w:hAnsiTheme="minorEastAsia" w:eastAsiaTheme="minorEastAsia" w:cstheme="minorEastAsia"/>
                <w:kern w:val="0"/>
                <w:szCs w:val="21"/>
              </w:rPr>
            </w:pPr>
            <w:r>
              <w:rPr>
                <w:rFonts w:hint="eastAsia" w:ascii="宋体" w:hAnsi="宋体" w:cs="宋体"/>
                <w:color w:val="000000"/>
                <w:szCs w:val="21"/>
              </w:rPr>
              <w:t>④采购</w:t>
            </w:r>
            <w:r>
              <w:rPr>
                <w:rFonts w:hint="eastAsia" w:asciiTheme="minorEastAsia" w:hAnsiTheme="minorEastAsia" w:eastAsiaTheme="minorEastAsia" w:cstheme="minorEastAsia"/>
                <w:color w:val="000000"/>
                <w:szCs w:val="21"/>
              </w:rPr>
              <w:t>代理机构开具的本标包的投标保证金凭证</w:t>
            </w:r>
            <w:r>
              <w:rPr>
                <w:rFonts w:hint="eastAsia" w:ascii="宋体" w:cs="宋体"/>
              </w:rPr>
              <w:t>；</w:t>
            </w:r>
          </w:p>
          <w:p>
            <w:pPr>
              <w:pStyle w:val="9"/>
              <w:numPr>
                <w:ilvl w:val="0"/>
                <w:numId w:val="0"/>
              </w:numPr>
              <w:rPr>
                <w:rFonts w:eastAsiaTheme="minorEastAsia"/>
              </w:rPr>
            </w:pPr>
            <w:r>
              <w:rPr>
                <w:rFonts w:hint="eastAsia" w:ascii="宋体" w:eastAsia="宋体" w:cs="宋体"/>
                <w:b/>
                <w:bCs/>
                <w:kern w:val="0"/>
                <w:sz w:val="21"/>
                <w:szCs w:val="21"/>
                <w:lang w:val="en-US" w:eastAsia="zh-CN"/>
              </w:rPr>
              <w:t>2、</w:t>
            </w:r>
            <w:r>
              <w:rPr>
                <w:rFonts w:hint="eastAsia" w:asciiTheme="minorEastAsia" w:hAnsiTheme="minorEastAsia" w:eastAsiaTheme="minorEastAsia" w:cstheme="minorEastAsia"/>
                <w:kern w:val="0"/>
                <w:sz w:val="21"/>
                <w:szCs w:val="21"/>
              </w:rPr>
              <w:t>以上资料A4纸的复印件须加盖投标人公章；</w:t>
            </w:r>
          </w:p>
          <w:p>
            <w:pPr>
              <w:jc w:val="left"/>
              <w:rPr>
                <w:rFonts w:ascii="宋体" w:cs="宋体"/>
                <w:b/>
                <w:bCs/>
                <w:kern w:val="0"/>
                <w:szCs w:val="21"/>
              </w:rPr>
            </w:pPr>
            <w:r>
              <w:rPr>
                <w:rFonts w:hint="eastAsia" w:ascii="宋体" w:cs="宋体"/>
                <w:b/>
                <w:bCs/>
                <w:kern w:val="0"/>
                <w:szCs w:val="21"/>
                <w:lang w:val="en-US" w:eastAsia="zh-CN"/>
              </w:rPr>
              <w:t>3、</w:t>
            </w:r>
            <w:r>
              <w:rPr>
                <w:rFonts w:hint="eastAsia" w:ascii="宋体" w:cs="宋体"/>
                <w:b/>
                <w:bCs/>
                <w:kern w:val="0"/>
                <w:szCs w:val="21"/>
              </w:rPr>
              <w:t>未携带上述证件</w:t>
            </w:r>
            <w:r>
              <w:rPr>
                <w:rFonts w:hint="eastAsia" w:ascii="宋体" w:cs="宋体"/>
                <w:b/>
                <w:bCs/>
                <w:szCs w:val="21"/>
              </w:rPr>
              <w:t>或模糊不清</w:t>
            </w:r>
            <w:r>
              <w:rPr>
                <w:rFonts w:hint="eastAsia" w:ascii="宋体" w:cs="宋体"/>
                <w:b/>
                <w:bCs/>
                <w:kern w:val="0"/>
                <w:szCs w:val="21"/>
              </w:rPr>
              <w:t>者，其投标将被拒绝。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vAlign w:val="center"/>
          </w:tcPr>
          <w:p>
            <w:pPr>
              <w:jc w:val="center"/>
              <w:rPr>
                <w:rFonts w:hint="default" w:ascii="宋体" w:eastAsia="宋体"/>
                <w:kern w:val="0"/>
                <w:szCs w:val="21"/>
                <w:lang w:val="en-US" w:eastAsia="zh-CN"/>
              </w:rPr>
            </w:pPr>
            <w:r>
              <w:rPr>
                <w:rFonts w:hint="eastAsia" w:asciiTheme="minorEastAsia" w:hAnsiTheme="minorEastAsia" w:eastAsiaTheme="minorEastAsia" w:cstheme="minorEastAsia"/>
                <w:kern w:val="0"/>
                <w:szCs w:val="21"/>
                <w:lang w:val="en-US" w:eastAsia="zh-CN"/>
              </w:rPr>
              <w:t>29</w:t>
            </w:r>
          </w:p>
        </w:tc>
        <w:tc>
          <w:tcPr>
            <w:tcW w:w="1410" w:type="dxa"/>
            <w:vAlign w:val="center"/>
          </w:tcPr>
          <w:p>
            <w:pPr>
              <w:keepNext/>
              <w:widowControl/>
              <w:jc w:val="center"/>
              <w:rPr>
                <w:rFonts w:ascii="黑体" w:eastAsia="黑体" w:cs="黑体"/>
                <w:kern w:val="0"/>
                <w:szCs w:val="21"/>
              </w:rPr>
            </w:pPr>
            <w:r>
              <w:rPr>
                <w:rFonts w:hint="eastAsia" w:ascii="黑体" w:hAnsi="黑体" w:eastAsia="黑体" w:cs="黑体"/>
                <w:bCs/>
                <w:szCs w:val="21"/>
              </w:rPr>
              <w:t>低于成本价不正当竞争预防措施</w:t>
            </w:r>
          </w:p>
        </w:tc>
        <w:tc>
          <w:tcPr>
            <w:tcW w:w="6857" w:type="dxa"/>
            <w:vAlign w:val="center"/>
          </w:tcPr>
          <w:p>
            <w:pPr>
              <w:keepNext/>
              <w:widowControl/>
              <w:ind w:firstLine="420" w:firstLineChars="200"/>
              <w:jc w:val="lef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在评标过程中，评标委员会认为投标人的报价明显低于其他通过符合性审查投标人的报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keepNext/>
              <w:widowControl/>
              <w:ind w:firstLine="420" w:firstLineChars="200"/>
              <w:jc w:val="lef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keepNext/>
              <w:widowControl/>
              <w:ind w:firstLine="420" w:firstLineChars="200"/>
              <w:jc w:val="lef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供应商提供书面说明后，评标委员会应当结合采购项目采购需求、专业实际情况、供应商财务状况报告、与其他供应商比较情况等就供应商书面说明进行审查评价。</w:t>
            </w:r>
          </w:p>
          <w:p>
            <w:pPr>
              <w:keepNext/>
              <w:widowControl/>
              <w:ind w:firstLine="420" w:firstLineChars="200"/>
              <w:jc w:val="left"/>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color w:val="000000"/>
                <w:szCs w:val="21"/>
              </w:rPr>
              <w:t>供应商拒绝或者变相拒绝提供有效书面说明或者书面说明不能证明其报价合理性的，评标委员会应当将其投标（响应）文件作为无效处理。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vAlign w:val="center"/>
          </w:tcPr>
          <w:p>
            <w:pPr>
              <w:jc w:val="center"/>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30</w:t>
            </w:r>
          </w:p>
        </w:tc>
        <w:tc>
          <w:tcPr>
            <w:tcW w:w="1410" w:type="dxa"/>
            <w:vAlign w:val="center"/>
          </w:tcPr>
          <w:p>
            <w:pPr>
              <w:keepNext/>
              <w:widowControl/>
              <w:jc w:val="center"/>
              <w:rPr>
                <w:rFonts w:hint="eastAsia" w:ascii="黑体" w:hAnsi="黑体" w:eastAsia="黑体" w:cs="黑体"/>
                <w:bCs/>
                <w:szCs w:val="21"/>
              </w:rPr>
            </w:pPr>
            <w:r>
              <w:rPr>
                <w:rFonts w:hint="eastAsia" w:ascii="黑体" w:hAnsi="黑体" w:eastAsia="黑体" w:cs="黑体"/>
                <w:bCs/>
                <w:szCs w:val="21"/>
              </w:rPr>
              <w:t>政府采购</w:t>
            </w:r>
          </w:p>
          <w:p>
            <w:pPr>
              <w:keepNext/>
              <w:widowControl/>
              <w:jc w:val="center"/>
              <w:rPr>
                <w:rFonts w:hint="eastAsia" w:ascii="黑体" w:hAnsi="黑体" w:eastAsia="黑体" w:cs="黑体"/>
                <w:bCs/>
                <w:szCs w:val="21"/>
              </w:rPr>
            </w:pPr>
            <w:r>
              <w:rPr>
                <w:rFonts w:hint="eastAsia" w:ascii="黑体" w:hAnsi="黑体" w:eastAsia="黑体" w:cs="黑体"/>
                <w:bCs/>
                <w:szCs w:val="21"/>
              </w:rPr>
              <w:t>政策支持</w:t>
            </w:r>
          </w:p>
        </w:tc>
        <w:tc>
          <w:tcPr>
            <w:tcW w:w="6857" w:type="dxa"/>
            <w:vAlign w:val="center"/>
          </w:tcPr>
          <w:p>
            <w:pPr>
              <w:widowControl/>
              <w:spacing w:line="320" w:lineRule="exact"/>
              <w:ind w:firstLine="420" w:firstLineChars="20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本项目为非专门面向中小企业采购的项目。符合政府采购优先（节约能源、保护环境）采购政策及促进中小企业（监狱企业、残疾人福利性单位）发展政策的，依据规定给予评审优惠。</w:t>
            </w:r>
          </w:p>
          <w:p>
            <w:pPr>
              <w:widowControl/>
              <w:spacing w:line="320" w:lineRule="exact"/>
              <w:ind w:firstLine="420" w:firstLineChars="20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本项目为非专门面向中小企业（含中型、小型、微型企业）采购项目，根据《政府采购促进中小企业发展管理办法》（〔2020〕46号）的规定，评标时对符合本办法规定的小微企业报价给予6%（工程项目为3%）的扣除，用扣除后的价格参加评审。本项目采购标的对应的中小企业划分标准所属行业是建筑业。</w:t>
            </w:r>
          </w:p>
          <w:p>
            <w:pPr>
              <w:widowControl/>
              <w:spacing w:line="320" w:lineRule="exact"/>
              <w:ind w:firstLine="420" w:firstLineChars="20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2、政府采购强制采购：标记★符号的节能产品：</w:t>
            </w:r>
          </w:p>
          <w:p>
            <w:pPr>
              <w:widowControl/>
              <w:spacing w:line="320" w:lineRule="exact"/>
              <w:ind w:firstLine="420" w:firstLineChars="20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符合《节能产品政府采购品目清单》内并获得认证的强制采购节能产品。</w:t>
            </w:r>
          </w:p>
          <w:p>
            <w:pPr>
              <w:widowControl/>
              <w:spacing w:line="320" w:lineRule="exact"/>
              <w:ind w:firstLine="420" w:firstLineChars="20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3、政府采购优先采购：</w:t>
            </w:r>
          </w:p>
          <w:p>
            <w:pPr>
              <w:widowControl/>
              <w:spacing w:line="320" w:lineRule="exact"/>
              <w:ind w:firstLine="420" w:firstLineChars="20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(1)非标记★符号的节能产品；(2)环境标志产品；</w:t>
            </w:r>
          </w:p>
          <w:p>
            <w:pPr>
              <w:widowControl/>
              <w:spacing w:line="320" w:lineRule="exact"/>
              <w:ind w:firstLine="420" w:firstLineChars="20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采购产品为《节能产品政府采购品目清单》内并获得认证非标记★符号的节能产品及《环境标志产品政府采购品目清单》内并获得认证的产品：</w:t>
            </w:r>
          </w:p>
          <w:p>
            <w:pPr>
              <w:keepNext/>
              <w:widowControl/>
              <w:ind w:firstLine="420" w:firstLineChars="200"/>
              <w:jc w:val="lef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kern w:val="2"/>
                <w:sz w:val="21"/>
                <w:szCs w:val="21"/>
                <w:lang w:val="en-US" w:eastAsia="zh-CN" w:bidi="ar-SA"/>
              </w:rPr>
              <w:t>投标（响应）文件中对所供产品为节能、环境标志产品清单中的产品，在报价时必须对此类产品单独分项报价，计算出小计及占合同包总金额的百分比，并提供证明资料（中国政府采购网节能环保查询结果），未单独分项报价且未提供属于清单内产品的证明资料的不给予折扣优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vAlign w:val="center"/>
          </w:tcPr>
          <w:p>
            <w:pPr>
              <w:jc w:val="center"/>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31</w:t>
            </w:r>
          </w:p>
        </w:tc>
        <w:tc>
          <w:tcPr>
            <w:tcW w:w="1410" w:type="dxa"/>
            <w:vAlign w:val="center"/>
          </w:tcPr>
          <w:p>
            <w:pPr>
              <w:keepNext/>
              <w:widowControl/>
              <w:jc w:val="center"/>
              <w:rPr>
                <w:rFonts w:hint="eastAsia" w:ascii="黑体" w:hAnsi="黑体" w:eastAsia="黑体" w:cs="黑体"/>
                <w:bCs/>
                <w:szCs w:val="21"/>
              </w:rPr>
            </w:pPr>
            <w:r>
              <w:rPr>
                <w:rFonts w:hint="eastAsia" w:ascii="黑体" w:hAnsi="黑体" w:eastAsia="黑体" w:cs="黑体"/>
                <w:bCs/>
                <w:szCs w:val="21"/>
              </w:rPr>
              <w:t>信用情况</w:t>
            </w:r>
          </w:p>
        </w:tc>
        <w:tc>
          <w:tcPr>
            <w:tcW w:w="6857" w:type="dxa"/>
            <w:vAlign w:val="center"/>
          </w:tcPr>
          <w:p>
            <w:pPr>
              <w:pStyle w:val="8"/>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本项目不接受失信企业投标。</w:t>
            </w:r>
          </w:p>
          <w:p>
            <w:pPr>
              <w:widowControl/>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1、信用记录查询方式及查询内容：</w:t>
            </w:r>
          </w:p>
          <w:p>
            <w:pPr>
              <w:widowControl/>
              <w:ind w:firstLine="210" w:firstLineChars="10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fldChar w:fldCharType="begin"/>
            </w:r>
            <w:r>
              <w:rPr>
                <w:rFonts w:hint="eastAsia" w:asciiTheme="minorEastAsia" w:hAnsiTheme="minorEastAsia" w:eastAsiaTheme="minorEastAsia" w:cstheme="minorEastAsia"/>
                <w:kern w:val="2"/>
                <w:sz w:val="21"/>
                <w:szCs w:val="21"/>
                <w:lang w:val="en-US" w:eastAsia="zh-CN" w:bidi="ar-SA"/>
              </w:rPr>
              <w:instrText xml:space="preserve"> EQ \o\ac(○,1)</w:instrText>
            </w:r>
            <w:r>
              <w:rPr>
                <w:rFonts w:hint="eastAsia" w:asciiTheme="minorEastAsia" w:hAnsiTheme="minorEastAsia" w:eastAsiaTheme="minorEastAsia" w:cstheme="minorEastAsia"/>
                <w:kern w:val="2"/>
                <w:sz w:val="21"/>
                <w:szCs w:val="21"/>
                <w:lang w:val="en-US" w:eastAsia="zh-CN" w:bidi="ar-SA"/>
              </w:rPr>
              <w:fldChar w:fldCharType="end"/>
            </w:r>
            <w:r>
              <w:rPr>
                <w:rFonts w:hint="eastAsia" w:asciiTheme="minorEastAsia" w:hAnsiTheme="minorEastAsia" w:eastAsiaTheme="minorEastAsia" w:cstheme="minorEastAsia"/>
                <w:kern w:val="2"/>
                <w:sz w:val="21"/>
                <w:szCs w:val="21"/>
                <w:lang w:val="en-US" w:eastAsia="zh-CN" w:bidi="ar-SA"/>
              </w:rPr>
              <w:t>“信用中国”（www.creditchina.gov.cn）未被列入重大税收违法案件当事人名单；</w:t>
            </w:r>
          </w:p>
          <w:p>
            <w:pPr>
              <w:widowControl/>
              <w:ind w:firstLine="210" w:firstLineChars="10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fldChar w:fldCharType="begin"/>
            </w:r>
            <w:r>
              <w:rPr>
                <w:rFonts w:hint="eastAsia" w:asciiTheme="minorEastAsia" w:hAnsiTheme="minorEastAsia" w:eastAsiaTheme="minorEastAsia" w:cstheme="minorEastAsia"/>
                <w:kern w:val="2"/>
                <w:sz w:val="21"/>
                <w:szCs w:val="21"/>
                <w:lang w:val="en-US" w:eastAsia="zh-CN" w:bidi="ar-SA"/>
              </w:rPr>
              <w:instrText xml:space="preserve"> EQ \o\ac(○,2)</w:instrText>
            </w:r>
            <w:r>
              <w:rPr>
                <w:rFonts w:hint="eastAsia" w:asciiTheme="minorEastAsia" w:hAnsiTheme="minorEastAsia" w:eastAsiaTheme="minorEastAsia" w:cstheme="minorEastAsia"/>
                <w:kern w:val="2"/>
                <w:sz w:val="21"/>
                <w:szCs w:val="21"/>
                <w:lang w:val="en-US" w:eastAsia="zh-CN" w:bidi="ar-SA"/>
              </w:rPr>
              <w:fldChar w:fldCharType="end"/>
            </w:r>
            <w:r>
              <w:rPr>
                <w:rFonts w:hint="eastAsia" w:asciiTheme="minorEastAsia" w:hAnsiTheme="minorEastAsia" w:eastAsiaTheme="minorEastAsia" w:cstheme="minorEastAsia"/>
                <w:kern w:val="2"/>
                <w:sz w:val="21"/>
                <w:szCs w:val="21"/>
                <w:lang w:val="en-US" w:eastAsia="zh-CN" w:bidi="ar-SA"/>
              </w:rPr>
              <w:t>“中国执行信息公开网”（http://zxgk.court.gov.cn/）未被列入失信被执行人；</w:t>
            </w:r>
          </w:p>
          <w:p>
            <w:pPr>
              <w:widowControl/>
              <w:ind w:firstLine="210" w:firstLineChars="10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fldChar w:fldCharType="begin"/>
            </w:r>
            <w:r>
              <w:rPr>
                <w:rFonts w:hint="eastAsia" w:asciiTheme="minorEastAsia" w:hAnsiTheme="minorEastAsia" w:eastAsiaTheme="minorEastAsia" w:cstheme="minorEastAsia"/>
                <w:kern w:val="2"/>
                <w:sz w:val="21"/>
                <w:szCs w:val="21"/>
                <w:lang w:val="en-US" w:eastAsia="zh-CN" w:bidi="ar-SA"/>
              </w:rPr>
              <w:instrText xml:space="preserve"> EQ \o\ac(○,3)</w:instrText>
            </w:r>
            <w:r>
              <w:rPr>
                <w:rFonts w:hint="eastAsia" w:asciiTheme="minorEastAsia" w:hAnsiTheme="minorEastAsia" w:eastAsiaTheme="minorEastAsia" w:cstheme="minorEastAsia"/>
                <w:kern w:val="2"/>
                <w:sz w:val="21"/>
                <w:szCs w:val="21"/>
                <w:lang w:val="en-US" w:eastAsia="zh-CN" w:bidi="ar-SA"/>
              </w:rPr>
              <w:fldChar w:fldCharType="end"/>
            </w:r>
            <w:r>
              <w:rPr>
                <w:rFonts w:hint="eastAsia" w:asciiTheme="minorEastAsia" w:hAnsiTheme="minorEastAsia" w:eastAsiaTheme="minorEastAsia" w:cstheme="minorEastAsia"/>
                <w:kern w:val="2"/>
                <w:sz w:val="21"/>
                <w:szCs w:val="21"/>
                <w:lang w:val="en-US" w:eastAsia="zh-CN" w:bidi="ar-SA"/>
              </w:rPr>
              <w:t>“中国政府采购网”（www.ccgp.gov.cn）网站上未被列入政府采购严重违法失信行为记录名单；</w:t>
            </w:r>
          </w:p>
          <w:p>
            <w:pPr>
              <w:widowControl/>
              <w:ind w:firstLine="210" w:firstLineChars="10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fldChar w:fldCharType="begin"/>
            </w:r>
            <w:r>
              <w:rPr>
                <w:rFonts w:hint="eastAsia" w:asciiTheme="minorEastAsia" w:hAnsiTheme="minorEastAsia" w:eastAsiaTheme="minorEastAsia" w:cstheme="minorEastAsia"/>
                <w:kern w:val="2"/>
                <w:sz w:val="21"/>
                <w:szCs w:val="21"/>
                <w:lang w:val="en-US" w:eastAsia="zh-CN" w:bidi="ar-SA"/>
              </w:rPr>
              <w:instrText xml:space="preserve"> EQ \o\ac(○,4)</w:instrText>
            </w:r>
            <w:r>
              <w:rPr>
                <w:rFonts w:hint="eastAsia" w:asciiTheme="minorEastAsia" w:hAnsiTheme="minorEastAsia" w:eastAsiaTheme="minorEastAsia" w:cstheme="minorEastAsia"/>
                <w:kern w:val="2"/>
                <w:sz w:val="21"/>
                <w:szCs w:val="21"/>
                <w:lang w:val="en-US" w:eastAsia="zh-CN" w:bidi="ar-SA"/>
              </w:rPr>
              <w:fldChar w:fldCharType="end"/>
            </w:r>
            <w:r>
              <w:rPr>
                <w:rFonts w:hint="eastAsia" w:asciiTheme="minorEastAsia" w:hAnsiTheme="minorEastAsia" w:eastAsiaTheme="minorEastAsia" w:cstheme="minorEastAsia"/>
                <w:kern w:val="2"/>
                <w:sz w:val="21"/>
                <w:szCs w:val="21"/>
                <w:lang w:val="en-US" w:eastAsia="zh-CN" w:bidi="ar-SA"/>
              </w:rPr>
              <w:t>中国裁判文书网（http://wenshu.court.gov.cn/）查询近三年无因投标申请人违约或不恰当履约引起的合同终止、纠纷、争议、仲裁和公诉纪录和无行贿犯罪记录证明。（网页打印件须自招标（采购）文件发售之日起至首次提交投标（响应）文件截止时间内从上述网站中打印，并加盖公章）</w:t>
            </w:r>
          </w:p>
          <w:p>
            <w:pPr>
              <w:keepNext/>
              <w:widowControl/>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2、供应商参加政府采购活动时，应当就自己的诚信情况在响应性文件中进行承诺或者提供以上网站的查询结果网页打印件。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468" w:hRule="atLeast"/>
          <w:jc w:val="center"/>
        </w:trPr>
        <w:tc>
          <w:tcPr>
            <w:tcW w:w="813" w:type="dxa"/>
            <w:vAlign w:val="center"/>
          </w:tcPr>
          <w:p>
            <w:pPr>
              <w:jc w:val="center"/>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32</w:t>
            </w:r>
          </w:p>
        </w:tc>
        <w:tc>
          <w:tcPr>
            <w:tcW w:w="1410" w:type="dxa"/>
            <w:vAlign w:val="center"/>
          </w:tcPr>
          <w:p>
            <w:pPr>
              <w:keepNext/>
              <w:widowControl/>
              <w:jc w:val="distribute"/>
              <w:rPr>
                <w:rFonts w:ascii="黑体" w:hAnsi="黑体" w:eastAsia="黑体" w:cs="黑体"/>
                <w:bCs/>
                <w:szCs w:val="21"/>
              </w:rPr>
            </w:pPr>
            <w:r>
              <w:rPr>
                <w:rFonts w:hint="eastAsia" w:ascii="黑体" w:hAnsi="黑体" w:eastAsia="黑体" w:cs="黑体"/>
                <w:kern w:val="0"/>
                <w:szCs w:val="21"/>
              </w:rPr>
              <w:t>质疑须知</w:t>
            </w:r>
          </w:p>
        </w:tc>
        <w:tc>
          <w:tcPr>
            <w:tcW w:w="6857" w:type="dxa"/>
            <w:vAlign w:val="center"/>
          </w:tcPr>
          <w:p>
            <w:pPr>
              <w:pStyle w:val="9"/>
              <w:numPr>
                <w:ilvl w:val="0"/>
                <w:numId w:val="0"/>
              </w:num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投标人认为自己的权益受到损害的，可以在知道或者应知其权益受到损害之日起七个工作日内，向采购代理机构提出质疑。</w:t>
            </w:r>
          </w:p>
          <w:p>
            <w:pPr>
              <w:pStyle w:val="9"/>
              <w:numPr>
                <w:ilvl w:val="0"/>
                <w:numId w:val="0"/>
              </w:numPr>
              <w:ind w:firstLine="210" w:firstLineChars="100"/>
              <w:rPr>
                <w:rFonts w:hint="eastAsia" w:asciiTheme="minorEastAsia" w:hAnsiTheme="minorEastAsia" w:eastAsiaTheme="minorEastAsia" w:cstheme="minorEastAsia"/>
                <w:sz w:val="21"/>
                <w:szCs w:val="21"/>
              </w:rPr>
            </w:pPr>
            <w:r>
              <w:rPr>
                <w:rFonts w:hint="eastAsia" w:ascii="宋体" w:hAnsi="宋体" w:eastAsia="宋体" w:cs="宋体"/>
                <w:sz w:val="21"/>
                <w:szCs w:val="21"/>
              </w:rPr>
              <w:t>⑴</w:t>
            </w:r>
            <w:r>
              <w:rPr>
                <w:rFonts w:hint="eastAsia" w:asciiTheme="minorEastAsia" w:hAnsiTheme="minorEastAsia" w:eastAsiaTheme="minorEastAsia" w:cstheme="minorEastAsia"/>
                <w:sz w:val="21"/>
                <w:szCs w:val="21"/>
              </w:rPr>
              <w:t>接收质疑函的方式：接收加盖单位公章的书面质疑函</w:t>
            </w:r>
          </w:p>
          <w:p>
            <w:pPr>
              <w:pStyle w:val="9"/>
              <w:numPr>
                <w:ilvl w:val="0"/>
                <w:numId w:val="0"/>
              </w:num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联系单位：新疆世纪华中工程项目管理有限公司</w:t>
            </w:r>
          </w:p>
          <w:p>
            <w:pPr>
              <w:pStyle w:val="9"/>
              <w:numPr>
                <w:ilvl w:val="0"/>
                <w:numId w:val="0"/>
              </w:num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联 系 人：孙共青</w:t>
            </w:r>
          </w:p>
          <w:p>
            <w:pPr>
              <w:pStyle w:val="9"/>
              <w:numPr>
                <w:ilvl w:val="0"/>
                <w:numId w:val="0"/>
              </w:num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联系电话：0991-3382836</w:t>
            </w:r>
          </w:p>
          <w:p>
            <w:pPr>
              <w:pStyle w:val="9"/>
              <w:numPr>
                <w:ilvl w:val="0"/>
                <w:numId w:val="0"/>
              </w:num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通讯地址：乌鲁木齐市米东区中颐北路乾和家园F区F14号楼1-3单元303室</w:t>
            </w:r>
          </w:p>
          <w:p>
            <w:pPr>
              <w:pStyle w:val="9"/>
              <w:numPr>
                <w:ilvl w:val="0"/>
                <w:numId w:val="0"/>
              </w:numPr>
              <w:ind w:firstLine="210" w:firstLineChars="100"/>
              <w:rPr>
                <w:rFonts w:hint="eastAsia" w:asciiTheme="minorEastAsia" w:hAnsiTheme="minorEastAsia" w:eastAsiaTheme="minorEastAsia" w:cstheme="minorEastAsia"/>
                <w:sz w:val="21"/>
                <w:szCs w:val="21"/>
              </w:rPr>
            </w:pPr>
            <w:r>
              <w:rPr>
                <w:rFonts w:hint="eastAsia" w:ascii="宋体" w:hAnsi="宋体" w:eastAsia="宋体" w:cs="宋体"/>
                <w:sz w:val="21"/>
                <w:szCs w:val="21"/>
              </w:rPr>
              <w:t>⑵</w:t>
            </w:r>
            <w:r>
              <w:rPr>
                <w:rFonts w:hint="eastAsia" w:asciiTheme="minorEastAsia" w:hAnsiTheme="minorEastAsia" w:eastAsiaTheme="minorEastAsia" w:cstheme="minorEastAsia"/>
                <w:sz w:val="21"/>
                <w:szCs w:val="21"/>
              </w:rPr>
              <w:t>质疑函的内容、格式：应符合《政府采购质疑和投诉办法》相关规定和财政部门制定的《政府采购质疑函范本》格式。</w:t>
            </w:r>
          </w:p>
          <w:p>
            <w:pPr>
              <w:pStyle w:val="9"/>
              <w:numPr>
                <w:ilvl w:val="0"/>
                <w:numId w:val="0"/>
              </w:numPr>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lang w:val="en-US" w:eastAsia="zh-CN"/>
              </w:rPr>
              <w:t>2、投标人应在法定质疑期内一次性针对同一采购程序环节提出质疑，否则针对再次提出质疑将不予接收。（采购程序环节分为：招标公告、招标（采购）文件、招标过程、中标结果）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90" w:hRule="atLeast"/>
          <w:jc w:val="center"/>
        </w:trPr>
        <w:tc>
          <w:tcPr>
            <w:tcW w:w="813" w:type="dxa"/>
            <w:vAlign w:val="center"/>
          </w:tcPr>
          <w:p>
            <w:pPr>
              <w:jc w:val="center"/>
              <w:rPr>
                <w:rFonts w:hint="default" w:ascii="宋体" w:eastAsia="宋体"/>
                <w:kern w:val="0"/>
                <w:szCs w:val="21"/>
                <w:lang w:val="en-US" w:eastAsia="zh-CN"/>
              </w:rPr>
            </w:pPr>
            <w:r>
              <w:rPr>
                <w:rFonts w:hint="eastAsia" w:ascii="宋体"/>
                <w:kern w:val="0"/>
                <w:szCs w:val="21"/>
                <w:lang w:val="en-US" w:eastAsia="zh-CN"/>
              </w:rPr>
              <w:t>33</w:t>
            </w:r>
          </w:p>
        </w:tc>
        <w:tc>
          <w:tcPr>
            <w:tcW w:w="1410" w:type="dxa"/>
            <w:vAlign w:val="center"/>
          </w:tcPr>
          <w:p>
            <w:pPr>
              <w:keepNext/>
              <w:widowControl/>
              <w:jc w:val="distribute"/>
              <w:rPr>
                <w:rFonts w:ascii="黑体" w:eastAsia="黑体" w:cs="黑体"/>
                <w:kern w:val="0"/>
                <w:szCs w:val="21"/>
              </w:rPr>
            </w:pPr>
            <w:r>
              <w:rPr>
                <w:rFonts w:hint="eastAsia" w:ascii="黑体" w:hAnsi="黑体" w:eastAsia="黑体" w:cs="黑体"/>
                <w:kern w:val="0"/>
                <w:szCs w:val="21"/>
              </w:rPr>
              <w:t>特别提示</w:t>
            </w:r>
          </w:p>
        </w:tc>
        <w:tc>
          <w:tcPr>
            <w:tcW w:w="6857" w:type="dxa"/>
            <w:vAlign w:val="center"/>
          </w:tcPr>
          <w:p>
            <w:pPr>
              <w:pStyle w:val="9"/>
              <w:numPr>
                <w:ilvl w:val="0"/>
                <w:numId w:val="0"/>
              </w:num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中标企业根据采购人实际需求按照指定的收货地址及时供货，并向采购人提供收货单位的签收、验收单，否则自行承担一切损失。</w:t>
            </w:r>
          </w:p>
          <w:p>
            <w:pPr>
              <w:pStyle w:val="9"/>
              <w:numPr>
                <w:ilvl w:val="0"/>
                <w:numId w:val="0"/>
              </w:num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国家政策调整或取消该招标品种的，该品种将不再列入招标计划或如果已经进行了招标的该品种将作为无效招标处理，由此产生的一切费用和损失由投标人承担，招标采购单位不承担任何责任。</w:t>
            </w:r>
          </w:p>
          <w:p>
            <w:pPr>
              <w:pStyle w:val="9"/>
              <w:numPr>
                <w:ilvl w:val="0"/>
                <w:numId w:val="0"/>
              </w:num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由于天气、路况、检查、签到等特殊原因，建议投标企业排除各种因素提前</w:t>
            </w:r>
            <w:r>
              <w:rPr>
                <w:rFonts w:hint="eastAsia" w:asciiTheme="minorEastAsia" w:hAnsiTheme="minorEastAsia" w:eastAsiaTheme="minorEastAsia" w:cstheme="minorEastAsia"/>
                <w:color w:val="000000"/>
                <w:sz w:val="21"/>
                <w:szCs w:val="21"/>
              </w:rPr>
              <w:t>30</w:t>
            </w:r>
            <w:r>
              <w:rPr>
                <w:rFonts w:hint="eastAsia" w:asciiTheme="minorEastAsia" w:hAnsiTheme="minorEastAsia" w:eastAsiaTheme="minorEastAsia" w:cstheme="minorEastAsia"/>
                <w:sz w:val="21"/>
                <w:szCs w:val="21"/>
              </w:rPr>
              <w:t>分钟到达开标现场，依次填写签到表并递交所需文件；未按时递交文件的投标人不能进入投标现场。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585" w:hRule="atLeast"/>
          <w:jc w:val="center"/>
        </w:trPr>
        <w:tc>
          <w:tcPr>
            <w:tcW w:w="813" w:type="dxa"/>
            <w:vAlign w:val="center"/>
          </w:tcPr>
          <w:p>
            <w:pPr>
              <w:jc w:val="center"/>
              <w:rPr>
                <w:rFonts w:hint="default" w:ascii="宋体" w:eastAsia="宋体"/>
                <w:kern w:val="0"/>
                <w:szCs w:val="21"/>
                <w:lang w:val="en-US" w:eastAsia="zh-CN"/>
              </w:rPr>
            </w:pPr>
            <w:r>
              <w:rPr>
                <w:rFonts w:hint="eastAsia" w:ascii="宋体"/>
                <w:kern w:val="0"/>
                <w:szCs w:val="21"/>
                <w:lang w:val="en-US" w:eastAsia="zh-CN"/>
              </w:rPr>
              <w:t>34</w:t>
            </w:r>
          </w:p>
        </w:tc>
        <w:tc>
          <w:tcPr>
            <w:tcW w:w="1410" w:type="dxa"/>
            <w:vAlign w:val="center"/>
          </w:tcPr>
          <w:p>
            <w:pPr>
              <w:keepNext/>
              <w:widowControl/>
              <w:jc w:val="distribute"/>
              <w:rPr>
                <w:rFonts w:ascii="黑体" w:eastAsia="黑体" w:cs="黑体"/>
                <w:kern w:val="0"/>
                <w:szCs w:val="21"/>
              </w:rPr>
            </w:pPr>
            <w:r>
              <w:rPr>
                <w:rFonts w:hint="eastAsia" w:ascii="黑体" w:eastAsia="黑体" w:cs="黑体"/>
                <w:kern w:val="0"/>
                <w:szCs w:val="21"/>
              </w:rPr>
              <w:t>招标代理费</w:t>
            </w:r>
          </w:p>
        </w:tc>
        <w:tc>
          <w:tcPr>
            <w:tcW w:w="6857" w:type="dxa"/>
            <w:vAlign w:val="center"/>
          </w:tcPr>
          <w:p>
            <w:pPr>
              <w:snapToGrid w:val="0"/>
              <w:spacing w:line="290" w:lineRule="exact"/>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lang w:val="en-US" w:eastAsia="zh-CN"/>
              </w:rPr>
              <w:t>1、</w:t>
            </w:r>
            <w:r>
              <w:rPr>
                <w:rFonts w:hint="eastAsia" w:asciiTheme="minorEastAsia" w:hAnsiTheme="minorEastAsia" w:eastAsiaTheme="minorEastAsia" w:cstheme="minorEastAsia"/>
                <w:snapToGrid w:val="0"/>
                <w:szCs w:val="21"/>
              </w:rPr>
              <w:t>依据国家发展计划委员会文件（计价格[2002]1980号文）、（发改办价格〖2003〗857号）、（发改价格〖2011〗534号）标准取费（下表）及计算方法计算后再根据下浮比例（工程类、货物类、服务类下浮比例为50%），招标代理服务费收费标准如下：</w:t>
            </w:r>
          </w:p>
          <w:tbl>
            <w:tblPr>
              <w:tblStyle w:val="23"/>
              <w:tblW w:w="62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4"/>
              <w:gridCol w:w="1363"/>
              <w:gridCol w:w="1463"/>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 w:hRule="atLeast"/>
                <w:jc w:val="center"/>
              </w:trPr>
              <w:tc>
                <w:tcPr>
                  <w:tcW w:w="2034" w:type="dxa"/>
                  <w:noWrap/>
                </w:tcPr>
                <w:p>
                  <w:pPr>
                    <w:snapToGrid w:val="0"/>
                    <w:spacing w:line="290" w:lineRule="exact"/>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中标金额（万元）</w:t>
                  </w:r>
                </w:p>
              </w:tc>
              <w:tc>
                <w:tcPr>
                  <w:tcW w:w="1363" w:type="dxa"/>
                  <w:noWrap/>
                </w:tcPr>
                <w:p>
                  <w:pPr>
                    <w:snapToGrid w:val="0"/>
                    <w:spacing w:line="290" w:lineRule="exact"/>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货物招标</w:t>
                  </w:r>
                </w:p>
              </w:tc>
              <w:tc>
                <w:tcPr>
                  <w:tcW w:w="1463" w:type="dxa"/>
                  <w:noWrap/>
                </w:tcPr>
                <w:p>
                  <w:pPr>
                    <w:snapToGrid w:val="0"/>
                    <w:spacing w:line="290" w:lineRule="exact"/>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服务招标</w:t>
                  </w:r>
                </w:p>
              </w:tc>
              <w:tc>
                <w:tcPr>
                  <w:tcW w:w="1380" w:type="dxa"/>
                  <w:noWrap/>
                </w:tcPr>
                <w:p>
                  <w:pPr>
                    <w:snapToGrid w:val="0"/>
                    <w:spacing w:line="290" w:lineRule="exact"/>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jc w:val="center"/>
              </w:trPr>
              <w:tc>
                <w:tcPr>
                  <w:tcW w:w="2034" w:type="dxa"/>
                  <w:noWrap/>
                  <w:vAlign w:val="center"/>
                </w:tcPr>
                <w:p>
                  <w:pPr>
                    <w:snapToGrid w:val="0"/>
                    <w:spacing w:line="290" w:lineRule="exact"/>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100以下</w:t>
                  </w:r>
                </w:p>
              </w:tc>
              <w:tc>
                <w:tcPr>
                  <w:tcW w:w="1363" w:type="dxa"/>
                  <w:noWrap/>
                  <w:vAlign w:val="center"/>
                </w:tcPr>
                <w:p>
                  <w:pPr>
                    <w:snapToGrid w:val="0"/>
                    <w:spacing w:line="290" w:lineRule="exact"/>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1.50%</w:t>
                  </w:r>
                </w:p>
              </w:tc>
              <w:tc>
                <w:tcPr>
                  <w:tcW w:w="1463" w:type="dxa"/>
                  <w:noWrap/>
                  <w:vAlign w:val="center"/>
                </w:tcPr>
                <w:p>
                  <w:pPr>
                    <w:snapToGrid w:val="0"/>
                    <w:spacing w:line="290" w:lineRule="exact"/>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1.50%</w:t>
                  </w:r>
                </w:p>
              </w:tc>
              <w:tc>
                <w:tcPr>
                  <w:tcW w:w="1380" w:type="dxa"/>
                  <w:noWrap/>
                </w:tcPr>
                <w:p>
                  <w:pPr>
                    <w:snapToGrid w:val="0"/>
                    <w:spacing w:line="290" w:lineRule="exact"/>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jc w:val="center"/>
              </w:trPr>
              <w:tc>
                <w:tcPr>
                  <w:tcW w:w="2034" w:type="dxa"/>
                  <w:noWrap/>
                  <w:vAlign w:val="center"/>
                </w:tcPr>
                <w:p>
                  <w:pPr>
                    <w:snapToGrid w:val="0"/>
                    <w:spacing w:line="290" w:lineRule="exact"/>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100-500</w:t>
                  </w:r>
                </w:p>
              </w:tc>
              <w:tc>
                <w:tcPr>
                  <w:tcW w:w="1363" w:type="dxa"/>
                  <w:noWrap/>
                  <w:vAlign w:val="center"/>
                </w:tcPr>
                <w:p>
                  <w:pPr>
                    <w:snapToGrid w:val="0"/>
                    <w:spacing w:line="290" w:lineRule="exact"/>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1.10%</w:t>
                  </w:r>
                </w:p>
              </w:tc>
              <w:tc>
                <w:tcPr>
                  <w:tcW w:w="1463" w:type="dxa"/>
                  <w:noWrap/>
                  <w:vAlign w:val="center"/>
                </w:tcPr>
                <w:p>
                  <w:pPr>
                    <w:snapToGrid w:val="0"/>
                    <w:spacing w:line="290" w:lineRule="exact"/>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0.80%</w:t>
                  </w:r>
                </w:p>
              </w:tc>
              <w:tc>
                <w:tcPr>
                  <w:tcW w:w="1380" w:type="dxa"/>
                  <w:noWrap/>
                </w:tcPr>
                <w:p>
                  <w:pPr>
                    <w:snapToGrid w:val="0"/>
                    <w:spacing w:line="290" w:lineRule="exact"/>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 w:hRule="atLeast"/>
                <w:jc w:val="center"/>
              </w:trPr>
              <w:tc>
                <w:tcPr>
                  <w:tcW w:w="2034" w:type="dxa"/>
                  <w:noWrap/>
                  <w:vAlign w:val="center"/>
                </w:tcPr>
                <w:p>
                  <w:pPr>
                    <w:snapToGrid w:val="0"/>
                    <w:spacing w:line="290" w:lineRule="exact"/>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500-1000</w:t>
                  </w:r>
                </w:p>
              </w:tc>
              <w:tc>
                <w:tcPr>
                  <w:tcW w:w="1363" w:type="dxa"/>
                  <w:noWrap/>
                  <w:vAlign w:val="center"/>
                </w:tcPr>
                <w:p>
                  <w:pPr>
                    <w:snapToGrid w:val="0"/>
                    <w:spacing w:line="290" w:lineRule="exact"/>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0.80%</w:t>
                  </w:r>
                </w:p>
              </w:tc>
              <w:tc>
                <w:tcPr>
                  <w:tcW w:w="1463" w:type="dxa"/>
                  <w:noWrap/>
                  <w:vAlign w:val="center"/>
                </w:tcPr>
                <w:p>
                  <w:pPr>
                    <w:snapToGrid w:val="0"/>
                    <w:spacing w:line="290" w:lineRule="exact"/>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0.45%</w:t>
                  </w:r>
                </w:p>
              </w:tc>
              <w:tc>
                <w:tcPr>
                  <w:tcW w:w="1380" w:type="dxa"/>
                  <w:noWrap/>
                </w:tcPr>
                <w:p>
                  <w:pPr>
                    <w:snapToGrid w:val="0"/>
                    <w:spacing w:line="290" w:lineRule="exact"/>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atLeast"/>
                <w:jc w:val="center"/>
              </w:trPr>
              <w:tc>
                <w:tcPr>
                  <w:tcW w:w="2034" w:type="dxa"/>
                  <w:noWrap/>
                  <w:vAlign w:val="center"/>
                </w:tcPr>
                <w:p>
                  <w:pPr>
                    <w:snapToGrid w:val="0"/>
                    <w:spacing w:line="290" w:lineRule="exact"/>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1000-5000</w:t>
                  </w:r>
                </w:p>
              </w:tc>
              <w:tc>
                <w:tcPr>
                  <w:tcW w:w="1363" w:type="dxa"/>
                  <w:noWrap/>
                  <w:vAlign w:val="center"/>
                </w:tcPr>
                <w:p>
                  <w:pPr>
                    <w:snapToGrid w:val="0"/>
                    <w:spacing w:line="290" w:lineRule="exact"/>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0.50%</w:t>
                  </w:r>
                </w:p>
              </w:tc>
              <w:tc>
                <w:tcPr>
                  <w:tcW w:w="1463" w:type="dxa"/>
                  <w:noWrap/>
                  <w:vAlign w:val="center"/>
                </w:tcPr>
                <w:p>
                  <w:pPr>
                    <w:snapToGrid w:val="0"/>
                    <w:spacing w:line="290" w:lineRule="exact"/>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0.25%</w:t>
                  </w:r>
                </w:p>
              </w:tc>
              <w:tc>
                <w:tcPr>
                  <w:tcW w:w="1380" w:type="dxa"/>
                  <w:noWrap/>
                </w:tcPr>
                <w:p>
                  <w:pPr>
                    <w:snapToGrid w:val="0"/>
                    <w:spacing w:line="290" w:lineRule="exact"/>
                    <w:jc w:val="center"/>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0.35%</w:t>
                  </w:r>
                </w:p>
              </w:tc>
            </w:tr>
          </w:tbl>
          <w:p>
            <w:pPr>
              <w:snapToGrid w:val="0"/>
              <w:spacing w:line="290" w:lineRule="exact"/>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招标代理服务收费按差额定率累进法计算。例如：某项目招标代理业务中标金额为2000万元，计算招标代理服务收费额如下：</w:t>
            </w:r>
          </w:p>
          <w:p>
            <w:pPr>
              <w:snapToGrid w:val="0"/>
              <w:spacing w:line="290" w:lineRule="exact"/>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 xml:space="preserve"> 100万元×1.50%=1.5（万元）；</w:t>
            </w:r>
          </w:p>
          <w:p>
            <w:pPr>
              <w:snapToGrid w:val="0"/>
              <w:spacing w:line="290" w:lineRule="exact"/>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（500-100）万元×1.10%=4.4（万元）</w:t>
            </w:r>
          </w:p>
          <w:p>
            <w:pPr>
              <w:snapToGrid w:val="0"/>
              <w:spacing w:line="290" w:lineRule="exact"/>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（1000-500）万元×0.80%=4.0（万元）</w:t>
            </w:r>
          </w:p>
          <w:p>
            <w:pPr>
              <w:snapToGrid w:val="0"/>
              <w:spacing w:line="290" w:lineRule="exact"/>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（2000-1000）万元×0.50%=5.0（万元）</w:t>
            </w:r>
          </w:p>
          <w:p>
            <w:pPr>
              <w:pStyle w:val="9"/>
              <w:numPr>
                <w:ilvl w:val="0"/>
                <w:numId w:val="0"/>
              </w:numPr>
              <w:rPr>
                <w:rFonts w:asciiTheme="minorEastAsia" w:hAnsiTheme="minorEastAsia" w:eastAsiaTheme="minorEastAsia" w:cstheme="minorEastAsia"/>
                <w:snapToGrid w:val="0"/>
                <w:sz w:val="21"/>
                <w:szCs w:val="21"/>
              </w:rPr>
            </w:pPr>
            <w:r>
              <w:rPr>
                <w:rFonts w:hint="eastAsia" w:asciiTheme="minorEastAsia" w:hAnsiTheme="minorEastAsia" w:eastAsiaTheme="minorEastAsia" w:cstheme="minorEastAsia"/>
                <w:snapToGrid w:val="0"/>
                <w:sz w:val="21"/>
                <w:szCs w:val="21"/>
              </w:rPr>
              <w:t>合计收费=1.5+4.4+4.0+5.0=14.9(万元)</w:t>
            </w:r>
          </w:p>
          <w:p>
            <w:pPr>
              <w:pStyle w:val="9"/>
              <w:numPr>
                <w:ilvl w:val="0"/>
                <w:numId w:val="0"/>
              </w:numPr>
              <w:rPr>
                <w:rFonts w:asciiTheme="minorEastAsia" w:hAnsiTheme="minorEastAsia" w:eastAsiaTheme="minorEastAsia" w:cstheme="minorEastAsia"/>
                <w:b/>
                <w:bCs/>
                <w:snapToGrid w:val="0"/>
                <w:sz w:val="21"/>
                <w:szCs w:val="21"/>
              </w:rPr>
            </w:pPr>
            <w:r>
              <w:rPr>
                <w:rFonts w:hint="eastAsia" w:asciiTheme="minorEastAsia" w:hAnsiTheme="minorEastAsia" w:eastAsiaTheme="minorEastAsia" w:cstheme="minorEastAsia"/>
                <w:b/>
                <w:bCs/>
                <w:snapToGrid w:val="0"/>
                <w:sz w:val="21"/>
                <w:szCs w:val="21"/>
                <w:lang w:val="en-US" w:eastAsia="zh-CN"/>
              </w:rPr>
              <w:t>2、</w:t>
            </w:r>
            <w:r>
              <w:rPr>
                <w:rFonts w:hint="eastAsia" w:asciiTheme="minorEastAsia" w:hAnsiTheme="minorEastAsia" w:eastAsiaTheme="minorEastAsia" w:cstheme="minorEastAsia"/>
                <w:b/>
                <w:bCs/>
                <w:snapToGrid w:val="0"/>
                <w:sz w:val="21"/>
                <w:szCs w:val="21"/>
              </w:rPr>
              <w:t>中标企业在领取本项目中标通知书时，由中标企业向采购代理机构支付本项目代理费</w:t>
            </w:r>
            <w:r>
              <w:rPr>
                <w:rFonts w:hint="eastAsia" w:asciiTheme="minorEastAsia" w:hAnsiTheme="minorEastAsia" w:eastAsiaTheme="minorEastAsia" w:cstheme="minorEastAsia"/>
                <w:snapToGrid w:val="0"/>
                <w:sz w:val="21"/>
                <w:szCs w:val="21"/>
              </w:rPr>
              <w:t>；</w:t>
            </w:r>
          </w:p>
          <w:p>
            <w:pPr>
              <w:snapToGrid w:val="0"/>
              <w:spacing w:line="290" w:lineRule="exact"/>
              <w:rPr>
                <w:rFonts w:asciiTheme="minorEastAsia" w:hAnsiTheme="minorEastAsia" w:eastAsiaTheme="minorEastAsia" w:cstheme="minorEastAsia"/>
                <w:b/>
                <w:bCs/>
                <w:snapToGrid w:val="0"/>
                <w:szCs w:val="21"/>
              </w:rPr>
            </w:pPr>
            <w:r>
              <w:rPr>
                <w:rFonts w:hint="eastAsia" w:asciiTheme="minorEastAsia" w:hAnsiTheme="minorEastAsia" w:eastAsiaTheme="minorEastAsia" w:cstheme="minorEastAsia"/>
                <w:b/>
                <w:bCs/>
                <w:snapToGrid w:val="0"/>
                <w:szCs w:val="21"/>
                <w:lang w:val="en-US" w:eastAsia="zh-CN"/>
              </w:rPr>
              <w:t>3、</w:t>
            </w:r>
            <w:r>
              <w:rPr>
                <w:rFonts w:hint="eastAsia" w:asciiTheme="minorEastAsia" w:hAnsiTheme="minorEastAsia" w:eastAsiaTheme="minorEastAsia" w:cstheme="minorEastAsia"/>
                <w:b/>
                <w:bCs/>
                <w:snapToGrid w:val="0"/>
                <w:szCs w:val="21"/>
              </w:rPr>
              <w:t>代理费支付到以下账户信息</w:t>
            </w:r>
          </w:p>
          <w:p>
            <w:pPr>
              <w:snapToGrid w:val="0"/>
              <w:spacing w:line="290" w:lineRule="exact"/>
              <w:rPr>
                <w:rFonts w:asciiTheme="minorEastAsia" w:hAnsiTheme="minorEastAsia" w:eastAsiaTheme="minorEastAsia" w:cstheme="minorEastAsia"/>
                <w:snapToGrid w:val="0"/>
                <w:szCs w:val="21"/>
              </w:rPr>
            </w:pPr>
            <w:r>
              <w:rPr>
                <w:rFonts w:hint="eastAsia" w:asciiTheme="minorEastAsia" w:hAnsiTheme="minorEastAsia" w:eastAsiaTheme="minorEastAsia" w:cstheme="minorEastAsia"/>
                <w:snapToGrid w:val="0"/>
                <w:szCs w:val="21"/>
              </w:rPr>
              <w:t xml:space="preserve">    户名：新疆世纪华中工程项目管理有限公司</w:t>
            </w:r>
            <w:r>
              <w:rPr>
                <w:rFonts w:hint="eastAsia" w:asciiTheme="minorEastAsia" w:hAnsiTheme="minorEastAsia" w:eastAsiaTheme="minorEastAsia" w:cstheme="minorEastAsia"/>
                <w:snapToGrid w:val="0"/>
                <w:szCs w:val="21"/>
              </w:rPr>
              <w:br w:type="textWrapping"/>
            </w:r>
            <w:r>
              <w:rPr>
                <w:rFonts w:hint="eastAsia" w:asciiTheme="minorEastAsia" w:hAnsiTheme="minorEastAsia" w:eastAsiaTheme="minorEastAsia" w:cstheme="minorEastAsia"/>
                <w:snapToGrid w:val="0"/>
                <w:szCs w:val="21"/>
              </w:rPr>
              <w:t>  账号：0000 0200 7011 0038 538228</w:t>
            </w:r>
            <w:r>
              <w:rPr>
                <w:rFonts w:hint="eastAsia" w:asciiTheme="minorEastAsia" w:hAnsiTheme="minorEastAsia" w:eastAsiaTheme="minorEastAsia" w:cstheme="minorEastAsia"/>
                <w:snapToGrid w:val="0"/>
                <w:szCs w:val="21"/>
              </w:rPr>
              <w:br w:type="textWrapping"/>
            </w:r>
            <w:r>
              <w:rPr>
                <w:rFonts w:hint="eastAsia" w:asciiTheme="minorEastAsia" w:hAnsiTheme="minorEastAsia" w:eastAsiaTheme="minorEastAsia" w:cstheme="minorEastAsia"/>
                <w:snapToGrid w:val="0"/>
                <w:szCs w:val="21"/>
              </w:rPr>
              <w:t xml:space="preserve">    行名：乌鲁木齐银行股份有限公司乌鲁木齐米东支行</w:t>
            </w:r>
          </w:p>
          <w:p>
            <w:pPr>
              <w:pStyle w:val="9"/>
              <w:numPr>
                <w:ilvl w:val="0"/>
                <w:numId w:val="0"/>
              </w:numPr>
              <w:ind w:firstLine="420" w:firstLineChars="200"/>
              <w:rPr>
                <w:rFonts w:ascii="宋体" w:eastAsia="宋体" w:cs="宋体"/>
                <w:snapToGrid w:val="0"/>
                <w:sz w:val="21"/>
                <w:szCs w:val="21"/>
              </w:rPr>
            </w:pPr>
            <w:r>
              <w:rPr>
                <w:rFonts w:hint="eastAsia" w:asciiTheme="minorEastAsia" w:hAnsiTheme="minorEastAsia" w:eastAsiaTheme="minorEastAsia" w:cstheme="minorEastAsia"/>
                <w:snapToGrid w:val="0"/>
                <w:sz w:val="21"/>
                <w:szCs w:val="21"/>
              </w:rPr>
              <w:t xml:space="preserve">行号：313881000703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585" w:hRule="atLeast"/>
          <w:jc w:val="center"/>
        </w:trPr>
        <w:tc>
          <w:tcPr>
            <w:tcW w:w="813" w:type="dxa"/>
            <w:vAlign w:val="center"/>
          </w:tcPr>
          <w:p>
            <w:pPr>
              <w:jc w:val="center"/>
              <w:rPr>
                <w:rFonts w:hint="default" w:ascii="宋体" w:eastAsia="宋体"/>
                <w:kern w:val="0"/>
                <w:szCs w:val="21"/>
                <w:lang w:val="en-US" w:eastAsia="zh-CN"/>
              </w:rPr>
            </w:pPr>
            <w:r>
              <w:rPr>
                <w:rFonts w:hint="eastAsia" w:ascii="宋体"/>
                <w:kern w:val="0"/>
                <w:szCs w:val="21"/>
                <w:lang w:val="en-US" w:eastAsia="zh-CN"/>
              </w:rPr>
              <w:t>35</w:t>
            </w:r>
          </w:p>
        </w:tc>
        <w:tc>
          <w:tcPr>
            <w:tcW w:w="1410" w:type="dxa"/>
            <w:vAlign w:val="center"/>
          </w:tcPr>
          <w:p>
            <w:pPr>
              <w:keepNext/>
              <w:widowControl/>
              <w:jc w:val="distribute"/>
              <w:rPr>
                <w:rFonts w:hint="eastAsia" w:ascii="黑体" w:eastAsia="黑体" w:cs="黑体"/>
                <w:kern w:val="0"/>
                <w:szCs w:val="21"/>
              </w:rPr>
            </w:pPr>
            <w:r>
              <w:rPr>
                <w:rFonts w:hint="eastAsia" w:ascii="黑体" w:eastAsia="黑体" w:cs="黑体"/>
                <w:kern w:val="0"/>
                <w:szCs w:val="21"/>
              </w:rPr>
              <w:t>备注</w:t>
            </w:r>
          </w:p>
        </w:tc>
        <w:tc>
          <w:tcPr>
            <w:tcW w:w="6857" w:type="dxa"/>
            <w:vAlign w:val="center"/>
          </w:tcPr>
          <w:p>
            <w:pPr>
              <w:pStyle w:val="8"/>
              <w:spacing w:line="320" w:lineRule="exact"/>
              <w:rPr>
                <w:rFonts w:hint="eastAsia" w:asciiTheme="minorEastAsia" w:hAnsiTheme="minorEastAsia" w:eastAsiaTheme="minorEastAsia" w:cstheme="minorEastAsia"/>
                <w:snapToGrid w:val="0"/>
                <w:kern w:val="2"/>
                <w:sz w:val="21"/>
                <w:szCs w:val="21"/>
                <w:lang w:val="en-US" w:eastAsia="zh-CN" w:bidi="ar-SA"/>
              </w:rPr>
            </w:pPr>
            <w:r>
              <w:rPr>
                <w:rFonts w:hint="eastAsia" w:asciiTheme="minorEastAsia" w:hAnsiTheme="minorEastAsia" w:eastAsiaTheme="minorEastAsia" w:cstheme="minorEastAsia"/>
                <w:snapToGrid w:val="0"/>
                <w:kern w:val="2"/>
                <w:sz w:val="21"/>
                <w:szCs w:val="21"/>
                <w:lang w:val="en-US" w:eastAsia="zh-CN" w:bidi="ar-SA"/>
              </w:rPr>
              <w:t>1、招标（采购）文件中部分加“*”、加粗、加下划线、废标、无效标、投标被拒绝字样的条款，为招标的实质性要求和条件，着重提醒各投标人注意，并认真查看招标（采购）文件中的每一个条款及要求，因误读招标（采购）文件而造成的后果，招标人概不负责。</w:t>
            </w:r>
          </w:p>
          <w:p>
            <w:pPr>
              <w:pStyle w:val="8"/>
              <w:spacing w:line="320" w:lineRule="exact"/>
              <w:rPr>
                <w:rFonts w:hint="eastAsia" w:asciiTheme="minorEastAsia" w:hAnsiTheme="minorEastAsia" w:eastAsiaTheme="minorEastAsia" w:cstheme="minorEastAsia"/>
                <w:snapToGrid w:val="0"/>
                <w:kern w:val="2"/>
                <w:sz w:val="21"/>
                <w:szCs w:val="21"/>
                <w:lang w:val="en-US" w:eastAsia="zh-CN" w:bidi="ar-SA"/>
              </w:rPr>
            </w:pPr>
            <w:r>
              <w:rPr>
                <w:rFonts w:hint="eastAsia" w:asciiTheme="minorEastAsia" w:hAnsiTheme="minorEastAsia" w:eastAsiaTheme="minorEastAsia" w:cstheme="minorEastAsia"/>
                <w:snapToGrid w:val="0"/>
                <w:kern w:val="2"/>
                <w:sz w:val="21"/>
                <w:szCs w:val="21"/>
                <w:lang w:val="en-US" w:eastAsia="zh-CN" w:bidi="ar-SA"/>
              </w:rPr>
              <w:t>2、投标（响应）文件中有弄虚作假的内容，其投标（响应）文件作废。（如假证书、假业绩、隐瞒不良行为记录、夸大荣誉、使用非本单位在职员工的相关证件及不符合招标（采购）文件规定的条款等）；在签订合同之前，投标人如发现投标人的投标（响应）文件有弄虚作假内容，招标人可拒绝与其签订合同。并将其列入政府采购黑名单库。</w:t>
            </w:r>
          </w:p>
          <w:p>
            <w:pPr>
              <w:pStyle w:val="9"/>
              <w:numPr>
                <w:ilvl w:val="0"/>
                <w:numId w:val="0"/>
              </w:numPr>
              <w:rPr>
                <w:rFonts w:hint="eastAsia" w:asciiTheme="minorEastAsia" w:hAnsiTheme="minorEastAsia" w:eastAsiaTheme="minorEastAsia" w:cstheme="minorEastAsia"/>
                <w:snapToGrid w:val="0"/>
                <w:sz w:val="21"/>
                <w:szCs w:val="21"/>
              </w:rPr>
            </w:pPr>
            <w:r>
              <w:rPr>
                <w:rFonts w:hint="eastAsia" w:asciiTheme="minorEastAsia" w:hAnsiTheme="minorEastAsia" w:eastAsiaTheme="minorEastAsia" w:cstheme="minorEastAsia"/>
                <w:snapToGrid w:val="0"/>
                <w:kern w:val="2"/>
                <w:sz w:val="21"/>
                <w:szCs w:val="21"/>
                <w:lang w:val="en-US" w:eastAsia="zh-CN" w:bidi="ar-SA"/>
              </w:rPr>
              <w:t>3、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tc>
      </w:tr>
    </w:tbl>
    <w:p>
      <w:pPr>
        <w:jc w:val="left"/>
        <w:rPr>
          <w:rFonts w:ascii="宋体" w:cs="宋体"/>
          <w:sz w:val="24"/>
        </w:rPr>
      </w:pPr>
      <w:r>
        <w:rPr>
          <w:rFonts w:hint="eastAsia" w:ascii="宋体"/>
          <w:b/>
          <w:bCs/>
          <w:szCs w:val="21"/>
        </w:rPr>
        <w:t>说明：《投标人须知前附表》是对投标须知条款的具体规定和补充，投标人应详细阅读，如有矛盾，以本资料表为准。</w:t>
      </w:r>
    </w:p>
    <w:p>
      <w:pPr>
        <w:rPr>
          <w:rFonts w:ascii="Times New Roman" w:hAnsi="Times New Roman" w:cs="Times New Roman"/>
          <w:sz w:val="24"/>
        </w:rPr>
      </w:pPr>
      <w:r>
        <w:rPr>
          <w:rFonts w:ascii="Times New Roman" w:hAnsi="Times New Roman" w:cs="Times New Roman"/>
          <w:sz w:val="24"/>
        </w:rPr>
        <w:br w:type="page"/>
      </w:r>
    </w:p>
    <w:p>
      <w:pPr>
        <w:pStyle w:val="3"/>
        <w:jc w:val="center"/>
        <w:rPr>
          <w:rFonts w:ascii="黑体" w:eastAsia="黑体" w:cs="黑体"/>
          <w:sz w:val="24"/>
        </w:rPr>
      </w:pPr>
      <w:r>
        <w:rPr>
          <w:rFonts w:hint="eastAsia" w:ascii="黑体" w:eastAsia="黑体" w:cs="黑体"/>
          <w:sz w:val="24"/>
        </w:rPr>
        <w:t xml:space="preserve"> </w:t>
      </w:r>
      <w:bookmarkStart w:id="1" w:name="_Toc17552"/>
      <w:r>
        <w:rPr>
          <w:rFonts w:hint="eastAsia" w:ascii="黑体" w:eastAsia="黑体" w:cs="黑体"/>
          <w:sz w:val="24"/>
        </w:rPr>
        <w:t>第二章 投标须知</w:t>
      </w:r>
      <w:bookmarkEnd w:id="1"/>
    </w:p>
    <w:p>
      <w:pPr>
        <w:pStyle w:val="4"/>
        <w:jc w:val="center"/>
        <w:rPr>
          <w:rFonts w:cs="宋体"/>
          <w:sz w:val="24"/>
          <w:szCs w:val="24"/>
        </w:rPr>
      </w:pPr>
      <w:bookmarkStart w:id="2" w:name="_Toc10640"/>
      <w:bookmarkStart w:id="3" w:name="_Toc17407"/>
      <w:r>
        <w:rPr>
          <w:rFonts w:ascii="Times New Roman" w:hAnsi="Times New Roman"/>
          <w:sz w:val="24"/>
          <w:szCs w:val="24"/>
        </w:rPr>
        <w:t>第</w:t>
      </w:r>
      <w:r>
        <w:rPr>
          <w:rFonts w:hint="eastAsia" w:ascii="Times New Roman" w:hAnsi="Times New Roman"/>
          <w:sz w:val="24"/>
          <w:szCs w:val="24"/>
        </w:rPr>
        <w:t>一</w:t>
      </w:r>
      <w:r>
        <w:rPr>
          <w:rFonts w:ascii="Times New Roman" w:hAnsi="Times New Roman"/>
          <w:sz w:val="24"/>
          <w:szCs w:val="24"/>
        </w:rPr>
        <w:t>节</w:t>
      </w:r>
      <w:r>
        <w:rPr>
          <w:rFonts w:hint="eastAsia" w:ascii="Times New Roman" w:hAnsi="Times New Roman"/>
          <w:sz w:val="24"/>
          <w:szCs w:val="24"/>
        </w:rPr>
        <w:t xml:space="preserve"> 总则</w:t>
      </w:r>
      <w:bookmarkEnd w:id="2"/>
    </w:p>
    <w:bookmarkEnd w:id="3"/>
    <w:p>
      <w:pPr>
        <w:widowControl/>
        <w:shd w:val="clear" w:color="auto" w:fill="FFFFFF"/>
        <w:snapToGrid w:val="0"/>
        <w:spacing w:line="360" w:lineRule="auto"/>
        <w:rPr>
          <w:rFonts w:ascii="宋体" w:cs="宋体"/>
          <w:b/>
          <w:bCs/>
          <w:kern w:val="0"/>
          <w:sz w:val="24"/>
        </w:rPr>
      </w:pPr>
      <w:r>
        <w:rPr>
          <w:rFonts w:hint="eastAsia" w:ascii="宋体" w:cs="宋体"/>
          <w:b/>
          <w:bCs/>
          <w:kern w:val="0"/>
          <w:sz w:val="24"/>
        </w:rPr>
        <w:t>一、适用范围</w:t>
      </w:r>
    </w:p>
    <w:p>
      <w:pPr>
        <w:spacing w:line="360" w:lineRule="auto"/>
        <w:ind w:firstLine="480" w:firstLineChars="200"/>
        <w:rPr>
          <w:rFonts w:ascii="宋体" w:cs="宋体"/>
          <w:sz w:val="24"/>
        </w:rPr>
      </w:pPr>
      <w:r>
        <w:rPr>
          <w:rFonts w:hint="eastAsia" w:ascii="宋体" w:cs="宋体"/>
          <w:sz w:val="24"/>
        </w:rPr>
        <w:t>根据《中华人民共和国招标投标法》等有关法律、法规和规章的规定，本招标项目已具备招标条件，本次招标采取</w:t>
      </w:r>
      <w:r>
        <w:rPr>
          <w:rFonts w:hint="eastAsia" w:ascii="宋体" w:cs="宋体"/>
          <w:b/>
          <w:bCs/>
          <w:sz w:val="24"/>
        </w:rPr>
        <w:t>公开招标方式</w:t>
      </w:r>
      <w:r>
        <w:rPr>
          <w:rFonts w:hint="eastAsia" w:ascii="宋体" w:cs="宋体"/>
          <w:sz w:val="24"/>
        </w:rPr>
        <w:t>，且文件仅适用于本招标项目中所叙述的货物和服务等。</w:t>
      </w:r>
    </w:p>
    <w:p>
      <w:pPr>
        <w:spacing w:line="360" w:lineRule="auto"/>
        <w:ind w:firstLine="480" w:firstLineChars="200"/>
        <w:rPr>
          <w:rFonts w:asciiTheme="minorEastAsia" w:hAnsiTheme="minorEastAsia" w:eastAsiaTheme="minorEastAsia" w:cstheme="minorEastAsia"/>
          <w:sz w:val="24"/>
        </w:rPr>
      </w:pPr>
      <w:r>
        <w:rPr>
          <w:rFonts w:hint="eastAsia" w:ascii="宋体" w:cs="宋体"/>
          <w:sz w:val="24"/>
        </w:rPr>
        <w:t>1.1</w:t>
      </w:r>
      <w:r>
        <w:rPr>
          <w:rFonts w:hint="eastAsia" w:asciiTheme="minorEastAsia" w:hAnsiTheme="minorEastAsia" w:eastAsiaTheme="minorEastAsia" w:cstheme="minorEastAsia"/>
          <w:sz w:val="24"/>
        </w:rPr>
        <w:t>采购人：见投标人须知前附表；</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1.2采购代理机构：见投标人须知前附表；</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1.3“招标采购单位”系指“采购人”和“采购代理机构”的统称；</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1.4投标人：购买了招标文件拟参加投标和向采购人提供服务的供应商；</w:t>
      </w:r>
    </w:p>
    <w:p>
      <w:pPr>
        <w:spacing w:line="360" w:lineRule="auto"/>
        <w:ind w:firstLine="480" w:firstLineChars="200"/>
        <w:rPr>
          <w:rFonts w:ascii="宋体" w:cs="宋体"/>
          <w:sz w:val="24"/>
        </w:rPr>
      </w:pPr>
      <w:r>
        <w:rPr>
          <w:rFonts w:hint="eastAsia" w:asciiTheme="minorEastAsia" w:hAnsiTheme="minorEastAsia" w:eastAsiaTheme="minorEastAsia" w:cstheme="minorEastAsia"/>
          <w:sz w:val="24"/>
        </w:rPr>
        <w:t>1.5项目名称：见投标人须知前附表</w:t>
      </w:r>
    </w:p>
    <w:p>
      <w:pPr>
        <w:spacing w:line="360" w:lineRule="auto"/>
        <w:ind w:firstLine="480" w:firstLineChars="200"/>
        <w:rPr>
          <w:rFonts w:asciiTheme="minorEastAsia" w:hAnsiTheme="minorEastAsia" w:eastAsiaTheme="minorEastAsia" w:cstheme="minorEastAsia"/>
          <w:sz w:val="24"/>
        </w:rPr>
      </w:pPr>
      <w:r>
        <w:rPr>
          <w:rFonts w:hint="eastAsia" w:ascii="宋体" w:cs="宋体"/>
          <w:sz w:val="24"/>
        </w:rPr>
        <w:t>1.6供货地址：见投标人须知前</w:t>
      </w:r>
      <w:r>
        <w:rPr>
          <w:rFonts w:hint="eastAsia" w:asciiTheme="minorEastAsia" w:hAnsiTheme="minorEastAsia" w:eastAsiaTheme="minorEastAsia" w:cstheme="minorEastAsia"/>
          <w:sz w:val="24"/>
        </w:rPr>
        <w:t>附表</w:t>
      </w:r>
    </w:p>
    <w:p>
      <w:pPr>
        <w:spacing w:line="360" w:lineRule="auto"/>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二、资金来源</w:t>
      </w:r>
    </w:p>
    <w:p>
      <w:pPr>
        <w:spacing w:line="360" w:lineRule="auto"/>
        <w:ind w:firstLine="480" w:firstLineChars="200"/>
        <w:rPr>
          <w:rFonts w:ascii="宋体" w:cs="宋体"/>
          <w:sz w:val="24"/>
        </w:rPr>
      </w:pPr>
      <w:r>
        <w:rPr>
          <w:rFonts w:hint="eastAsia" w:asciiTheme="minorEastAsia" w:hAnsiTheme="minorEastAsia" w:eastAsiaTheme="minorEastAsia" w:cstheme="minorEastAsia"/>
          <w:sz w:val="24"/>
        </w:rPr>
        <w:t>2.1资金情况：见投标人须知前附表</w:t>
      </w:r>
    </w:p>
    <w:p>
      <w:pPr>
        <w:spacing w:line="360" w:lineRule="auto"/>
        <w:ind w:firstLine="480" w:firstLineChars="200"/>
        <w:rPr>
          <w:rFonts w:asciiTheme="minorEastAsia" w:hAnsiTheme="minorEastAsia" w:eastAsiaTheme="minorEastAsia" w:cstheme="minorEastAsia"/>
          <w:sz w:val="24"/>
        </w:rPr>
      </w:pPr>
      <w:r>
        <w:rPr>
          <w:rFonts w:hint="eastAsia" w:ascii="宋体" w:cs="宋体"/>
          <w:sz w:val="24"/>
        </w:rPr>
        <w:t>2.2最高</w:t>
      </w:r>
      <w:r>
        <w:rPr>
          <w:rFonts w:hint="eastAsia" w:asciiTheme="minorEastAsia" w:hAnsiTheme="minorEastAsia" w:eastAsiaTheme="minorEastAsia" w:cstheme="minorEastAsia"/>
          <w:sz w:val="24"/>
          <w:lang w:val="zh-CN"/>
        </w:rPr>
        <w:t>限价</w:t>
      </w:r>
      <w:r>
        <w:rPr>
          <w:rFonts w:hint="eastAsia" w:asciiTheme="minorEastAsia" w:hAnsiTheme="minorEastAsia" w:eastAsiaTheme="minorEastAsia" w:cstheme="minorEastAsia"/>
          <w:sz w:val="24"/>
        </w:rPr>
        <w:t>：见投标人须知前附表</w:t>
      </w:r>
    </w:p>
    <w:p>
      <w:pPr>
        <w:spacing w:line="360" w:lineRule="auto"/>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三、招标范围、计划工期和质量要求</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3.1本招标项目的范围：见投标人须知前附表</w:t>
      </w:r>
    </w:p>
    <w:p>
      <w:pPr>
        <w:spacing w:line="360" w:lineRule="auto"/>
        <w:ind w:firstLine="480" w:firstLineChars="200"/>
        <w:rPr>
          <w:rFonts w:ascii="宋体" w:cs="宋体"/>
          <w:sz w:val="24"/>
        </w:rPr>
      </w:pPr>
      <w:r>
        <w:rPr>
          <w:rFonts w:hint="eastAsia" w:asciiTheme="minorEastAsia" w:hAnsiTheme="minorEastAsia" w:eastAsiaTheme="minorEastAsia" w:cstheme="minorEastAsia"/>
          <w:sz w:val="24"/>
        </w:rPr>
        <w:t>3.2本招标项目的供货周期：见</w:t>
      </w:r>
      <w:r>
        <w:rPr>
          <w:rFonts w:hint="eastAsia" w:ascii="宋体" w:cs="宋体"/>
          <w:sz w:val="24"/>
        </w:rPr>
        <w:t>投标人须知前附表</w:t>
      </w:r>
    </w:p>
    <w:p>
      <w:pPr>
        <w:spacing w:line="360" w:lineRule="auto"/>
        <w:ind w:firstLine="480" w:firstLineChars="200"/>
      </w:pPr>
      <w:r>
        <w:rPr>
          <w:rFonts w:hint="eastAsia" w:ascii="宋体" w:cs="宋体"/>
          <w:sz w:val="24"/>
        </w:rPr>
        <w:t>3.3本招标项目的质量要求：见投标人须知前附表</w:t>
      </w:r>
    </w:p>
    <w:p>
      <w:pPr>
        <w:widowControl/>
        <w:shd w:val="clear" w:color="auto" w:fill="FFFFFF"/>
        <w:snapToGrid w:val="0"/>
        <w:spacing w:line="360" w:lineRule="auto"/>
        <w:rPr>
          <w:rFonts w:ascii="宋体"/>
          <w:b/>
          <w:bCs/>
          <w:kern w:val="0"/>
          <w:sz w:val="24"/>
        </w:rPr>
      </w:pPr>
      <w:r>
        <w:rPr>
          <w:rFonts w:hint="eastAsia" w:ascii="宋体" w:cs="宋体"/>
          <w:b/>
          <w:bCs/>
          <w:sz w:val="24"/>
        </w:rPr>
        <w:t>四、</w:t>
      </w:r>
      <w:r>
        <w:rPr>
          <w:rFonts w:hint="eastAsia" w:ascii="宋体"/>
          <w:b/>
          <w:bCs/>
          <w:kern w:val="0"/>
          <w:sz w:val="24"/>
        </w:rPr>
        <w:t>申请人的资格要求及</w:t>
      </w:r>
      <w:r>
        <w:rPr>
          <w:rFonts w:hint="eastAsia" w:ascii="宋体" w:cs="宋体"/>
          <w:b/>
          <w:bCs/>
          <w:sz w:val="24"/>
          <w:shd w:val="clear" w:color="auto" w:fill="FFFFFF"/>
        </w:rPr>
        <w:t>特殊资格要求：</w:t>
      </w:r>
      <w:r>
        <w:rPr>
          <w:rFonts w:hint="eastAsia" w:ascii="宋体" w:cs="宋体"/>
          <w:sz w:val="24"/>
        </w:rPr>
        <w:t>见投标人须知前附表</w:t>
      </w:r>
    </w:p>
    <w:p>
      <w:pPr>
        <w:spacing w:line="360" w:lineRule="auto"/>
        <w:ind w:firstLine="480" w:firstLineChars="200"/>
        <w:rPr>
          <w:rFonts w:ascii="宋体" w:cs="宋体"/>
          <w:b/>
          <w:bCs/>
          <w:color w:val="111111"/>
          <w:sz w:val="24"/>
          <w:shd w:val="clear" w:color="auto" w:fill="FFFFFF"/>
        </w:rPr>
      </w:pPr>
      <w:r>
        <w:rPr>
          <w:rFonts w:hint="eastAsia" w:ascii="宋体"/>
          <w:kern w:val="0"/>
          <w:sz w:val="24"/>
        </w:rPr>
        <w:t>4.1 满足《中华人民共和国政府采购法》第二十二条规定：</w:t>
      </w:r>
    </w:p>
    <w:p>
      <w:pPr>
        <w:spacing w:line="360" w:lineRule="auto"/>
        <w:ind w:firstLine="480" w:firstLineChars="200"/>
        <w:rPr>
          <w:rFonts w:ascii="宋体" w:cs="宋体"/>
          <w:b/>
          <w:bCs/>
          <w:color w:val="111111"/>
          <w:sz w:val="24"/>
          <w:shd w:val="clear" w:color="auto" w:fill="FFFFFF"/>
        </w:rPr>
      </w:pPr>
      <w:r>
        <w:rPr>
          <w:rFonts w:hint="eastAsia" w:ascii="宋体" w:cs="宋体"/>
          <w:sz w:val="24"/>
        </w:rPr>
        <w:t>⑴ 具有独立承担民事责任的能力；</w:t>
      </w:r>
    </w:p>
    <w:p>
      <w:pPr>
        <w:spacing w:line="360" w:lineRule="auto"/>
        <w:ind w:firstLine="480" w:firstLineChars="200"/>
        <w:rPr>
          <w:rFonts w:ascii="宋体" w:cs="宋体"/>
          <w:b/>
          <w:bCs/>
          <w:color w:val="111111"/>
          <w:sz w:val="24"/>
          <w:shd w:val="clear" w:color="auto" w:fill="FFFFFF"/>
        </w:rPr>
      </w:pPr>
      <w:r>
        <w:rPr>
          <w:rFonts w:hint="eastAsia" w:ascii="宋体" w:cs="宋体"/>
          <w:sz w:val="24"/>
        </w:rPr>
        <w:t>⑵ 具有良好的商业信誉和健全的财务会计制度；</w:t>
      </w:r>
    </w:p>
    <w:p>
      <w:pPr>
        <w:spacing w:line="360" w:lineRule="auto"/>
        <w:ind w:firstLine="480" w:firstLineChars="200"/>
        <w:jc w:val="left"/>
        <w:rPr>
          <w:rFonts w:ascii="宋体" w:cs="宋体"/>
          <w:color w:val="000000"/>
          <w:sz w:val="24"/>
        </w:rPr>
      </w:pPr>
      <w:r>
        <w:rPr>
          <w:rFonts w:hint="eastAsia" w:ascii="宋体" w:cs="宋体"/>
          <w:sz w:val="24"/>
        </w:rPr>
        <w:t>⑶ 具有履行合同所必需的设备和专业技术能力；</w:t>
      </w:r>
    </w:p>
    <w:p>
      <w:pPr>
        <w:spacing w:line="360" w:lineRule="auto"/>
        <w:ind w:firstLine="480" w:firstLineChars="200"/>
        <w:rPr>
          <w:rFonts w:ascii="宋体" w:cs="宋体"/>
          <w:b/>
          <w:bCs/>
          <w:color w:val="111111"/>
          <w:sz w:val="24"/>
          <w:shd w:val="clear" w:color="auto" w:fill="FFFFFF"/>
        </w:rPr>
      </w:pPr>
      <w:r>
        <w:rPr>
          <w:rFonts w:hint="eastAsia" w:ascii="宋体" w:cs="宋体"/>
          <w:sz w:val="24"/>
        </w:rPr>
        <w:t>⑷ 有依法缴纳税收和社会保障资金的良好记录；；</w:t>
      </w:r>
    </w:p>
    <w:p>
      <w:pPr>
        <w:spacing w:line="360" w:lineRule="auto"/>
        <w:ind w:firstLine="480" w:firstLineChars="200"/>
        <w:rPr>
          <w:rFonts w:ascii="宋体" w:cs="宋体"/>
          <w:b/>
          <w:bCs/>
          <w:color w:val="111111"/>
          <w:sz w:val="24"/>
          <w:shd w:val="clear" w:color="auto" w:fill="FFFFFF"/>
        </w:rPr>
      </w:pPr>
      <w:r>
        <w:rPr>
          <w:rFonts w:hint="eastAsia" w:ascii="宋体" w:cs="宋体"/>
          <w:sz w:val="24"/>
        </w:rPr>
        <w:t>⑸ 参加政府采购活动前三年内，在经营活动中没有重大违法记录；</w:t>
      </w:r>
    </w:p>
    <w:p>
      <w:pPr>
        <w:spacing w:line="360" w:lineRule="auto"/>
        <w:ind w:firstLine="480" w:firstLineChars="200"/>
        <w:rPr>
          <w:rFonts w:ascii="宋体" w:cs="宋体"/>
          <w:sz w:val="24"/>
        </w:rPr>
      </w:pPr>
      <w:r>
        <w:rPr>
          <w:rFonts w:hint="eastAsia" w:ascii="宋体" w:cs="宋体"/>
          <w:sz w:val="24"/>
        </w:rPr>
        <w:t>⑹ 法律、行政法规规定的其他条件。</w:t>
      </w:r>
    </w:p>
    <w:p>
      <w:pPr>
        <w:spacing w:line="360" w:lineRule="auto"/>
        <w:ind w:firstLine="720" w:firstLineChars="300"/>
        <w:rPr>
          <w:rFonts w:ascii="宋体" w:cs="宋体"/>
          <w:b/>
          <w:bCs/>
          <w:color w:val="111111"/>
          <w:sz w:val="24"/>
          <w:shd w:val="clear" w:color="auto" w:fill="FFFFFF"/>
        </w:rPr>
      </w:pPr>
      <w:r>
        <w:rPr>
          <w:rFonts w:hint="eastAsia" w:ascii="宋体"/>
          <w:kern w:val="0"/>
          <w:sz w:val="24"/>
        </w:rPr>
        <w:t xml:space="preserve">4.2 </w:t>
      </w:r>
      <w:r>
        <w:rPr>
          <w:rFonts w:hint="eastAsia" w:ascii="宋体" w:cs="宋体"/>
          <w:color w:val="111111"/>
          <w:sz w:val="24"/>
          <w:shd w:val="clear" w:color="auto" w:fill="FFFFFF"/>
        </w:rPr>
        <w:t>落实政府采购政策需满足得资格要求：</w:t>
      </w:r>
      <w:r>
        <w:rPr>
          <w:rFonts w:hint="eastAsia" w:asciiTheme="minorEastAsia" w:hAnsiTheme="minorEastAsia" w:eastAsiaTheme="minorEastAsia" w:cstheme="minorEastAsia"/>
          <w:szCs w:val="21"/>
        </w:rPr>
        <w:t>节能产品，适用；环境标志产品，适用；小型、微型企业符合财政部、工信部文件（财库</w:t>
      </w:r>
      <w:r>
        <w:rPr>
          <w:rFonts w:hint="eastAsia" w:ascii="宋体" w:hAnsi="宋体" w:cs="宋体"/>
          <w:szCs w:val="21"/>
        </w:rPr>
        <w:t>[2020]46号</w:t>
      </w:r>
      <w:r>
        <w:rPr>
          <w:rFonts w:hint="eastAsia" w:asciiTheme="minorEastAsia" w:hAnsiTheme="minorEastAsia" w:eastAsiaTheme="minorEastAsia" w:cstheme="minorEastAsia"/>
          <w:szCs w:val="21"/>
        </w:rPr>
        <w:t>），适用；监狱企业，适用；促进残疾人就业，适用；信用记录，适用。</w:t>
      </w:r>
    </w:p>
    <w:p>
      <w:pPr>
        <w:spacing w:line="360" w:lineRule="auto"/>
        <w:ind w:firstLine="482" w:firstLineChars="200"/>
        <w:rPr>
          <w:rFonts w:ascii="宋体" w:cs="宋体"/>
          <w:b/>
          <w:bCs/>
          <w:color w:val="111111"/>
          <w:sz w:val="24"/>
          <w:shd w:val="clear" w:color="auto" w:fill="FFFFFF"/>
        </w:rPr>
      </w:pPr>
      <w:r>
        <w:rPr>
          <w:rFonts w:hint="eastAsia" w:ascii="宋体" w:cs="宋体"/>
          <w:b/>
          <w:bCs/>
          <w:sz w:val="24"/>
        </w:rPr>
        <w:t>⑴ 采购政策</w:t>
      </w:r>
    </w:p>
    <w:p>
      <w:pPr>
        <w:spacing w:line="360" w:lineRule="auto"/>
        <w:ind w:firstLine="720" w:firstLineChars="300"/>
        <w:rPr>
          <w:rFonts w:ascii="宋体" w:cs="宋体"/>
          <w:sz w:val="24"/>
        </w:rPr>
      </w:pPr>
      <w:r>
        <w:rPr>
          <w:rFonts w:hint="eastAsia" w:ascii="宋体" w:cs="宋体"/>
          <w:sz w:val="24"/>
        </w:rPr>
        <w:t>政府采购应当优先采购本国货物、工程和服务，并执行节能产品、环境标志产品、中小企业、残疾人福利性单位、监狱企业等适宜本项目的政府采购政策。</w:t>
      </w:r>
    </w:p>
    <w:p>
      <w:pPr>
        <w:spacing w:line="360" w:lineRule="auto"/>
        <w:ind w:firstLine="482" w:firstLineChars="200"/>
        <w:rPr>
          <w:rFonts w:ascii="宋体" w:cs="宋体"/>
          <w:sz w:val="24"/>
        </w:rPr>
      </w:pPr>
      <w:r>
        <w:rPr>
          <w:rFonts w:hint="eastAsia" w:ascii="宋体" w:cs="宋体"/>
          <w:b/>
          <w:bCs/>
          <w:sz w:val="24"/>
        </w:rPr>
        <w:t>⑵ 政策依据</w:t>
      </w:r>
      <w:r>
        <w:rPr>
          <w:rFonts w:hint="eastAsia" w:ascii="宋体" w:cs="宋体"/>
          <w:sz w:val="24"/>
        </w:rPr>
        <w:t>；</w:t>
      </w:r>
    </w:p>
    <w:p>
      <w:pPr>
        <w:spacing w:line="360" w:lineRule="auto"/>
        <w:ind w:firstLine="480" w:firstLineChars="200"/>
        <w:rPr>
          <w:rFonts w:ascii="宋体" w:cs="宋体"/>
          <w:sz w:val="24"/>
        </w:rPr>
      </w:pPr>
      <w:r>
        <w:rPr>
          <w:rFonts w:hint="eastAsia" w:ascii="宋体" w:cs="宋体"/>
          <w:color w:val="111111"/>
          <w:sz w:val="24"/>
          <w:shd w:val="clear" w:color="auto" w:fill="FFFFFF"/>
        </w:rPr>
        <w:t>⒈ 财政部、国家发展改革委、生态环境部、市场监管总局《关于调整优化节能产品、环境标志产品政府采购执行机制的通知》（财库[2019]9号文）；</w:t>
      </w:r>
    </w:p>
    <w:p>
      <w:pPr>
        <w:spacing w:line="360" w:lineRule="auto"/>
        <w:ind w:firstLine="480" w:firstLineChars="200"/>
        <w:rPr>
          <w:rFonts w:ascii="宋体" w:cs="宋体"/>
          <w:sz w:val="24"/>
        </w:rPr>
      </w:pPr>
      <w:r>
        <w:rPr>
          <w:rFonts w:hint="eastAsia" w:ascii="宋体" w:cs="宋体"/>
          <w:color w:val="111111"/>
          <w:sz w:val="24"/>
          <w:shd w:val="clear" w:color="auto" w:fill="FFFFFF"/>
        </w:rPr>
        <w:t>⒉ 财政部、生态环境部《关于印发环境标志产品政府采购品目清单的通知》（财库[2019]18号文）；</w:t>
      </w:r>
    </w:p>
    <w:p>
      <w:pPr>
        <w:spacing w:line="360" w:lineRule="auto"/>
        <w:ind w:firstLine="480" w:firstLineChars="200"/>
        <w:rPr>
          <w:rFonts w:ascii="宋体" w:cs="宋体"/>
          <w:sz w:val="24"/>
        </w:rPr>
      </w:pPr>
      <w:r>
        <w:rPr>
          <w:rFonts w:hint="eastAsia" w:ascii="宋体" w:cs="宋体"/>
          <w:color w:val="111111"/>
          <w:sz w:val="24"/>
          <w:shd w:val="clear" w:color="auto" w:fill="FFFFFF"/>
        </w:rPr>
        <w:t>⒊ 财政部、发展改革委《关于印发节能产品政府采购品目清单的通知》（财库[2019]19号文）；</w:t>
      </w:r>
    </w:p>
    <w:p>
      <w:pPr>
        <w:spacing w:line="360" w:lineRule="auto"/>
        <w:ind w:firstLine="480" w:firstLineChars="200"/>
        <w:rPr>
          <w:rFonts w:ascii="宋体" w:cs="宋体"/>
          <w:sz w:val="24"/>
        </w:rPr>
      </w:pPr>
      <w:r>
        <w:rPr>
          <w:rFonts w:hint="eastAsia" w:ascii="宋体" w:cs="宋体"/>
          <w:color w:val="111111"/>
          <w:sz w:val="24"/>
          <w:shd w:val="clear" w:color="auto" w:fill="FFFFFF"/>
        </w:rPr>
        <w:t>⒋ 市场监管总局《市场监管总局关于发布参与实施政府采购节能产品、环境标志产品认证机构名录的公告》（2019年第16号）；</w:t>
      </w:r>
    </w:p>
    <w:p>
      <w:pPr>
        <w:spacing w:line="360" w:lineRule="auto"/>
        <w:ind w:firstLine="480" w:firstLineChars="200"/>
        <w:rPr>
          <w:rFonts w:ascii="宋体" w:cs="宋体"/>
          <w:sz w:val="24"/>
        </w:rPr>
      </w:pPr>
      <w:r>
        <w:rPr>
          <w:rFonts w:hint="eastAsia" w:ascii="宋体" w:cs="宋体"/>
          <w:color w:val="111111"/>
          <w:sz w:val="24"/>
          <w:shd w:val="clear" w:color="auto" w:fill="FFFFFF"/>
        </w:rPr>
        <w:t>⒌ 财政部、工业和信息化部《关于印发《政府采购促进中小企业发展管理办法》的通知》（财库[2020]46号文）；</w:t>
      </w:r>
    </w:p>
    <w:p>
      <w:pPr>
        <w:spacing w:line="360" w:lineRule="auto"/>
        <w:ind w:firstLine="480" w:firstLineChars="200"/>
        <w:rPr>
          <w:rFonts w:ascii="宋体" w:cs="宋体"/>
          <w:sz w:val="24"/>
        </w:rPr>
      </w:pPr>
      <w:r>
        <w:rPr>
          <w:rFonts w:hint="eastAsia" w:ascii="宋体" w:cs="宋体"/>
          <w:color w:val="111111"/>
          <w:sz w:val="24"/>
          <w:shd w:val="clear" w:color="auto" w:fill="FFFFFF"/>
        </w:rPr>
        <w:t>⒍ 财政部、民政部、中国残疾人联合会《关于促进残疾人就业政府采购政策的通知》（财库[2017]141号文）；</w:t>
      </w:r>
    </w:p>
    <w:p>
      <w:pPr>
        <w:spacing w:line="360" w:lineRule="auto"/>
        <w:ind w:firstLine="480" w:firstLineChars="200"/>
        <w:rPr>
          <w:rFonts w:ascii="宋体" w:cs="宋体"/>
          <w:sz w:val="24"/>
        </w:rPr>
      </w:pPr>
      <w:r>
        <w:rPr>
          <w:rFonts w:hint="eastAsia" w:ascii="宋体" w:cs="宋体"/>
          <w:color w:val="111111"/>
          <w:sz w:val="24"/>
          <w:shd w:val="clear" w:color="auto" w:fill="FFFFFF"/>
        </w:rPr>
        <w:t>⒎ 财政部、司法部《关于政府采购支持监狱企业发展有关问题的通知》（财库[2014]68号文）；</w:t>
      </w:r>
    </w:p>
    <w:p>
      <w:pPr>
        <w:spacing w:line="360" w:lineRule="auto"/>
        <w:ind w:firstLine="480" w:firstLineChars="200"/>
        <w:rPr>
          <w:rFonts w:ascii="宋体" w:cs="宋体"/>
          <w:sz w:val="24"/>
        </w:rPr>
      </w:pPr>
      <w:r>
        <w:rPr>
          <w:rFonts w:hint="eastAsia" w:ascii="宋体" w:cs="宋体"/>
          <w:color w:val="111111"/>
          <w:sz w:val="24"/>
          <w:shd w:val="clear" w:color="auto" w:fill="FFFFFF"/>
        </w:rPr>
        <w:t>⒏ 《财政部农业农村部国家乡村振兴局关于运用政府采购政策支持乡村产业振兴的通知》（财库[2021]19号文）、《财政部农业农村部国家乡村振兴局中华全国供销合作总社关于印发&lt;关于深入开展政府采购脱贫地区农副产品工作推进乡村产业振兴的实施意见&gt;的通知》（财库[2021]20号文）、《财政部办公厅关于组织地方预算单位做好2021年政府采购脱贫地区农副产品工作的通知》（财办库[2021]76号文）、关于印发《关于深入开展政府采购脱贫地区农副产品工作推进乡村产业振兴的实施意见》的通知。</w:t>
      </w:r>
    </w:p>
    <w:p>
      <w:pPr>
        <w:spacing w:line="360" w:lineRule="auto"/>
        <w:ind w:firstLine="482" w:firstLineChars="200"/>
        <w:rPr>
          <w:rFonts w:asciiTheme="minorEastAsia" w:hAnsiTheme="minorEastAsia" w:eastAsiaTheme="minorEastAsia" w:cstheme="minorEastAsia"/>
          <w:b/>
          <w:bCs/>
          <w:color w:val="000000" w:themeColor="text1"/>
          <w:sz w:val="24"/>
          <w:shd w:val="clear" w:color="auto" w:fill="FFFFFF"/>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14:textFill>
            <w14:solidFill>
              <w14:schemeClr w14:val="tx1"/>
            </w14:solidFill>
          </w14:textFill>
        </w:rPr>
        <w:t>4.3 投标人的</w:t>
      </w:r>
      <w:r>
        <w:rPr>
          <w:rFonts w:hint="eastAsia" w:asciiTheme="minorEastAsia" w:hAnsiTheme="minorEastAsia" w:eastAsiaTheme="minorEastAsia" w:cstheme="minorEastAsia"/>
          <w:b/>
          <w:bCs/>
          <w:color w:val="000000" w:themeColor="text1"/>
          <w:sz w:val="24"/>
          <w:shd w:val="clear" w:color="auto" w:fill="FFFFFF"/>
          <w14:textFill>
            <w14:solidFill>
              <w14:schemeClr w14:val="tx1"/>
            </w14:solidFill>
          </w14:textFill>
        </w:rPr>
        <w:t>特定资格要求，</w:t>
      </w:r>
      <w:r>
        <w:rPr>
          <w:rFonts w:hint="eastAsia" w:asciiTheme="minorEastAsia" w:hAnsiTheme="minorEastAsia" w:eastAsiaTheme="minorEastAsia" w:cstheme="minorEastAsia"/>
          <w:b/>
          <w:bCs/>
          <w:sz w:val="24"/>
        </w:rPr>
        <w:t>见投标人须知前附表</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符合政府采购政策、相关法律、法规规定的其他条件，如投标人本行业有特殊资格要求的，投标人应附上其证明材料，并对自己的资格能力满足招标文件做出承诺。</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4.4 投标人须知前附表规定接受联合体投标的，除应符合投标人须知前附表的要求外，还应遵守以下规定（</w:t>
      </w:r>
      <w:r>
        <w:rPr>
          <w:rFonts w:hint="eastAsia" w:asciiTheme="minorEastAsia" w:hAnsiTheme="minorEastAsia" w:eastAsiaTheme="minorEastAsia" w:cstheme="minorEastAsia"/>
          <w:b/>
          <w:bCs/>
          <w:sz w:val="24"/>
        </w:rPr>
        <w:t>本项目不接受联合体</w:t>
      </w:r>
      <w:r>
        <w:rPr>
          <w:rFonts w:hint="eastAsia" w:asciiTheme="minorEastAsia" w:hAnsiTheme="minorEastAsia" w:eastAsiaTheme="minorEastAsia" w:cstheme="minorEastAsia"/>
          <w:sz w:val="24"/>
        </w:rPr>
        <w:t>）：</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⑴ 联合体各方应按招标文件提供的格式签订联合体协议书，明确联合体牵头人和各方权利义务；</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⑵ 由同一专业的单位组成的联合体，按照资质等级较低的单位确定资质等级；</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⑶ 联合体各方不得再以自己名义单独或参加其他联合体在同一标段中投标；</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⑷ 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spacing w:line="360" w:lineRule="auto"/>
        <w:ind w:firstLine="482"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b/>
          <w:bCs/>
          <w:sz w:val="24"/>
        </w:rPr>
        <w:t>4.5 向采购代理机构成功报名的</w:t>
      </w:r>
      <w:r>
        <w:rPr>
          <w:rFonts w:hint="eastAsia" w:asciiTheme="minorEastAsia" w:hAnsiTheme="minorEastAsia" w:eastAsiaTheme="minorEastAsia" w:cstheme="minorEastAsia"/>
          <w:sz w:val="24"/>
        </w:rPr>
        <w:t>。</w:t>
      </w:r>
    </w:p>
    <w:p>
      <w:pPr>
        <w:spacing w:line="360" w:lineRule="auto"/>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4.6 遵守国家有关法律、法规、规章和其他政策规定。</w:t>
      </w:r>
    </w:p>
    <w:p>
      <w:pPr>
        <w:spacing w:line="360" w:lineRule="auto"/>
        <w:ind w:firstLine="482"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b/>
          <w:bCs/>
          <w:sz w:val="24"/>
        </w:rPr>
        <w:t>4.7 公平竞争措施</w:t>
      </w:r>
      <w:r>
        <w:rPr>
          <w:rFonts w:hint="eastAsia" w:asciiTheme="minorEastAsia" w:hAnsiTheme="minorEastAsia" w:eastAsiaTheme="minorEastAsia" w:cstheme="minorEastAsia"/>
          <w:sz w:val="24"/>
        </w:rPr>
        <w:t>：</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⑴ 关于相同品牌产品（政府采购服务类项目不适用本条款规定）；</w:t>
      </w:r>
    </w:p>
    <w:p>
      <w:pPr>
        <w:spacing w:line="360" w:lineRule="auto"/>
        <w:ind w:firstLine="720" w:firstLineChars="300"/>
        <w:rPr>
          <w:rFonts w:asciiTheme="minorEastAsia" w:hAnsiTheme="minorEastAsia" w:eastAsiaTheme="minorEastAsia" w:cstheme="minorEastAsia"/>
          <w:sz w:val="24"/>
        </w:rPr>
      </w:pPr>
      <w:r>
        <w:rPr>
          <w:rFonts w:hint="eastAsia" w:asciiTheme="minorEastAsia" w:hAnsiTheme="minorEastAsia" w:eastAsiaTheme="minorEastAsia" w:cstheme="minorEastAsia"/>
          <w:color w:val="111111"/>
          <w:sz w:val="24"/>
          <w:shd w:val="clear" w:color="auto" w:fill="FFFFFF"/>
        </w:rPr>
        <w:t>⒈ 采用最低评标价法的，</w:t>
      </w:r>
      <w:r>
        <w:rPr>
          <w:rFonts w:hint="eastAsia" w:asciiTheme="minorEastAsia" w:hAnsiTheme="minorEastAsia" w:eastAsiaTheme="minorEastAsia" w:cstheme="minorEastAsia"/>
          <w:sz w:val="24"/>
        </w:rPr>
        <w:t>提供相同品牌产品的不同投标人参加同一合同项下投标的，以其中通过资格审查、符合性审查且报价最低的参加评；报价相同的，由评标委员会采取公平、择优的方式确定一个参加评标的投标人，其他投标无效；</w:t>
      </w:r>
    </w:p>
    <w:p>
      <w:pPr>
        <w:spacing w:line="360" w:lineRule="auto"/>
        <w:ind w:firstLine="720" w:firstLineChars="300"/>
        <w:rPr>
          <w:rFonts w:asciiTheme="minorEastAsia" w:hAnsiTheme="minorEastAsia" w:eastAsiaTheme="minorEastAsia" w:cstheme="minorEastAsia"/>
          <w:sz w:val="24"/>
        </w:rPr>
      </w:pPr>
      <w:r>
        <w:rPr>
          <w:rFonts w:hint="eastAsia" w:asciiTheme="minorEastAsia" w:hAnsiTheme="minorEastAsia" w:eastAsiaTheme="minorEastAsia" w:cstheme="minorEastAsia"/>
          <w:color w:val="111111"/>
          <w:sz w:val="24"/>
          <w:shd w:val="clear" w:color="auto" w:fill="FFFFFF"/>
        </w:rPr>
        <w:t>⒉ 采用综合评分法的，</w:t>
      </w:r>
      <w:r>
        <w:rPr>
          <w:rFonts w:hint="eastAsia" w:asciiTheme="minorEastAsia" w:hAnsiTheme="minorEastAsia" w:eastAsiaTheme="minorEastAsia" w:cstheme="minorEastAsia"/>
          <w:sz w:val="24"/>
        </w:rPr>
        <w:t>提供相同品牌产品且通过资格审查、符合性审查的不同投标人参加同一合同项下投标的，按一家投标人计算，评审后得分最高的同品牌投标人作为中标候选人推荐；评审得分相同的，由评标委员会采取公平、择优的方式确定一个参加评标的投标人，其他投标无效；</w:t>
      </w:r>
    </w:p>
    <w:p>
      <w:pPr>
        <w:spacing w:line="360" w:lineRule="auto"/>
        <w:ind w:firstLine="720" w:firstLineChars="300"/>
        <w:rPr>
          <w:rFonts w:asciiTheme="minorEastAsia" w:hAnsiTheme="minorEastAsia" w:eastAsiaTheme="minorEastAsia" w:cstheme="minorEastAsia"/>
          <w:sz w:val="24"/>
        </w:rPr>
      </w:pPr>
      <w:r>
        <w:rPr>
          <w:rFonts w:hint="eastAsia" w:asciiTheme="minorEastAsia" w:hAnsiTheme="minorEastAsia" w:eastAsiaTheme="minorEastAsia" w:cstheme="minorEastAsia"/>
          <w:color w:val="111111"/>
          <w:sz w:val="24"/>
          <w:shd w:val="clear" w:color="auto" w:fill="FFFFFF"/>
        </w:rPr>
        <w:t xml:space="preserve">⒊ </w:t>
      </w:r>
      <w:r>
        <w:rPr>
          <w:rFonts w:hint="eastAsia" w:asciiTheme="minorEastAsia" w:hAnsiTheme="minorEastAsia" w:eastAsiaTheme="minorEastAsia" w:cstheme="minorEastAsia"/>
          <w:sz w:val="24"/>
        </w:rPr>
        <w:t>非单一产品采购项目中，多家投标人提供的部分或所有核心产品品牌相同的，视为提供相同品牌产品；</w:t>
      </w:r>
    </w:p>
    <w:p>
      <w:pPr>
        <w:spacing w:line="360" w:lineRule="auto"/>
        <w:ind w:firstLine="720" w:firstLineChars="300"/>
        <w:rPr>
          <w:rFonts w:asciiTheme="minorEastAsia" w:hAnsiTheme="minorEastAsia" w:eastAsiaTheme="minorEastAsia" w:cstheme="minorEastAsia"/>
          <w:sz w:val="24"/>
        </w:rPr>
      </w:pPr>
      <w:r>
        <w:rPr>
          <w:rFonts w:hint="eastAsia" w:ascii="宋体" w:hAnsi="宋体" w:cs="宋体"/>
          <w:color w:val="111111"/>
          <w:sz w:val="24"/>
          <w:shd w:val="clear" w:color="auto" w:fill="FFFFFF"/>
        </w:rPr>
        <w:t>⒋</w:t>
      </w:r>
      <w:r>
        <w:rPr>
          <w:rFonts w:hint="eastAsia" w:asciiTheme="minorEastAsia" w:hAnsiTheme="minorEastAsia" w:eastAsiaTheme="minorEastAsia" w:cstheme="minorEastAsia"/>
          <w:color w:val="111111"/>
          <w:sz w:val="24"/>
          <w:shd w:val="clear" w:color="auto" w:fill="FFFFFF"/>
        </w:rPr>
        <w:t xml:space="preserve"> </w:t>
      </w:r>
      <w:r>
        <w:rPr>
          <w:rFonts w:hint="eastAsia" w:asciiTheme="minorEastAsia" w:hAnsiTheme="minorEastAsia" w:eastAsiaTheme="minorEastAsia" w:cstheme="minorEastAsia"/>
          <w:sz w:val="24"/>
        </w:rPr>
        <w:t xml:space="preserve">本采购项目核心产品: </w:t>
      </w:r>
      <w:r>
        <w:rPr>
          <w:rFonts w:hint="eastAsia" w:asciiTheme="minorEastAsia" w:hAnsiTheme="minorEastAsia" w:eastAsiaTheme="minorEastAsia" w:cstheme="minorEastAsia"/>
          <w:color w:val="000000" w:themeColor="text1"/>
          <w:sz w:val="24"/>
          <w14:textFill>
            <w14:solidFill>
              <w14:schemeClr w14:val="tx1"/>
            </w14:solidFill>
          </w14:textFill>
        </w:rPr>
        <w:t>无</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⑵ 利害关系供应商。单位负责人为同一人或者存在直接控股、管理关系的不同供应商不得参加同一合同项下的政府采购活动。采购项目实行资格预审的，单位负责人为同一人或者存在直接控股、管理关系的不同供应商可以参加资格预审，但只能由供应商确定其中一家符合条件的供应商参加后续的政府采购活动，否则，其投标文件作为无效处理；</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⑶ 利害关系授权代表。两家以上的供应商不得在同一合同项下的采购项目中，委托同一个自然人、同一家庭的人员、同一单位的人员作为其授权代表，否则，其投标文件作为无效处理；</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⑷ 供应商实际控制人或者中高级管理人员，同时是采购代理机构工作人员，不得参与本项目政府采购活动；</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⑸ 同一母公司的两家以上的子公司只能组成联合体参加本项目同一合同项下的采购活动，不得以不同供应商身份同时参加本项目同一合同项下的采购活动，联合体投标要求见投标人须知前附表；</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⑹ 供应商与采购代理机构存在关联关系，或者是采购代理机构的母公司或子公司，不得参加本项目政府采购活动； </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⑺ 采购人员及相关人员与供应商有下列利害关系之一的，应当回避： </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color w:val="111111"/>
          <w:sz w:val="24"/>
          <w:shd w:val="clear" w:color="auto" w:fill="FFFFFF"/>
        </w:rPr>
        <w:t xml:space="preserve">⒈ </w:t>
      </w:r>
      <w:r>
        <w:rPr>
          <w:rFonts w:hint="eastAsia" w:asciiTheme="minorEastAsia" w:hAnsiTheme="minorEastAsia" w:eastAsiaTheme="minorEastAsia" w:cstheme="minorEastAsia"/>
          <w:sz w:val="24"/>
        </w:rPr>
        <w:t>参加采购活动前 3 年内与供应商存在劳动关系，担任供应商的董事、监事，是供应商的控股股东或者实际控制人；</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color w:val="111111"/>
          <w:sz w:val="24"/>
          <w:shd w:val="clear" w:color="auto" w:fill="FFFFFF"/>
        </w:rPr>
        <w:t xml:space="preserve">⒉ </w:t>
      </w:r>
      <w:r>
        <w:rPr>
          <w:rFonts w:hint="eastAsia" w:asciiTheme="minorEastAsia" w:hAnsiTheme="minorEastAsia" w:eastAsiaTheme="minorEastAsia" w:cstheme="minorEastAsia"/>
          <w:sz w:val="24"/>
        </w:rPr>
        <w:t>与供应商的法定代表人或者负责人有夫妻、直系血亲、三代以内旁系血亲或者近姻亲关系；</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color w:val="111111"/>
          <w:sz w:val="24"/>
          <w:shd w:val="clear" w:color="auto" w:fill="FFFFFF"/>
        </w:rPr>
        <w:t xml:space="preserve">⒊ </w:t>
      </w:r>
      <w:r>
        <w:rPr>
          <w:rFonts w:hint="eastAsia" w:asciiTheme="minorEastAsia" w:hAnsiTheme="minorEastAsia" w:eastAsiaTheme="minorEastAsia" w:cstheme="minorEastAsia"/>
          <w:sz w:val="24"/>
        </w:rPr>
        <w:t>与供应商有其他可能影响政府采购活动公平、公正进行的关系；</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⑻ 本项目政府采购活动中需要依法回避的采购人员是指采购人内部负责采购项目的具体经办工作人员和直接分管采购项目的负责人，以及采购代理机构负责采购项目的具体经办工作人员和直接分管采购活动的负责人。供应商认为采购人员及相关人员与其他供应商有利害关系的，可以向采购代理机构书面提出回避申请，并说明理由。采购代理机构将及时询问被申请回避人员，有利害关系的被申请回避人员应当回避。 </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⑼ 被责令停业的，被暂停或取消投标资格的，财产被接管或冻结的；</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⑽ 在最近三年内有骗取中标或严重违约或重大工程质量问题的。</w:t>
      </w:r>
    </w:p>
    <w:p>
      <w:pPr>
        <w:spacing w:line="360" w:lineRule="auto"/>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五、费用承担</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5.1投标人自行承担所有与参加投标有关的费用。不论投标的结果如何，采购人或采购代理机构在任何情况下均无义务和责任，承担因投标所发生的一切费用；</w:t>
      </w:r>
    </w:p>
    <w:p>
      <w:pPr>
        <w:widowControl/>
        <w:shd w:val="clear" w:color="auto" w:fill="FFFFFF"/>
        <w:snapToGrid w:val="0"/>
        <w:spacing w:line="360" w:lineRule="auto"/>
        <w:ind w:firstLine="480" w:firstLineChars="200"/>
        <w:rPr>
          <w:rFonts w:ascii="宋体" w:cs="宋体"/>
        </w:rPr>
      </w:pPr>
      <w:r>
        <w:rPr>
          <w:rFonts w:hint="eastAsia" w:asciiTheme="minorEastAsia" w:hAnsiTheme="minorEastAsia" w:eastAsiaTheme="minorEastAsia" w:cstheme="minorEastAsia"/>
          <w:kern w:val="0"/>
          <w:sz w:val="24"/>
        </w:rPr>
        <w:t xml:space="preserve">5.2 </w:t>
      </w:r>
      <w:r>
        <w:rPr>
          <w:rFonts w:hint="eastAsia" w:asciiTheme="minorEastAsia" w:hAnsiTheme="minorEastAsia" w:eastAsiaTheme="minorEastAsia" w:cstheme="minorEastAsia"/>
          <w:sz w:val="24"/>
        </w:rPr>
        <w:t>投标人应认真阅读和充分理解招标文件中的所有内容，如果没有满足招标文件的有关要求，其风险由投标人自行承担</w:t>
      </w:r>
      <w:r>
        <w:rPr>
          <w:rFonts w:hint="eastAsia" w:ascii="宋体" w:cs="宋体"/>
          <w:sz w:val="24"/>
        </w:rPr>
        <w:t>。</w:t>
      </w:r>
    </w:p>
    <w:p>
      <w:pPr>
        <w:widowControl/>
        <w:shd w:val="clear" w:color="auto" w:fill="FFFFFF"/>
        <w:snapToGrid w:val="0"/>
        <w:spacing w:line="360" w:lineRule="auto"/>
        <w:rPr>
          <w:rFonts w:ascii="宋体" w:cs="宋体"/>
          <w:b/>
          <w:bCs/>
          <w:kern w:val="0"/>
          <w:sz w:val="24"/>
        </w:rPr>
      </w:pPr>
      <w:r>
        <w:rPr>
          <w:rFonts w:hint="eastAsia" w:ascii="宋体" w:cs="宋体"/>
          <w:b/>
          <w:bCs/>
          <w:sz w:val="24"/>
        </w:rPr>
        <w:t>六、</w:t>
      </w:r>
      <w:r>
        <w:rPr>
          <w:rFonts w:hint="eastAsia" w:ascii="宋体" w:cs="宋体"/>
          <w:b/>
          <w:bCs/>
          <w:kern w:val="0"/>
          <w:sz w:val="24"/>
        </w:rPr>
        <w:t>保密</w:t>
      </w:r>
    </w:p>
    <w:p>
      <w:pPr>
        <w:spacing w:line="360" w:lineRule="auto"/>
        <w:ind w:firstLine="480" w:firstLineChars="200"/>
      </w:pPr>
      <w:r>
        <w:rPr>
          <w:rFonts w:hint="eastAsia" w:ascii="宋体" w:cs="宋体"/>
          <w:kern w:val="0"/>
          <w:sz w:val="24"/>
        </w:rPr>
        <w:t>参与招标投标活动的各方应对</w:t>
      </w:r>
      <w:r>
        <w:rPr>
          <w:rFonts w:hint="eastAsia" w:ascii="宋体"/>
          <w:kern w:val="0"/>
          <w:sz w:val="24"/>
        </w:rPr>
        <w:t>招标文件或投标文件中的商业和技术等秘密保密，违者应对由此造成的后果承担法律责任</w:t>
      </w:r>
      <w:r>
        <w:rPr>
          <w:rFonts w:hint="eastAsia" w:ascii="宋体" w:cs="宋体"/>
          <w:sz w:val="24"/>
        </w:rPr>
        <w:t>。</w:t>
      </w:r>
    </w:p>
    <w:p>
      <w:pPr>
        <w:spacing w:line="360" w:lineRule="auto"/>
        <w:rPr>
          <w:rFonts w:asciiTheme="minorEastAsia" w:hAnsiTheme="minorEastAsia" w:eastAsiaTheme="minorEastAsia" w:cstheme="minorEastAsia"/>
          <w:b/>
          <w:bCs/>
          <w:kern w:val="0"/>
          <w:sz w:val="24"/>
        </w:rPr>
      </w:pPr>
      <w:r>
        <w:rPr>
          <w:rFonts w:hint="eastAsia" w:ascii="宋体" w:cs="宋体"/>
          <w:b/>
          <w:bCs/>
          <w:sz w:val="24"/>
        </w:rPr>
        <w:t>七、</w:t>
      </w:r>
      <w:r>
        <w:rPr>
          <w:rFonts w:hint="eastAsia" w:asciiTheme="minorEastAsia" w:hAnsiTheme="minorEastAsia" w:eastAsiaTheme="minorEastAsia" w:cstheme="minorEastAsia"/>
          <w:b/>
          <w:bCs/>
          <w:kern w:val="0"/>
          <w:sz w:val="24"/>
        </w:rPr>
        <w:t>踏勘现场</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7.1</w:t>
      </w:r>
      <w:r>
        <w:rPr>
          <w:rFonts w:hint="eastAsia" w:asciiTheme="minorEastAsia" w:hAnsiTheme="minorEastAsia" w:eastAsiaTheme="minorEastAsia" w:cstheme="minorEastAsia"/>
          <w:sz w:val="24"/>
        </w:rPr>
        <w:t>投标人须知前附表规定组织踏勘现场的，招标人按投标人须知前附表规定的时间、地点组织投标人踏勘项目现场；</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7.2 </w:t>
      </w:r>
      <w:r>
        <w:rPr>
          <w:rFonts w:hint="eastAsia" w:asciiTheme="minorEastAsia" w:hAnsiTheme="minorEastAsia" w:eastAsiaTheme="minorEastAsia" w:cstheme="minorEastAsia"/>
          <w:sz w:val="24"/>
        </w:rPr>
        <w:t>投标人踏勘项目现场发生的费用自理；</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7.3 除招标人的原因外，</w:t>
      </w:r>
      <w:r>
        <w:rPr>
          <w:rFonts w:hint="eastAsia" w:asciiTheme="minorEastAsia" w:hAnsiTheme="minorEastAsia" w:eastAsiaTheme="minorEastAsia" w:cstheme="minorEastAsia"/>
          <w:sz w:val="24"/>
        </w:rPr>
        <w:t>投标人自行负责在踏勘现场中所发生的人员伤亡和财产损失；</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7.4 </w:t>
      </w:r>
      <w:r>
        <w:rPr>
          <w:rFonts w:hint="eastAsia" w:asciiTheme="minorEastAsia" w:hAnsiTheme="minorEastAsia" w:eastAsiaTheme="minorEastAsia" w:cstheme="minorEastAsia"/>
          <w:sz w:val="24"/>
        </w:rPr>
        <w:t>招标人在踏勘现场中介绍的工程场地和相关的周边环境情况，供投标人在编制投标文件时参考，招标人不对投标人据此作出的判断和决策负责；</w:t>
      </w:r>
    </w:p>
    <w:p>
      <w:pPr>
        <w:spacing w:line="360" w:lineRule="auto"/>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kern w:val="0"/>
          <w:sz w:val="24"/>
        </w:rPr>
        <w:t xml:space="preserve">7.5 </w:t>
      </w:r>
      <w:r>
        <w:rPr>
          <w:rFonts w:hint="eastAsia" w:asciiTheme="minorEastAsia" w:hAnsiTheme="minorEastAsia" w:eastAsiaTheme="minorEastAsia" w:cstheme="minorEastAsia"/>
          <w:sz w:val="24"/>
        </w:rPr>
        <w:t>本项目是否现场踏勘见投标人须知前附表。</w:t>
      </w:r>
    </w:p>
    <w:p>
      <w:pPr>
        <w:widowControl/>
        <w:shd w:val="clear" w:color="auto" w:fill="FFFFFF"/>
        <w:snapToGrid w:val="0"/>
        <w:spacing w:line="360" w:lineRule="auto"/>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sz w:val="24"/>
        </w:rPr>
        <w:t>八、</w:t>
      </w:r>
      <w:r>
        <w:rPr>
          <w:rFonts w:hint="eastAsia" w:asciiTheme="minorEastAsia" w:hAnsiTheme="minorEastAsia" w:eastAsiaTheme="minorEastAsia" w:cstheme="minorEastAsia"/>
          <w:b/>
          <w:bCs/>
          <w:kern w:val="0"/>
          <w:sz w:val="24"/>
        </w:rPr>
        <w:t>投标预备会</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8.1</w:t>
      </w:r>
      <w:r>
        <w:rPr>
          <w:rFonts w:hint="eastAsia" w:asciiTheme="minorEastAsia" w:hAnsiTheme="minorEastAsia" w:eastAsiaTheme="minorEastAsia" w:cstheme="minorEastAsia"/>
          <w:sz w:val="24"/>
        </w:rPr>
        <w:t>投标人须知前附表规定召开投标预备会的，招标人按投标人须知前附表规定的时间和地点召开投标预备会，澄清投标人提出的问题；</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8.2 </w:t>
      </w:r>
      <w:r>
        <w:rPr>
          <w:rFonts w:hint="eastAsia" w:asciiTheme="minorEastAsia" w:hAnsiTheme="minorEastAsia" w:eastAsiaTheme="minorEastAsia" w:cstheme="minorEastAsia"/>
          <w:sz w:val="24"/>
        </w:rPr>
        <w:t>招标人应在投标人须知前附表规定的时间前，以书面形式将提出的问题送达招标人，以便招标人在会议期间澄清；</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8.3 </w:t>
      </w:r>
      <w:r>
        <w:rPr>
          <w:rFonts w:hint="eastAsia" w:asciiTheme="minorEastAsia" w:hAnsiTheme="minorEastAsia" w:eastAsiaTheme="minorEastAsia" w:cstheme="minorEastAsia"/>
          <w:sz w:val="24"/>
        </w:rPr>
        <w:t>投标预备会后，招标人在投标人须知前附表规定的时间内，将对投标人所提问题的澄清，以书面方式通知所有购买招标文件的投标人。该澄清内容为招标文件的组成部分；</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 xml:space="preserve">8.4 </w:t>
      </w:r>
      <w:r>
        <w:rPr>
          <w:rFonts w:hint="eastAsia" w:asciiTheme="minorEastAsia" w:hAnsiTheme="minorEastAsia" w:eastAsiaTheme="minorEastAsia" w:cstheme="minorEastAsia"/>
          <w:sz w:val="24"/>
        </w:rPr>
        <w:t>投标人认为需要对招标文件进行澄清或者修改的，应当在法定期限内向招标采购单位提出书面申请，招标采购单位有权决定是否采纳投标人的申请事项；</w:t>
      </w:r>
    </w:p>
    <w:p>
      <w:pPr>
        <w:spacing w:line="360" w:lineRule="auto"/>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kern w:val="0"/>
          <w:sz w:val="24"/>
        </w:rPr>
        <w:t xml:space="preserve">8.5 </w:t>
      </w:r>
      <w:r>
        <w:rPr>
          <w:rFonts w:hint="eastAsia" w:asciiTheme="minorEastAsia" w:hAnsiTheme="minorEastAsia" w:eastAsiaTheme="minorEastAsia" w:cstheme="minorEastAsia"/>
          <w:sz w:val="24"/>
        </w:rPr>
        <w:t>本项目是否组织投标预备会见投标人须知前附表</w:t>
      </w:r>
    </w:p>
    <w:p>
      <w:pPr>
        <w:widowControl/>
        <w:shd w:val="clear" w:color="auto" w:fill="FFFFFF"/>
        <w:snapToGrid w:val="0"/>
        <w:spacing w:line="360" w:lineRule="auto"/>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sz w:val="24"/>
        </w:rPr>
        <w:t>九、</w:t>
      </w:r>
      <w:r>
        <w:rPr>
          <w:rFonts w:hint="eastAsia" w:asciiTheme="minorEastAsia" w:hAnsiTheme="minorEastAsia" w:eastAsiaTheme="minorEastAsia" w:cstheme="minorEastAsia"/>
          <w:b/>
          <w:bCs/>
          <w:kern w:val="0"/>
          <w:sz w:val="24"/>
        </w:rPr>
        <w:t>分包</w:t>
      </w:r>
    </w:p>
    <w:p>
      <w:pPr>
        <w:spacing w:line="360" w:lineRule="auto"/>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kern w:val="0"/>
          <w:sz w:val="24"/>
        </w:rPr>
        <w:t>投标人拟在中标后将中标项目的部分非主体、非关键性工作进行分包的，应符合投标人须知前附表规定的分包内容、分包金额和接受分包的第三人资质要求等限制性条件。</w:t>
      </w:r>
    </w:p>
    <w:p>
      <w:pPr>
        <w:spacing w:line="360" w:lineRule="auto"/>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sz w:val="24"/>
        </w:rPr>
        <w:t>十、</w:t>
      </w:r>
      <w:r>
        <w:rPr>
          <w:rFonts w:hint="eastAsia" w:asciiTheme="minorEastAsia" w:hAnsiTheme="minorEastAsia" w:eastAsiaTheme="minorEastAsia" w:cstheme="minorEastAsia"/>
          <w:b/>
          <w:bCs/>
          <w:kern w:val="0"/>
          <w:sz w:val="24"/>
        </w:rPr>
        <w:t>偏离</w:t>
      </w:r>
    </w:p>
    <w:p>
      <w:pPr>
        <w:spacing w:line="360" w:lineRule="auto"/>
        <w:ind w:firstLine="480" w:firstLineChars="200"/>
        <w:rPr>
          <w:rFonts w:ascii="宋体" w:cs="宋体"/>
          <w:b/>
          <w:sz w:val="24"/>
        </w:rPr>
      </w:pPr>
      <w:r>
        <w:rPr>
          <w:rFonts w:hint="eastAsia" w:asciiTheme="minorEastAsia" w:hAnsiTheme="minorEastAsia" w:eastAsiaTheme="minorEastAsia" w:cstheme="minorEastAsia"/>
          <w:kern w:val="0"/>
          <w:sz w:val="24"/>
        </w:rPr>
        <w:t>投标人须知前附表允许投标文件偏离招标文件某些要求的，偏离应当符合招标文件规定的偏离范围和幅度</w:t>
      </w:r>
      <w:r>
        <w:rPr>
          <w:rFonts w:hint="eastAsia" w:ascii="宋体"/>
          <w:kern w:val="0"/>
          <w:sz w:val="24"/>
        </w:rPr>
        <w:t>。</w:t>
      </w:r>
    </w:p>
    <w:p>
      <w:pPr>
        <w:spacing w:line="360" w:lineRule="auto"/>
        <w:jc w:val="left"/>
        <w:rPr>
          <w:rFonts w:ascii="宋体"/>
          <w:kern w:val="0"/>
          <w:sz w:val="24"/>
        </w:rPr>
      </w:pPr>
    </w:p>
    <w:p>
      <w:pPr>
        <w:pStyle w:val="4"/>
        <w:jc w:val="center"/>
        <w:rPr>
          <w:rFonts w:cs="宋体"/>
          <w:sz w:val="24"/>
          <w:szCs w:val="24"/>
        </w:rPr>
      </w:pPr>
      <w:bookmarkStart w:id="4" w:name="_Toc12728"/>
      <w:r>
        <w:rPr>
          <w:rFonts w:ascii="Times New Roman" w:hAnsi="Times New Roman"/>
          <w:sz w:val="24"/>
          <w:szCs w:val="24"/>
        </w:rPr>
        <w:t>第二节</w:t>
      </w:r>
      <w:r>
        <w:rPr>
          <w:rFonts w:hint="eastAsia" w:ascii="Times New Roman" w:hAnsi="Times New Roman"/>
          <w:sz w:val="24"/>
          <w:szCs w:val="24"/>
        </w:rPr>
        <w:t xml:space="preserve"> 招标文件</w:t>
      </w:r>
      <w:bookmarkEnd w:id="4"/>
    </w:p>
    <w:p>
      <w:pPr>
        <w:widowControl/>
        <w:shd w:val="clear" w:color="auto" w:fill="FFFFFF"/>
        <w:snapToGrid w:val="0"/>
        <w:spacing w:line="360" w:lineRule="auto"/>
        <w:rPr>
          <w:rFonts w:ascii="宋体"/>
          <w:b/>
          <w:bCs/>
          <w:kern w:val="0"/>
          <w:sz w:val="24"/>
        </w:rPr>
      </w:pPr>
      <w:r>
        <w:rPr>
          <w:rFonts w:hint="eastAsia" w:ascii="宋体" w:cs="宋体"/>
          <w:b/>
          <w:bCs/>
          <w:sz w:val="24"/>
        </w:rPr>
        <w:t>一、</w:t>
      </w:r>
      <w:r>
        <w:rPr>
          <w:rFonts w:hint="eastAsia" w:ascii="宋体" w:cs="宋体"/>
          <w:b/>
          <w:bCs/>
          <w:kern w:val="0"/>
          <w:sz w:val="24"/>
        </w:rPr>
        <w:t>招标文件的组成</w:t>
      </w:r>
    </w:p>
    <w:p>
      <w:pPr>
        <w:spacing w:line="360" w:lineRule="auto"/>
        <w:ind w:firstLine="720" w:firstLineChars="300"/>
        <w:rPr>
          <w:rFonts w:ascii="宋体" w:cs="宋体"/>
          <w:sz w:val="24"/>
        </w:rPr>
      </w:pPr>
      <w:r>
        <w:rPr>
          <w:rFonts w:hint="eastAsia" w:ascii="宋体" w:cs="宋体"/>
          <w:sz w:val="24"/>
        </w:rPr>
        <w:t>⑴ 招标公告；</w:t>
      </w:r>
    </w:p>
    <w:p>
      <w:pPr>
        <w:spacing w:line="360" w:lineRule="auto"/>
        <w:ind w:firstLine="720" w:firstLineChars="300"/>
        <w:rPr>
          <w:rFonts w:ascii="宋体" w:cs="宋体"/>
          <w:sz w:val="24"/>
        </w:rPr>
      </w:pPr>
      <w:r>
        <w:rPr>
          <w:rFonts w:hint="eastAsia" w:ascii="宋体" w:cs="宋体"/>
          <w:sz w:val="24"/>
        </w:rPr>
        <w:t>⑵ 投标人须知前附表；</w:t>
      </w:r>
    </w:p>
    <w:p>
      <w:pPr>
        <w:spacing w:line="360" w:lineRule="auto"/>
        <w:ind w:firstLine="720" w:firstLineChars="300"/>
        <w:rPr>
          <w:rFonts w:ascii="宋体" w:cs="宋体"/>
          <w:sz w:val="24"/>
        </w:rPr>
      </w:pPr>
      <w:r>
        <w:rPr>
          <w:rFonts w:hint="eastAsia" w:ascii="宋体" w:cs="宋体"/>
          <w:sz w:val="24"/>
        </w:rPr>
        <w:t>⑶ 投标人须知；</w:t>
      </w:r>
    </w:p>
    <w:p>
      <w:pPr>
        <w:spacing w:line="360" w:lineRule="auto"/>
        <w:ind w:firstLine="720" w:firstLineChars="300"/>
        <w:rPr>
          <w:rFonts w:ascii="宋体" w:cs="宋体"/>
          <w:sz w:val="24"/>
        </w:rPr>
      </w:pPr>
      <w:r>
        <w:rPr>
          <w:rFonts w:hint="eastAsia" w:ascii="宋体" w:cs="宋体"/>
          <w:sz w:val="24"/>
        </w:rPr>
        <w:t>⑷ 评标办法；</w:t>
      </w:r>
    </w:p>
    <w:p>
      <w:pPr>
        <w:spacing w:line="360" w:lineRule="auto"/>
        <w:ind w:firstLine="720" w:firstLineChars="300"/>
        <w:rPr>
          <w:rFonts w:ascii="宋体" w:cs="宋体"/>
          <w:sz w:val="24"/>
        </w:rPr>
      </w:pPr>
      <w:r>
        <w:rPr>
          <w:rFonts w:hint="eastAsia" w:ascii="宋体" w:cs="宋体"/>
          <w:sz w:val="24"/>
        </w:rPr>
        <w:t>⑸ 合同条款及格式；</w:t>
      </w:r>
    </w:p>
    <w:p>
      <w:pPr>
        <w:spacing w:line="360" w:lineRule="auto"/>
        <w:ind w:firstLine="720" w:firstLineChars="300"/>
        <w:rPr>
          <w:rFonts w:ascii="宋体" w:cs="宋体"/>
          <w:sz w:val="24"/>
        </w:rPr>
      </w:pPr>
      <w:r>
        <w:rPr>
          <w:rFonts w:hint="eastAsia" w:ascii="宋体" w:cs="宋体"/>
          <w:sz w:val="24"/>
        </w:rPr>
        <w:t>⑹ 技术标准和要求；</w:t>
      </w:r>
    </w:p>
    <w:p>
      <w:pPr>
        <w:spacing w:line="360" w:lineRule="auto"/>
        <w:ind w:firstLine="720" w:firstLineChars="300"/>
        <w:rPr>
          <w:rFonts w:ascii="宋体" w:cs="宋体"/>
          <w:sz w:val="24"/>
        </w:rPr>
      </w:pPr>
      <w:r>
        <w:rPr>
          <w:rFonts w:hint="eastAsia" w:ascii="宋体" w:cs="宋体"/>
          <w:sz w:val="24"/>
        </w:rPr>
        <w:t>⑺ 投标文件格式；</w:t>
      </w:r>
    </w:p>
    <w:p>
      <w:pPr>
        <w:spacing w:line="360" w:lineRule="auto"/>
        <w:ind w:firstLine="720" w:firstLineChars="300"/>
      </w:pPr>
      <w:r>
        <w:rPr>
          <w:rFonts w:hint="eastAsia" w:ascii="宋体" w:hAnsi="宋体" w:cs="宋体"/>
          <w:sz w:val="24"/>
        </w:rPr>
        <w:t>⑻</w:t>
      </w:r>
      <w:r>
        <w:rPr>
          <w:rFonts w:hint="eastAsia" w:ascii="宋体" w:cs="宋体"/>
          <w:sz w:val="24"/>
        </w:rPr>
        <w:t xml:space="preserve"> 投标人须知前附表规定的其他材料。</w:t>
      </w:r>
    </w:p>
    <w:p>
      <w:pPr>
        <w:widowControl/>
        <w:shd w:val="clear" w:color="auto" w:fill="FFFFFF"/>
        <w:snapToGrid w:val="0"/>
        <w:spacing w:line="360" w:lineRule="auto"/>
        <w:rPr>
          <w:rFonts w:ascii="宋体"/>
          <w:b/>
          <w:bCs/>
          <w:kern w:val="0"/>
          <w:sz w:val="24"/>
        </w:rPr>
      </w:pPr>
      <w:r>
        <w:rPr>
          <w:rFonts w:hint="eastAsia" w:ascii="宋体" w:cs="宋体"/>
          <w:b/>
          <w:bCs/>
          <w:sz w:val="24"/>
        </w:rPr>
        <w:t>二、</w:t>
      </w:r>
      <w:r>
        <w:rPr>
          <w:rFonts w:hint="eastAsia" w:ascii="宋体" w:cs="宋体"/>
          <w:b/>
          <w:bCs/>
          <w:kern w:val="0"/>
          <w:sz w:val="24"/>
        </w:rPr>
        <w:t>招标文件的澄清和修改</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2.1投标人应仔细阅读和检查招标文件的全部内容。如发现缺页或附件不全，应及时向招标人提出，以便补齐。如有疑问，应在投标人须知前附表规定的时间前以书面形式，要求招标人对招标文件予以澄清。</w:t>
      </w:r>
    </w:p>
    <w:p>
      <w:pPr>
        <w:widowControl/>
        <w:shd w:val="clear" w:color="auto" w:fill="FFFFFF"/>
        <w:snapToGrid w:val="0"/>
        <w:spacing w:line="360" w:lineRule="auto"/>
        <w:ind w:firstLine="480" w:firstLineChars="200"/>
        <w:rPr>
          <w:rFonts w:ascii="宋体" w:cs="宋体"/>
          <w:kern w:val="0"/>
          <w:sz w:val="24"/>
        </w:rPr>
      </w:pPr>
      <w:r>
        <w:rPr>
          <w:rFonts w:hint="eastAsia" w:asciiTheme="minorEastAsia" w:hAnsiTheme="minorEastAsia" w:eastAsiaTheme="minorEastAsia" w:cstheme="minorEastAsia"/>
          <w:kern w:val="0"/>
          <w:sz w:val="24"/>
        </w:rPr>
        <w:t>2.2 在投标人须知前附表规定的截止时间前，无论出于何种原因，采购代理机构和采购人可主动地或在解答潜在投标人提出的澄清问题时对招标文件进行修改。</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2.3招标文件的澄清将在投标人须知前附表规定的投标截止时间前以书面形式发给所有购买招标文件的投标人，但不指明澄清问题的来源。如果澄清发出的时间距投标截止时间不足的，相应延长投标截止时间。</w:t>
      </w:r>
    </w:p>
    <w:p>
      <w:pPr>
        <w:spacing w:line="360" w:lineRule="auto"/>
        <w:ind w:firstLine="480" w:firstLineChars="200"/>
      </w:pPr>
      <w:r>
        <w:rPr>
          <w:rFonts w:hint="eastAsia" w:ascii="宋体" w:cs="宋体"/>
          <w:kern w:val="0"/>
          <w:sz w:val="24"/>
        </w:rPr>
        <w:t>2.4投标人在收到澄清后，应在规定时间内以书面形式通知招标人，确认已收到该澄清。</w:t>
      </w:r>
    </w:p>
    <w:p>
      <w:pPr>
        <w:spacing w:line="360" w:lineRule="auto"/>
        <w:rPr>
          <w:rFonts w:ascii="宋体" w:cs="宋体"/>
          <w:sz w:val="24"/>
        </w:rPr>
      </w:pPr>
    </w:p>
    <w:p>
      <w:pPr>
        <w:pStyle w:val="4"/>
        <w:jc w:val="center"/>
        <w:rPr>
          <w:rFonts w:cs="宋体"/>
          <w:sz w:val="24"/>
          <w:szCs w:val="24"/>
        </w:rPr>
      </w:pPr>
      <w:bookmarkStart w:id="5" w:name="_Toc2419"/>
      <w:r>
        <w:rPr>
          <w:rFonts w:ascii="Times New Roman" w:hAnsi="Times New Roman"/>
          <w:sz w:val="24"/>
          <w:szCs w:val="24"/>
        </w:rPr>
        <w:t>第</w:t>
      </w:r>
      <w:r>
        <w:rPr>
          <w:rFonts w:hint="eastAsia" w:ascii="Times New Roman" w:hAnsi="Times New Roman"/>
          <w:sz w:val="24"/>
          <w:szCs w:val="24"/>
        </w:rPr>
        <w:t>三</w:t>
      </w:r>
      <w:r>
        <w:rPr>
          <w:rFonts w:ascii="Times New Roman" w:hAnsi="Times New Roman"/>
          <w:sz w:val="24"/>
          <w:szCs w:val="24"/>
        </w:rPr>
        <w:t>节</w:t>
      </w:r>
      <w:r>
        <w:rPr>
          <w:rFonts w:hint="eastAsia" w:ascii="Times New Roman" w:hAnsi="Times New Roman"/>
          <w:sz w:val="24"/>
          <w:szCs w:val="24"/>
        </w:rPr>
        <w:t xml:space="preserve"> 投标文件</w:t>
      </w:r>
      <w:bookmarkEnd w:id="5"/>
    </w:p>
    <w:p>
      <w:pPr>
        <w:widowControl/>
        <w:shd w:val="clear" w:color="auto" w:fill="FFFFFF"/>
        <w:snapToGrid w:val="0"/>
        <w:spacing w:line="360" w:lineRule="auto"/>
        <w:rPr>
          <w:rFonts w:ascii="宋体"/>
          <w:b/>
          <w:bCs/>
          <w:kern w:val="0"/>
          <w:sz w:val="24"/>
        </w:rPr>
      </w:pPr>
      <w:r>
        <w:rPr>
          <w:rFonts w:hint="eastAsia" w:ascii="宋体" w:cs="宋体"/>
          <w:b/>
          <w:bCs/>
          <w:sz w:val="24"/>
        </w:rPr>
        <w:t>一、</w:t>
      </w:r>
      <w:r>
        <w:rPr>
          <w:rFonts w:hint="eastAsia" w:ascii="宋体" w:cs="宋体"/>
          <w:b/>
          <w:bCs/>
          <w:kern w:val="0"/>
          <w:sz w:val="24"/>
        </w:rPr>
        <w:t>投标文件的组成</w:t>
      </w:r>
    </w:p>
    <w:p>
      <w:pPr>
        <w:spacing w:line="360" w:lineRule="auto"/>
        <w:ind w:firstLine="480" w:firstLineChars="200"/>
        <w:rPr>
          <w:rFonts w:ascii="宋体" w:cs="宋体"/>
          <w:sz w:val="24"/>
        </w:rPr>
      </w:pPr>
      <w:r>
        <w:rPr>
          <w:rFonts w:hint="eastAsia" w:ascii="宋体" w:cs="宋体"/>
          <w:sz w:val="24"/>
        </w:rPr>
        <w:t>1.1 投标文件应包括下列内容：</w:t>
      </w:r>
    </w:p>
    <w:p>
      <w:pPr>
        <w:spacing w:line="360" w:lineRule="auto"/>
        <w:ind w:firstLine="720" w:firstLineChars="300"/>
        <w:rPr>
          <w:rFonts w:ascii="宋体" w:cs="宋体"/>
          <w:sz w:val="24"/>
        </w:rPr>
      </w:pPr>
      <w:r>
        <w:rPr>
          <w:rFonts w:hint="eastAsia" w:ascii="宋体" w:cs="宋体"/>
          <w:sz w:val="24"/>
        </w:rPr>
        <w:t>⑴ 投标函；</w:t>
      </w:r>
    </w:p>
    <w:p>
      <w:pPr>
        <w:spacing w:line="360" w:lineRule="auto"/>
        <w:ind w:firstLine="720" w:firstLineChars="300"/>
        <w:rPr>
          <w:rFonts w:ascii="宋体" w:cs="宋体"/>
          <w:sz w:val="24"/>
        </w:rPr>
      </w:pPr>
      <w:r>
        <w:rPr>
          <w:rFonts w:hint="eastAsia" w:ascii="宋体" w:cs="宋体"/>
          <w:sz w:val="24"/>
        </w:rPr>
        <w:t xml:space="preserve">⑵ </w:t>
      </w:r>
      <w:r>
        <w:rPr>
          <w:rFonts w:hint="eastAsia" w:ascii="宋体"/>
          <w:kern w:val="0"/>
          <w:sz w:val="24"/>
        </w:rPr>
        <w:t>开标一览表（报价单）</w:t>
      </w:r>
      <w:r>
        <w:rPr>
          <w:rFonts w:hint="eastAsia" w:ascii="宋体" w:cs="宋体"/>
          <w:sz w:val="24"/>
        </w:rPr>
        <w:t>；</w:t>
      </w:r>
    </w:p>
    <w:p>
      <w:pPr>
        <w:spacing w:line="360" w:lineRule="auto"/>
        <w:ind w:firstLine="720" w:firstLineChars="300"/>
        <w:rPr>
          <w:rFonts w:ascii="宋体" w:cs="宋体"/>
          <w:sz w:val="24"/>
        </w:rPr>
      </w:pPr>
      <w:r>
        <w:rPr>
          <w:rFonts w:hint="eastAsia" w:ascii="宋体" w:cs="宋体"/>
          <w:sz w:val="24"/>
        </w:rPr>
        <w:t xml:space="preserve">⑶ </w:t>
      </w:r>
      <w:r>
        <w:rPr>
          <w:rFonts w:hint="eastAsia" w:ascii="宋体"/>
          <w:kern w:val="0"/>
          <w:sz w:val="24"/>
        </w:rPr>
        <w:t>法定代表人身份证明书</w:t>
      </w:r>
      <w:r>
        <w:rPr>
          <w:rFonts w:hint="eastAsia" w:ascii="宋体" w:cs="宋体"/>
          <w:sz w:val="24"/>
        </w:rPr>
        <w:t>；</w:t>
      </w:r>
    </w:p>
    <w:p>
      <w:pPr>
        <w:spacing w:line="360" w:lineRule="auto"/>
        <w:ind w:firstLine="720" w:firstLineChars="300"/>
        <w:rPr>
          <w:rFonts w:ascii="宋体" w:cs="宋体"/>
          <w:sz w:val="24"/>
        </w:rPr>
      </w:pPr>
      <w:r>
        <w:rPr>
          <w:rFonts w:hint="eastAsia" w:ascii="宋体" w:cs="宋体"/>
          <w:sz w:val="24"/>
        </w:rPr>
        <w:t xml:space="preserve">⑷ </w:t>
      </w:r>
      <w:r>
        <w:rPr>
          <w:rFonts w:hint="eastAsia" w:ascii="宋体"/>
          <w:kern w:val="0"/>
          <w:sz w:val="24"/>
        </w:rPr>
        <w:t>授权委托书</w:t>
      </w:r>
      <w:r>
        <w:rPr>
          <w:rFonts w:hint="eastAsia" w:ascii="宋体" w:cs="宋体"/>
          <w:sz w:val="24"/>
        </w:rPr>
        <w:t>；</w:t>
      </w:r>
    </w:p>
    <w:p>
      <w:pPr>
        <w:spacing w:line="360" w:lineRule="auto"/>
        <w:ind w:firstLine="720" w:firstLineChars="300"/>
        <w:rPr>
          <w:rFonts w:ascii="宋体"/>
          <w:kern w:val="0"/>
          <w:sz w:val="24"/>
        </w:rPr>
      </w:pPr>
      <w:r>
        <w:rPr>
          <w:rFonts w:hint="eastAsia" w:ascii="宋体" w:cs="宋体"/>
          <w:sz w:val="24"/>
        </w:rPr>
        <w:t xml:space="preserve">⑸ </w:t>
      </w:r>
      <w:r>
        <w:rPr>
          <w:rFonts w:hint="eastAsia" w:ascii="宋体"/>
          <w:kern w:val="0"/>
          <w:sz w:val="24"/>
        </w:rPr>
        <w:t xml:space="preserve">投标人概况； </w:t>
      </w:r>
    </w:p>
    <w:p>
      <w:pPr>
        <w:spacing w:line="360" w:lineRule="auto"/>
        <w:ind w:firstLine="720" w:firstLineChars="300"/>
        <w:rPr>
          <w:rFonts w:ascii="宋体"/>
          <w:kern w:val="0"/>
          <w:sz w:val="24"/>
        </w:rPr>
      </w:pPr>
      <w:r>
        <w:rPr>
          <w:rFonts w:hint="eastAsia" w:ascii="宋体"/>
          <w:kern w:val="0"/>
          <w:sz w:val="24"/>
        </w:rPr>
        <w:t>⑹ 技术条款偏离表；</w:t>
      </w:r>
    </w:p>
    <w:p>
      <w:pPr>
        <w:spacing w:line="360" w:lineRule="auto"/>
        <w:ind w:firstLine="720" w:firstLineChars="300"/>
        <w:rPr>
          <w:rFonts w:ascii="宋体"/>
          <w:kern w:val="0"/>
          <w:sz w:val="24"/>
        </w:rPr>
      </w:pPr>
      <w:r>
        <w:rPr>
          <w:rFonts w:hint="eastAsia" w:ascii="宋体"/>
          <w:kern w:val="0"/>
          <w:sz w:val="24"/>
        </w:rPr>
        <w:t>⑺ 商务条款偏离表；</w:t>
      </w:r>
    </w:p>
    <w:p>
      <w:pPr>
        <w:spacing w:line="360" w:lineRule="auto"/>
        <w:ind w:firstLine="720" w:firstLineChars="300"/>
        <w:rPr>
          <w:rFonts w:ascii="宋体"/>
          <w:kern w:val="0"/>
          <w:sz w:val="24"/>
        </w:rPr>
      </w:pPr>
      <w:r>
        <w:rPr>
          <w:rFonts w:hint="eastAsia" w:ascii="宋体"/>
          <w:kern w:val="0"/>
          <w:sz w:val="24"/>
        </w:rPr>
        <w:t>⑻ 反商业贿赂承诺书；</w:t>
      </w:r>
    </w:p>
    <w:p>
      <w:pPr>
        <w:spacing w:line="360" w:lineRule="auto"/>
        <w:ind w:firstLine="720" w:firstLineChars="300"/>
        <w:rPr>
          <w:rFonts w:ascii="宋体"/>
          <w:kern w:val="0"/>
          <w:sz w:val="24"/>
        </w:rPr>
      </w:pPr>
      <w:r>
        <w:rPr>
          <w:rFonts w:hint="eastAsia" w:ascii="宋体"/>
          <w:kern w:val="0"/>
          <w:sz w:val="24"/>
        </w:rPr>
        <w:t>⑼ 中小微企业声明函；</w:t>
      </w:r>
    </w:p>
    <w:p>
      <w:pPr>
        <w:spacing w:line="360" w:lineRule="auto"/>
        <w:ind w:firstLine="720" w:firstLineChars="300"/>
        <w:rPr>
          <w:rFonts w:ascii="宋体"/>
          <w:kern w:val="0"/>
          <w:sz w:val="24"/>
        </w:rPr>
      </w:pPr>
      <w:r>
        <w:rPr>
          <w:rFonts w:hint="eastAsia" w:ascii="宋体"/>
          <w:kern w:val="0"/>
          <w:sz w:val="24"/>
        </w:rPr>
        <w:t>⑽ 投标人近3年类似项目业绩表；</w:t>
      </w:r>
    </w:p>
    <w:p>
      <w:pPr>
        <w:spacing w:line="360" w:lineRule="auto"/>
        <w:ind w:firstLine="720" w:firstLineChars="300"/>
        <w:rPr>
          <w:rFonts w:ascii="宋体"/>
          <w:kern w:val="0"/>
          <w:sz w:val="24"/>
        </w:rPr>
      </w:pPr>
      <w:r>
        <w:rPr>
          <w:rFonts w:hint="eastAsia" w:ascii="宋体"/>
          <w:kern w:val="0"/>
          <w:sz w:val="24"/>
        </w:rPr>
        <w:t>⑾ 其他需要提交的材料（根据招标文件的要求和投标人认为需要提供的资料）</w:t>
      </w:r>
    </w:p>
    <w:p>
      <w:pPr>
        <w:spacing w:line="360" w:lineRule="auto"/>
        <w:ind w:firstLine="480" w:firstLineChars="200"/>
        <w:rPr>
          <w:rFonts w:ascii="宋体"/>
          <w:kern w:val="0"/>
          <w:sz w:val="24"/>
        </w:rPr>
      </w:pPr>
      <w:r>
        <w:rPr>
          <w:rFonts w:hint="eastAsia" w:ascii="宋体"/>
          <w:kern w:val="0"/>
          <w:sz w:val="24"/>
        </w:rPr>
        <w:t>1.2 投标人须知前附表规定不接受联合体投标的，或投标人没有组成联合体的，投标文件不包括本章所指的联合体协议书。</w:t>
      </w:r>
    </w:p>
    <w:p>
      <w:pPr>
        <w:spacing w:line="360" w:lineRule="auto"/>
        <w:ind w:firstLine="480" w:firstLineChars="200"/>
        <w:rPr>
          <w:rFonts w:ascii="宋体"/>
          <w:kern w:val="0"/>
          <w:sz w:val="24"/>
        </w:rPr>
      </w:pPr>
      <w:r>
        <w:rPr>
          <w:rFonts w:hint="eastAsia" w:ascii="宋体"/>
          <w:kern w:val="0"/>
          <w:sz w:val="24"/>
        </w:rPr>
        <w:t>1.3 语言文字</w:t>
      </w:r>
    </w:p>
    <w:p>
      <w:pPr>
        <w:spacing w:line="360" w:lineRule="auto"/>
        <w:ind w:firstLine="720" w:firstLineChars="300"/>
        <w:rPr>
          <w:rFonts w:ascii="宋体"/>
          <w:kern w:val="0"/>
          <w:sz w:val="24"/>
        </w:rPr>
      </w:pPr>
      <w:r>
        <w:rPr>
          <w:rFonts w:hint="eastAsia" w:ascii="宋体"/>
          <w:kern w:val="0"/>
          <w:sz w:val="24"/>
        </w:rPr>
        <w:t xml:space="preserve">⑴ 投标人提交的投标文件以及投标人与招标采购单位就有关投标的所有来往书面文件均须使用中文。投标文件中如附有外文资料，必须逐一对应正确翻译成中文并加盖投标人公章后附在相关外文资料后面，否则，所提供的外文资料将将视为无效。（说明：供应商的法定代表人或负责人为外籍人士的，则法定代表人或负责人的签字和护照除外。） </w:t>
      </w:r>
    </w:p>
    <w:p>
      <w:pPr>
        <w:spacing w:line="360" w:lineRule="auto"/>
        <w:ind w:firstLine="720" w:firstLineChars="300"/>
        <w:rPr>
          <w:rFonts w:ascii="宋体"/>
          <w:kern w:val="0"/>
          <w:sz w:val="24"/>
        </w:rPr>
      </w:pPr>
      <w:r>
        <w:rPr>
          <w:rFonts w:hint="eastAsia" w:ascii="宋体"/>
          <w:kern w:val="0"/>
          <w:sz w:val="24"/>
        </w:rPr>
        <w:t>⑵ 翻译的中文资料与外文资料如果出现差异和矛盾时，以中文为准。涉嫌虚假投标的按照相关法律法规处理。</w:t>
      </w:r>
    </w:p>
    <w:p>
      <w:pPr>
        <w:spacing w:line="360" w:lineRule="auto"/>
        <w:ind w:firstLine="480" w:firstLineChars="200"/>
        <w:rPr>
          <w:rFonts w:ascii="宋体"/>
          <w:kern w:val="0"/>
          <w:sz w:val="24"/>
        </w:rPr>
      </w:pPr>
      <w:r>
        <w:rPr>
          <w:rFonts w:hint="eastAsia" w:ascii="宋体"/>
          <w:kern w:val="0"/>
          <w:sz w:val="24"/>
        </w:rPr>
        <w:t>1.4 计量单位</w:t>
      </w:r>
    </w:p>
    <w:p>
      <w:pPr>
        <w:spacing w:line="360" w:lineRule="auto"/>
        <w:ind w:firstLine="480" w:firstLineChars="200"/>
        <w:rPr>
          <w:rFonts w:ascii="宋体"/>
          <w:kern w:val="0"/>
          <w:sz w:val="24"/>
        </w:rPr>
      </w:pPr>
      <w:r>
        <w:rPr>
          <w:rFonts w:hint="eastAsia" w:ascii="宋体"/>
          <w:kern w:val="0"/>
          <w:sz w:val="24"/>
        </w:rPr>
        <w:t>除技术规格及要求中另有规定外，本采购项目的投标均采用中华人民共和国法定计量单位。</w:t>
      </w:r>
    </w:p>
    <w:p>
      <w:pPr>
        <w:spacing w:line="360" w:lineRule="auto"/>
        <w:ind w:firstLine="480" w:firstLineChars="200"/>
        <w:rPr>
          <w:rFonts w:ascii="宋体"/>
          <w:kern w:val="0"/>
          <w:sz w:val="24"/>
        </w:rPr>
      </w:pPr>
      <w:r>
        <w:rPr>
          <w:rFonts w:hint="eastAsia" w:ascii="宋体"/>
          <w:kern w:val="0"/>
          <w:sz w:val="24"/>
        </w:rPr>
        <w:t>1.5 投标货币</w:t>
      </w:r>
    </w:p>
    <w:p>
      <w:pPr>
        <w:spacing w:line="360" w:lineRule="auto"/>
        <w:ind w:firstLine="480" w:firstLineChars="200"/>
        <w:rPr>
          <w:rFonts w:ascii="宋体" w:cs="宋体"/>
          <w:kern w:val="0"/>
          <w:sz w:val="24"/>
        </w:rPr>
      </w:pPr>
      <w:r>
        <w:rPr>
          <w:rFonts w:hint="eastAsia" w:ascii="宋体"/>
          <w:kern w:val="0"/>
          <w:sz w:val="24"/>
        </w:rPr>
        <w:t>本次招标项目的投标均以人民币报价。</w:t>
      </w:r>
    </w:p>
    <w:p>
      <w:pPr>
        <w:widowControl/>
        <w:shd w:val="clear" w:color="auto" w:fill="FFFFFF"/>
        <w:snapToGrid w:val="0"/>
        <w:spacing w:line="360" w:lineRule="auto"/>
        <w:rPr>
          <w:rFonts w:ascii="宋体"/>
          <w:b/>
          <w:bCs/>
          <w:kern w:val="0"/>
          <w:sz w:val="24"/>
        </w:rPr>
      </w:pPr>
      <w:r>
        <w:rPr>
          <w:rFonts w:hint="eastAsia" w:ascii="宋体" w:cs="宋体"/>
          <w:b/>
          <w:bCs/>
          <w:sz w:val="24"/>
        </w:rPr>
        <w:t>二、</w:t>
      </w:r>
      <w:r>
        <w:rPr>
          <w:rFonts w:hint="eastAsia" w:ascii="宋体" w:cs="宋体"/>
          <w:b/>
          <w:bCs/>
          <w:kern w:val="0"/>
          <w:sz w:val="24"/>
        </w:rPr>
        <w:t>投标报价</w:t>
      </w:r>
    </w:p>
    <w:p>
      <w:pPr>
        <w:widowControl/>
        <w:shd w:val="clear" w:color="auto" w:fill="FFFFFF"/>
        <w:snapToGrid w:val="0"/>
        <w:spacing w:line="360" w:lineRule="auto"/>
        <w:ind w:firstLine="480" w:firstLineChars="200"/>
        <w:rPr>
          <w:rFonts w:ascii="宋体"/>
          <w:kern w:val="0"/>
          <w:sz w:val="24"/>
        </w:rPr>
      </w:pPr>
      <w:r>
        <w:rPr>
          <w:rFonts w:ascii="宋体"/>
          <w:kern w:val="0"/>
          <w:sz w:val="24"/>
        </w:rPr>
        <w:t xml:space="preserve">2.1 </w:t>
      </w:r>
      <w:r>
        <w:rPr>
          <w:rFonts w:hint="eastAsia" w:ascii="宋体"/>
          <w:kern w:val="0"/>
          <w:sz w:val="24"/>
        </w:rPr>
        <w:t>投标人应当按“技术标准和要求”的规定进行综合报价，并填写“投标文件格式”中开标一览表（报价单）的投标报价表。</w:t>
      </w:r>
    </w:p>
    <w:p>
      <w:pPr>
        <w:widowControl/>
        <w:shd w:val="clear" w:color="auto" w:fill="FFFFFF"/>
        <w:snapToGrid w:val="0"/>
        <w:spacing w:line="360" w:lineRule="auto"/>
        <w:ind w:firstLine="480" w:firstLineChars="200"/>
        <w:rPr>
          <w:rFonts w:ascii="宋体"/>
          <w:kern w:val="0"/>
          <w:sz w:val="24"/>
        </w:rPr>
      </w:pPr>
      <w:r>
        <w:rPr>
          <w:rFonts w:ascii="宋体"/>
          <w:kern w:val="0"/>
          <w:sz w:val="24"/>
        </w:rPr>
        <w:t xml:space="preserve">2.2 </w:t>
      </w:r>
      <w:r>
        <w:rPr>
          <w:rFonts w:hint="eastAsia" w:ascii="宋体"/>
          <w:b/>
          <w:bCs/>
          <w:kern w:val="0"/>
          <w:sz w:val="24"/>
        </w:rPr>
        <w:t>投标人的投标价格不能超出本项目最高限价</w:t>
      </w:r>
      <w:r>
        <w:rPr>
          <w:rFonts w:hint="eastAsia" w:ascii="宋体"/>
          <w:kern w:val="0"/>
          <w:sz w:val="24"/>
        </w:rPr>
        <w:t>。</w:t>
      </w:r>
    </w:p>
    <w:p>
      <w:pPr>
        <w:widowControl/>
        <w:shd w:val="clear" w:color="auto" w:fill="FFFFFF"/>
        <w:snapToGrid w:val="0"/>
        <w:spacing w:line="360" w:lineRule="auto"/>
        <w:ind w:firstLine="480" w:firstLineChars="200"/>
        <w:rPr>
          <w:rFonts w:ascii="宋体"/>
          <w:kern w:val="0"/>
          <w:sz w:val="24"/>
        </w:rPr>
      </w:pPr>
      <w:r>
        <w:rPr>
          <w:rFonts w:hint="eastAsia" w:ascii="宋体"/>
          <w:kern w:val="0"/>
          <w:sz w:val="24"/>
        </w:rPr>
        <w:t xml:space="preserve">2.3 </w:t>
      </w:r>
      <w:r>
        <w:rPr>
          <w:rFonts w:hint="eastAsia" w:ascii="宋体"/>
          <w:b/>
          <w:bCs/>
          <w:kern w:val="0"/>
          <w:sz w:val="24"/>
        </w:rPr>
        <w:t>为保证本项目质量，良好的售后服务，最低报价不作为中标的唯一依据</w:t>
      </w:r>
      <w:r>
        <w:rPr>
          <w:rFonts w:hint="eastAsia" w:ascii="宋体"/>
          <w:kern w:val="0"/>
          <w:sz w:val="24"/>
        </w:rPr>
        <w:t>。。</w:t>
      </w:r>
    </w:p>
    <w:p>
      <w:pPr>
        <w:widowControl/>
        <w:shd w:val="clear" w:color="auto" w:fill="FFFFFF"/>
        <w:snapToGrid w:val="0"/>
        <w:spacing w:line="360" w:lineRule="auto"/>
        <w:ind w:firstLine="480" w:firstLineChars="200"/>
        <w:rPr>
          <w:rFonts w:ascii="宋体" w:cs="宋体"/>
          <w:kern w:val="0"/>
          <w:sz w:val="24"/>
        </w:rPr>
      </w:pPr>
      <w:r>
        <w:rPr>
          <w:rFonts w:ascii="宋体"/>
          <w:kern w:val="0"/>
          <w:sz w:val="24"/>
        </w:rPr>
        <w:t>2.</w:t>
      </w:r>
      <w:r>
        <w:rPr>
          <w:rFonts w:hint="eastAsia" w:ascii="宋体"/>
          <w:kern w:val="0"/>
          <w:sz w:val="24"/>
        </w:rPr>
        <w:t>4投标人在投标截止时间前修改投标函中的投标报价的，应同时修改“投标文件格式”中开标一览表（报价单）的相应报价。</w:t>
      </w:r>
    </w:p>
    <w:p>
      <w:pPr>
        <w:widowControl/>
        <w:shd w:val="clear" w:color="auto" w:fill="FFFFFF"/>
        <w:snapToGrid w:val="0"/>
        <w:spacing w:line="360" w:lineRule="auto"/>
        <w:rPr>
          <w:rFonts w:ascii="宋体"/>
          <w:b/>
          <w:bCs/>
          <w:kern w:val="0"/>
          <w:sz w:val="24"/>
        </w:rPr>
      </w:pPr>
      <w:r>
        <w:rPr>
          <w:rFonts w:hint="eastAsia" w:ascii="宋体" w:cs="宋体"/>
          <w:b/>
          <w:bCs/>
          <w:sz w:val="24"/>
        </w:rPr>
        <w:t>三、</w:t>
      </w:r>
      <w:r>
        <w:rPr>
          <w:rFonts w:hint="eastAsia" w:ascii="宋体" w:cs="宋体"/>
          <w:b/>
          <w:bCs/>
          <w:kern w:val="0"/>
          <w:sz w:val="24"/>
        </w:rPr>
        <w:t>投标有效期</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sz w:val="24"/>
        </w:rPr>
        <w:t>3.1 在投标人须知前附表规定的投标有效期内，投标人不得要求撤销或修改其投标文件。</w:t>
      </w:r>
    </w:p>
    <w:p>
      <w:pPr>
        <w:spacing w:line="360" w:lineRule="auto"/>
        <w:ind w:firstLine="480" w:firstLineChars="200"/>
        <w:rPr>
          <w:rFonts w:ascii="宋体" w:cs="宋体"/>
          <w:sz w:val="24"/>
        </w:rPr>
      </w:pPr>
      <w:r>
        <w:rPr>
          <w:rFonts w:hint="eastAsia" w:ascii="宋体" w:cs="宋体"/>
          <w:kern w:val="0"/>
          <w:sz w:val="24"/>
        </w:rPr>
        <w:t>3.2 出现特殊情况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widowControl/>
        <w:shd w:val="clear" w:color="auto" w:fill="FFFFFF"/>
        <w:snapToGrid w:val="0"/>
        <w:spacing w:line="360" w:lineRule="auto"/>
        <w:rPr>
          <w:rFonts w:ascii="宋体"/>
          <w:b/>
          <w:bCs/>
          <w:kern w:val="0"/>
          <w:sz w:val="24"/>
        </w:rPr>
      </w:pPr>
      <w:r>
        <w:rPr>
          <w:rFonts w:hint="eastAsia" w:ascii="宋体"/>
          <w:b/>
          <w:bCs/>
          <w:kern w:val="0"/>
          <w:sz w:val="24"/>
        </w:rPr>
        <w:t>四、投标保证金</w:t>
      </w:r>
    </w:p>
    <w:p>
      <w:pPr>
        <w:spacing w:line="360" w:lineRule="auto"/>
        <w:ind w:firstLine="480" w:firstLineChars="200"/>
        <w:jc w:val="left"/>
        <w:rPr>
          <w:rFonts w:ascii="宋体" w:cs="宋体"/>
          <w:sz w:val="24"/>
        </w:rPr>
      </w:pPr>
      <w:r>
        <w:rPr>
          <w:rFonts w:hint="eastAsia" w:ascii="宋体" w:cs="宋体"/>
          <w:sz w:val="24"/>
        </w:rPr>
        <w:t>4.1投标人在递交投标文件的同时，应按投标人须知前附表规定的金额、担保形式和</w:t>
      </w:r>
      <w:r>
        <w:rPr>
          <w:rFonts w:hint="eastAsia" w:ascii="宋体" w:cs="宋体"/>
          <w:b/>
          <w:bCs/>
          <w:sz w:val="24"/>
        </w:rPr>
        <w:t>“</w:t>
      </w:r>
      <w:r>
        <w:rPr>
          <w:rFonts w:hint="eastAsia" w:ascii="宋体" w:cs="宋体"/>
          <w:sz w:val="24"/>
        </w:rPr>
        <w:t>投标文件格式</w:t>
      </w:r>
      <w:r>
        <w:rPr>
          <w:rFonts w:hint="eastAsia" w:ascii="宋体" w:cs="宋体"/>
          <w:b/>
          <w:bCs/>
          <w:sz w:val="24"/>
        </w:rPr>
        <w:t>”</w:t>
      </w:r>
      <w:r>
        <w:rPr>
          <w:rFonts w:hint="eastAsia" w:ascii="宋体" w:cs="宋体"/>
          <w:sz w:val="24"/>
        </w:rPr>
        <w:t>规定的投标保证金格式递交投标保证金，并作为其投标文件的组成部分。联合体投标的，其投标保证金由牵头人递交，并应符合投标人须知前附表的规定。</w:t>
      </w:r>
    </w:p>
    <w:p>
      <w:pPr>
        <w:spacing w:line="360" w:lineRule="auto"/>
        <w:ind w:firstLine="480" w:firstLineChars="200"/>
        <w:jc w:val="left"/>
        <w:rPr>
          <w:rFonts w:ascii="宋体" w:cs="宋体"/>
          <w:kern w:val="0"/>
          <w:sz w:val="24"/>
        </w:rPr>
      </w:pPr>
      <w:r>
        <w:rPr>
          <w:rFonts w:hint="eastAsia" w:ascii="宋体" w:cs="宋体"/>
          <w:kern w:val="0"/>
          <w:sz w:val="24"/>
        </w:rPr>
        <w:t>4.2投标人不按本章第4.1项要求提交投标保证金的，其投标文件作废标处理。</w:t>
      </w:r>
    </w:p>
    <w:p>
      <w:pPr>
        <w:spacing w:line="360" w:lineRule="auto"/>
        <w:ind w:firstLine="480" w:firstLineChars="200"/>
        <w:jc w:val="left"/>
        <w:rPr>
          <w:rFonts w:ascii="宋体" w:cs="宋体"/>
          <w:b/>
          <w:bCs/>
          <w:kern w:val="0"/>
          <w:sz w:val="24"/>
        </w:rPr>
      </w:pPr>
      <w:r>
        <w:rPr>
          <w:rFonts w:hint="eastAsia" w:ascii="宋体" w:cs="宋体"/>
          <w:kern w:val="0"/>
          <w:sz w:val="24"/>
        </w:rPr>
        <w:t>4.3投标保证金有效期与投标有效期一致。</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4.4投标保证金退还</w:t>
      </w:r>
    </w:p>
    <w:p>
      <w:pPr>
        <w:widowControl/>
        <w:shd w:val="clear" w:color="auto" w:fill="FFFFFF"/>
        <w:snapToGrid w:val="0"/>
        <w:spacing w:line="360" w:lineRule="auto"/>
        <w:ind w:firstLine="480" w:firstLineChars="200"/>
        <w:rPr>
          <w:rFonts w:asciiTheme="minorEastAsia" w:hAnsiTheme="minorEastAsia" w:eastAsiaTheme="minorEastAsia" w:cstheme="minorEastAsia"/>
          <w:kern w:val="0"/>
          <w:sz w:val="24"/>
        </w:rPr>
      </w:pPr>
      <w:r>
        <w:rPr>
          <w:rFonts w:hint="eastAsia" w:ascii="宋体" w:cs="宋体"/>
          <w:kern w:val="0"/>
          <w:sz w:val="24"/>
        </w:rPr>
        <w:t>⑴</w:t>
      </w:r>
      <w:r>
        <w:rPr>
          <w:rFonts w:hint="eastAsia" w:asciiTheme="minorEastAsia" w:hAnsiTheme="minorEastAsia" w:eastAsiaTheme="minorEastAsia" w:cstheme="minorEastAsia"/>
          <w:kern w:val="0"/>
          <w:sz w:val="24"/>
        </w:rPr>
        <w:t xml:space="preserve"> </w:t>
      </w:r>
      <w:r>
        <w:rPr>
          <w:rFonts w:ascii="宋体" w:hAnsi="宋体" w:cs="宋体"/>
          <w:sz w:val="24"/>
        </w:rPr>
        <w:t>投标人所交纳的投标保证金不计利息。</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⑵ 投标人提交一份《投标保证金退还申请书》给本项目的招标代理机构。</w:t>
      </w:r>
    </w:p>
    <w:p>
      <w:pPr>
        <w:widowControl/>
        <w:shd w:val="clear" w:color="auto" w:fill="FFFFFF"/>
        <w:snapToGrid w:val="0"/>
        <w:spacing w:line="360" w:lineRule="auto"/>
        <w:ind w:firstLine="480" w:firstLineChars="200"/>
        <w:rPr>
          <w:rFonts w:ascii="宋体" w:hAnsi="宋体" w:cs="宋体"/>
          <w:sz w:val="24"/>
        </w:rPr>
      </w:pPr>
      <w:r>
        <w:rPr>
          <w:rFonts w:hint="eastAsia" w:asciiTheme="minorEastAsia" w:hAnsiTheme="minorEastAsia" w:eastAsiaTheme="minorEastAsia" w:cstheme="minorEastAsia"/>
          <w:kern w:val="0"/>
          <w:sz w:val="24"/>
        </w:rPr>
        <w:t>⑶ 中标公示期满后，</w:t>
      </w:r>
      <w:r>
        <w:rPr>
          <w:rFonts w:ascii="宋体" w:hAnsi="宋体" w:cs="宋体"/>
          <w:sz w:val="24"/>
        </w:rPr>
        <w:t>未</w:t>
      </w:r>
      <w:r>
        <w:rPr>
          <w:rFonts w:hint="eastAsia" w:ascii="宋体" w:hAnsi="宋体" w:cs="宋体"/>
          <w:sz w:val="24"/>
        </w:rPr>
        <w:t>成交人</w:t>
      </w:r>
      <w:r>
        <w:rPr>
          <w:rFonts w:ascii="宋体" w:hAnsi="宋体" w:cs="宋体"/>
          <w:sz w:val="24"/>
        </w:rPr>
        <w:t>的投标保证金，将在中标通知书发出后五个工作日内原渠道退还缴款账户。</w:t>
      </w:r>
    </w:p>
    <w:p>
      <w:pPr>
        <w:widowControl/>
        <w:shd w:val="clear" w:color="auto" w:fill="FFFFFF"/>
        <w:snapToGrid w:val="0"/>
        <w:spacing w:line="360" w:lineRule="auto"/>
        <w:ind w:firstLine="480" w:firstLineChars="200"/>
        <w:rPr>
          <w:rFonts w:ascii="宋体" w:hAnsi="宋体" w:cs="宋体"/>
          <w:sz w:val="24"/>
        </w:rPr>
      </w:pPr>
      <w:r>
        <w:rPr>
          <w:rFonts w:hint="eastAsia" w:ascii="宋体" w:hAnsi="宋体" w:cs="宋体"/>
          <w:sz w:val="24"/>
        </w:rPr>
        <w:t xml:space="preserve">⑷ </w:t>
      </w:r>
      <w:r>
        <w:rPr>
          <w:rFonts w:hint="eastAsia" w:asciiTheme="minorEastAsia" w:hAnsiTheme="minorEastAsia" w:eastAsiaTheme="minorEastAsia" w:cstheme="minorEastAsia"/>
          <w:kern w:val="0"/>
          <w:sz w:val="24"/>
        </w:rPr>
        <w:t>中标公示期满后，</w:t>
      </w:r>
      <w:r>
        <w:rPr>
          <w:rFonts w:hint="eastAsia" w:ascii="宋体" w:hAnsi="宋体" w:cs="宋体"/>
          <w:sz w:val="24"/>
        </w:rPr>
        <w:t>成交人</w:t>
      </w:r>
      <w:r>
        <w:rPr>
          <w:rFonts w:ascii="宋体" w:hAnsi="宋体" w:cs="宋体"/>
          <w:sz w:val="24"/>
        </w:rPr>
        <w:t>的投标保证金，在</w:t>
      </w:r>
      <w:r>
        <w:rPr>
          <w:rFonts w:hint="eastAsia" w:asciiTheme="minorEastAsia" w:hAnsiTheme="minorEastAsia" w:eastAsiaTheme="minorEastAsia" w:cstheme="minorEastAsia"/>
          <w:kern w:val="0"/>
          <w:sz w:val="24"/>
        </w:rPr>
        <w:t>与招标人</w:t>
      </w:r>
      <w:r>
        <w:rPr>
          <w:rFonts w:ascii="宋体" w:hAnsi="宋体" w:cs="宋体"/>
          <w:sz w:val="24"/>
        </w:rPr>
        <w:t>合同签订生效后</w:t>
      </w:r>
      <w:r>
        <w:rPr>
          <w:rFonts w:hint="eastAsia" w:asciiTheme="minorEastAsia" w:hAnsiTheme="minorEastAsia" w:eastAsiaTheme="minorEastAsia" w:cstheme="minorEastAsia"/>
          <w:kern w:val="0"/>
          <w:sz w:val="24"/>
        </w:rPr>
        <w:t>按招标文件要求提交相应资料</w:t>
      </w:r>
      <w:r>
        <w:rPr>
          <w:rFonts w:ascii="宋体" w:hAnsi="宋体" w:cs="宋体"/>
          <w:sz w:val="24"/>
        </w:rPr>
        <w:t>五个工作日内全额退还。</w:t>
      </w:r>
    </w:p>
    <w:p>
      <w:pPr>
        <w:widowControl/>
        <w:shd w:val="clear" w:color="auto" w:fill="FFFFFF"/>
        <w:snapToGrid w:val="0"/>
        <w:spacing w:line="360" w:lineRule="auto"/>
        <w:ind w:firstLine="480" w:firstLineChars="200"/>
        <w:rPr>
          <w:rFonts w:ascii="宋体" w:cs="宋体"/>
          <w:kern w:val="0"/>
          <w:sz w:val="24"/>
        </w:rPr>
      </w:pPr>
      <w:r>
        <w:rPr>
          <w:rFonts w:hint="eastAsia" w:ascii="宋体" w:hAnsi="宋体" w:cs="宋体"/>
          <w:sz w:val="24"/>
        </w:rPr>
        <w:t xml:space="preserve">⑸ </w:t>
      </w:r>
      <w:r>
        <w:rPr>
          <w:rFonts w:ascii="宋体" w:hAnsi="宋体" w:cs="宋体"/>
          <w:sz w:val="24"/>
        </w:rPr>
        <w:t>因供应商涉嫌违法违规，按照规定应当不予退还保证金的，有关部门处理认定违法违规行为期间的，以及因投标人自身原因导致无法及时退还的不计入退还保证金时限之内。</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4.5</w:t>
      </w:r>
      <w:r>
        <w:rPr>
          <w:rFonts w:hint="eastAsia" w:ascii="宋体" w:cs="宋体"/>
          <w:b/>
          <w:bCs/>
          <w:kern w:val="0"/>
          <w:sz w:val="24"/>
        </w:rPr>
        <w:t>有下列情形之一的，投标保证金将不予退还</w:t>
      </w:r>
      <w:r>
        <w:rPr>
          <w:rFonts w:hint="eastAsia" w:ascii="宋体" w:cs="宋体"/>
          <w:kern w:val="0"/>
          <w:sz w:val="24"/>
        </w:rPr>
        <w:t>：</w:t>
      </w:r>
    </w:p>
    <w:p>
      <w:pPr>
        <w:widowControl/>
        <w:shd w:val="clear" w:color="auto" w:fill="FFFFFF"/>
        <w:snapToGrid w:val="0"/>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⑴ 投标人</w:t>
      </w:r>
      <w:r>
        <w:rPr>
          <w:rFonts w:ascii="宋体" w:hAnsi="宋体" w:cs="宋体"/>
          <w:sz w:val="24"/>
        </w:rPr>
        <w:t>在</w:t>
      </w:r>
      <w:r>
        <w:rPr>
          <w:rFonts w:hint="eastAsia" w:asciiTheme="minorEastAsia" w:hAnsiTheme="minorEastAsia" w:eastAsiaTheme="minorEastAsia" w:cstheme="minorEastAsia"/>
          <w:kern w:val="0"/>
          <w:sz w:val="24"/>
        </w:rPr>
        <w:t>投标</w:t>
      </w:r>
      <w:r>
        <w:rPr>
          <w:rFonts w:ascii="宋体" w:hAnsi="宋体" w:cs="宋体"/>
          <w:sz w:val="24"/>
        </w:rPr>
        <w:t>文件规定的投标有效期内撤回</w:t>
      </w:r>
      <w:r>
        <w:rPr>
          <w:rFonts w:hint="eastAsia" w:asciiTheme="minorEastAsia" w:hAnsiTheme="minorEastAsia" w:eastAsiaTheme="minorEastAsia" w:cstheme="minorEastAsia"/>
          <w:kern w:val="0"/>
          <w:sz w:val="24"/>
        </w:rPr>
        <w:t>投标</w:t>
      </w:r>
      <w:r>
        <w:rPr>
          <w:rFonts w:ascii="宋体" w:hAnsi="宋体" w:cs="宋体"/>
          <w:sz w:val="24"/>
        </w:rPr>
        <w:t>文件的</w:t>
      </w:r>
      <w:r>
        <w:rPr>
          <w:rFonts w:hint="eastAsia" w:asciiTheme="minorEastAsia" w:hAnsiTheme="minorEastAsia" w:eastAsiaTheme="minorEastAsia" w:cstheme="minorEastAsia"/>
          <w:kern w:val="0"/>
          <w:sz w:val="24"/>
        </w:rPr>
        <w:t>；</w:t>
      </w:r>
    </w:p>
    <w:p>
      <w:pPr>
        <w:widowControl/>
        <w:shd w:val="clear" w:color="auto" w:fill="FFFFFF"/>
        <w:snapToGrid w:val="0"/>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⑵ </w:t>
      </w:r>
      <w:r>
        <w:rPr>
          <w:rFonts w:ascii="宋体" w:hAnsi="宋体" w:cs="宋体"/>
          <w:sz w:val="24"/>
        </w:rPr>
        <w:t>在采购人确定</w:t>
      </w:r>
      <w:r>
        <w:rPr>
          <w:rFonts w:hint="eastAsia" w:ascii="宋体" w:hAnsi="宋体" w:cs="宋体"/>
          <w:sz w:val="24"/>
        </w:rPr>
        <w:t>中标人</w:t>
      </w:r>
      <w:r>
        <w:rPr>
          <w:rFonts w:ascii="宋体" w:hAnsi="宋体" w:cs="宋体"/>
          <w:sz w:val="24"/>
        </w:rPr>
        <w:t>以前无正当理由放弃中标候选资格的</w:t>
      </w:r>
      <w:r>
        <w:rPr>
          <w:rFonts w:hint="eastAsia" w:asciiTheme="minorEastAsia" w:hAnsiTheme="minorEastAsia" w:eastAsiaTheme="minorEastAsia" w:cstheme="minorEastAsia"/>
          <w:kern w:val="0"/>
          <w:sz w:val="24"/>
        </w:rPr>
        <w:t>；</w:t>
      </w:r>
    </w:p>
    <w:p>
      <w:pPr>
        <w:widowControl/>
        <w:shd w:val="clear" w:color="auto" w:fill="FFFFFF"/>
        <w:snapToGrid w:val="0"/>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⑶ </w:t>
      </w:r>
      <w:r>
        <w:rPr>
          <w:rFonts w:ascii="宋体" w:hAnsi="宋体" w:cs="宋体"/>
          <w:sz w:val="24"/>
        </w:rPr>
        <w:t>因</w:t>
      </w:r>
      <w:r>
        <w:rPr>
          <w:rFonts w:hint="eastAsia" w:asciiTheme="minorEastAsia" w:hAnsiTheme="minorEastAsia" w:eastAsiaTheme="minorEastAsia" w:cstheme="minorEastAsia"/>
          <w:kern w:val="0"/>
          <w:sz w:val="24"/>
        </w:rPr>
        <w:t>投标</w:t>
      </w:r>
      <w:r>
        <w:rPr>
          <w:rFonts w:hint="eastAsia" w:ascii="宋体" w:hAnsi="宋体" w:cs="宋体"/>
          <w:sz w:val="24"/>
        </w:rPr>
        <w:t>人</w:t>
      </w:r>
      <w:r>
        <w:rPr>
          <w:rFonts w:ascii="宋体" w:hAnsi="宋体" w:cs="宋体"/>
          <w:sz w:val="24"/>
        </w:rPr>
        <w:t>自身原因放弃中标的</w:t>
      </w:r>
      <w:r>
        <w:rPr>
          <w:rFonts w:hint="eastAsia" w:asciiTheme="minorEastAsia" w:hAnsiTheme="minorEastAsia" w:eastAsiaTheme="minorEastAsia" w:cstheme="minorEastAsia"/>
          <w:kern w:val="0"/>
          <w:sz w:val="24"/>
        </w:rPr>
        <w:t>；</w:t>
      </w:r>
    </w:p>
    <w:p>
      <w:pPr>
        <w:widowControl/>
        <w:shd w:val="clear" w:color="auto" w:fill="FFFFFF"/>
        <w:snapToGrid w:val="0"/>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⑷ </w:t>
      </w:r>
      <w:r>
        <w:rPr>
          <w:rFonts w:ascii="宋体" w:hAnsi="宋体" w:cs="宋体"/>
          <w:sz w:val="24"/>
        </w:rPr>
        <w:t>由于</w:t>
      </w:r>
      <w:r>
        <w:rPr>
          <w:rFonts w:hint="eastAsia" w:asciiTheme="minorEastAsia" w:hAnsiTheme="minorEastAsia" w:eastAsiaTheme="minorEastAsia" w:cstheme="minorEastAsia"/>
          <w:kern w:val="0"/>
          <w:sz w:val="24"/>
        </w:rPr>
        <w:t>投标</w:t>
      </w:r>
      <w:r>
        <w:rPr>
          <w:rFonts w:hint="eastAsia" w:ascii="宋体" w:hAnsi="宋体" w:cs="宋体"/>
          <w:sz w:val="24"/>
        </w:rPr>
        <w:t>人</w:t>
      </w:r>
      <w:r>
        <w:rPr>
          <w:rFonts w:ascii="宋体" w:hAnsi="宋体" w:cs="宋体"/>
          <w:sz w:val="24"/>
        </w:rPr>
        <w:t>的原因拒绝与采购人签订合同的</w:t>
      </w:r>
      <w:r>
        <w:rPr>
          <w:rFonts w:hint="eastAsia" w:asciiTheme="minorEastAsia" w:hAnsiTheme="minorEastAsia" w:eastAsiaTheme="minorEastAsia" w:cstheme="minorEastAsia"/>
          <w:kern w:val="0"/>
          <w:sz w:val="24"/>
        </w:rPr>
        <w:t>；</w:t>
      </w:r>
    </w:p>
    <w:p>
      <w:pPr>
        <w:widowControl/>
        <w:shd w:val="clear" w:color="auto" w:fill="FFFFFF"/>
        <w:snapToGrid w:val="0"/>
        <w:spacing w:line="360" w:lineRule="auto"/>
        <w:ind w:firstLine="480" w:firstLineChars="200"/>
        <w:rPr>
          <w:rFonts w:asciiTheme="minorEastAsia" w:hAnsiTheme="minorEastAsia" w:eastAsiaTheme="minorEastAsia" w:cstheme="minorEastAsia"/>
          <w:kern w:val="0"/>
          <w:sz w:val="24"/>
        </w:rPr>
      </w:pPr>
      <w:r>
        <w:rPr>
          <w:rFonts w:hint="eastAsia" w:ascii="宋体" w:hAnsi="宋体" w:cs="宋体"/>
          <w:kern w:val="0"/>
          <w:sz w:val="24"/>
        </w:rPr>
        <w:t>⑸</w:t>
      </w:r>
      <w:r>
        <w:rPr>
          <w:rFonts w:hint="eastAsia" w:asciiTheme="minorEastAsia" w:hAnsiTheme="minorEastAsia" w:eastAsiaTheme="minorEastAsia" w:cstheme="minorEastAsia"/>
          <w:kern w:val="0"/>
          <w:sz w:val="24"/>
        </w:rPr>
        <w:t xml:space="preserve"> </w:t>
      </w:r>
      <w:r>
        <w:rPr>
          <w:rFonts w:ascii="宋体" w:hAnsi="宋体" w:cs="宋体"/>
          <w:sz w:val="24"/>
        </w:rPr>
        <w:t>由于</w:t>
      </w:r>
      <w:r>
        <w:rPr>
          <w:rFonts w:hint="eastAsia" w:asciiTheme="minorEastAsia" w:hAnsiTheme="minorEastAsia" w:eastAsiaTheme="minorEastAsia" w:cstheme="minorEastAsia"/>
          <w:kern w:val="0"/>
          <w:sz w:val="24"/>
        </w:rPr>
        <w:t>投标</w:t>
      </w:r>
      <w:r>
        <w:rPr>
          <w:rFonts w:hint="eastAsia" w:ascii="宋体" w:hAnsi="宋体" w:cs="宋体"/>
          <w:sz w:val="24"/>
        </w:rPr>
        <w:t>人</w:t>
      </w:r>
      <w:r>
        <w:rPr>
          <w:rFonts w:ascii="宋体" w:hAnsi="宋体" w:cs="宋体"/>
          <w:sz w:val="24"/>
        </w:rPr>
        <w:t>的原因未能按照</w:t>
      </w:r>
      <w:r>
        <w:rPr>
          <w:rFonts w:hint="eastAsia" w:ascii="宋体" w:hAnsi="宋体" w:cs="宋体"/>
          <w:sz w:val="24"/>
        </w:rPr>
        <w:t>招标</w:t>
      </w:r>
      <w:r>
        <w:rPr>
          <w:rFonts w:ascii="宋体" w:hAnsi="宋体" w:cs="宋体"/>
          <w:sz w:val="24"/>
        </w:rPr>
        <w:t>文件的规定交纳履约保证金的</w:t>
      </w:r>
      <w:r>
        <w:rPr>
          <w:rFonts w:hint="eastAsia" w:asciiTheme="minorEastAsia" w:hAnsiTheme="minorEastAsia" w:eastAsiaTheme="minorEastAsia" w:cstheme="minorEastAsia"/>
          <w:kern w:val="0"/>
          <w:sz w:val="24"/>
        </w:rPr>
        <w:t>；</w:t>
      </w:r>
    </w:p>
    <w:p>
      <w:pPr>
        <w:widowControl/>
        <w:shd w:val="clear" w:color="auto" w:fill="FFFFFF"/>
        <w:snapToGrid w:val="0"/>
        <w:spacing w:line="360" w:lineRule="auto"/>
        <w:ind w:firstLine="480" w:firstLineChars="200"/>
        <w:rPr>
          <w:rFonts w:asciiTheme="minorEastAsia" w:hAnsiTheme="minorEastAsia" w:eastAsiaTheme="minorEastAsia" w:cstheme="minorEastAsia"/>
          <w:kern w:val="0"/>
          <w:sz w:val="24"/>
        </w:rPr>
      </w:pPr>
      <w:r>
        <w:rPr>
          <w:rFonts w:hint="eastAsia" w:ascii="宋体" w:hAnsi="宋体" w:cs="宋体"/>
          <w:kern w:val="0"/>
          <w:sz w:val="24"/>
        </w:rPr>
        <w:t>⑹</w:t>
      </w:r>
      <w:r>
        <w:rPr>
          <w:rFonts w:hint="eastAsia" w:asciiTheme="minorEastAsia" w:hAnsiTheme="minorEastAsia" w:eastAsiaTheme="minorEastAsia" w:cstheme="minorEastAsia"/>
          <w:kern w:val="0"/>
          <w:sz w:val="24"/>
        </w:rPr>
        <w:t xml:space="preserve"> </w:t>
      </w:r>
      <w:r>
        <w:rPr>
          <w:rFonts w:ascii="宋体" w:hAnsi="宋体" w:cs="宋体"/>
          <w:sz w:val="24"/>
        </w:rPr>
        <w:t>投标人提供虚假资料的；</w:t>
      </w:r>
    </w:p>
    <w:p>
      <w:pPr>
        <w:widowControl/>
        <w:shd w:val="clear" w:color="auto" w:fill="FFFFFF"/>
        <w:snapToGrid w:val="0"/>
        <w:spacing w:line="360" w:lineRule="auto"/>
        <w:ind w:firstLine="480" w:firstLineChars="200"/>
        <w:rPr>
          <w:rFonts w:asciiTheme="minorEastAsia" w:hAnsiTheme="minorEastAsia" w:eastAsiaTheme="minorEastAsia" w:cstheme="minorEastAsia"/>
          <w:kern w:val="0"/>
          <w:sz w:val="24"/>
        </w:rPr>
      </w:pPr>
      <w:r>
        <w:rPr>
          <w:rFonts w:hint="eastAsia" w:ascii="宋体" w:hAnsi="宋体" w:cs="宋体"/>
          <w:kern w:val="0"/>
          <w:sz w:val="24"/>
        </w:rPr>
        <w:t>⑺</w:t>
      </w:r>
      <w:r>
        <w:rPr>
          <w:rFonts w:hint="eastAsia" w:asciiTheme="minorEastAsia" w:hAnsiTheme="minorEastAsia" w:eastAsiaTheme="minorEastAsia" w:cstheme="minorEastAsia"/>
          <w:kern w:val="0"/>
          <w:sz w:val="24"/>
        </w:rPr>
        <w:t xml:space="preserve"> </w:t>
      </w:r>
      <w:r>
        <w:rPr>
          <w:rFonts w:ascii="宋体" w:hAnsi="宋体" w:cs="宋体"/>
          <w:sz w:val="24"/>
        </w:rPr>
        <w:t>投标有效期内，投标人在政府采购活动中有违法、违规、违纪行为的；</w:t>
      </w:r>
    </w:p>
    <w:p>
      <w:pPr>
        <w:spacing w:line="360" w:lineRule="auto"/>
        <w:ind w:firstLine="480" w:firstLineChars="200"/>
        <w:jc w:val="left"/>
      </w:pPr>
      <w:r>
        <w:rPr>
          <w:rFonts w:hint="eastAsia" w:ascii="宋体" w:hAnsi="宋体" w:cs="宋体"/>
          <w:kern w:val="0"/>
          <w:sz w:val="24"/>
        </w:rPr>
        <w:t>⑻</w:t>
      </w:r>
      <w:r>
        <w:rPr>
          <w:rFonts w:hint="eastAsia" w:asciiTheme="minorEastAsia" w:hAnsiTheme="minorEastAsia" w:eastAsiaTheme="minorEastAsia" w:cstheme="minorEastAsia"/>
          <w:kern w:val="0"/>
          <w:sz w:val="24"/>
        </w:rPr>
        <w:t xml:space="preserve"> </w:t>
      </w:r>
      <w:r>
        <w:rPr>
          <w:rFonts w:ascii="宋体" w:hAnsi="宋体" w:cs="宋体"/>
          <w:sz w:val="24"/>
        </w:rPr>
        <w:t>投标有效期内，投标人未按照规定程序进行质疑、投诉，或者采取其他方式恶意诋毁采购人、采购代理机构以及其他投标人，影响和干扰正常政府采购秩序的</w:t>
      </w:r>
      <w:r>
        <w:rPr>
          <w:rFonts w:hint="eastAsia" w:ascii="宋体" w:cs="宋体"/>
          <w:kern w:val="0"/>
          <w:sz w:val="24"/>
        </w:rPr>
        <w:t>。</w:t>
      </w:r>
    </w:p>
    <w:p>
      <w:pPr>
        <w:spacing w:line="360" w:lineRule="auto"/>
        <w:jc w:val="left"/>
        <w:rPr>
          <w:rFonts w:ascii="宋体" w:cs="宋体"/>
          <w:b/>
          <w:bCs/>
          <w:color w:val="000000"/>
          <w:sz w:val="24"/>
        </w:rPr>
      </w:pPr>
      <w:r>
        <w:rPr>
          <w:rFonts w:hint="eastAsia" w:ascii="宋体"/>
          <w:b/>
          <w:bCs/>
          <w:kern w:val="0"/>
          <w:sz w:val="24"/>
        </w:rPr>
        <w:t>五、投标文件的</w:t>
      </w:r>
      <w:r>
        <w:rPr>
          <w:rFonts w:hint="eastAsia" w:ascii="宋体" w:cs="宋体"/>
          <w:b/>
          <w:bCs/>
          <w:color w:val="000000"/>
          <w:sz w:val="24"/>
        </w:rPr>
        <w:t>密封</w:t>
      </w:r>
    </w:p>
    <w:p>
      <w:pPr>
        <w:widowControl/>
        <w:shd w:val="clear" w:color="auto" w:fill="FFFFFF"/>
        <w:snapToGrid w:val="0"/>
        <w:spacing w:line="360" w:lineRule="auto"/>
        <w:ind w:firstLine="480" w:firstLineChars="200"/>
        <w:rPr>
          <w:rFonts w:ascii="宋体"/>
          <w:kern w:val="0"/>
          <w:sz w:val="24"/>
        </w:rPr>
      </w:pPr>
      <w:r>
        <w:rPr>
          <w:rFonts w:hint="eastAsia" w:ascii="宋体"/>
          <w:kern w:val="0"/>
          <w:sz w:val="24"/>
        </w:rPr>
        <w:t>5.1 投标文件应按“投标文件格式”进行编写，如有必要，可以增加附页，作为投标文件的组成部分。其中，</w:t>
      </w:r>
      <w:r>
        <w:rPr>
          <w:rFonts w:hint="eastAsia" w:ascii="宋体"/>
          <w:b/>
          <w:bCs/>
          <w:kern w:val="0"/>
          <w:sz w:val="24"/>
        </w:rPr>
        <w:t>投标函附录在满足招标文件实质性要求的基础上，可以提出比招标文件要求更有利于招标人的承诺</w:t>
      </w:r>
      <w:r>
        <w:rPr>
          <w:rFonts w:hint="eastAsia" w:ascii="宋体"/>
          <w:kern w:val="0"/>
          <w:sz w:val="24"/>
        </w:rPr>
        <w:t>。</w:t>
      </w:r>
    </w:p>
    <w:p>
      <w:pPr>
        <w:widowControl/>
        <w:shd w:val="clear" w:color="auto" w:fill="FFFFFF"/>
        <w:snapToGrid w:val="0"/>
        <w:spacing w:line="360" w:lineRule="auto"/>
        <w:ind w:firstLine="480" w:firstLineChars="200"/>
        <w:rPr>
          <w:rFonts w:ascii="宋体"/>
          <w:kern w:val="0"/>
          <w:sz w:val="24"/>
        </w:rPr>
      </w:pPr>
      <w:r>
        <w:rPr>
          <w:rFonts w:hint="eastAsia" w:ascii="宋体"/>
          <w:kern w:val="0"/>
          <w:sz w:val="24"/>
        </w:rPr>
        <w:t>5.2投标文件按标包分别编制并编制目录、胶装、密封递交，不允许将两个及以上标包的投标文件编制、胶装、密封在一起，不得采用活页装订。</w:t>
      </w:r>
    </w:p>
    <w:p>
      <w:pPr>
        <w:widowControl/>
        <w:shd w:val="clear" w:color="auto" w:fill="FFFFFF"/>
        <w:snapToGrid w:val="0"/>
        <w:spacing w:line="360" w:lineRule="auto"/>
        <w:ind w:firstLine="480" w:firstLineChars="200"/>
        <w:rPr>
          <w:rFonts w:ascii="宋体"/>
          <w:kern w:val="0"/>
          <w:sz w:val="24"/>
        </w:rPr>
      </w:pPr>
      <w:r>
        <w:rPr>
          <w:rFonts w:hint="eastAsia" w:ascii="宋体"/>
          <w:kern w:val="0"/>
          <w:sz w:val="24"/>
        </w:rPr>
        <w:t>5.3 投标文件应当对招标文件有关供货期、投标有效期、质量要求、技术标准和要求、招标范围等实质性内容作出响应。</w:t>
      </w:r>
    </w:p>
    <w:p>
      <w:pPr>
        <w:widowControl/>
        <w:shd w:val="clear" w:color="auto" w:fill="FFFFFF"/>
        <w:snapToGrid w:val="0"/>
        <w:spacing w:line="360" w:lineRule="auto"/>
        <w:ind w:firstLine="480" w:firstLineChars="200"/>
        <w:rPr>
          <w:rFonts w:ascii="宋体"/>
          <w:kern w:val="0"/>
          <w:sz w:val="24"/>
        </w:rPr>
      </w:pPr>
      <w:r>
        <w:rPr>
          <w:rFonts w:hint="eastAsia" w:ascii="宋体"/>
          <w:kern w:val="0"/>
          <w:sz w:val="24"/>
        </w:rPr>
        <w:t>5.4 投标文件应用不褪色的材料书写或打印，并由投标人的法定代表人或其委托代理人签字或盖单位章。委托代理人签字的，投标文件应附法定代表人签署的授权委托书。投标文件应尽量避免涂改、行间插字或删除。如果出现上述情况，改动之处应加盖单位章或由投标人的法定代表人或其授权的代理人签字确认。签字或盖章的具体要求见投标人须知前附表</w:t>
      </w:r>
    </w:p>
    <w:p>
      <w:pPr>
        <w:widowControl/>
        <w:shd w:val="clear" w:color="auto" w:fill="FFFFFF"/>
        <w:snapToGrid w:val="0"/>
        <w:spacing w:line="360" w:lineRule="auto"/>
        <w:ind w:firstLine="480" w:firstLineChars="200"/>
        <w:rPr>
          <w:rFonts w:ascii="宋体"/>
          <w:kern w:val="0"/>
          <w:sz w:val="24"/>
        </w:rPr>
      </w:pPr>
      <w:r>
        <w:rPr>
          <w:rFonts w:hint="eastAsia" w:ascii="宋体"/>
          <w:kern w:val="0"/>
          <w:sz w:val="24"/>
        </w:rPr>
        <w:t>5.5投标人必须在各封套上标记以下要求：</w:t>
      </w:r>
    </w:p>
    <w:p>
      <w:pPr>
        <w:spacing w:line="360" w:lineRule="auto"/>
        <w:ind w:firstLine="960" w:firstLineChars="400"/>
        <w:jc w:val="left"/>
        <w:rPr>
          <w:rFonts w:ascii="宋体" w:cs="宋体"/>
          <w:kern w:val="0"/>
          <w:sz w:val="24"/>
        </w:rPr>
      </w:pPr>
      <w:r>
        <w:rPr>
          <w:rFonts w:hint="eastAsia" w:ascii="宋体" w:cs="宋体"/>
          <w:kern w:val="0"/>
          <w:sz w:val="24"/>
        </w:rPr>
        <w:t>项目名称（标包号）：</w:t>
      </w:r>
    </w:p>
    <w:p>
      <w:pPr>
        <w:pStyle w:val="9"/>
        <w:numPr>
          <w:ilvl w:val="0"/>
          <w:numId w:val="0"/>
        </w:numPr>
        <w:spacing w:line="360" w:lineRule="auto"/>
        <w:ind w:firstLine="960" w:firstLineChars="400"/>
        <w:rPr>
          <w:rFonts w:ascii="宋体" w:eastAsia="宋体" w:cs="宋体"/>
          <w:kern w:val="0"/>
          <w:sz w:val="24"/>
        </w:rPr>
      </w:pPr>
      <w:r>
        <w:rPr>
          <w:rFonts w:hint="eastAsia" w:ascii="宋体" w:eastAsia="宋体" w:cs="宋体"/>
          <w:kern w:val="0"/>
          <w:sz w:val="24"/>
        </w:rPr>
        <w:t>项目编号：</w:t>
      </w:r>
    </w:p>
    <w:p>
      <w:pPr>
        <w:pStyle w:val="9"/>
        <w:numPr>
          <w:ilvl w:val="0"/>
          <w:numId w:val="0"/>
        </w:numPr>
        <w:spacing w:line="360" w:lineRule="auto"/>
        <w:ind w:firstLine="960" w:firstLineChars="400"/>
        <w:rPr>
          <w:rFonts w:ascii="宋体" w:eastAsia="宋体" w:cs="宋体"/>
          <w:kern w:val="0"/>
          <w:sz w:val="24"/>
        </w:rPr>
      </w:pPr>
      <w:r>
        <w:rPr>
          <w:rFonts w:hint="eastAsia" w:ascii="宋体" w:eastAsia="宋体" w:cs="宋体"/>
          <w:kern w:val="0"/>
          <w:sz w:val="24"/>
        </w:rPr>
        <w:t>投标人名称：</w:t>
      </w:r>
    </w:p>
    <w:p>
      <w:pPr>
        <w:pStyle w:val="9"/>
        <w:numPr>
          <w:ilvl w:val="0"/>
          <w:numId w:val="0"/>
        </w:numPr>
        <w:spacing w:line="360" w:lineRule="auto"/>
        <w:ind w:firstLine="960" w:firstLineChars="400"/>
        <w:rPr>
          <w:rFonts w:ascii="宋体" w:eastAsia="宋体" w:cs="宋体"/>
          <w:kern w:val="0"/>
          <w:sz w:val="24"/>
        </w:rPr>
      </w:pPr>
      <w:r>
        <w:rPr>
          <w:rFonts w:hint="eastAsia" w:ascii="宋体" w:eastAsia="宋体" w:cs="宋体"/>
          <w:kern w:val="0"/>
          <w:sz w:val="24"/>
        </w:rPr>
        <w:t>投标人注册地址：</w:t>
      </w:r>
    </w:p>
    <w:p>
      <w:pPr>
        <w:pStyle w:val="9"/>
        <w:numPr>
          <w:ilvl w:val="0"/>
          <w:numId w:val="0"/>
        </w:numPr>
        <w:spacing w:line="360" w:lineRule="auto"/>
        <w:ind w:firstLine="960" w:firstLineChars="400"/>
        <w:rPr>
          <w:rFonts w:ascii="宋体" w:eastAsia="宋体" w:cs="宋体"/>
          <w:kern w:val="0"/>
          <w:sz w:val="24"/>
        </w:rPr>
      </w:pPr>
      <w:r>
        <w:rPr>
          <w:rFonts w:hint="eastAsia" w:ascii="宋体" w:eastAsia="宋体" w:cs="宋体"/>
          <w:kern w:val="0"/>
          <w:sz w:val="24"/>
        </w:rPr>
        <w:t>委托代理人：</w:t>
      </w:r>
    </w:p>
    <w:p>
      <w:pPr>
        <w:pStyle w:val="9"/>
        <w:numPr>
          <w:ilvl w:val="0"/>
          <w:numId w:val="0"/>
        </w:numPr>
        <w:spacing w:line="360" w:lineRule="auto"/>
        <w:ind w:firstLine="960" w:firstLineChars="400"/>
        <w:rPr>
          <w:rFonts w:ascii="宋体" w:eastAsia="宋体" w:cs="宋体"/>
          <w:kern w:val="0"/>
          <w:sz w:val="24"/>
        </w:rPr>
      </w:pPr>
      <w:r>
        <w:rPr>
          <w:rFonts w:hint="eastAsia" w:ascii="宋体" w:eastAsia="宋体" w:cs="宋体"/>
          <w:kern w:val="0"/>
          <w:sz w:val="24"/>
        </w:rPr>
        <w:t>联系电话：</w:t>
      </w:r>
    </w:p>
    <w:p>
      <w:pPr>
        <w:widowControl/>
        <w:shd w:val="clear" w:color="auto" w:fill="FFFFFF"/>
        <w:snapToGrid w:val="0"/>
        <w:spacing w:line="360" w:lineRule="auto"/>
        <w:ind w:firstLine="960" w:firstLineChars="400"/>
        <w:rPr>
          <w:rFonts w:ascii="宋体"/>
          <w:kern w:val="0"/>
          <w:sz w:val="24"/>
        </w:rPr>
      </w:pPr>
      <w:r>
        <w:rPr>
          <w:rFonts w:hint="eastAsia" w:ascii="宋体" w:cs="宋体"/>
          <w:kern w:val="0"/>
          <w:sz w:val="24"/>
        </w:rPr>
        <w:t>在XXXX年XX月XX日XX：XX前不得启封。</w:t>
      </w:r>
    </w:p>
    <w:p>
      <w:pPr>
        <w:widowControl/>
        <w:shd w:val="clear" w:color="auto" w:fill="FFFFFF"/>
        <w:snapToGrid w:val="0"/>
        <w:spacing w:line="360" w:lineRule="auto"/>
        <w:ind w:firstLine="482" w:firstLineChars="200"/>
        <w:rPr>
          <w:rFonts w:ascii="宋体" w:cs="宋体"/>
          <w:b/>
          <w:bCs/>
          <w:kern w:val="0"/>
          <w:sz w:val="24"/>
        </w:rPr>
      </w:pPr>
      <w:r>
        <w:rPr>
          <w:rFonts w:hint="eastAsia" w:ascii="宋体" w:cs="宋体"/>
          <w:b/>
          <w:bCs/>
          <w:kern w:val="0"/>
          <w:sz w:val="24"/>
        </w:rPr>
        <w:t>5.6投标人投标文件若有以下情况的采购代理机构有权拒绝：</w:t>
      </w:r>
    </w:p>
    <w:p>
      <w:pPr>
        <w:pStyle w:val="9"/>
        <w:numPr>
          <w:ilvl w:val="0"/>
          <w:numId w:val="0"/>
        </w:numPr>
        <w:spacing w:line="360" w:lineRule="auto"/>
        <w:ind w:firstLine="720" w:firstLineChars="300"/>
        <w:rPr>
          <w:rFonts w:ascii="宋体" w:eastAsia="宋体" w:cs="宋体"/>
          <w:kern w:val="0"/>
          <w:sz w:val="24"/>
        </w:rPr>
      </w:pPr>
      <w:r>
        <w:rPr>
          <w:rFonts w:hint="eastAsia" w:ascii="宋体" w:eastAsia="宋体" w:cs="宋体"/>
          <w:kern w:val="0"/>
          <w:sz w:val="24"/>
        </w:rPr>
        <w:t>⑴ 封套未按本须知的要求密封和加写标记；</w:t>
      </w:r>
    </w:p>
    <w:p>
      <w:pPr>
        <w:pStyle w:val="9"/>
        <w:numPr>
          <w:ilvl w:val="0"/>
          <w:numId w:val="0"/>
        </w:numPr>
        <w:spacing w:line="360" w:lineRule="auto"/>
        <w:ind w:firstLine="720" w:firstLineChars="3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⑵ 密封不严导致投标非人为因素过早启封的；</w:t>
      </w:r>
    </w:p>
    <w:p>
      <w:pPr>
        <w:pStyle w:val="9"/>
        <w:numPr>
          <w:ilvl w:val="0"/>
          <w:numId w:val="0"/>
        </w:numPr>
        <w:spacing w:line="360" w:lineRule="auto"/>
        <w:ind w:firstLine="720" w:firstLineChars="3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⑶ 投标文件在递交截止时间后递交的；</w:t>
      </w:r>
    </w:p>
    <w:p>
      <w:pPr>
        <w:pStyle w:val="9"/>
        <w:numPr>
          <w:ilvl w:val="0"/>
          <w:numId w:val="0"/>
        </w:numPr>
        <w:spacing w:line="360" w:lineRule="auto"/>
        <w:ind w:firstLine="720" w:firstLineChars="3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⑷ 投标文件不完整或有附加条件的，有保留的，有涂改的，有变更的；</w:t>
      </w:r>
    </w:p>
    <w:p>
      <w:pPr>
        <w:widowControl/>
        <w:shd w:val="clear" w:color="auto" w:fill="FFFFFF"/>
        <w:snapToGrid w:val="0"/>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5.7投标文件格式</w:t>
      </w:r>
    </w:p>
    <w:p>
      <w:pPr>
        <w:widowControl/>
        <w:shd w:val="clear" w:color="auto" w:fill="FFFFFF"/>
        <w:snapToGrid w:val="0"/>
        <w:spacing w:line="360" w:lineRule="auto"/>
        <w:ind w:firstLine="720" w:firstLineChars="300"/>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kern w:val="0"/>
          <w:sz w:val="24"/>
        </w:rPr>
        <w:t xml:space="preserve">⑴ </w:t>
      </w:r>
      <w:r>
        <w:rPr>
          <w:rFonts w:hint="eastAsia" w:asciiTheme="minorEastAsia" w:hAnsiTheme="minorEastAsia" w:eastAsiaTheme="minorEastAsia" w:cstheme="minorEastAsia"/>
          <w:b/>
          <w:bCs/>
          <w:kern w:val="0"/>
          <w:sz w:val="24"/>
        </w:rPr>
        <w:t>电子版投标文件是存档、查阅的重要依据（见</w:t>
      </w:r>
      <w:r>
        <w:rPr>
          <w:rFonts w:hint="eastAsia" w:asciiTheme="minorEastAsia" w:hAnsiTheme="minorEastAsia" w:eastAsiaTheme="minorEastAsia" w:cstheme="minorEastAsia"/>
          <w:b/>
          <w:bCs/>
          <w:sz w:val="24"/>
        </w:rPr>
        <w:t>投标人须知前附表</w:t>
      </w:r>
      <w:r>
        <w:rPr>
          <w:rFonts w:hint="eastAsia" w:asciiTheme="minorEastAsia" w:hAnsiTheme="minorEastAsia" w:eastAsiaTheme="minorEastAsia" w:cstheme="minorEastAsia"/>
          <w:b/>
          <w:bCs/>
          <w:kern w:val="0"/>
          <w:sz w:val="24"/>
        </w:rPr>
        <w:t>）；电子版投标文件要求包含投标文件全部内容，电子版投标文件与纸质版投标文件正本必须一致。</w:t>
      </w:r>
    </w:p>
    <w:p>
      <w:pPr>
        <w:widowControl/>
        <w:shd w:val="clear" w:color="auto" w:fill="FFFFFF"/>
        <w:snapToGrid w:val="0"/>
        <w:spacing w:line="360" w:lineRule="auto"/>
        <w:ind w:firstLine="720" w:firstLineChars="300"/>
        <w:rPr>
          <w:rFonts w:ascii="宋体"/>
          <w:kern w:val="0"/>
          <w:sz w:val="24"/>
        </w:rPr>
      </w:pPr>
      <w:r>
        <w:rPr>
          <w:rFonts w:hint="eastAsia" w:ascii="宋体" w:cs="宋体"/>
          <w:kern w:val="0"/>
          <w:sz w:val="24"/>
        </w:rPr>
        <w:t xml:space="preserve">⑵ </w:t>
      </w:r>
      <w:r>
        <w:rPr>
          <w:rFonts w:hint="eastAsia" w:ascii="宋体"/>
          <w:kern w:val="0"/>
          <w:sz w:val="24"/>
        </w:rPr>
        <w:t>投标文件应当对招标文件有关招标范围、技术与服务要求等实质性内容做出响应。</w:t>
      </w:r>
    </w:p>
    <w:p>
      <w:pPr>
        <w:widowControl/>
        <w:shd w:val="clear" w:color="auto" w:fill="FFFFFF"/>
        <w:snapToGrid w:val="0"/>
        <w:spacing w:line="360" w:lineRule="auto"/>
        <w:ind w:firstLine="720" w:firstLineChars="300"/>
        <w:rPr>
          <w:rFonts w:ascii="宋体"/>
          <w:kern w:val="0"/>
          <w:sz w:val="24"/>
        </w:rPr>
      </w:pPr>
      <w:r>
        <w:rPr>
          <w:rFonts w:hint="eastAsia" w:ascii="宋体" w:cs="宋体"/>
          <w:kern w:val="0"/>
          <w:sz w:val="24"/>
        </w:rPr>
        <w:t>⑶</w:t>
      </w:r>
      <w:r>
        <w:rPr>
          <w:rFonts w:hint="eastAsia" w:ascii="宋体" w:cs="宋体"/>
          <w:b/>
          <w:bCs/>
          <w:kern w:val="0"/>
          <w:sz w:val="24"/>
        </w:rPr>
        <w:t xml:space="preserve"> </w:t>
      </w:r>
      <w:r>
        <w:rPr>
          <w:rFonts w:hint="eastAsia" w:ascii="宋体"/>
          <w:b/>
          <w:bCs/>
          <w:kern w:val="0"/>
          <w:sz w:val="24"/>
        </w:rPr>
        <w:t>投标文件封袋必须在开启处密封，并加盖投标人章以及法定代表人章。否则整个投标文件将被视为不响应招标文件，而予以拒绝。</w:t>
      </w:r>
    </w:p>
    <w:p>
      <w:pPr>
        <w:widowControl/>
        <w:shd w:val="clear" w:color="auto" w:fill="FFFFFF"/>
        <w:snapToGrid w:val="0"/>
        <w:spacing w:line="360" w:lineRule="auto"/>
        <w:ind w:firstLine="720" w:firstLineChars="300"/>
        <w:rPr>
          <w:rFonts w:ascii="宋体"/>
          <w:kern w:val="0"/>
          <w:sz w:val="24"/>
        </w:rPr>
      </w:pPr>
      <w:r>
        <w:rPr>
          <w:rFonts w:hint="eastAsia" w:ascii="宋体" w:cs="宋体"/>
          <w:kern w:val="0"/>
          <w:sz w:val="24"/>
        </w:rPr>
        <w:t xml:space="preserve">⑷ </w:t>
      </w:r>
      <w:r>
        <w:rPr>
          <w:rFonts w:hint="eastAsia" w:ascii="宋体"/>
          <w:kern w:val="0"/>
          <w:sz w:val="24"/>
        </w:rPr>
        <w:t>投标文件可以用蓝黑墨水笔或炭素笔书写</w:t>
      </w:r>
      <w:r>
        <w:rPr>
          <w:rFonts w:ascii="宋体"/>
          <w:kern w:val="0"/>
          <w:sz w:val="24"/>
        </w:rPr>
        <w:t>,</w:t>
      </w:r>
      <w:r>
        <w:rPr>
          <w:rFonts w:hint="eastAsia" w:ascii="宋体"/>
          <w:kern w:val="0"/>
          <w:sz w:val="24"/>
        </w:rPr>
        <w:t>但建议最好采用打印书写方式书写。</w:t>
      </w:r>
    </w:p>
    <w:p>
      <w:pPr>
        <w:widowControl/>
        <w:shd w:val="clear" w:color="auto" w:fill="FFFFFF"/>
        <w:snapToGrid w:val="0"/>
        <w:spacing w:line="360" w:lineRule="auto"/>
        <w:ind w:firstLine="720" w:firstLineChars="300"/>
        <w:rPr>
          <w:rFonts w:ascii="宋体"/>
          <w:kern w:val="0"/>
          <w:sz w:val="24"/>
        </w:rPr>
      </w:pPr>
      <w:r>
        <w:rPr>
          <w:rFonts w:hint="eastAsia" w:ascii="宋体" w:cs="宋体"/>
          <w:kern w:val="0"/>
          <w:sz w:val="24"/>
        </w:rPr>
        <w:t>⑸</w:t>
      </w:r>
      <w:r>
        <w:rPr>
          <w:rFonts w:hint="eastAsia" w:ascii="微软雅黑" w:eastAsia="微软雅黑" w:cs="微软雅黑"/>
          <w:kern w:val="0"/>
          <w:sz w:val="24"/>
        </w:rPr>
        <w:t xml:space="preserve"> </w:t>
      </w:r>
      <w:r>
        <w:rPr>
          <w:rFonts w:hint="eastAsia" w:ascii="宋体"/>
          <w:kern w:val="0"/>
          <w:sz w:val="24"/>
        </w:rPr>
        <w:t>投标人应按投标人须知前附表规定，编制投标文件“正本”和“副本”份数。封面右上角必须注明“正本”或“副本”字样。</w:t>
      </w:r>
    </w:p>
    <w:p>
      <w:pPr>
        <w:widowControl/>
        <w:shd w:val="clear" w:color="auto" w:fill="FFFFFF"/>
        <w:snapToGrid w:val="0"/>
        <w:spacing w:line="360" w:lineRule="auto"/>
        <w:ind w:firstLine="720" w:firstLineChars="300"/>
      </w:pPr>
      <w:r>
        <w:rPr>
          <w:rFonts w:hint="eastAsia" w:ascii="宋体" w:cs="宋体"/>
          <w:kern w:val="0"/>
          <w:sz w:val="24"/>
        </w:rPr>
        <w:t>⑹</w:t>
      </w:r>
      <w:r>
        <w:rPr>
          <w:rFonts w:hint="eastAsia" w:ascii="微软雅黑" w:eastAsia="微软雅黑" w:cs="微软雅黑"/>
          <w:kern w:val="0"/>
          <w:sz w:val="24"/>
        </w:rPr>
        <w:t xml:space="preserve"> </w:t>
      </w:r>
      <w:r>
        <w:rPr>
          <w:rFonts w:hint="eastAsia" w:ascii="宋体"/>
          <w:kern w:val="0"/>
          <w:sz w:val="24"/>
        </w:rPr>
        <w:t>投标文件正本和副本如有不一致之处，以正本为准。</w:t>
      </w:r>
    </w:p>
    <w:p>
      <w:pPr>
        <w:widowControl/>
        <w:shd w:val="clear" w:color="auto" w:fill="FFFFFF"/>
        <w:snapToGrid w:val="0"/>
        <w:spacing w:line="360" w:lineRule="auto"/>
        <w:ind w:firstLine="482" w:firstLineChars="200"/>
        <w:rPr>
          <w:rFonts w:ascii="宋体"/>
          <w:b/>
          <w:bCs/>
          <w:kern w:val="0"/>
          <w:sz w:val="24"/>
        </w:rPr>
      </w:pPr>
      <w:r>
        <w:rPr>
          <w:rFonts w:hint="eastAsia" w:ascii="宋体"/>
          <w:b/>
          <w:bCs/>
          <w:kern w:val="0"/>
          <w:sz w:val="24"/>
        </w:rPr>
        <w:t>5</w:t>
      </w:r>
      <w:r>
        <w:rPr>
          <w:rFonts w:ascii="宋体"/>
          <w:b/>
          <w:bCs/>
          <w:kern w:val="0"/>
          <w:sz w:val="24"/>
        </w:rPr>
        <w:t>.</w:t>
      </w:r>
      <w:r>
        <w:rPr>
          <w:rFonts w:hint="eastAsia" w:ascii="宋体"/>
          <w:b/>
          <w:bCs/>
          <w:kern w:val="0"/>
          <w:sz w:val="24"/>
        </w:rPr>
        <w:t>8投标人存在下列情况之一的，投标无效：</w:t>
      </w:r>
    </w:p>
    <w:p>
      <w:pPr>
        <w:widowControl/>
        <w:shd w:val="clear" w:color="auto" w:fill="FFFFFF"/>
        <w:snapToGrid w:val="0"/>
        <w:spacing w:line="360" w:lineRule="auto"/>
        <w:ind w:firstLine="720" w:firstLineChars="300"/>
        <w:rPr>
          <w:rFonts w:ascii="宋体"/>
          <w:kern w:val="0"/>
          <w:sz w:val="24"/>
        </w:rPr>
      </w:pPr>
      <w:r>
        <w:rPr>
          <w:rFonts w:hint="eastAsia" w:ascii="宋体" w:cs="宋体"/>
          <w:sz w:val="24"/>
        </w:rPr>
        <w:t xml:space="preserve">⑴ </w:t>
      </w:r>
      <w:r>
        <w:rPr>
          <w:rFonts w:hint="eastAsia" w:ascii="宋体"/>
          <w:kern w:val="0"/>
          <w:sz w:val="24"/>
        </w:rPr>
        <w:t>投标文件未按招标文件要求签署、盖章的；</w:t>
      </w:r>
    </w:p>
    <w:p>
      <w:pPr>
        <w:widowControl/>
        <w:shd w:val="clear" w:color="auto" w:fill="FFFFFF"/>
        <w:snapToGrid w:val="0"/>
        <w:spacing w:line="360" w:lineRule="auto"/>
        <w:ind w:firstLine="720" w:firstLineChars="300"/>
        <w:rPr>
          <w:rFonts w:ascii="宋体"/>
          <w:kern w:val="0"/>
          <w:sz w:val="24"/>
        </w:rPr>
      </w:pPr>
      <w:r>
        <w:rPr>
          <w:rFonts w:hint="eastAsia" w:ascii="宋体" w:cs="宋体"/>
          <w:sz w:val="24"/>
        </w:rPr>
        <w:t xml:space="preserve">⑵ </w:t>
      </w:r>
      <w:r>
        <w:rPr>
          <w:rFonts w:hint="eastAsia" w:ascii="宋体"/>
          <w:kern w:val="0"/>
          <w:sz w:val="24"/>
        </w:rPr>
        <w:t>不具备招标文件中规定的资格要求的；</w:t>
      </w:r>
    </w:p>
    <w:p>
      <w:pPr>
        <w:widowControl/>
        <w:shd w:val="clear" w:color="auto" w:fill="FFFFFF"/>
        <w:snapToGrid w:val="0"/>
        <w:spacing w:line="360" w:lineRule="auto"/>
        <w:ind w:firstLine="720" w:firstLineChars="300"/>
        <w:rPr>
          <w:rFonts w:ascii="宋体"/>
          <w:kern w:val="0"/>
          <w:sz w:val="24"/>
        </w:rPr>
      </w:pPr>
      <w:r>
        <w:rPr>
          <w:rFonts w:hint="eastAsia" w:ascii="宋体" w:cs="宋体"/>
          <w:sz w:val="24"/>
        </w:rPr>
        <w:t xml:space="preserve">⑶ </w:t>
      </w:r>
      <w:r>
        <w:rPr>
          <w:rFonts w:hint="eastAsia" w:ascii="宋体"/>
          <w:kern w:val="0"/>
          <w:sz w:val="24"/>
        </w:rPr>
        <w:t>报价超过招标文件中规定的预算金额或者最高限价的；</w:t>
      </w:r>
    </w:p>
    <w:p>
      <w:pPr>
        <w:widowControl/>
        <w:shd w:val="clear" w:color="auto" w:fill="FFFFFF"/>
        <w:tabs>
          <w:tab w:val="left" w:pos="754"/>
        </w:tabs>
        <w:snapToGrid w:val="0"/>
        <w:spacing w:line="360" w:lineRule="auto"/>
        <w:ind w:firstLine="720" w:firstLineChars="300"/>
        <w:rPr>
          <w:rFonts w:ascii="宋体"/>
          <w:kern w:val="0"/>
          <w:sz w:val="24"/>
        </w:rPr>
      </w:pPr>
      <w:r>
        <w:rPr>
          <w:rFonts w:hint="eastAsia" w:ascii="宋体" w:cs="宋体"/>
          <w:sz w:val="24"/>
        </w:rPr>
        <w:t xml:space="preserve">⑷ </w:t>
      </w:r>
      <w:r>
        <w:rPr>
          <w:rFonts w:hint="eastAsia" w:ascii="宋体"/>
          <w:kern w:val="0"/>
          <w:sz w:val="24"/>
        </w:rPr>
        <w:t>投标文件含有采购人不能接受的附加条件的；</w:t>
      </w:r>
    </w:p>
    <w:p>
      <w:pPr>
        <w:widowControl/>
        <w:shd w:val="clear" w:color="auto" w:fill="FFFFFF"/>
        <w:snapToGrid w:val="0"/>
        <w:spacing w:line="360" w:lineRule="auto"/>
        <w:ind w:firstLine="720" w:firstLineChars="300"/>
        <w:rPr>
          <w:rFonts w:ascii="宋体"/>
          <w:kern w:val="0"/>
          <w:sz w:val="24"/>
        </w:rPr>
      </w:pPr>
      <w:r>
        <w:rPr>
          <w:rFonts w:hint="eastAsia" w:ascii="宋体" w:cs="宋体"/>
          <w:kern w:val="0"/>
          <w:sz w:val="24"/>
        </w:rPr>
        <w:t xml:space="preserve">⑸ </w:t>
      </w:r>
      <w:r>
        <w:rPr>
          <w:rFonts w:hint="eastAsia" w:ascii="宋体"/>
          <w:kern w:val="0"/>
          <w:sz w:val="24"/>
        </w:rPr>
        <w:t>与采购人存在利害关系可能影响招标公正性的法人、其他组织或者个人的；</w:t>
      </w:r>
    </w:p>
    <w:p>
      <w:pPr>
        <w:widowControl/>
        <w:shd w:val="clear" w:color="auto" w:fill="FFFFFF"/>
        <w:snapToGrid w:val="0"/>
        <w:spacing w:line="360" w:lineRule="auto"/>
        <w:ind w:firstLine="720" w:firstLineChars="300"/>
        <w:rPr>
          <w:rFonts w:ascii="宋体"/>
          <w:kern w:val="0"/>
          <w:sz w:val="24"/>
        </w:rPr>
      </w:pPr>
      <w:r>
        <w:rPr>
          <w:rFonts w:hint="eastAsia" w:ascii="宋体" w:cs="宋体"/>
          <w:kern w:val="0"/>
          <w:sz w:val="24"/>
        </w:rPr>
        <w:t xml:space="preserve">⑹ </w:t>
      </w:r>
      <w:r>
        <w:rPr>
          <w:rFonts w:hint="eastAsia" w:ascii="宋体"/>
          <w:kern w:val="0"/>
          <w:sz w:val="24"/>
        </w:rPr>
        <w:t>单位负责人为同一人或者存在控股、管理关系的不同单位，参加同一标段投标或者未划分标段的同一招标项目投标的；</w:t>
      </w:r>
    </w:p>
    <w:p>
      <w:pPr>
        <w:widowControl/>
        <w:shd w:val="clear" w:color="auto" w:fill="FFFFFF"/>
        <w:snapToGrid w:val="0"/>
        <w:spacing w:line="360" w:lineRule="auto"/>
        <w:ind w:firstLine="720" w:firstLineChars="300"/>
        <w:rPr>
          <w:rFonts w:ascii="宋体"/>
          <w:kern w:val="0"/>
          <w:sz w:val="24"/>
        </w:rPr>
      </w:pPr>
      <w:r>
        <w:rPr>
          <w:rFonts w:hint="eastAsia" w:ascii="宋体" w:cs="宋体"/>
          <w:kern w:val="0"/>
          <w:sz w:val="24"/>
        </w:rPr>
        <w:t xml:space="preserve">⑺ </w:t>
      </w:r>
      <w:r>
        <w:rPr>
          <w:rFonts w:hint="eastAsia" w:ascii="宋体"/>
          <w:kern w:val="0"/>
          <w:sz w:val="24"/>
        </w:rPr>
        <w:t>法定代表人为同一个人的两个及两个以上法人，母公司、全资子公司及其控股公司，参加同一标段投标或者未划分标段的同一招标项目投标的；</w:t>
      </w:r>
    </w:p>
    <w:p>
      <w:pPr>
        <w:spacing w:line="360" w:lineRule="auto"/>
        <w:ind w:firstLine="720" w:firstLineChars="300"/>
        <w:rPr>
          <w:rFonts w:ascii="宋体" w:cs="宋体"/>
          <w:sz w:val="24"/>
        </w:rPr>
      </w:pPr>
      <w:r>
        <w:rPr>
          <w:rFonts w:hint="eastAsia" w:ascii="宋体" w:cs="宋体"/>
          <w:kern w:val="0"/>
          <w:sz w:val="24"/>
        </w:rPr>
        <w:t xml:space="preserve">⑻ </w:t>
      </w:r>
      <w:r>
        <w:rPr>
          <w:rFonts w:hint="eastAsia" w:ascii="宋体"/>
          <w:kern w:val="0"/>
          <w:sz w:val="24"/>
        </w:rPr>
        <w:t>投标文件中有弄虚作假的内容，其投标文件作废（假证书、假业绩、隐瞒不良行为</w:t>
      </w:r>
      <w:r>
        <w:rPr>
          <w:rFonts w:hint="eastAsia" w:ascii="宋体" w:cs="宋体"/>
          <w:sz w:val="24"/>
        </w:rPr>
        <w:t>记录、夸大荣誉）；</w:t>
      </w:r>
    </w:p>
    <w:p>
      <w:pPr>
        <w:spacing w:line="360" w:lineRule="auto"/>
        <w:ind w:firstLine="720" w:firstLineChars="300"/>
        <w:rPr>
          <w:rFonts w:ascii="宋体" w:cs="宋体"/>
          <w:sz w:val="24"/>
        </w:rPr>
      </w:pPr>
      <w:r>
        <w:rPr>
          <w:rFonts w:hint="eastAsia" w:ascii="宋体" w:cs="宋体"/>
          <w:sz w:val="24"/>
        </w:rPr>
        <w:t>⑼ 法律、规定和招标文件规定的其他无效情形。</w:t>
      </w:r>
    </w:p>
    <w:p>
      <w:pPr>
        <w:spacing w:line="360" w:lineRule="auto"/>
        <w:rPr>
          <w:rFonts w:ascii="宋体" w:cs="宋体"/>
          <w:b/>
          <w:bCs/>
          <w:sz w:val="24"/>
        </w:rPr>
      </w:pPr>
      <w:r>
        <w:rPr>
          <w:rFonts w:hint="eastAsia" w:ascii="宋体" w:cs="宋体"/>
          <w:b/>
          <w:bCs/>
          <w:sz w:val="24"/>
        </w:rPr>
        <w:t>六、备选投标方案</w:t>
      </w:r>
    </w:p>
    <w:p>
      <w:pPr>
        <w:spacing w:line="360" w:lineRule="auto"/>
        <w:ind w:firstLine="480" w:firstLineChars="200"/>
        <w:rPr>
          <w:rFonts w:ascii="宋体" w:cs="宋体"/>
          <w:sz w:val="24"/>
        </w:rPr>
      </w:pPr>
      <w:r>
        <w:rPr>
          <w:rFonts w:hint="eastAsia" w:ascii="宋体" w:cs="宋体"/>
          <w:sz w:val="24"/>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pPr>
        <w:spacing w:line="360" w:lineRule="auto"/>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七、节能、环保产品政府采购清单</w:t>
      </w:r>
    </w:p>
    <w:p>
      <w:pPr>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按国家强制节能、环保标准执行。</w:t>
      </w:r>
    </w:p>
    <w:p>
      <w:pPr>
        <w:spacing w:line="360" w:lineRule="auto"/>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八、进口产品采购</w:t>
      </w:r>
    </w:p>
    <w:p>
      <w:pPr>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按进口货物采购管理办法执行。</w:t>
      </w:r>
    </w:p>
    <w:p>
      <w:pPr>
        <w:spacing w:line="360" w:lineRule="auto"/>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九、知识产权</w:t>
      </w:r>
    </w:p>
    <w:p>
      <w:pPr>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9.1投标人应保证在本项目使用的任何产品和服务（包括部分使用）时，不会产生因第三方提出侵犯其专利权、商标权或其它知识产权而引起的法律和经济纠纷，如因专利权、商标权或其它知识产权而引起法律和经济纠纷，由投标人自行承担所有相关责任。</w:t>
      </w:r>
    </w:p>
    <w:p>
      <w:pPr>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9.2 采购人享有本项目实施过程中产生的知识成果及知识产权。</w:t>
      </w:r>
    </w:p>
    <w:p>
      <w:pPr>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9.3 投标人在项目实施过程中采用自有知识成果，需在投标文件中声明，并提供相关知识产权证明文件。使用该知识成果后，投标人需提供开发接口和开发手册等技术文档，并承诺提供无限期技术支持，采购人享有永久使用权（含采购人委托第三方在该项目后续开发的使用权）。</w:t>
      </w:r>
    </w:p>
    <w:p>
      <w:pPr>
        <w:spacing w:line="360" w:lineRule="auto"/>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kern w:val="0"/>
          <w:sz w:val="24"/>
        </w:rPr>
        <w:t>9.4 如采用投标人所不拥有的知识产权，则在投标报价中必须包括合法获取该知识产权的相关费用。</w:t>
      </w:r>
    </w:p>
    <w:p>
      <w:pPr>
        <w:widowControl/>
        <w:shd w:val="clear" w:color="auto" w:fill="FFFFFF"/>
        <w:snapToGrid w:val="0"/>
        <w:spacing w:line="360" w:lineRule="auto"/>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sz w:val="24"/>
        </w:rPr>
        <w:t>十、</w:t>
      </w:r>
      <w:r>
        <w:rPr>
          <w:rFonts w:hint="eastAsia" w:asciiTheme="minorEastAsia" w:hAnsiTheme="minorEastAsia" w:eastAsiaTheme="minorEastAsia" w:cstheme="minorEastAsia"/>
          <w:b/>
          <w:bCs/>
          <w:kern w:val="0"/>
          <w:sz w:val="24"/>
        </w:rPr>
        <w:t>投标文件的修改与撤回</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10.1 在本章第二节2.2 项规定的投标截止时间前，投标人可以修改或撤回已递交的投标文件，但应以书面形式通知招标人。</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10.2 投标人修改或撤回已递交投标文件的书面通知应按照要求签字或盖章。</w:t>
      </w:r>
    </w:p>
    <w:p>
      <w:pPr>
        <w:spacing w:line="360" w:lineRule="auto"/>
        <w:ind w:firstLine="480" w:firstLineChars="200"/>
        <w:rPr>
          <w:rFonts w:ascii="宋体" w:cs="宋体"/>
          <w:sz w:val="24"/>
        </w:rPr>
      </w:pPr>
      <w:r>
        <w:rPr>
          <w:rFonts w:hint="eastAsia" w:asciiTheme="minorEastAsia" w:hAnsiTheme="minorEastAsia" w:eastAsiaTheme="minorEastAsia" w:cstheme="minorEastAsia"/>
          <w:sz w:val="24"/>
        </w:rPr>
        <w:t>10.3 修改的内容为投标文件的组成部分。修改的投标文件应按照本招标文件规定进行编制、密封、标记和递交，并标明“修改”字样</w:t>
      </w:r>
      <w:r>
        <w:rPr>
          <w:rFonts w:hint="eastAsia" w:ascii="宋体" w:cs="宋体"/>
          <w:sz w:val="24"/>
        </w:rPr>
        <w:t>。</w:t>
      </w:r>
    </w:p>
    <w:p>
      <w:pPr>
        <w:spacing w:line="360" w:lineRule="auto"/>
        <w:ind w:firstLine="480" w:firstLineChars="200"/>
        <w:rPr>
          <w:rFonts w:ascii="宋体" w:cs="宋体"/>
          <w:sz w:val="24"/>
        </w:rPr>
      </w:pPr>
    </w:p>
    <w:p>
      <w:pPr>
        <w:pStyle w:val="4"/>
        <w:jc w:val="center"/>
        <w:rPr>
          <w:rFonts w:cs="宋体"/>
          <w:sz w:val="24"/>
          <w:szCs w:val="24"/>
        </w:rPr>
      </w:pPr>
      <w:bookmarkStart w:id="6" w:name="_Toc12442"/>
      <w:r>
        <w:rPr>
          <w:rFonts w:ascii="Times New Roman" w:hAnsi="Times New Roman"/>
          <w:sz w:val="24"/>
          <w:szCs w:val="24"/>
        </w:rPr>
        <w:t>第</w:t>
      </w:r>
      <w:r>
        <w:rPr>
          <w:rFonts w:hint="eastAsia" w:ascii="Times New Roman" w:hAnsi="Times New Roman"/>
          <w:sz w:val="24"/>
          <w:szCs w:val="24"/>
        </w:rPr>
        <w:t>四</w:t>
      </w:r>
      <w:r>
        <w:rPr>
          <w:rFonts w:ascii="Times New Roman" w:hAnsi="Times New Roman"/>
          <w:sz w:val="24"/>
          <w:szCs w:val="24"/>
        </w:rPr>
        <w:t>节</w:t>
      </w:r>
      <w:r>
        <w:rPr>
          <w:rFonts w:hint="eastAsia" w:ascii="Times New Roman" w:hAnsi="Times New Roman"/>
          <w:sz w:val="24"/>
          <w:szCs w:val="24"/>
        </w:rPr>
        <w:t xml:space="preserve"> 投标</w:t>
      </w:r>
      <w:bookmarkEnd w:id="6"/>
    </w:p>
    <w:p>
      <w:pPr>
        <w:spacing w:line="360" w:lineRule="auto"/>
        <w:rPr>
          <w:rFonts w:ascii="宋体" w:cs="宋体"/>
          <w:b/>
          <w:bCs/>
          <w:sz w:val="24"/>
        </w:rPr>
      </w:pPr>
      <w:r>
        <w:rPr>
          <w:rFonts w:hint="eastAsia" w:ascii="宋体" w:cs="宋体"/>
          <w:b/>
          <w:bCs/>
          <w:sz w:val="24"/>
        </w:rPr>
        <w:t>投标文件的修改与撤回</w:t>
      </w:r>
    </w:p>
    <w:p>
      <w:pPr>
        <w:spacing w:line="360" w:lineRule="auto"/>
        <w:ind w:firstLine="480" w:firstLineChars="200"/>
        <w:rPr>
          <w:rFonts w:ascii="宋体" w:cs="宋体"/>
          <w:sz w:val="24"/>
        </w:rPr>
      </w:pPr>
      <w:r>
        <w:rPr>
          <w:rFonts w:hint="eastAsia" w:ascii="宋体" w:cs="宋体"/>
          <w:sz w:val="24"/>
        </w:rPr>
        <w:t>⑴ 在本章第二节2.2 项规定的投标截止时间前，投标人可以修改或撤回已递交的投标文件，但应以书面形式通知招标人。</w:t>
      </w:r>
    </w:p>
    <w:p>
      <w:pPr>
        <w:spacing w:line="360" w:lineRule="auto"/>
        <w:ind w:firstLine="480" w:firstLineChars="200"/>
        <w:rPr>
          <w:rFonts w:ascii="宋体" w:cs="宋体"/>
          <w:sz w:val="24"/>
        </w:rPr>
      </w:pPr>
      <w:r>
        <w:rPr>
          <w:rFonts w:hint="eastAsia" w:ascii="宋体" w:cs="宋体"/>
          <w:sz w:val="24"/>
        </w:rPr>
        <w:t>⑵ 投标人修改或撤回已递交投标文件的书面通知应按照要求签字或盖章。</w:t>
      </w:r>
    </w:p>
    <w:p>
      <w:pPr>
        <w:spacing w:line="360" w:lineRule="auto"/>
        <w:ind w:firstLine="480" w:firstLineChars="200"/>
        <w:rPr>
          <w:rFonts w:ascii="宋体" w:cs="宋体"/>
          <w:sz w:val="24"/>
        </w:rPr>
      </w:pPr>
      <w:r>
        <w:rPr>
          <w:rFonts w:hint="eastAsia" w:ascii="宋体" w:cs="宋体"/>
          <w:sz w:val="24"/>
        </w:rPr>
        <w:t>⑶ 修改的内容为投标文件的组成部分。修改的投标文件应按照本招标文件规定进行编制、密封、标记和递交，并标明“修改”字样。</w:t>
      </w:r>
    </w:p>
    <w:p>
      <w:pPr>
        <w:spacing w:line="360" w:lineRule="auto"/>
        <w:ind w:firstLine="480" w:firstLineChars="200"/>
        <w:rPr>
          <w:rFonts w:ascii="宋体" w:cs="宋体"/>
          <w:sz w:val="24"/>
        </w:rPr>
      </w:pPr>
    </w:p>
    <w:p>
      <w:pPr>
        <w:pStyle w:val="4"/>
        <w:jc w:val="center"/>
        <w:rPr>
          <w:rFonts w:cs="宋体"/>
          <w:sz w:val="24"/>
          <w:szCs w:val="24"/>
        </w:rPr>
      </w:pPr>
      <w:bookmarkStart w:id="7" w:name="_Toc29520"/>
      <w:r>
        <w:rPr>
          <w:rFonts w:ascii="Times New Roman" w:hAnsi="Times New Roman"/>
          <w:sz w:val="24"/>
          <w:szCs w:val="24"/>
        </w:rPr>
        <w:t>第</w:t>
      </w:r>
      <w:r>
        <w:rPr>
          <w:rFonts w:hint="eastAsia" w:ascii="Times New Roman" w:hAnsi="Times New Roman"/>
          <w:sz w:val="24"/>
          <w:szCs w:val="24"/>
        </w:rPr>
        <w:t>五</w:t>
      </w:r>
      <w:r>
        <w:rPr>
          <w:rFonts w:ascii="Times New Roman" w:hAnsi="Times New Roman"/>
          <w:sz w:val="24"/>
          <w:szCs w:val="24"/>
        </w:rPr>
        <w:t>节</w:t>
      </w:r>
      <w:r>
        <w:rPr>
          <w:rFonts w:hint="eastAsia" w:ascii="Times New Roman" w:hAnsi="Times New Roman"/>
          <w:sz w:val="24"/>
          <w:szCs w:val="24"/>
        </w:rPr>
        <w:t xml:space="preserve"> 开标</w:t>
      </w:r>
      <w:bookmarkEnd w:id="7"/>
    </w:p>
    <w:p>
      <w:pPr>
        <w:widowControl/>
        <w:shd w:val="clear" w:color="auto" w:fill="FFFFFF"/>
        <w:snapToGrid w:val="0"/>
        <w:spacing w:line="360" w:lineRule="auto"/>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sz w:val="24"/>
        </w:rPr>
        <w:t>一、</w:t>
      </w:r>
      <w:r>
        <w:rPr>
          <w:rFonts w:hint="eastAsia" w:asciiTheme="minorEastAsia" w:hAnsiTheme="minorEastAsia" w:eastAsiaTheme="minorEastAsia" w:cstheme="minorEastAsia"/>
          <w:b/>
          <w:bCs/>
          <w:kern w:val="0"/>
          <w:sz w:val="24"/>
        </w:rPr>
        <w:t>开标</w:t>
      </w:r>
    </w:p>
    <w:p>
      <w:pPr>
        <w:spacing w:line="360" w:lineRule="auto"/>
        <w:ind w:firstLine="480" w:firstLineChars="200"/>
        <w:rPr>
          <w:rFonts w:ascii="宋体" w:hAnsi="宋体" w:cs="宋体"/>
          <w:sz w:val="24"/>
        </w:rPr>
      </w:pPr>
      <w:r>
        <w:rPr>
          <w:rFonts w:hint="eastAsia" w:ascii="宋体" w:hAnsi="宋体" w:cs="宋体"/>
          <w:sz w:val="24"/>
        </w:rPr>
        <w:t xml:space="preserve">1.1 </w:t>
      </w:r>
      <w:r>
        <w:rPr>
          <w:rFonts w:ascii="宋体" w:hAnsi="宋体" w:cs="宋体"/>
          <w:sz w:val="24"/>
        </w:rPr>
        <w:t>开标在</w:t>
      </w:r>
      <w:r>
        <w:rPr>
          <w:rFonts w:hint="eastAsia" w:ascii="宋体" w:hAnsi="宋体" w:cs="宋体"/>
          <w:sz w:val="24"/>
        </w:rPr>
        <w:t>招标文件</w:t>
      </w:r>
      <w:r>
        <w:rPr>
          <w:rFonts w:ascii="宋体" w:hAnsi="宋体" w:cs="宋体"/>
          <w:sz w:val="24"/>
        </w:rPr>
        <w:t>预先确定的时间和地点公开进行，采购人、投标人派代表参加并签到以证明其出席。开标由采购代理机构主持，采购人、投标人代表参加，投标人未参加开标的，视同认可开标结果。评标专家不参加开标活动。投标人不足三家的不得开标</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 xml:space="preserve">1.2 </w:t>
      </w:r>
      <w:r>
        <w:rPr>
          <w:rFonts w:ascii="宋体" w:hAnsi="宋体" w:cs="宋体"/>
          <w:sz w:val="24"/>
        </w:rPr>
        <w:t>开标时，可以根据具体情况邀请有关监督管理部门对开标活动进行现场监督。</w:t>
      </w:r>
    </w:p>
    <w:p>
      <w:pPr>
        <w:spacing w:line="360" w:lineRule="auto"/>
        <w:ind w:firstLine="480" w:firstLineChars="200"/>
        <w:rPr>
          <w:rFonts w:ascii="宋体" w:hAnsi="宋体" w:cs="宋体"/>
          <w:sz w:val="24"/>
        </w:rPr>
      </w:pPr>
      <w:r>
        <w:rPr>
          <w:rFonts w:hint="eastAsia" w:ascii="宋体" w:hAnsi="宋体" w:cs="宋体"/>
          <w:sz w:val="24"/>
        </w:rPr>
        <w:t xml:space="preserve">1.3 </w:t>
      </w:r>
      <w:r>
        <w:rPr>
          <w:rFonts w:ascii="宋体" w:hAnsi="宋体" w:cs="宋体"/>
          <w:sz w:val="24"/>
        </w:rPr>
        <w:t>开标时，投标人或者其推选的代表对开标过程和开标记录有疑议的或认为开标相关工作人员需要回避的，可以当场向开标主持人反映，开标现场主持人应及时予以处理。</w:t>
      </w:r>
    </w:p>
    <w:p>
      <w:pPr>
        <w:spacing w:line="360" w:lineRule="auto"/>
        <w:ind w:firstLine="480" w:firstLineChars="200"/>
        <w:rPr>
          <w:rFonts w:asciiTheme="minorEastAsia" w:hAnsiTheme="minorEastAsia" w:eastAsiaTheme="minorEastAsia" w:cstheme="minorEastAsia"/>
          <w:kern w:val="0"/>
          <w:sz w:val="24"/>
        </w:rPr>
      </w:pPr>
      <w:r>
        <w:rPr>
          <w:rFonts w:hint="eastAsia" w:ascii="宋体" w:hAnsi="宋体" w:cs="宋体"/>
          <w:sz w:val="24"/>
        </w:rPr>
        <w:t xml:space="preserve">1.4 </w:t>
      </w:r>
      <w:r>
        <w:rPr>
          <w:rFonts w:ascii="宋体" w:hAnsi="宋体" w:cs="宋体"/>
          <w:sz w:val="24"/>
        </w:rPr>
        <w:t>开标时，</w:t>
      </w:r>
      <w:r>
        <w:rPr>
          <w:rFonts w:hint="eastAsia" w:asciiTheme="minorEastAsia" w:hAnsiTheme="minorEastAsia" w:eastAsiaTheme="minorEastAsia" w:cstheme="minorEastAsia"/>
          <w:kern w:val="0"/>
          <w:sz w:val="24"/>
        </w:rPr>
        <w:t>投标文件报价出现前后不一致的，除招标文件另有规定外，按照下列规定修正：</w:t>
      </w:r>
    </w:p>
    <w:p>
      <w:pPr>
        <w:spacing w:line="360" w:lineRule="auto"/>
        <w:ind w:firstLine="480" w:firstLineChars="200"/>
        <w:rPr>
          <w:rFonts w:ascii="宋体" w:hAnsi="宋体" w:cs="宋体"/>
          <w:sz w:val="24"/>
        </w:rPr>
      </w:pPr>
      <w:r>
        <w:rPr>
          <w:rFonts w:hint="eastAsia" w:ascii="宋体" w:hAnsi="宋体" w:cs="宋体"/>
          <w:sz w:val="24"/>
        </w:rPr>
        <w:t xml:space="preserve">⑴ </w:t>
      </w:r>
      <w:r>
        <w:rPr>
          <w:rFonts w:ascii="宋体" w:hAnsi="宋体" w:cs="宋体"/>
          <w:sz w:val="24"/>
        </w:rPr>
        <w:t>“开标一览表”中的大写金额与小写金额不一致的，以大写金额为准；</w:t>
      </w:r>
    </w:p>
    <w:p>
      <w:pPr>
        <w:spacing w:line="360" w:lineRule="auto"/>
        <w:ind w:left="479" w:leftChars="228"/>
        <w:rPr>
          <w:rFonts w:ascii="宋体" w:hAnsi="宋体" w:cs="宋体"/>
          <w:sz w:val="24"/>
        </w:rPr>
      </w:pPr>
      <w:r>
        <w:rPr>
          <w:rFonts w:hint="eastAsia" w:ascii="宋体" w:hAnsi="宋体" w:cs="宋体"/>
          <w:sz w:val="24"/>
        </w:rPr>
        <w:t xml:space="preserve">⑵ </w:t>
      </w:r>
      <w:r>
        <w:rPr>
          <w:rFonts w:ascii="宋体" w:hAnsi="宋体" w:cs="宋体"/>
          <w:sz w:val="24"/>
        </w:rPr>
        <w:t>总价金额与按单价计算的汇总金额不一致的，以单价计算的汇总金额为准；</w:t>
      </w:r>
      <w:r>
        <w:rPr>
          <w:rFonts w:hint="eastAsia" w:asciiTheme="minorEastAsia" w:hAnsiTheme="minorEastAsia" w:eastAsiaTheme="minorEastAsia" w:cstheme="minorEastAsia"/>
          <w:sz w:val="24"/>
        </w:rPr>
        <w:t xml:space="preserve">⑶ </w:t>
      </w:r>
      <w:r>
        <w:rPr>
          <w:rFonts w:ascii="宋体" w:hAnsi="宋体" w:cs="宋体"/>
          <w:sz w:val="24"/>
        </w:rPr>
        <w:t>单价金额有明显小数点错误的，以总价为准，并修改单价；</w:t>
      </w:r>
    </w:p>
    <w:p>
      <w:pPr>
        <w:spacing w:line="360" w:lineRule="auto"/>
        <w:ind w:firstLine="480" w:firstLineChars="200"/>
        <w:rPr>
          <w:rFonts w:ascii="宋体" w:hAnsi="宋体" w:cs="宋体"/>
          <w:sz w:val="24"/>
        </w:rPr>
      </w:pPr>
      <w:r>
        <w:rPr>
          <w:rFonts w:hint="eastAsia" w:ascii="宋体" w:hAnsi="宋体" w:cs="宋体"/>
          <w:sz w:val="24"/>
        </w:rPr>
        <w:t xml:space="preserve">⑷ </w:t>
      </w:r>
      <w:r>
        <w:rPr>
          <w:rFonts w:hint="eastAsia" w:asciiTheme="minorEastAsia" w:hAnsiTheme="minorEastAsia" w:eastAsiaTheme="minorEastAsia" w:cstheme="minorEastAsia"/>
          <w:kern w:val="0"/>
          <w:sz w:val="24"/>
        </w:rPr>
        <w:t>对不同文字文本投标文件的解释发生异议的，以中文文本为准</w:t>
      </w:r>
      <w:r>
        <w:rPr>
          <w:rFonts w:ascii="宋体" w:hAnsi="宋体" w:cs="宋体"/>
          <w:sz w:val="24"/>
        </w:rPr>
        <w:t>；</w:t>
      </w:r>
    </w:p>
    <w:p>
      <w:pPr>
        <w:spacing w:line="360" w:lineRule="auto"/>
        <w:ind w:firstLine="480" w:firstLineChars="200"/>
        <w:rPr>
          <w:rFonts w:ascii="宋体" w:hAnsi="宋体" w:cs="宋体" w:eastAsiaTheme="minorEastAsia"/>
          <w:sz w:val="24"/>
        </w:rPr>
      </w:pPr>
      <w:r>
        <w:rPr>
          <w:rFonts w:hint="eastAsia" w:ascii="宋体" w:hAnsi="宋体" w:cs="宋体"/>
          <w:sz w:val="24"/>
        </w:rPr>
        <w:t xml:space="preserve">⑸ </w:t>
      </w:r>
      <w:r>
        <w:rPr>
          <w:rFonts w:hint="eastAsia" w:asciiTheme="minorEastAsia" w:hAnsiTheme="minorEastAsia" w:eastAsiaTheme="minorEastAsia" w:cstheme="minorEastAsia"/>
          <w:kern w:val="0"/>
          <w:sz w:val="24"/>
        </w:rPr>
        <w:t>同时出现两种以上不一致的，按照前款规定的顺序修正。修正后的报价须经授权委托代理人签字并加盖公章后产生约束力，投标人不确认的，其投标无效。</w:t>
      </w:r>
    </w:p>
    <w:p>
      <w:pPr>
        <w:spacing w:line="360" w:lineRule="auto"/>
        <w:ind w:firstLine="480" w:firstLineChars="200"/>
        <w:rPr>
          <w:rFonts w:ascii="宋体" w:hAnsi="宋体" w:cs="宋体"/>
          <w:sz w:val="24"/>
        </w:rPr>
      </w:pPr>
      <w:r>
        <w:rPr>
          <w:rFonts w:hint="eastAsia" w:ascii="宋体" w:hAnsi="宋体" w:cs="宋体"/>
          <w:sz w:val="24"/>
        </w:rPr>
        <w:t>1.5 投标文件</w:t>
      </w:r>
      <w:r>
        <w:rPr>
          <w:rFonts w:ascii="宋体" w:hAnsi="宋体" w:cs="宋体"/>
          <w:sz w:val="24"/>
        </w:rPr>
        <w:t xml:space="preserve">中有关明细表内容与“开标一览表”不一致的，以“开标一览表”为准。 </w:t>
      </w:r>
    </w:p>
    <w:p>
      <w:pPr>
        <w:spacing w:line="360" w:lineRule="auto"/>
        <w:ind w:firstLine="480" w:firstLineChars="200"/>
        <w:rPr>
          <w:rFonts w:ascii="宋体" w:hAnsi="宋体" w:cs="宋体"/>
          <w:sz w:val="24"/>
        </w:rPr>
      </w:pPr>
      <w:r>
        <w:rPr>
          <w:rFonts w:hint="eastAsia" w:ascii="宋体" w:hAnsi="宋体" w:cs="宋体"/>
          <w:sz w:val="24"/>
        </w:rPr>
        <w:t>1</w:t>
      </w:r>
      <w:r>
        <w:rPr>
          <w:rFonts w:ascii="宋体" w:hAnsi="宋体" w:cs="宋体"/>
          <w:sz w:val="24"/>
        </w:rPr>
        <w:t xml:space="preserve">.6 开标时属于下列情况之一的，视为无效投标: </w:t>
      </w:r>
    </w:p>
    <w:p>
      <w:pPr>
        <w:spacing w:line="360" w:lineRule="auto"/>
        <w:ind w:firstLine="480" w:firstLineChars="200"/>
        <w:rPr>
          <w:rFonts w:ascii="宋体" w:hAnsi="宋体" w:cs="宋体"/>
          <w:sz w:val="24"/>
        </w:rPr>
      </w:pPr>
      <w:r>
        <w:rPr>
          <w:rFonts w:hint="eastAsia" w:ascii="宋体" w:hAnsi="宋体" w:cs="宋体"/>
          <w:sz w:val="24"/>
        </w:rPr>
        <w:t xml:space="preserve">⑴ </w:t>
      </w:r>
      <w:r>
        <w:rPr>
          <w:rFonts w:ascii="宋体" w:hAnsi="宋体" w:cs="宋体"/>
          <w:sz w:val="24"/>
        </w:rPr>
        <w:t xml:space="preserve">单独提交的“开标一览表”未按格式要求签字、盖章，或提供复印件的； </w:t>
      </w:r>
    </w:p>
    <w:p>
      <w:pPr>
        <w:spacing w:line="360" w:lineRule="auto"/>
        <w:ind w:firstLine="480" w:firstLineChars="200"/>
      </w:pPr>
      <w:r>
        <w:rPr>
          <w:rFonts w:hint="eastAsia" w:ascii="宋体" w:hAnsi="宋体" w:cs="宋体"/>
          <w:sz w:val="24"/>
        </w:rPr>
        <w:t xml:space="preserve">⑵ </w:t>
      </w:r>
      <w:r>
        <w:rPr>
          <w:rFonts w:ascii="宋体" w:hAnsi="宋体" w:cs="宋体"/>
          <w:sz w:val="24"/>
        </w:rPr>
        <w:t>没有提供“开标一览表”或“开标一览表”非原件的</w:t>
      </w:r>
      <w:r>
        <w:rPr>
          <w:rFonts w:hint="eastAsia" w:ascii="宋体" w:hAnsi="宋体" w:cs="宋体"/>
          <w:sz w:val="24"/>
        </w:rPr>
        <w:t>。</w:t>
      </w:r>
    </w:p>
    <w:p>
      <w:pPr>
        <w:spacing w:line="360" w:lineRule="auto"/>
        <w:rPr>
          <w:rFonts w:ascii="宋体" w:hAnsi="宋体" w:cs="宋体"/>
          <w:b/>
          <w:bCs/>
          <w:sz w:val="24"/>
        </w:rPr>
      </w:pPr>
      <w:r>
        <w:rPr>
          <w:rFonts w:hint="eastAsia" w:ascii="宋体" w:hAnsi="宋体" w:cs="宋体"/>
          <w:b/>
          <w:bCs/>
          <w:sz w:val="24"/>
        </w:rPr>
        <w:t>二、开标程序</w:t>
      </w:r>
    </w:p>
    <w:p>
      <w:pPr>
        <w:spacing w:line="360" w:lineRule="auto"/>
        <w:ind w:firstLine="480" w:firstLineChars="200"/>
        <w:rPr>
          <w:rFonts w:asciiTheme="minorEastAsia" w:hAnsiTheme="minorEastAsia" w:eastAsiaTheme="minorEastAsia" w:cstheme="minorEastAsia"/>
          <w:sz w:val="24"/>
        </w:rPr>
      </w:pPr>
      <w:r>
        <w:rPr>
          <w:rFonts w:hint="eastAsia" w:ascii="宋体" w:hAnsi="宋体" w:cs="宋体"/>
          <w:sz w:val="24"/>
        </w:rPr>
        <w:t>2.1</w:t>
      </w:r>
      <w:r>
        <w:rPr>
          <w:rFonts w:ascii="宋体" w:hAnsi="宋体" w:cs="宋体"/>
          <w:sz w:val="24"/>
        </w:rPr>
        <w:t>开标会主持人按照</w:t>
      </w:r>
      <w:r>
        <w:rPr>
          <w:rFonts w:hint="eastAsia" w:ascii="宋体" w:hAnsi="宋体" w:cs="宋体"/>
          <w:sz w:val="24"/>
        </w:rPr>
        <w:t>招标文件</w:t>
      </w:r>
      <w:r>
        <w:rPr>
          <w:rFonts w:ascii="宋体" w:hAnsi="宋体" w:cs="宋体"/>
          <w:sz w:val="24"/>
        </w:rPr>
        <w:t>规定的开标时间宣布开标，按照规定要求主持开标会。开标将按以下程序进行</w:t>
      </w:r>
      <w:r>
        <w:rPr>
          <w:rFonts w:hint="eastAsia" w:asciiTheme="minorEastAsia" w:hAnsiTheme="minorEastAsia" w:eastAsiaTheme="minorEastAsia" w:cstheme="minorEastAsia"/>
          <w:sz w:val="24"/>
        </w:rPr>
        <w:t>：</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⑴ </w:t>
      </w:r>
      <w:r>
        <w:rPr>
          <w:rFonts w:ascii="宋体" w:hAnsi="宋体" w:cs="宋体"/>
          <w:sz w:val="24"/>
        </w:rPr>
        <w:t>宣布开标会开始</w:t>
      </w:r>
      <w:r>
        <w:rPr>
          <w:rFonts w:hint="eastAsia" w:ascii="宋体" w:hAnsi="宋体" w:cs="宋体"/>
          <w:sz w:val="24"/>
        </w:rPr>
        <w:t>，</w:t>
      </w:r>
      <w:r>
        <w:rPr>
          <w:rFonts w:hint="eastAsia" w:asciiTheme="minorEastAsia" w:hAnsiTheme="minorEastAsia" w:eastAsiaTheme="minorEastAsia" w:cstheme="minorEastAsia"/>
          <w:sz w:val="24"/>
        </w:rPr>
        <w:t>宣布开标纪律；</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⑵ </w:t>
      </w:r>
      <w:r>
        <w:rPr>
          <w:rFonts w:hint="eastAsia" w:ascii="宋体" w:cs="宋体"/>
          <w:kern w:val="0"/>
          <w:sz w:val="24"/>
        </w:rPr>
        <w:t>公布在投标截止时间前递交投标文件的投标人名称，并点名确认投标人是否派人到场参加开标，由采购人或监督人查验投标人法定代表人授权委托书及其有效身份证明；投标人未派人到场参加开标的，视同认可开标结果；</w:t>
      </w:r>
      <w:r>
        <w:rPr>
          <w:rFonts w:hint="eastAsia" w:asciiTheme="minorEastAsia" w:hAnsiTheme="minorEastAsia" w:eastAsiaTheme="minorEastAsia" w:cstheme="minorEastAsia"/>
          <w:sz w:val="24"/>
        </w:rPr>
        <w:t>；</w:t>
      </w:r>
    </w:p>
    <w:p>
      <w:pPr>
        <w:widowControl/>
        <w:shd w:val="clear" w:color="auto" w:fill="FFFFFF"/>
        <w:snapToGrid w:val="0"/>
        <w:spacing w:line="360" w:lineRule="auto"/>
        <w:ind w:firstLine="480" w:firstLineChars="200"/>
        <w:rPr>
          <w:rFonts w:ascii="宋体" w:cs="宋体"/>
          <w:kern w:val="0"/>
          <w:sz w:val="24"/>
        </w:rPr>
      </w:pPr>
      <w:r>
        <w:rPr>
          <w:rFonts w:hint="eastAsia" w:asciiTheme="minorEastAsia" w:hAnsiTheme="minorEastAsia" w:eastAsiaTheme="minorEastAsia" w:cstheme="minorEastAsia"/>
          <w:sz w:val="24"/>
        </w:rPr>
        <w:t xml:space="preserve">⑶ </w:t>
      </w:r>
      <w:r>
        <w:rPr>
          <w:rFonts w:ascii="宋体" w:hAnsi="宋体" w:cs="宋体"/>
          <w:sz w:val="24"/>
        </w:rPr>
        <w:t>当众宣布参加开标会主持人、唱标人、会议记录人以及根据情况邀请的现场监督人等工作人员</w:t>
      </w:r>
      <w:r>
        <w:rPr>
          <w:rFonts w:hint="eastAsia" w:asciiTheme="minorEastAsia" w:hAnsiTheme="minorEastAsia" w:eastAsiaTheme="minorEastAsia" w:cstheme="minorEastAsia"/>
          <w:sz w:val="24"/>
        </w:rPr>
        <w:t>；</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⑷ 由投标人或者其推选的代表检查投标文件的密封情况，经监督代表及投标人确认无误后，由采购代理机构工作人员宣布公开拆标、唱标。</w:t>
      </w:r>
    </w:p>
    <w:p>
      <w:pPr>
        <w:widowControl/>
        <w:shd w:val="clear" w:color="auto" w:fill="FFFFFF"/>
        <w:snapToGrid w:val="0"/>
        <w:spacing w:line="360" w:lineRule="auto"/>
        <w:ind w:firstLine="480" w:firstLineChars="200"/>
        <w:rPr>
          <w:rFonts w:ascii="宋体" w:hAnsi="宋体" w:cs="宋体"/>
          <w:sz w:val="24"/>
        </w:rPr>
      </w:pPr>
      <w:r>
        <w:rPr>
          <w:rFonts w:hint="eastAsia" w:asciiTheme="minorEastAsia" w:hAnsiTheme="minorEastAsia" w:eastAsiaTheme="minorEastAsia" w:cstheme="minorEastAsia"/>
          <w:sz w:val="24"/>
        </w:rPr>
        <w:t xml:space="preserve">⑸ </w:t>
      </w:r>
      <w:r>
        <w:rPr>
          <w:rFonts w:ascii="宋体" w:hAnsi="宋体" w:cs="宋体"/>
          <w:sz w:val="24"/>
        </w:rPr>
        <w:t>开标唱标</w:t>
      </w:r>
      <w:r>
        <w:rPr>
          <w:rFonts w:hint="eastAsia" w:ascii="宋体" w:hAnsi="宋体" w:cs="宋体"/>
          <w:sz w:val="24"/>
        </w:rPr>
        <w:t>。</w:t>
      </w:r>
    </w:p>
    <w:p>
      <w:pPr>
        <w:spacing w:line="360" w:lineRule="auto"/>
        <w:ind w:firstLine="480" w:firstLineChars="200"/>
        <w:rPr>
          <w:rFonts w:asciiTheme="minorEastAsia" w:hAnsiTheme="minorEastAsia" w:eastAsiaTheme="minorEastAsia" w:cstheme="minorEastAsia"/>
          <w:sz w:val="24"/>
        </w:rPr>
      </w:pPr>
      <w:r>
        <w:rPr>
          <w:rFonts w:ascii="宋体" w:hAnsi="宋体" w:cs="宋体"/>
          <w:sz w:val="24"/>
        </w:rPr>
        <w:t>主持人宣布开标后，由现场工作人员按任意顺序对投标人的“开标一览表”当众进行拆封，由唱标人员宣读投标人名称、投标价格（价格折扣）、或</w:t>
      </w:r>
      <w:r>
        <w:rPr>
          <w:rFonts w:hint="eastAsia" w:ascii="宋体" w:hAnsi="宋体" w:cs="宋体"/>
          <w:sz w:val="24"/>
        </w:rPr>
        <w:t>招标文件</w:t>
      </w:r>
      <w:r>
        <w:rPr>
          <w:rFonts w:ascii="宋体" w:hAnsi="宋体" w:cs="宋体"/>
          <w:sz w:val="24"/>
        </w:rPr>
        <w:t>允许提供的备选投标方案和</w:t>
      </w:r>
      <w:r>
        <w:rPr>
          <w:rFonts w:hint="eastAsia" w:ascii="宋体" w:hAnsi="宋体" w:cs="宋体"/>
          <w:sz w:val="24"/>
        </w:rPr>
        <w:t>投标文件</w:t>
      </w:r>
      <w:r>
        <w:rPr>
          <w:rFonts w:ascii="宋体" w:hAnsi="宋体" w:cs="宋体"/>
          <w:sz w:val="24"/>
        </w:rPr>
        <w:t>的其他主要内容。未宣读的投标价格（价格折扣）或</w:t>
      </w:r>
      <w:r>
        <w:rPr>
          <w:rFonts w:hint="eastAsia" w:ascii="宋体" w:hAnsi="宋体" w:cs="宋体"/>
          <w:sz w:val="24"/>
        </w:rPr>
        <w:t>招标文件</w:t>
      </w:r>
      <w:r>
        <w:rPr>
          <w:rFonts w:ascii="宋体" w:hAnsi="宋体" w:cs="宋体"/>
          <w:sz w:val="24"/>
        </w:rPr>
        <w:t>允许提供的备选投标方案等实质内容，评标时不予承认。同时，做好开标记录。唱标人员在唱标过程中，如遇有字迹不清楚或有明显错误的，应即刻报告主持人，经现场核实后，主持人立即请投标人代表现场进行澄清或确认。唱标完毕后投标人或者其推选的代表需现场对开标记录进行签字确认，投标人或者其推选的代表对唱标内容有异议的，可以当场提出，并要求会议记录人在开标记录中予以记录，或者另行提供书面异议资料，不签字又不提出异议的，视同认可唱标内容和结果，且不得干扰、阻挠开（唱）标、评标工作</w:t>
      </w:r>
      <w:r>
        <w:rPr>
          <w:rFonts w:hint="eastAsia" w:asciiTheme="minorEastAsia" w:hAnsiTheme="minorEastAsia" w:eastAsiaTheme="minorEastAsia" w:cstheme="minorEastAsia"/>
          <w:sz w:val="24"/>
        </w:rPr>
        <w:t>；</w:t>
      </w:r>
    </w:p>
    <w:p>
      <w:pPr>
        <w:widowControl/>
        <w:shd w:val="clear" w:color="auto" w:fill="FFFFFF"/>
        <w:snapToGrid w:val="0"/>
        <w:spacing w:line="360" w:lineRule="auto"/>
        <w:ind w:firstLine="480" w:firstLineChars="200"/>
        <w:rPr>
          <w:rFonts w:ascii="宋体" w:cs="宋体"/>
          <w:kern w:val="0"/>
          <w:sz w:val="24"/>
        </w:rPr>
      </w:pPr>
      <w:r>
        <w:rPr>
          <w:rFonts w:hint="eastAsia" w:asciiTheme="minorEastAsia" w:hAnsiTheme="minorEastAsia" w:eastAsiaTheme="minorEastAsia" w:cstheme="minorEastAsia"/>
          <w:sz w:val="24"/>
        </w:rPr>
        <w:t>⑹</w:t>
      </w:r>
      <w:r>
        <w:rPr>
          <w:rFonts w:hint="eastAsia" w:ascii="宋体" w:cs="宋体"/>
          <w:kern w:val="0"/>
          <w:sz w:val="24"/>
        </w:rPr>
        <w:t xml:space="preserve"> 按照规定采购代理机构工作人员当众拆封投标文件，宣布投标人名称、投标价格和招标文件规定的需要宣布的其他内容，并作记录；</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⑺</w:t>
      </w: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kern w:val="0"/>
          <w:sz w:val="24"/>
        </w:rPr>
        <w:t>投标人不足3家的，不得开标；</w:t>
      </w:r>
    </w:p>
    <w:p>
      <w:pPr>
        <w:spacing w:line="360" w:lineRule="auto"/>
        <w:ind w:firstLine="480" w:firstLineChars="200"/>
        <w:rPr>
          <w:rFonts w:asciiTheme="minorEastAsia" w:hAnsiTheme="minorEastAsia" w:eastAsiaTheme="minorEastAsia" w:cstheme="minorEastAsia"/>
          <w:sz w:val="24"/>
        </w:rPr>
      </w:pPr>
      <w:r>
        <w:rPr>
          <w:rFonts w:hint="eastAsia" w:ascii="宋体" w:hAnsi="宋体" w:cs="宋体"/>
          <w:sz w:val="24"/>
        </w:rPr>
        <w:t>⑻</w:t>
      </w: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kern w:val="0"/>
          <w:sz w:val="24"/>
        </w:rPr>
        <w:t>评标委员会成员不得参加开标活动</w:t>
      </w:r>
      <w:r>
        <w:rPr>
          <w:rFonts w:hint="eastAsia" w:asciiTheme="minorEastAsia" w:hAnsiTheme="minorEastAsia" w:eastAsiaTheme="minorEastAsia" w:cstheme="minorEastAsia"/>
          <w:sz w:val="24"/>
        </w:rPr>
        <w:t>；</w:t>
      </w:r>
    </w:p>
    <w:p>
      <w:pPr>
        <w:spacing w:line="360" w:lineRule="auto"/>
        <w:ind w:firstLine="480" w:firstLineChars="200"/>
        <w:rPr>
          <w:rFonts w:ascii="宋体" w:hAnsi="宋体" w:cs="宋体"/>
          <w:sz w:val="24"/>
        </w:rPr>
      </w:pPr>
      <w:r>
        <w:rPr>
          <w:rFonts w:hint="eastAsia" w:ascii="宋体" w:hAnsi="宋体" w:cs="宋体"/>
          <w:sz w:val="24"/>
        </w:rPr>
        <w:t>⑼</w:t>
      </w:r>
      <w:r>
        <w:rPr>
          <w:rFonts w:hint="eastAsia" w:asciiTheme="minorEastAsia" w:hAnsiTheme="minorEastAsia" w:eastAsiaTheme="minorEastAsia" w:cstheme="minorEastAsia"/>
          <w:sz w:val="24"/>
        </w:rPr>
        <w:t xml:space="preserve"> </w:t>
      </w:r>
      <w:r>
        <w:rPr>
          <w:rFonts w:ascii="宋体" w:hAnsi="宋体" w:cs="宋体"/>
          <w:sz w:val="24"/>
        </w:rPr>
        <w:t>宣布开标会结束。</w:t>
      </w:r>
    </w:p>
    <w:p>
      <w:pPr>
        <w:spacing w:line="360" w:lineRule="auto"/>
        <w:ind w:firstLine="480" w:firstLineChars="200"/>
        <w:rPr>
          <w:rFonts w:ascii="宋体" w:hAnsi="宋体" w:cs="宋体"/>
          <w:sz w:val="24"/>
        </w:rPr>
      </w:pPr>
      <w:r>
        <w:rPr>
          <w:rFonts w:hint="eastAsia" w:ascii="宋体" w:hAnsi="宋体" w:cs="宋体"/>
          <w:sz w:val="24"/>
        </w:rPr>
        <w:t>2.2</w:t>
      </w:r>
      <w:r>
        <w:rPr>
          <w:rFonts w:ascii="宋体" w:hAnsi="宋体" w:cs="宋体"/>
          <w:sz w:val="24"/>
        </w:rPr>
        <w:t>主持人宣布开标会结束。所有投标人代表应立即退场（</w:t>
      </w:r>
      <w:r>
        <w:rPr>
          <w:rFonts w:hint="eastAsia" w:ascii="宋体" w:hAnsi="宋体" w:cs="宋体"/>
          <w:sz w:val="24"/>
        </w:rPr>
        <w:t>招标文件</w:t>
      </w:r>
      <w:r>
        <w:rPr>
          <w:rFonts w:ascii="宋体" w:hAnsi="宋体" w:cs="宋体"/>
          <w:sz w:val="24"/>
        </w:rPr>
        <w:t>要求有演示、介绍等的除外）。同时所有投标人应保持通讯设备的畅通，以方便在评标过程中</w:t>
      </w:r>
      <w:r>
        <w:rPr>
          <w:rFonts w:hint="eastAsia" w:ascii="宋体" w:hAnsi="宋体" w:cs="宋体"/>
          <w:sz w:val="24"/>
        </w:rPr>
        <w:t>平板委员会</w:t>
      </w:r>
      <w:r>
        <w:rPr>
          <w:rFonts w:ascii="宋体" w:hAnsi="宋体" w:cs="宋体"/>
          <w:sz w:val="24"/>
        </w:rPr>
        <w:t>要求投标人对</w:t>
      </w:r>
      <w:r>
        <w:rPr>
          <w:rFonts w:hint="eastAsia" w:ascii="宋体" w:hAnsi="宋体" w:cs="宋体"/>
          <w:sz w:val="24"/>
        </w:rPr>
        <w:t>投标文件</w:t>
      </w:r>
      <w:r>
        <w:rPr>
          <w:rFonts w:ascii="宋体" w:hAnsi="宋体" w:cs="宋体"/>
          <w:sz w:val="24"/>
        </w:rPr>
        <w:t>的必要澄清、说明和纠正</w:t>
      </w:r>
      <w:r>
        <w:rPr>
          <w:rFonts w:hint="eastAsia" w:asciiTheme="minorEastAsia" w:hAnsiTheme="minorEastAsia" w:eastAsiaTheme="minorEastAsia" w:cstheme="minorEastAsia"/>
          <w:kern w:val="0"/>
          <w:sz w:val="24"/>
        </w:rPr>
        <w:t>；</w:t>
      </w:r>
    </w:p>
    <w:p>
      <w:pPr>
        <w:spacing w:line="360" w:lineRule="auto"/>
        <w:rPr>
          <w:rFonts w:ascii="宋体" w:hAnsi="宋体" w:cs="宋体"/>
          <w:b/>
          <w:bCs/>
          <w:sz w:val="24"/>
        </w:rPr>
      </w:pPr>
      <w:r>
        <w:rPr>
          <w:rFonts w:hint="eastAsia" w:ascii="宋体" w:hAnsi="宋体" w:cs="宋体"/>
          <w:b/>
          <w:bCs/>
          <w:sz w:val="24"/>
        </w:rPr>
        <w:t>三、开标、评标过程存档</w:t>
      </w:r>
    </w:p>
    <w:p>
      <w:pPr>
        <w:spacing w:line="360" w:lineRule="auto"/>
        <w:ind w:firstLine="480" w:firstLineChars="200"/>
        <w:rPr>
          <w:rFonts w:ascii="宋体" w:hAnsi="宋体" w:cs="宋体"/>
          <w:sz w:val="24"/>
        </w:rPr>
      </w:pPr>
      <w:r>
        <w:rPr>
          <w:rFonts w:ascii="宋体" w:hAnsi="宋体" w:cs="宋体"/>
          <w:sz w:val="24"/>
        </w:rPr>
        <w:t>开标和评标过程进行全过程电子监控，并将电子监控资料存储介质留存归档。</w:t>
      </w:r>
    </w:p>
    <w:p>
      <w:pPr>
        <w:spacing w:line="360" w:lineRule="auto"/>
        <w:rPr>
          <w:rFonts w:ascii="宋体" w:cs="宋体"/>
          <w:sz w:val="24"/>
        </w:rPr>
      </w:pPr>
    </w:p>
    <w:p>
      <w:pPr>
        <w:pStyle w:val="4"/>
        <w:jc w:val="center"/>
        <w:rPr>
          <w:rFonts w:cs="宋体"/>
          <w:sz w:val="24"/>
          <w:szCs w:val="24"/>
        </w:rPr>
      </w:pPr>
      <w:bookmarkStart w:id="8" w:name="_Toc31005"/>
      <w:r>
        <w:rPr>
          <w:rFonts w:ascii="Times New Roman" w:hAnsi="Times New Roman"/>
          <w:sz w:val="24"/>
          <w:szCs w:val="24"/>
        </w:rPr>
        <w:t>第</w:t>
      </w:r>
      <w:r>
        <w:rPr>
          <w:rFonts w:hint="eastAsia" w:ascii="Times New Roman" w:hAnsi="Times New Roman"/>
          <w:sz w:val="24"/>
          <w:szCs w:val="24"/>
        </w:rPr>
        <w:t>六</w:t>
      </w:r>
      <w:r>
        <w:rPr>
          <w:rFonts w:ascii="Times New Roman" w:hAnsi="Times New Roman"/>
          <w:sz w:val="24"/>
          <w:szCs w:val="24"/>
        </w:rPr>
        <w:t>节</w:t>
      </w:r>
      <w:r>
        <w:rPr>
          <w:rFonts w:hint="eastAsia" w:ascii="Times New Roman" w:hAnsi="Times New Roman"/>
          <w:sz w:val="24"/>
          <w:szCs w:val="24"/>
        </w:rPr>
        <w:t xml:space="preserve"> 评标</w:t>
      </w:r>
      <w:bookmarkEnd w:id="8"/>
    </w:p>
    <w:p>
      <w:pPr>
        <w:spacing w:line="360" w:lineRule="auto"/>
        <w:rPr>
          <w:rFonts w:ascii="宋体" w:cs="宋体"/>
          <w:b/>
          <w:bCs/>
          <w:sz w:val="24"/>
        </w:rPr>
      </w:pPr>
      <w:r>
        <w:rPr>
          <w:rFonts w:hint="eastAsia" w:ascii="宋体" w:cs="宋体"/>
          <w:b/>
          <w:bCs/>
          <w:sz w:val="24"/>
        </w:rPr>
        <w:t>一、评标委员会</w:t>
      </w:r>
    </w:p>
    <w:p>
      <w:pPr>
        <w:spacing w:line="360" w:lineRule="auto"/>
        <w:ind w:firstLine="480" w:firstLineChars="200"/>
        <w:rPr>
          <w:rFonts w:ascii="宋体" w:cs="宋体"/>
          <w:sz w:val="24"/>
        </w:rPr>
      </w:pPr>
      <w:r>
        <w:rPr>
          <w:rFonts w:hint="eastAsia" w:ascii="宋体" w:cs="宋体"/>
          <w:sz w:val="24"/>
        </w:rPr>
        <w:t xml:space="preserve">1.1 </w:t>
      </w:r>
      <w:r>
        <w:rPr>
          <w:rFonts w:hint="eastAsia" w:ascii="宋体"/>
          <w:kern w:val="0"/>
          <w:sz w:val="24"/>
        </w:rPr>
        <w:t>评标由采购人按照《政府采购评审专家管理办法》财库〔2016〕198号，依法组建的评标委员会负责</w:t>
      </w:r>
      <w:r>
        <w:rPr>
          <w:rFonts w:hint="eastAsia" w:ascii="宋体" w:cs="宋体"/>
          <w:sz w:val="24"/>
        </w:rPr>
        <w:t>。评标委员会由招标人或其委托的招标代理机构熟悉相关业务的代表，以及有关技术、经济等方面的专家组成。评标委员会成员人数以及技术、经济等方面专家的确定方式见投标人须知前附表。</w:t>
      </w:r>
      <w:r>
        <w:rPr>
          <w:rFonts w:hint="eastAsia" w:ascii="宋体"/>
          <w:color w:val="000000"/>
          <w:kern w:val="0"/>
          <w:sz w:val="24"/>
        </w:rPr>
        <w:t>评标委员会在监督人员的监督下独立完成评标工作，负责对投标文件进行审查、质询、评审、推选中标候选人。</w:t>
      </w:r>
    </w:p>
    <w:p>
      <w:pPr>
        <w:spacing w:line="360" w:lineRule="auto"/>
        <w:ind w:firstLine="480" w:firstLineChars="200"/>
        <w:rPr>
          <w:rFonts w:ascii="宋体" w:cs="宋体"/>
          <w:sz w:val="24"/>
        </w:rPr>
      </w:pPr>
      <w:r>
        <w:rPr>
          <w:rFonts w:hint="eastAsia" w:ascii="宋体" w:cs="宋体"/>
          <w:sz w:val="24"/>
        </w:rPr>
        <w:t>1.2 评标委员会成员有下列情形之一的，应当回避：</w:t>
      </w:r>
    </w:p>
    <w:p>
      <w:pPr>
        <w:spacing w:line="360" w:lineRule="auto"/>
        <w:ind w:firstLine="720" w:firstLineChars="300"/>
        <w:rPr>
          <w:rFonts w:ascii="宋体" w:cs="宋体"/>
          <w:sz w:val="24"/>
        </w:rPr>
      </w:pPr>
      <w:r>
        <w:rPr>
          <w:rFonts w:hint="eastAsia" w:ascii="宋体" w:cs="宋体"/>
          <w:sz w:val="24"/>
        </w:rPr>
        <w:t xml:space="preserve">⑴ </w:t>
      </w:r>
      <w:r>
        <w:rPr>
          <w:rFonts w:hint="eastAsia" w:ascii="宋体"/>
          <w:kern w:val="0"/>
          <w:sz w:val="24"/>
        </w:rPr>
        <w:t>与投标人的法定代表人或者负责人有夫妻、直系血亲、三代以内旁系血亲或者近姻</w:t>
      </w:r>
      <w:r>
        <w:rPr>
          <w:rFonts w:hint="eastAsia" w:ascii="宋体"/>
          <w:color w:val="000000"/>
          <w:kern w:val="0"/>
          <w:sz w:val="24"/>
        </w:rPr>
        <w:t>亲关系</w:t>
      </w:r>
      <w:r>
        <w:rPr>
          <w:rFonts w:hint="eastAsia" w:ascii="宋体" w:cs="宋体"/>
          <w:sz w:val="24"/>
        </w:rPr>
        <w:t>；</w:t>
      </w:r>
    </w:p>
    <w:p>
      <w:pPr>
        <w:spacing w:line="360" w:lineRule="auto"/>
        <w:ind w:firstLine="720" w:firstLineChars="300"/>
        <w:rPr>
          <w:rFonts w:ascii="宋体" w:cs="宋体"/>
          <w:sz w:val="24"/>
        </w:rPr>
      </w:pPr>
      <w:r>
        <w:rPr>
          <w:rFonts w:hint="eastAsia" w:ascii="宋体" w:cs="宋体"/>
          <w:sz w:val="24"/>
        </w:rPr>
        <w:t>⑵ 项目主管部门或者行政监督部门的人员；</w:t>
      </w:r>
    </w:p>
    <w:p>
      <w:pPr>
        <w:spacing w:line="360" w:lineRule="auto"/>
        <w:ind w:firstLine="720" w:firstLineChars="300"/>
        <w:rPr>
          <w:rFonts w:ascii="宋体" w:cs="宋体"/>
          <w:sz w:val="24"/>
        </w:rPr>
      </w:pPr>
      <w:r>
        <w:rPr>
          <w:rFonts w:hint="eastAsia" w:ascii="宋体" w:cs="宋体"/>
          <w:sz w:val="24"/>
        </w:rPr>
        <w:t>⑶ 与投标人有经济利益关系，可能影响对投标公正评审的；</w:t>
      </w:r>
    </w:p>
    <w:p>
      <w:pPr>
        <w:widowControl/>
        <w:shd w:val="clear" w:color="auto" w:fill="FFFFFF"/>
        <w:snapToGrid w:val="0"/>
        <w:spacing w:line="360" w:lineRule="auto"/>
        <w:ind w:firstLine="720" w:firstLineChars="300"/>
        <w:rPr>
          <w:rFonts w:ascii="宋体"/>
          <w:kern w:val="0"/>
          <w:sz w:val="24"/>
        </w:rPr>
      </w:pPr>
      <w:r>
        <w:rPr>
          <w:rFonts w:hint="eastAsia" w:ascii="宋体" w:cs="宋体"/>
          <w:sz w:val="24"/>
        </w:rPr>
        <w:t>⑷ 曾因在招标、评标以及其他与招标投标有关活动中从事违法行为而受过行政处罚或刑事处罚的。</w:t>
      </w:r>
    </w:p>
    <w:p>
      <w:pPr>
        <w:widowControl/>
        <w:shd w:val="clear" w:color="auto" w:fill="FFFFFF"/>
        <w:snapToGrid w:val="0"/>
        <w:spacing w:line="360" w:lineRule="auto"/>
        <w:ind w:firstLine="480" w:firstLineChars="200"/>
        <w:rPr>
          <w:rFonts w:ascii="宋体"/>
          <w:kern w:val="0"/>
          <w:sz w:val="24"/>
        </w:rPr>
      </w:pPr>
      <w:r>
        <w:rPr>
          <w:rFonts w:ascii="宋体"/>
          <w:kern w:val="0"/>
          <w:sz w:val="24"/>
        </w:rPr>
        <w:t>1.</w:t>
      </w:r>
      <w:r>
        <w:rPr>
          <w:rFonts w:hint="eastAsia" w:ascii="宋体"/>
          <w:kern w:val="0"/>
          <w:sz w:val="24"/>
        </w:rPr>
        <w:t>3评标委员会按照规定履行下列职责：</w:t>
      </w:r>
    </w:p>
    <w:p>
      <w:pPr>
        <w:widowControl/>
        <w:shd w:val="clear" w:color="auto" w:fill="FFFFFF"/>
        <w:snapToGrid w:val="0"/>
        <w:spacing w:line="360" w:lineRule="auto"/>
        <w:ind w:firstLine="720" w:firstLineChars="300"/>
        <w:rPr>
          <w:rFonts w:ascii="宋体"/>
          <w:kern w:val="0"/>
          <w:sz w:val="24"/>
        </w:rPr>
      </w:pPr>
      <w:r>
        <w:rPr>
          <w:rFonts w:hint="eastAsia" w:ascii="宋体" w:cs="宋体"/>
          <w:sz w:val="24"/>
        </w:rPr>
        <w:t xml:space="preserve">⑴ </w:t>
      </w:r>
      <w:r>
        <w:rPr>
          <w:rFonts w:hint="eastAsia" w:ascii="宋体"/>
          <w:kern w:val="0"/>
          <w:sz w:val="24"/>
        </w:rPr>
        <w:t>承担投标文件的审核工作，并作出评价；</w:t>
      </w:r>
    </w:p>
    <w:p>
      <w:pPr>
        <w:widowControl/>
        <w:shd w:val="clear" w:color="auto" w:fill="FFFFFF"/>
        <w:snapToGrid w:val="0"/>
        <w:spacing w:line="360" w:lineRule="auto"/>
        <w:ind w:firstLine="720" w:firstLineChars="300"/>
        <w:rPr>
          <w:rFonts w:ascii="宋体"/>
          <w:kern w:val="0"/>
          <w:sz w:val="24"/>
        </w:rPr>
      </w:pPr>
      <w:r>
        <w:rPr>
          <w:rFonts w:hint="eastAsia" w:ascii="宋体" w:cs="宋体"/>
          <w:sz w:val="24"/>
        </w:rPr>
        <w:t xml:space="preserve">⑵ </w:t>
      </w:r>
      <w:r>
        <w:rPr>
          <w:rFonts w:hint="eastAsia" w:ascii="宋体"/>
          <w:kern w:val="0"/>
          <w:sz w:val="24"/>
        </w:rPr>
        <w:t>要求投标人对投标文件有关事宜作出澄清或答复；</w:t>
      </w:r>
    </w:p>
    <w:p>
      <w:pPr>
        <w:widowControl/>
        <w:shd w:val="clear" w:color="auto" w:fill="FFFFFF"/>
        <w:snapToGrid w:val="0"/>
        <w:spacing w:line="360" w:lineRule="auto"/>
        <w:ind w:firstLine="720" w:firstLineChars="300"/>
        <w:rPr>
          <w:rFonts w:ascii="宋体"/>
          <w:kern w:val="0"/>
          <w:sz w:val="24"/>
        </w:rPr>
      </w:pPr>
      <w:r>
        <w:rPr>
          <w:rFonts w:hint="eastAsia" w:ascii="宋体" w:cs="宋体"/>
          <w:sz w:val="24"/>
        </w:rPr>
        <w:t xml:space="preserve">⑶ </w:t>
      </w:r>
      <w:r>
        <w:rPr>
          <w:rFonts w:hint="eastAsia" w:ascii="宋体"/>
          <w:kern w:val="0"/>
          <w:sz w:val="24"/>
        </w:rPr>
        <w:t>对质疑问题的审议工作；</w:t>
      </w:r>
    </w:p>
    <w:p>
      <w:pPr>
        <w:widowControl/>
        <w:shd w:val="clear" w:color="auto" w:fill="FFFFFF"/>
        <w:snapToGrid w:val="0"/>
        <w:spacing w:line="360" w:lineRule="auto"/>
        <w:ind w:firstLine="720" w:firstLineChars="300"/>
        <w:rPr>
          <w:rFonts w:ascii="宋体"/>
          <w:kern w:val="0"/>
          <w:sz w:val="24"/>
        </w:rPr>
      </w:pPr>
      <w:r>
        <w:rPr>
          <w:rFonts w:hint="eastAsia" w:ascii="宋体" w:cs="宋体"/>
          <w:sz w:val="24"/>
        </w:rPr>
        <w:t xml:space="preserve">⑷ </w:t>
      </w:r>
      <w:r>
        <w:rPr>
          <w:rFonts w:hint="eastAsia" w:ascii="宋体"/>
          <w:kern w:val="0"/>
          <w:sz w:val="24"/>
        </w:rPr>
        <w:t>推荐候选供应商名单或者直接确定供应商；</w:t>
      </w:r>
    </w:p>
    <w:p>
      <w:pPr>
        <w:spacing w:line="360" w:lineRule="auto"/>
        <w:ind w:firstLine="720" w:firstLineChars="300"/>
        <w:jc w:val="left"/>
        <w:rPr>
          <w:rFonts w:ascii="宋体"/>
          <w:color w:val="000000"/>
          <w:kern w:val="0"/>
          <w:sz w:val="24"/>
        </w:rPr>
      </w:pPr>
      <w:r>
        <w:rPr>
          <w:rFonts w:hint="eastAsia" w:ascii="宋体" w:cs="宋体"/>
          <w:kern w:val="0"/>
          <w:sz w:val="24"/>
        </w:rPr>
        <w:t xml:space="preserve">⑸ </w:t>
      </w:r>
      <w:r>
        <w:rPr>
          <w:rFonts w:hint="eastAsia" w:ascii="宋体"/>
          <w:kern w:val="0"/>
          <w:sz w:val="24"/>
        </w:rPr>
        <w:t>向有关部门反映招标项目评审过程中的问题，提出意见和建议。专家对评审的招标内容负责，并承担相应的责任。</w:t>
      </w:r>
    </w:p>
    <w:p>
      <w:pPr>
        <w:widowControl/>
        <w:shd w:val="clear" w:color="auto" w:fill="FFFFFF"/>
        <w:snapToGrid w:val="0"/>
        <w:spacing w:line="360" w:lineRule="auto"/>
        <w:ind w:firstLine="480" w:firstLineChars="200"/>
        <w:rPr>
          <w:rFonts w:ascii="宋体"/>
          <w:kern w:val="0"/>
          <w:sz w:val="24"/>
        </w:rPr>
      </w:pPr>
      <w:r>
        <w:rPr>
          <w:rFonts w:ascii="宋体"/>
          <w:kern w:val="0"/>
          <w:sz w:val="24"/>
        </w:rPr>
        <w:t>1.</w:t>
      </w:r>
      <w:r>
        <w:rPr>
          <w:rFonts w:hint="eastAsia" w:ascii="宋体"/>
          <w:kern w:val="0"/>
          <w:sz w:val="24"/>
        </w:rPr>
        <w:t>4评标委员会享有以下权利：</w:t>
      </w:r>
    </w:p>
    <w:p>
      <w:pPr>
        <w:widowControl/>
        <w:shd w:val="clear" w:color="auto" w:fill="FFFFFF"/>
        <w:snapToGrid w:val="0"/>
        <w:spacing w:line="360" w:lineRule="auto"/>
        <w:ind w:firstLine="720" w:firstLineChars="300"/>
        <w:rPr>
          <w:rFonts w:ascii="宋体"/>
          <w:kern w:val="0"/>
          <w:sz w:val="24"/>
        </w:rPr>
      </w:pPr>
      <w:r>
        <w:rPr>
          <w:rFonts w:hint="eastAsia" w:ascii="宋体" w:cs="宋体"/>
          <w:sz w:val="24"/>
        </w:rPr>
        <w:t xml:space="preserve">⑴ </w:t>
      </w:r>
      <w:r>
        <w:rPr>
          <w:rFonts w:hint="eastAsia" w:ascii="宋体"/>
          <w:kern w:val="0"/>
          <w:sz w:val="24"/>
        </w:rPr>
        <w:t>对供应商所供货物、服务质量的评审权；</w:t>
      </w:r>
    </w:p>
    <w:p>
      <w:pPr>
        <w:widowControl/>
        <w:shd w:val="clear" w:color="auto" w:fill="FFFFFF"/>
        <w:snapToGrid w:val="0"/>
        <w:spacing w:line="360" w:lineRule="auto"/>
        <w:ind w:firstLine="720" w:firstLineChars="300"/>
        <w:rPr>
          <w:rFonts w:ascii="宋体"/>
          <w:kern w:val="0"/>
          <w:sz w:val="24"/>
        </w:rPr>
      </w:pPr>
      <w:r>
        <w:rPr>
          <w:rFonts w:hint="eastAsia" w:ascii="宋体" w:cs="宋体"/>
          <w:sz w:val="24"/>
        </w:rPr>
        <w:t xml:space="preserve">⑵ </w:t>
      </w:r>
      <w:r>
        <w:rPr>
          <w:rFonts w:hint="eastAsia" w:ascii="宋体"/>
          <w:kern w:val="0"/>
          <w:sz w:val="24"/>
        </w:rPr>
        <w:t>按照招标文件对评审意见承担相应责任；</w:t>
      </w:r>
    </w:p>
    <w:p>
      <w:pPr>
        <w:widowControl/>
        <w:shd w:val="clear" w:color="auto" w:fill="FFFFFF"/>
        <w:snapToGrid w:val="0"/>
        <w:spacing w:line="360" w:lineRule="auto"/>
        <w:ind w:firstLine="720" w:firstLineChars="300"/>
        <w:rPr>
          <w:rFonts w:ascii="宋体"/>
          <w:kern w:val="0"/>
          <w:sz w:val="24"/>
        </w:rPr>
      </w:pPr>
      <w:r>
        <w:rPr>
          <w:rFonts w:hint="eastAsia" w:ascii="宋体" w:cs="宋体"/>
          <w:sz w:val="24"/>
        </w:rPr>
        <w:t xml:space="preserve">⑶ </w:t>
      </w:r>
      <w:r>
        <w:rPr>
          <w:rFonts w:hint="eastAsia" w:ascii="宋体"/>
          <w:kern w:val="0"/>
          <w:sz w:val="24"/>
        </w:rPr>
        <w:t>推荐中标候选人供应商的表决权；</w:t>
      </w:r>
    </w:p>
    <w:p>
      <w:pPr>
        <w:widowControl/>
        <w:shd w:val="clear" w:color="auto" w:fill="FFFFFF"/>
        <w:snapToGrid w:val="0"/>
        <w:spacing w:line="360" w:lineRule="auto"/>
        <w:ind w:firstLine="720" w:firstLineChars="300"/>
        <w:rPr>
          <w:rFonts w:ascii="宋体"/>
          <w:kern w:val="0"/>
          <w:sz w:val="24"/>
        </w:rPr>
      </w:pPr>
      <w:r>
        <w:rPr>
          <w:rFonts w:hint="eastAsia" w:ascii="宋体" w:cs="宋体"/>
          <w:sz w:val="24"/>
        </w:rPr>
        <w:t xml:space="preserve">⑷ </w:t>
      </w:r>
      <w:r>
        <w:rPr>
          <w:rFonts w:hint="eastAsia" w:ascii="宋体"/>
          <w:kern w:val="0"/>
          <w:sz w:val="24"/>
        </w:rPr>
        <w:t>参与评标报告的书写；</w:t>
      </w:r>
    </w:p>
    <w:p>
      <w:pPr>
        <w:widowControl/>
        <w:shd w:val="clear" w:color="auto" w:fill="FFFFFF"/>
        <w:snapToGrid w:val="0"/>
        <w:spacing w:line="360" w:lineRule="auto"/>
        <w:ind w:firstLine="720" w:firstLineChars="300"/>
        <w:rPr>
          <w:rFonts w:ascii="宋体"/>
          <w:kern w:val="0"/>
          <w:sz w:val="24"/>
        </w:rPr>
      </w:pPr>
      <w:r>
        <w:rPr>
          <w:rFonts w:hint="eastAsia" w:ascii="宋体" w:cs="宋体"/>
          <w:kern w:val="0"/>
          <w:sz w:val="24"/>
        </w:rPr>
        <w:t xml:space="preserve">⑸ </w:t>
      </w:r>
      <w:r>
        <w:rPr>
          <w:rFonts w:hint="eastAsia" w:ascii="宋体"/>
          <w:kern w:val="0"/>
          <w:sz w:val="24"/>
        </w:rPr>
        <w:t>配合相关部门的投诉处理工作；</w:t>
      </w:r>
    </w:p>
    <w:p>
      <w:pPr>
        <w:widowControl/>
        <w:shd w:val="clear" w:color="auto" w:fill="FFFFFF"/>
        <w:snapToGrid w:val="0"/>
        <w:spacing w:line="360" w:lineRule="auto"/>
        <w:ind w:firstLine="720" w:firstLineChars="300"/>
        <w:rPr>
          <w:rFonts w:ascii="宋体" w:cs="宋体"/>
          <w:sz w:val="24"/>
        </w:rPr>
      </w:pPr>
      <w:r>
        <w:rPr>
          <w:rFonts w:hint="eastAsia" w:ascii="宋体" w:cs="宋体"/>
          <w:kern w:val="0"/>
          <w:sz w:val="24"/>
        </w:rPr>
        <w:t xml:space="preserve">⑹ </w:t>
      </w:r>
      <w:r>
        <w:rPr>
          <w:rFonts w:hint="eastAsia" w:ascii="宋体"/>
          <w:kern w:val="0"/>
          <w:sz w:val="24"/>
        </w:rPr>
        <w:t>配合答复投标人提出的质疑。</w:t>
      </w:r>
    </w:p>
    <w:p>
      <w:pPr>
        <w:spacing w:line="360" w:lineRule="auto"/>
        <w:rPr>
          <w:rFonts w:ascii="宋体" w:cs="宋体"/>
          <w:b/>
          <w:bCs/>
          <w:sz w:val="24"/>
        </w:rPr>
      </w:pPr>
      <w:r>
        <w:rPr>
          <w:rFonts w:hint="eastAsia" w:ascii="宋体" w:cs="宋体"/>
          <w:b/>
          <w:bCs/>
          <w:sz w:val="24"/>
        </w:rPr>
        <w:t>二、评标原则</w:t>
      </w:r>
    </w:p>
    <w:p>
      <w:pPr>
        <w:spacing w:line="360" w:lineRule="auto"/>
        <w:ind w:firstLine="480" w:firstLineChars="200"/>
        <w:jc w:val="left"/>
        <w:rPr>
          <w:rFonts w:ascii="宋体" w:cs="宋体"/>
          <w:color w:val="000000"/>
          <w:sz w:val="24"/>
        </w:rPr>
      </w:pPr>
      <w:r>
        <w:rPr>
          <w:rFonts w:hint="eastAsia" w:ascii="宋体" w:cs="宋体"/>
          <w:color w:val="000000"/>
          <w:sz w:val="24"/>
        </w:rPr>
        <w:t>⑴ 评标过程中应遵循公开、公平、公正、择优的原则；</w:t>
      </w:r>
    </w:p>
    <w:p>
      <w:pPr>
        <w:tabs>
          <w:tab w:val="left" w:pos="210"/>
        </w:tabs>
        <w:spacing w:line="360" w:lineRule="auto"/>
        <w:ind w:firstLine="480" w:firstLineChars="200"/>
        <w:jc w:val="left"/>
        <w:rPr>
          <w:rFonts w:ascii="宋体" w:cs="宋体"/>
          <w:color w:val="000000"/>
          <w:sz w:val="24"/>
        </w:rPr>
      </w:pPr>
      <w:r>
        <w:rPr>
          <w:rFonts w:hint="eastAsia" w:ascii="宋体" w:cs="宋体"/>
          <w:color w:val="000000"/>
          <w:sz w:val="24"/>
        </w:rPr>
        <w:t>⑵ 评标应同时维护用户单位和投标单位的利益；</w:t>
      </w:r>
    </w:p>
    <w:p>
      <w:pPr>
        <w:spacing w:line="360" w:lineRule="auto"/>
        <w:ind w:firstLine="480" w:firstLineChars="200"/>
        <w:jc w:val="left"/>
        <w:rPr>
          <w:rFonts w:ascii="宋体" w:cs="宋体"/>
          <w:color w:val="000000"/>
          <w:sz w:val="24"/>
        </w:rPr>
      </w:pPr>
      <w:r>
        <w:rPr>
          <w:rFonts w:hint="eastAsia" w:ascii="宋体" w:cs="宋体"/>
          <w:color w:val="000000"/>
          <w:sz w:val="24"/>
        </w:rPr>
        <w:t>⑶ 资格审查合格的投标企业，中标机会均等；</w:t>
      </w:r>
    </w:p>
    <w:p>
      <w:pPr>
        <w:spacing w:line="360" w:lineRule="auto"/>
        <w:ind w:firstLine="480" w:firstLineChars="200"/>
        <w:jc w:val="left"/>
        <w:rPr>
          <w:rFonts w:ascii="宋体" w:cs="宋体"/>
          <w:color w:val="000000"/>
          <w:sz w:val="24"/>
        </w:rPr>
      </w:pPr>
      <w:r>
        <w:rPr>
          <w:rFonts w:hint="eastAsia" w:ascii="宋体" w:cs="宋体"/>
          <w:color w:val="000000"/>
          <w:sz w:val="24"/>
        </w:rPr>
        <w:t>⑷ 评标人员应独立进行评审，对个人的评审意见承担法律责任；</w:t>
      </w:r>
    </w:p>
    <w:p>
      <w:pPr>
        <w:spacing w:line="360" w:lineRule="auto"/>
        <w:ind w:firstLine="480" w:firstLineChars="200"/>
        <w:jc w:val="left"/>
        <w:rPr>
          <w:rFonts w:ascii="宋体" w:cs="宋体"/>
          <w:color w:val="000000"/>
          <w:sz w:val="24"/>
        </w:rPr>
      </w:pPr>
      <w:r>
        <w:rPr>
          <w:rFonts w:hint="eastAsia" w:ascii="宋体" w:cs="宋体"/>
          <w:color w:val="000000"/>
          <w:sz w:val="24"/>
        </w:rPr>
        <w:t>⑸ 评标人员不得私自泄露评标内容；</w:t>
      </w:r>
    </w:p>
    <w:p>
      <w:pPr>
        <w:spacing w:line="360" w:lineRule="auto"/>
        <w:ind w:firstLine="480" w:firstLineChars="200"/>
        <w:jc w:val="left"/>
        <w:rPr>
          <w:rFonts w:ascii="宋体" w:cs="宋体"/>
          <w:sz w:val="24"/>
        </w:rPr>
      </w:pPr>
      <w:r>
        <w:rPr>
          <w:rFonts w:hint="eastAsia" w:ascii="宋体" w:cs="宋体"/>
          <w:color w:val="000000"/>
          <w:sz w:val="24"/>
        </w:rPr>
        <w:t>⑹ 评标采取质量、性能、价格、服务综合比、物有所值；</w:t>
      </w:r>
    </w:p>
    <w:p>
      <w:pPr>
        <w:spacing w:line="360" w:lineRule="auto"/>
        <w:rPr>
          <w:rFonts w:ascii="宋体" w:cs="宋体"/>
          <w:b/>
          <w:bCs/>
          <w:sz w:val="24"/>
        </w:rPr>
      </w:pPr>
      <w:r>
        <w:rPr>
          <w:rFonts w:hint="eastAsia" w:ascii="宋体" w:cs="宋体"/>
          <w:b/>
          <w:bCs/>
          <w:sz w:val="24"/>
        </w:rPr>
        <w:t>三、评标</w:t>
      </w:r>
    </w:p>
    <w:p>
      <w:pPr>
        <w:spacing w:line="360" w:lineRule="auto"/>
        <w:ind w:firstLine="480" w:firstLineChars="200"/>
        <w:rPr>
          <w:rFonts w:ascii="宋体" w:cs="宋体"/>
          <w:sz w:val="24"/>
        </w:rPr>
      </w:pPr>
      <w:r>
        <w:rPr>
          <w:rFonts w:hint="eastAsia" w:ascii="宋体" w:cs="宋体"/>
          <w:sz w:val="24"/>
        </w:rPr>
        <w:t>评标委员会按照“评标办法”规定的方法、评审因素、标准和程序对投标文件进行评审。“评标办法”没有规定的方法、评审因素和标准，不作为评标依据。</w:t>
      </w:r>
    </w:p>
    <w:p>
      <w:pPr>
        <w:spacing w:line="360" w:lineRule="auto"/>
        <w:ind w:firstLine="480" w:firstLineChars="200"/>
        <w:rPr>
          <w:rFonts w:ascii="宋体" w:cs="宋体"/>
          <w:sz w:val="24"/>
        </w:rPr>
      </w:pPr>
    </w:p>
    <w:p>
      <w:pPr>
        <w:pStyle w:val="4"/>
        <w:jc w:val="center"/>
        <w:rPr>
          <w:rFonts w:cs="宋体"/>
          <w:sz w:val="24"/>
          <w:szCs w:val="24"/>
        </w:rPr>
      </w:pPr>
      <w:bookmarkStart w:id="9" w:name="_Toc23191"/>
      <w:r>
        <w:rPr>
          <w:rFonts w:ascii="Times New Roman" w:hAnsi="Times New Roman"/>
          <w:sz w:val="24"/>
          <w:szCs w:val="24"/>
        </w:rPr>
        <w:t>第</w:t>
      </w:r>
      <w:r>
        <w:rPr>
          <w:rFonts w:hint="eastAsia" w:ascii="Times New Roman" w:hAnsi="Times New Roman"/>
          <w:sz w:val="24"/>
          <w:szCs w:val="24"/>
        </w:rPr>
        <w:t>七</w:t>
      </w:r>
      <w:r>
        <w:rPr>
          <w:rFonts w:ascii="Times New Roman" w:hAnsi="Times New Roman"/>
          <w:sz w:val="24"/>
          <w:szCs w:val="24"/>
        </w:rPr>
        <w:t>节</w:t>
      </w:r>
      <w:r>
        <w:rPr>
          <w:rFonts w:hint="eastAsia" w:ascii="Times New Roman" w:hAnsi="Times New Roman"/>
          <w:sz w:val="24"/>
          <w:szCs w:val="24"/>
        </w:rPr>
        <w:t xml:space="preserve"> 合同授予</w:t>
      </w:r>
      <w:bookmarkEnd w:id="9"/>
    </w:p>
    <w:p>
      <w:pPr>
        <w:spacing w:line="360" w:lineRule="auto"/>
        <w:rPr>
          <w:rFonts w:ascii="宋体" w:cs="宋体"/>
          <w:b/>
          <w:bCs/>
          <w:sz w:val="24"/>
        </w:rPr>
      </w:pPr>
      <w:r>
        <w:rPr>
          <w:rFonts w:hint="eastAsia" w:ascii="宋体" w:cs="宋体"/>
          <w:b/>
          <w:bCs/>
          <w:sz w:val="24"/>
        </w:rPr>
        <w:t>一、定标方式</w:t>
      </w:r>
    </w:p>
    <w:p>
      <w:pPr>
        <w:spacing w:line="360" w:lineRule="auto"/>
        <w:ind w:firstLine="480" w:firstLineChars="200"/>
        <w:rPr>
          <w:rFonts w:ascii="宋体" w:cs="宋体"/>
          <w:sz w:val="24"/>
        </w:rPr>
      </w:pPr>
      <w:r>
        <w:rPr>
          <w:rFonts w:hint="eastAsia" w:ascii="宋体" w:cs="宋体"/>
          <w:sz w:val="24"/>
        </w:rPr>
        <w:t>除投标人须知前附表规定评标委员会直接确定中标人外，招标人依据评标委员会推荐的中标候选人确定中标人，评标委员会推荐中标候选人的人数见投标人须知前附表。</w:t>
      </w:r>
    </w:p>
    <w:p>
      <w:pPr>
        <w:widowControl/>
        <w:shd w:val="clear" w:color="auto" w:fill="FFFFFF"/>
        <w:snapToGrid w:val="0"/>
        <w:spacing w:line="360" w:lineRule="auto"/>
        <w:ind w:firstLine="480" w:firstLineChars="200"/>
        <w:rPr>
          <w:rFonts w:ascii="宋体"/>
          <w:kern w:val="0"/>
          <w:sz w:val="24"/>
        </w:rPr>
      </w:pPr>
      <w:r>
        <w:rPr>
          <w:rFonts w:ascii="宋体"/>
          <w:kern w:val="0"/>
          <w:sz w:val="24"/>
        </w:rPr>
        <w:t xml:space="preserve">1.1 </w:t>
      </w:r>
      <w:r>
        <w:rPr>
          <w:rFonts w:hint="eastAsia" w:ascii="宋体"/>
          <w:kern w:val="0"/>
          <w:sz w:val="24"/>
        </w:rPr>
        <w:t>评标委员会按投标人须知前附表的规定，综合评估得分最高的为中标候选人顺序排名。</w:t>
      </w:r>
    </w:p>
    <w:p>
      <w:pPr>
        <w:widowControl/>
        <w:shd w:val="clear" w:color="auto" w:fill="FFFFFF"/>
        <w:snapToGrid w:val="0"/>
        <w:spacing w:line="360" w:lineRule="auto"/>
        <w:ind w:firstLine="720" w:firstLineChars="300"/>
        <w:rPr>
          <w:rFonts w:ascii="宋体"/>
          <w:kern w:val="0"/>
          <w:sz w:val="24"/>
        </w:rPr>
      </w:pPr>
      <w:r>
        <w:rPr>
          <w:rFonts w:hint="eastAsia" w:ascii="宋体" w:cs="宋体"/>
          <w:kern w:val="0"/>
          <w:sz w:val="24"/>
        </w:rPr>
        <w:t xml:space="preserve">⑴ </w:t>
      </w:r>
      <w:r>
        <w:rPr>
          <w:rFonts w:hint="eastAsia" w:ascii="宋体"/>
          <w:kern w:val="0"/>
          <w:sz w:val="24"/>
        </w:rPr>
        <w:t>未通过审查的投标文件为无效标。</w:t>
      </w:r>
    </w:p>
    <w:p>
      <w:pPr>
        <w:widowControl/>
        <w:shd w:val="clear" w:color="auto" w:fill="FFFFFF"/>
        <w:snapToGrid w:val="0"/>
        <w:spacing w:line="360" w:lineRule="auto"/>
        <w:ind w:firstLine="720" w:firstLineChars="300"/>
        <w:rPr>
          <w:rFonts w:ascii="宋体"/>
          <w:kern w:val="0"/>
          <w:sz w:val="24"/>
        </w:rPr>
      </w:pPr>
      <w:r>
        <w:rPr>
          <w:rFonts w:hint="eastAsia" w:ascii="宋体" w:cs="宋体"/>
          <w:kern w:val="0"/>
          <w:sz w:val="24"/>
        </w:rPr>
        <w:t xml:space="preserve">⑵ </w:t>
      </w:r>
      <w:r>
        <w:rPr>
          <w:rFonts w:hint="eastAsia" w:ascii="宋体"/>
          <w:kern w:val="0"/>
          <w:sz w:val="24"/>
        </w:rPr>
        <w:t>经评标委员会三分之二以上组员同意对存在重大偏离的投标文件可判定为无效标。</w:t>
      </w:r>
    </w:p>
    <w:p>
      <w:pPr>
        <w:widowControl/>
        <w:shd w:val="clear" w:color="auto" w:fill="FFFFFF"/>
        <w:snapToGrid w:val="0"/>
        <w:spacing w:line="360" w:lineRule="auto"/>
        <w:ind w:firstLine="720" w:firstLineChars="300"/>
        <w:rPr>
          <w:rFonts w:ascii="宋体"/>
          <w:kern w:val="0"/>
          <w:sz w:val="24"/>
        </w:rPr>
      </w:pPr>
      <w:r>
        <w:rPr>
          <w:rFonts w:hint="eastAsia" w:ascii="宋体" w:cs="宋体"/>
          <w:kern w:val="0"/>
          <w:sz w:val="24"/>
        </w:rPr>
        <w:t xml:space="preserve">⑶ </w:t>
      </w:r>
      <w:r>
        <w:rPr>
          <w:rFonts w:hint="eastAsia" w:ascii="宋体"/>
          <w:kern w:val="0"/>
          <w:sz w:val="24"/>
        </w:rPr>
        <w:t>对投标文件中含义不明确、同类问题表述不一致或者有明显错误的内容，评标委员会可以书面要求投标人作出必要的澄清说明或者纠正（应由评标委员会签字）。投标人的澄清说明或补正也须书面形式（由其授权代表签字），并不得超出投标文件的范围或者改变投标文件的实质性内容。</w:t>
      </w:r>
    </w:p>
    <w:p>
      <w:pPr>
        <w:widowControl/>
        <w:shd w:val="clear" w:color="auto" w:fill="FFFFFF"/>
        <w:snapToGrid w:val="0"/>
        <w:spacing w:line="360" w:lineRule="auto"/>
        <w:ind w:firstLine="720" w:firstLineChars="300"/>
        <w:rPr>
          <w:rFonts w:ascii="宋体"/>
          <w:kern w:val="0"/>
          <w:sz w:val="24"/>
        </w:rPr>
      </w:pPr>
      <w:r>
        <w:rPr>
          <w:rFonts w:hint="eastAsia" w:ascii="宋体" w:cs="宋体"/>
          <w:kern w:val="0"/>
          <w:sz w:val="24"/>
        </w:rPr>
        <w:t xml:space="preserve">⑷ </w:t>
      </w:r>
      <w:r>
        <w:rPr>
          <w:rFonts w:hint="eastAsia" w:ascii="宋体"/>
          <w:kern w:val="0"/>
          <w:sz w:val="24"/>
        </w:rPr>
        <w:t>评标过程出现异议的，由评标委员会共同商讨决定，需要投标人澄清的，评标委员会将以书面形式通知投标人。</w:t>
      </w:r>
    </w:p>
    <w:p>
      <w:pPr>
        <w:widowControl/>
        <w:shd w:val="clear" w:color="auto" w:fill="FFFFFF"/>
        <w:snapToGrid w:val="0"/>
        <w:spacing w:line="360" w:lineRule="auto"/>
        <w:ind w:firstLine="480" w:firstLineChars="200"/>
        <w:rPr>
          <w:rFonts w:ascii="宋体"/>
          <w:color w:val="000000"/>
          <w:kern w:val="0"/>
          <w:sz w:val="24"/>
        </w:rPr>
      </w:pPr>
      <w:r>
        <w:rPr>
          <w:rFonts w:ascii="宋体"/>
          <w:kern w:val="0"/>
          <w:sz w:val="24"/>
        </w:rPr>
        <w:t>1.</w:t>
      </w:r>
      <w:r>
        <w:rPr>
          <w:rFonts w:hint="eastAsia" w:ascii="宋体"/>
          <w:kern w:val="0"/>
          <w:sz w:val="24"/>
        </w:rPr>
        <w:t>2</w:t>
      </w:r>
      <w:r>
        <w:rPr>
          <w:rFonts w:hint="eastAsia" w:ascii="宋体" w:cs="宋体"/>
          <w:sz w:val="24"/>
        </w:rPr>
        <w:t>评标委员会按综合得分高低推荐候选人或者</w:t>
      </w:r>
      <w:r>
        <w:rPr>
          <w:rFonts w:hint="eastAsia" w:ascii="宋体" w:cs="宋体"/>
          <w:color w:val="000000"/>
          <w:sz w:val="24"/>
        </w:rPr>
        <w:t>确定中标供应商，得分相同的，以报价低的为优先中标候选人。</w:t>
      </w:r>
    </w:p>
    <w:p>
      <w:pPr>
        <w:widowControl/>
        <w:shd w:val="clear" w:color="auto" w:fill="FFFFFF"/>
        <w:snapToGrid w:val="0"/>
        <w:spacing w:line="360" w:lineRule="auto"/>
        <w:ind w:firstLine="480" w:firstLineChars="200"/>
        <w:rPr>
          <w:rFonts w:ascii="宋体"/>
          <w:kern w:val="0"/>
          <w:sz w:val="24"/>
        </w:rPr>
      </w:pPr>
      <w:r>
        <w:rPr>
          <w:rFonts w:ascii="宋体"/>
          <w:color w:val="000000"/>
          <w:kern w:val="0"/>
          <w:sz w:val="24"/>
        </w:rPr>
        <w:t>1.</w:t>
      </w:r>
      <w:r>
        <w:rPr>
          <w:rFonts w:hint="eastAsia" w:ascii="宋体"/>
          <w:color w:val="000000"/>
          <w:kern w:val="0"/>
          <w:sz w:val="24"/>
        </w:rPr>
        <w:t>3评标委员会认为</w:t>
      </w:r>
      <w:r>
        <w:rPr>
          <w:rFonts w:hint="eastAsia" w:ascii="宋体" w:cs="宋体"/>
          <w:color w:val="000000"/>
          <w:sz w:val="24"/>
        </w:rPr>
        <w:t>中标</w:t>
      </w:r>
      <w:r>
        <w:rPr>
          <w:rFonts w:hint="eastAsia" w:ascii="宋体"/>
          <w:color w:val="000000"/>
          <w:kern w:val="0"/>
          <w:sz w:val="24"/>
        </w:rPr>
        <w:t>候选人投标价或某些分项报价</w:t>
      </w:r>
      <w:r>
        <w:rPr>
          <w:rFonts w:hint="eastAsia" w:ascii="宋体"/>
          <w:kern w:val="0"/>
          <w:sz w:val="24"/>
        </w:rPr>
        <w:t>明显不合理或低于成本，有可能影响商品质量和不能诚信履约的，可要求其在规定期限内提供书面文件及相关证明材料解释说明，否则，可取消其候选资格，按排名顺序递补候选人，以此类推。若排名第一的候选人，放弃中标、因不可抗力提出不能履行合同等情况，根据《评标委员会和评标方法暂行规定》执行。</w:t>
      </w:r>
    </w:p>
    <w:p>
      <w:pPr>
        <w:widowControl/>
        <w:shd w:val="clear" w:color="auto" w:fill="FFFFFF"/>
        <w:snapToGrid w:val="0"/>
        <w:spacing w:line="360" w:lineRule="auto"/>
        <w:ind w:firstLine="480" w:firstLineChars="200"/>
        <w:rPr>
          <w:rFonts w:ascii="宋体"/>
          <w:kern w:val="0"/>
          <w:sz w:val="24"/>
        </w:rPr>
      </w:pPr>
      <w:r>
        <w:rPr>
          <w:rFonts w:ascii="宋体"/>
          <w:kern w:val="0"/>
          <w:sz w:val="24"/>
        </w:rPr>
        <w:t>1.</w:t>
      </w:r>
      <w:r>
        <w:rPr>
          <w:rFonts w:hint="eastAsia" w:ascii="宋体"/>
          <w:kern w:val="0"/>
          <w:sz w:val="24"/>
        </w:rPr>
        <w:t>4如成交候选投标人被确认为不具备执行合同的能力，采购人将考虑按同样的程序审查下一个中标候选人。</w:t>
      </w:r>
    </w:p>
    <w:p>
      <w:pPr>
        <w:widowControl/>
        <w:shd w:val="clear" w:color="auto" w:fill="FFFFFF"/>
        <w:snapToGrid w:val="0"/>
        <w:spacing w:line="360" w:lineRule="auto"/>
        <w:ind w:firstLine="480" w:firstLineChars="200"/>
      </w:pPr>
      <w:r>
        <w:rPr>
          <w:rFonts w:ascii="宋体"/>
          <w:kern w:val="0"/>
          <w:sz w:val="24"/>
        </w:rPr>
        <w:t>1.</w:t>
      </w:r>
      <w:r>
        <w:rPr>
          <w:rFonts w:hint="eastAsia" w:ascii="宋体"/>
          <w:kern w:val="0"/>
          <w:sz w:val="24"/>
        </w:rPr>
        <w:t>5</w:t>
      </w:r>
      <w:r>
        <w:rPr>
          <w:rFonts w:hint="eastAsia" w:ascii="宋体"/>
          <w:b/>
          <w:bCs/>
          <w:kern w:val="0"/>
          <w:sz w:val="24"/>
        </w:rPr>
        <w:t>对未成交的供应企业不作未成交原因的解释</w:t>
      </w:r>
      <w:r>
        <w:rPr>
          <w:rFonts w:hint="eastAsia" w:ascii="宋体"/>
          <w:kern w:val="0"/>
          <w:sz w:val="24"/>
        </w:rPr>
        <w:t>。</w:t>
      </w:r>
    </w:p>
    <w:p>
      <w:pPr>
        <w:widowControl/>
        <w:shd w:val="clear" w:color="auto" w:fill="FFFFFF"/>
        <w:snapToGrid w:val="0"/>
        <w:spacing w:line="360" w:lineRule="auto"/>
        <w:rPr>
          <w:rFonts w:ascii="宋体"/>
          <w:b/>
          <w:bCs/>
          <w:kern w:val="0"/>
          <w:sz w:val="24"/>
        </w:rPr>
      </w:pPr>
      <w:r>
        <w:rPr>
          <w:rFonts w:hint="eastAsia" w:ascii="宋体"/>
          <w:b/>
          <w:bCs/>
          <w:kern w:val="0"/>
          <w:sz w:val="24"/>
        </w:rPr>
        <w:t>二、中标候选人公示</w:t>
      </w:r>
    </w:p>
    <w:p>
      <w:pPr>
        <w:widowControl/>
        <w:shd w:val="clear" w:color="auto" w:fill="FFFFFF"/>
        <w:snapToGrid w:val="0"/>
        <w:spacing w:line="360" w:lineRule="auto"/>
        <w:ind w:firstLine="480" w:firstLineChars="200"/>
        <w:rPr>
          <w:rFonts w:ascii="宋体" w:cs="宋体"/>
          <w:sz w:val="24"/>
        </w:rPr>
      </w:pPr>
      <w:r>
        <w:rPr>
          <w:rFonts w:hint="eastAsia" w:ascii="宋体"/>
          <w:kern w:val="0"/>
          <w:sz w:val="24"/>
        </w:rPr>
        <w:t>在中标通知书发出前，中标候选人的情况将在招标公告发布的媒体上公示，公示期详见</w:t>
      </w:r>
      <w:r>
        <w:rPr>
          <w:rFonts w:hint="eastAsia" w:ascii="宋体" w:cs="宋体"/>
          <w:color w:val="000000"/>
          <w:sz w:val="24"/>
        </w:rPr>
        <w:t>投标人须知前附表</w:t>
      </w:r>
      <w:r>
        <w:rPr>
          <w:rFonts w:hint="eastAsia" w:ascii="宋体"/>
          <w:color w:val="000000"/>
          <w:kern w:val="0"/>
          <w:sz w:val="24"/>
        </w:rPr>
        <w:t>。</w:t>
      </w:r>
    </w:p>
    <w:p>
      <w:pPr>
        <w:spacing w:line="360" w:lineRule="auto"/>
        <w:rPr>
          <w:rFonts w:ascii="宋体" w:cs="宋体"/>
          <w:b/>
          <w:bCs/>
          <w:sz w:val="24"/>
        </w:rPr>
      </w:pPr>
      <w:r>
        <w:rPr>
          <w:rFonts w:hint="eastAsia" w:ascii="宋体" w:cs="宋体"/>
          <w:b/>
          <w:bCs/>
          <w:sz w:val="24"/>
        </w:rPr>
        <w:t>三、中标通知</w:t>
      </w:r>
    </w:p>
    <w:p>
      <w:pPr>
        <w:spacing w:line="360" w:lineRule="auto"/>
        <w:ind w:firstLine="480" w:firstLineChars="200"/>
        <w:rPr>
          <w:rFonts w:ascii="宋体" w:cs="宋体"/>
          <w:sz w:val="24"/>
        </w:rPr>
      </w:pPr>
      <w:r>
        <w:rPr>
          <w:rFonts w:hint="eastAsia" w:ascii="宋体"/>
          <w:kern w:val="0"/>
          <w:sz w:val="24"/>
        </w:rPr>
        <w:t>公示期满后，</w:t>
      </w:r>
      <w:r>
        <w:rPr>
          <w:rFonts w:hint="eastAsia" w:ascii="宋体" w:cs="宋体"/>
          <w:sz w:val="24"/>
        </w:rPr>
        <w:t>招标人以书面形式向中标人发出中标通知书，同时将中标结果通知未中标的投标人。</w:t>
      </w:r>
      <w:r>
        <w:rPr>
          <w:rFonts w:hint="eastAsia" w:ascii="宋体"/>
          <w:kern w:val="0"/>
          <w:sz w:val="24"/>
        </w:rPr>
        <w:t>成交供应企业及时领取中标通知书。</w:t>
      </w:r>
    </w:p>
    <w:p>
      <w:pPr>
        <w:spacing w:line="360" w:lineRule="auto"/>
        <w:rPr>
          <w:rFonts w:ascii="宋体" w:cs="宋体"/>
          <w:b/>
          <w:bCs/>
          <w:sz w:val="24"/>
        </w:rPr>
      </w:pPr>
      <w:r>
        <w:rPr>
          <w:rFonts w:hint="eastAsia" w:ascii="宋体" w:cs="宋体"/>
          <w:b/>
          <w:bCs/>
          <w:sz w:val="24"/>
        </w:rPr>
        <w:t>四、履约担保</w:t>
      </w:r>
    </w:p>
    <w:p>
      <w:pPr>
        <w:spacing w:line="360" w:lineRule="auto"/>
        <w:ind w:firstLine="480" w:firstLineChars="200"/>
        <w:rPr>
          <w:rFonts w:ascii="宋体" w:cs="宋体"/>
          <w:sz w:val="24"/>
        </w:rPr>
      </w:pPr>
      <w:r>
        <w:rPr>
          <w:rFonts w:hint="eastAsia" w:ascii="宋体" w:hAnsi="宋体" w:cs="宋体"/>
          <w:sz w:val="24"/>
        </w:rPr>
        <w:t>⑴</w:t>
      </w:r>
      <w:r>
        <w:rPr>
          <w:rFonts w:hint="eastAsia" w:ascii="宋体" w:cs="宋体"/>
          <w:sz w:val="24"/>
        </w:rPr>
        <w:t xml:space="preserve"> 在签订合同前，中标人应按投标人须知前附表规定的金额、担保形式向招标人提交履约担保。联合体中标的，其履约担保由牵头人递交，并应符合投标人须知前附表规定。</w:t>
      </w:r>
    </w:p>
    <w:p>
      <w:pPr>
        <w:spacing w:line="360" w:lineRule="auto"/>
        <w:ind w:firstLine="480" w:firstLineChars="200"/>
        <w:rPr>
          <w:rFonts w:ascii="宋体" w:cs="宋体"/>
          <w:sz w:val="24"/>
        </w:rPr>
      </w:pPr>
      <w:r>
        <w:rPr>
          <w:rFonts w:hint="eastAsia" w:ascii="宋体" w:hAnsi="宋体" w:cs="宋体"/>
          <w:sz w:val="24"/>
        </w:rPr>
        <w:t>⑵</w:t>
      </w:r>
      <w:r>
        <w:rPr>
          <w:rFonts w:hint="eastAsia" w:ascii="宋体" w:cs="宋体"/>
          <w:sz w:val="24"/>
        </w:rPr>
        <w:t xml:space="preserve"> </w:t>
      </w:r>
      <w:r>
        <w:rPr>
          <w:rFonts w:hint="eastAsia" w:ascii="宋体" w:cs="宋体"/>
          <w:b/>
          <w:bCs/>
          <w:sz w:val="24"/>
        </w:rPr>
        <w:t>中标人不能按要求提交履约担保的，视为放弃中标</w:t>
      </w:r>
      <w:r>
        <w:rPr>
          <w:rFonts w:hint="eastAsia" w:ascii="宋体" w:cs="宋体"/>
          <w:sz w:val="24"/>
        </w:rPr>
        <w:t>，其投标保证金不予退还，给招标人造成的损失超过投标保证金数额的，中标人还应当对超过部分予以赔偿。</w:t>
      </w:r>
    </w:p>
    <w:p>
      <w:pPr>
        <w:spacing w:line="360" w:lineRule="auto"/>
        <w:rPr>
          <w:rFonts w:ascii="宋体" w:cs="宋体"/>
          <w:b/>
          <w:bCs/>
          <w:sz w:val="24"/>
        </w:rPr>
      </w:pPr>
      <w:r>
        <w:rPr>
          <w:rFonts w:hint="eastAsia" w:ascii="宋体" w:cs="宋体"/>
          <w:b/>
          <w:bCs/>
          <w:sz w:val="24"/>
        </w:rPr>
        <w:t>五、签订合同</w:t>
      </w:r>
    </w:p>
    <w:p>
      <w:pPr>
        <w:spacing w:line="360" w:lineRule="auto"/>
        <w:ind w:firstLine="480" w:firstLineChars="200"/>
        <w:rPr>
          <w:rFonts w:ascii="宋体" w:cs="宋体"/>
          <w:sz w:val="24"/>
        </w:rPr>
      </w:pPr>
      <w:r>
        <w:rPr>
          <w:rFonts w:hint="eastAsia" w:ascii="宋体" w:hAnsi="宋体" w:cs="宋体"/>
          <w:sz w:val="24"/>
        </w:rPr>
        <w:t>⑴</w:t>
      </w:r>
      <w:r>
        <w:rPr>
          <w:rFonts w:hint="eastAsia" w:ascii="宋体" w:cs="宋体"/>
          <w:sz w:val="24"/>
        </w:rPr>
        <w:t xml:space="preserve"> 招标人和中标人应当自中标通知书发出之日起30 天内，根据招标文件和中标人的投标文件订立书面合同。</w:t>
      </w:r>
      <w:r>
        <w:rPr>
          <w:rFonts w:hint="eastAsia" w:ascii="宋体" w:cs="宋体"/>
          <w:b/>
          <w:bCs/>
          <w:sz w:val="24"/>
        </w:rPr>
        <w:t>中标人无正当理由拒签合同的，招标人取消其中标资格，其投标保证金不予退还</w:t>
      </w:r>
      <w:r>
        <w:rPr>
          <w:rFonts w:hint="eastAsia" w:ascii="宋体" w:cs="宋体"/>
          <w:sz w:val="24"/>
        </w:rPr>
        <w:t>；给招标人造成的损失超过投标保证金数额的，中标人还应当对超过部分予以赔偿。</w:t>
      </w:r>
    </w:p>
    <w:p>
      <w:pPr>
        <w:widowControl/>
        <w:shd w:val="clear" w:color="auto" w:fill="FFFFFF"/>
        <w:snapToGrid w:val="0"/>
        <w:spacing w:line="360" w:lineRule="auto"/>
        <w:ind w:firstLine="480" w:firstLineChars="200"/>
        <w:rPr>
          <w:rFonts w:ascii="宋体"/>
          <w:kern w:val="0"/>
          <w:sz w:val="24"/>
        </w:rPr>
      </w:pPr>
      <w:r>
        <w:rPr>
          <w:rFonts w:hint="eastAsia" w:ascii="宋体" w:hAnsi="宋体" w:cs="宋体"/>
          <w:sz w:val="24"/>
        </w:rPr>
        <w:t>⑵</w:t>
      </w:r>
      <w:r>
        <w:rPr>
          <w:rFonts w:hint="eastAsia" w:ascii="宋体" w:cs="宋体"/>
          <w:sz w:val="24"/>
        </w:rPr>
        <w:t xml:space="preserve"> 中标人</w:t>
      </w:r>
      <w:r>
        <w:rPr>
          <w:rFonts w:hint="eastAsia" w:ascii="宋体"/>
          <w:kern w:val="0"/>
          <w:sz w:val="24"/>
        </w:rPr>
        <w:t>因不可抗力或自身原因不能签订协议合同或者不能履行合同的，采购人可以按成交候选顺序确定新的</w:t>
      </w:r>
      <w:r>
        <w:rPr>
          <w:rFonts w:hint="eastAsia" w:ascii="宋体" w:cs="宋体"/>
          <w:sz w:val="24"/>
        </w:rPr>
        <w:t>中标人</w:t>
      </w:r>
      <w:r>
        <w:rPr>
          <w:rFonts w:hint="eastAsia" w:ascii="宋体"/>
          <w:kern w:val="0"/>
          <w:sz w:val="24"/>
        </w:rPr>
        <w:t>并签订合同，依次类推，或重新进行采购。</w:t>
      </w:r>
    </w:p>
    <w:p>
      <w:pPr>
        <w:spacing w:line="360" w:lineRule="auto"/>
        <w:jc w:val="left"/>
        <w:rPr>
          <w:rFonts w:ascii="宋体"/>
          <w:kern w:val="0"/>
          <w:sz w:val="24"/>
        </w:rPr>
      </w:pPr>
    </w:p>
    <w:p>
      <w:pPr>
        <w:pStyle w:val="4"/>
        <w:jc w:val="center"/>
        <w:rPr>
          <w:rFonts w:cs="宋体"/>
          <w:sz w:val="24"/>
          <w:szCs w:val="24"/>
        </w:rPr>
      </w:pPr>
      <w:bookmarkStart w:id="10" w:name="_Toc1910"/>
      <w:r>
        <w:rPr>
          <w:rFonts w:ascii="Times New Roman" w:hAnsi="Times New Roman"/>
          <w:sz w:val="24"/>
          <w:szCs w:val="24"/>
        </w:rPr>
        <w:t>第</w:t>
      </w:r>
      <w:r>
        <w:rPr>
          <w:rFonts w:hint="eastAsia" w:ascii="Times New Roman" w:hAnsi="Times New Roman"/>
          <w:sz w:val="24"/>
          <w:szCs w:val="24"/>
        </w:rPr>
        <w:t>八</w:t>
      </w:r>
      <w:r>
        <w:rPr>
          <w:rFonts w:ascii="Times New Roman" w:hAnsi="Times New Roman"/>
          <w:sz w:val="24"/>
          <w:szCs w:val="24"/>
        </w:rPr>
        <w:t>节</w:t>
      </w:r>
      <w:r>
        <w:rPr>
          <w:rFonts w:hint="eastAsia" w:ascii="Times New Roman" w:hAnsi="Times New Roman"/>
          <w:sz w:val="24"/>
          <w:szCs w:val="24"/>
        </w:rPr>
        <w:t xml:space="preserve"> 重新招标和不再招标</w:t>
      </w:r>
      <w:bookmarkEnd w:id="10"/>
    </w:p>
    <w:p>
      <w:pPr>
        <w:spacing w:line="360" w:lineRule="auto"/>
        <w:rPr>
          <w:rFonts w:ascii="宋体" w:cs="宋体"/>
          <w:b/>
          <w:bCs/>
          <w:sz w:val="24"/>
        </w:rPr>
      </w:pPr>
      <w:r>
        <w:rPr>
          <w:rFonts w:hint="eastAsia" w:ascii="宋体" w:cs="宋体"/>
          <w:b/>
          <w:bCs/>
          <w:sz w:val="24"/>
        </w:rPr>
        <w:t>一、重新招标</w:t>
      </w:r>
    </w:p>
    <w:p>
      <w:pPr>
        <w:spacing w:line="360" w:lineRule="auto"/>
        <w:ind w:firstLine="480" w:firstLineChars="200"/>
        <w:rPr>
          <w:rFonts w:ascii="宋体" w:cs="宋体"/>
          <w:sz w:val="24"/>
        </w:rPr>
      </w:pPr>
      <w:r>
        <w:rPr>
          <w:rFonts w:hint="eastAsia" w:ascii="宋体" w:cs="宋体"/>
          <w:sz w:val="24"/>
        </w:rPr>
        <w:t>有下列情形之一的，招标人将重新招标：</w:t>
      </w:r>
    </w:p>
    <w:p>
      <w:pPr>
        <w:spacing w:line="360" w:lineRule="auto"/>
        <w:ind w:firstLine="720" w:firstLineChars="300"/>
        <w:rPr>
          <w:rFonts w:ascii="宋体" w:cs="宋体"/>
          <w:sz w:val="24"/>
        </w:rPr>
      </w:pPr>
      <w:r>
        <w:rPr>
          <w:rFonts w:hint="eastAsia" w:ascii="宋体" w:cs="宋体"/>
          <w:sz w:val="24"/>
        </w:rPr>
        <w:t>⑴ 投标截止时间止，投标人少于3 个的；</w:t>
      </w:r>
    </w:p>
    <w:p>
      <w:pPr>
        <w:spacing w:line="360" w:lineRule="auto"/>
        <w:ind w:firstLine="720" w:firstLineChars="300"/>
        <w:rPr>
          <w:rFonts w:ascii="宋体" w:cs="宋体"/>
          <w:sz w:val="24"/>
        </w:rPr>
      </w:pPr>
      <w:r>
        <w:rPr>
          <w:rFonts w:hint="eastAsia" w:ascii="宋体" w:cs="宋体"/>
          <w:sz w:val="24"/>
        </w:rPr>
        <w:t>⑵ 经评标委员会评审后否决所有投标的或满足资格有效投标人不足3家。</w:t>
      </w:r>
    </w:p>
    <w:p>
      <w:pPr>
        <w:spacing w:line="360" w:lineRule="auto"/>
        <w:rPr>
          <w:rFonts w:ascii="宋体" w:cs="宋体"/>
          <w:b/>
          <w:bCs/>
          <w:sz w:val="24"/>
        </w:rPr>
      </w:pPr>
      <w:r>
        <w:rPr>
          <w:rFonts w:hint="eastAsia" w:ascii="宋体" w:cs="宋体"/>
          <w:b/>
          <w:bCs/>
          <w:sz w:val="24"/>
        </w:rPr>
        <w:t>二、不再招标</w:t>
      </w:r>
    </w:p>
    <w:p>
      <w:pPr>
        <w:spacing w:line="360" w:lineRule="auto"/>
        <w:ind w:firstLine="480" w:firstLineChars="200"/>
        <w:rPr>
          <w:rFonts w:ascii="宋体" w:cs="宋体"/>
          <w:sz w:val="24"/>
        </w:rPr>
      </w:pPr>
      <w:r>
        <w:rPr>
          <w:rFonts w:hint="eastAsia" w:ascii="宋体" w:cs="宋体"/>
          <w:sz w:val="24"/>
        </w:rPr>
        <w:t>重新招标后投标人仍少于3 个或者所有投标被否决的，属于必须审批或核准的工程建设项目，经原审批或核准部门批准后不再进行招标。</w:t>
      </w:r>
    </w:p>
    <w:p/>
    <w:p>
      <w:pPr>
        <w:pStyle w:val="4"/>
        <w:jc w:val="center"/>
        <w:rPr>
          <w:rFonts w:cs="宋体"/>
          <w:sz w:val="24"/>
          <w:szCs w:val="24"/>
        </w:rPr>
      </w:pPr>
      <w:bookmarkStart w:id="11" w:name="_Toc20265"/>
      <w:r>
        <w:rPr>
          <w:rFonts w:ascii="Times New Roman" w:hAnsi="Times New Roman"/>
          <w:sz w:val="24"/>
          <w:szCs w:val="24"/>
        </w:rPr>
        <w:t>第</w:t>
      </w:r>
      <w:r>
        <w:rPr>
          <w:rFonts w:hint="eastAsia" w:ascii="Times New Roman" w:hAnsi="Times New Roman"/>
          <w:sz w:val="24"/>
          <w:szCs w:val="24"/>
        </w:rPr>
        <w:t>九</w:t>
      </w:r>
      <w:r>
        <w:rPr>
          <w:rFonts w:ascii="Times New Roman" w:hAnsi="Times New Roman"/>
          <w:sz w:val="24"/>
          <w:szCs w:val="24"/>
        </w:rPr>
        <w:t>节</w:t>
      </w:r>
      <w:r>
        <w:rPr>
          <w:rFonts w:hint="eastAsia" w:ascii="Times New Roman" w:hAnsi="Times New Roman"/>
          <w:sz w:val="24"/>
          <w:szCs w:val="24"/>
        </w:rPr>
        <w:t xml:space="preserve"> 纪律和监督</w:t>
      </w:r>
      <w:bookmarkEnd w:id="11"/>
    </w:p>
    <w:p>
      <w:pPr>
        <w:spacing w:line="360" w:lineRule="auto"/>
        <w:rPr>
          <w:rFonts w:ascii="宋体" w:cs="宋体"/>
          <w:b/>
          <w:bCs/>
          <w:sz w:val="24"/>
        </w:rPr>
      </w:pPr>
      <w:r>
        <w:rPr>
          <w:rFonts w:hint="eastAsia" w:ascii="宋体" w:cs="宋体"/>
          <w:b/>
          <w:bCs/>
          <w:sz w:val="24"/>
        </w:rPr>
        <w:t>一、对招标人的纪律要求</w:t>
      </w:r>
    </w:p>
    <w:p>
      <w:pPr>
        <w:spacing w:line="360" w:lineRule="auto"/>
        <w:ind w:firstLine="480" w:firstLineChars="200"/>
        <w:rPr>
          <w:rFonts w:ascii="宋体" w:cs="宋体"/>
          <w:sz w:val="24"/>
        </w:rPr>
      </w:pPr>
      <w:r>
        <w:rPr>
          <w:rFonts w:hint="eastAsia" w:ascii="宋体" w:cs="宋体"/>
          <w:sz w:val="24"/>
        </w:rPr>
        <w:t>招标人不得泄漏招标投标活动中应当保密的情况和资料，不得与投标人串通损害国家利益、社会公共利益或者他人合法权益。</w:t>
      </w:r>
    </w:p>
    <w:p>
      <w:pPr>
        <w:spacing w:line="360" w:lineRule="auto"/>
        <w:rPr>
          <w:rFonts w:ascii="宋体" w:cs="宋体"/>
          <w:b/>
          <w:bCs/>
          <w:sz w:val="24"/>
        </w:rPr>
      </w:pPr>
      <w:r>
        <w:rPr>
          <w:rFonts w:hint="eastAsia" w:ascii="宋体" w:cs="宋体"/>
          <w:b/>
          <w:bCs/>
          <w:sz w:val="24"/>
        </w:rPr>
        <w:t>二、对投标人的纪律要求</w:t>
      </w:r>
    </w:p>
    <w:p>
      <w:pPr>
        <w:spacing w:line="360" w:lineRule="auto"/>
        <w:ind w:firstLine="480" w:firstLineChars="200"/>
        <w:rPr>
          <w:rFonts w:ascii="宋体" w:cs="宋体"/>
          <w:sz w:val="24"/>
        </w:rPr>
      </w:pPr>
      <w:r>
        <w:rPr>
          <w:rFonts w:hint="eastAsia" w:ascii="宋体" w:cs="宋体"/>
          <w:sz w:val="24"/>
        </w:rPr>
        <w:t>2.1 投标人不得相互串通投标或者与招标人串通投标，不得向招标人或者评标委员会成员行贿谋取中标，不得以他人名义投标或者以其他方式弄虚作假骗取中标；投标人不得以任何方式干扰、影响评标工作。</w:t>
      </w:r>
    </w:p>
    <w:p>
      <w:pPr>
        <w:widowControl/>
        <w:shd w:val="clear" w:color="auto" w:fill="FFFFFF"/>
        <w:snapToGrid w:val="0"/>
        <w:spacing w:line="360" w:lineRule="auto"/>
        <w:ind w:firstLine="480" w:firstLineChars="200"/>
        <w:rPr>
          <w:rFonts w:ascii="宋体"/>
          <w:kern w:val="0"/>
          <w:sz w:val="24"/>
        </w:rPr>
      </w:pPr>
      <w:r>
        <w:rPr>
          <w:rFonts w:hint="eastAsia" w:ascii="宋体"/>
          <w:kern w:val="0"/>
          <w:sz w:val="24"/>
        </w:rPr>
        <w:t>2.2投标人有下列情形之一的，视为投标人串通投标，其投标无效：</w:t>
      </w:r>
    </w:p>
    <w:p>
      <w:pPr>
        <w:widowControl/>
        <w:shd w:val="clear" w:color="auto" w:fill="FFFFFF"/>
        <w:snapToGrid w:val="0"/>
        <w:spacing w:line="360" w:lineRule="auto"/>
        <w:ind w:firstLine="480" w:firstLineChars="200"/>
        <w:rPr>
          <w:rFonts w:ascii="宋体"/>
          <w:kern w:val="0"/>
          <w:sz w:val="24"/>
        </w:rPr>
      </w:pPr>
      <w:r>
        <w:rPr>
          <w:rFonts w:hint="eastAsia" w:ascii="宋体" w:cs="宋体"/>
          <w:kern w:val="0"/>
          <w:sz w:val="24"/>
        </w:rPr>
        <w:t>⑴</w:t>
      </w:r>
      <w:r>
        <w:rPr>
          <w:rFonts w:hint="eastAsia" w:ascii="宋体"/>
          <w:kern w:val="0"/>
          <w:sz w:val="24"/>
        </w:rPr>
        <w:t xml:space="preserve"> 不同投标人的投标文件由同一单位或者个人编制；</w:t>
      </w:r>
    </w:p>
    <w:p>
      <w:pPr>
        <w:widowControl/>
        <w:shd w:val="clear" w:color="auto" w:fill="FFFFFF"/>
        <w:snapToGrid w:val="0"/>
        <w:spacing w:line="360" w:lineRule="auto"/>
        <w:ind w:firstLine="480" w:firstLineChars="200"/>
        <w:rPr>
          <w:rFonts w:ascii="宋体"/>
          <w:kern w:val="0"/>
          <w:sz w:val="24"/>
        </w:rPr>
      </w:pPr>
      <w:r>
        <w:rPr>
          <w:rFonts w:hint="eastAsia" w:ascii="宋体" w:cs="宋体"/>
          <w:kern w:val="0"/>
          <w:sz w:val="24"/>
        </w:rPr>
        <w:t>⑵</w:t>
      </w:r>
      <w:r>
        <w:rPr>
          <w:rFonts w:hint="eastAsia" w:ascii="宋体"/>
          <w:kern w:val="0"/>
          <w:sz w:val="24"/>
        </w:rPr>
        <w:t xml:space="preserve"> 不同投标人委托同一单位或者个人办理投标事宜；</w:t>
      </w:r>
    </w:p>
    <w:p>
      <w:pPr>
        <w:widowControl/>
        <w:shd w:val="clear" w:color="auto" w:fill="FFFFFF"/>
        <w:snapToGrid w:val="0"/>
        <w:spacing w:line="360" w:lineRule="auto"/>
        <w:ind w:firstLine="480" w:firstLineChars="200"/>
        <w:rPr>
          <w:rFonts w:ascii="宋体"/>
          <w:kern w:val="0"/>
          <w:sz w:val="24"/>
        </w:rPr>
      </w:pPr>
      <w:r>
        <w:rPr>
          <w:rFonts w:hint="eastAsia" w:ascii="宋体" w:cs="宋体"/>
          <w:kern w:val="0"/>
          <w:sz w:val="24"/>
        </w:rPr>
        <w:t>⑶</w:t>
      </w:r>
      <w:r>
        <w:rPr>
          <w:rFonts w:hint="eastAsia" w:ascii="宋体"/>
          <w:kern w:val="0"/>
          <w:sz w:val="24"/>
        </w:rPr>
        <w:t xml:space="preserve"> 不同投标人的投标文件载明的项目管理成员或者联系人员为同一人；</w:t>
      </w:r>
    </w:p>
    <w:p>
      <w:pPr>
        <w:widowControl/>
        <w:shd w:val="clear" w:color="auto" w:fill="FFFFFF"/>
        <w:snapToGrid w:val="0"/>
        <w:spacing w:line="360" w:lineRule="auto"/>
        <w:ind w:firstLine="480" w:firstLineChars="200"/>
        <w:rPr>
          <w:rFonts w:ascii="宋体"/>
          <w:kern w:val="0"/>
          <w:sz w:val="24"/>
        </w:rPr>
      </w:pPr>
      <w:r>
        <w:rPr>
          <w:rFonts w:hint="eastAsia" w:ascii="宋体" w:cs="宋体"/>
          <w:kern w:val="0"/>
          <w:sz w:val="24"/>
        </w:rPr>
        <w:t>⑷ 不同投标人的投标文件异常一致或者投标报价呈现规律性差异；</w:t>
      </w:r>
    </w:p>
    <w:p>
      <w:pPr>
        <w:widowControl/>
        <w:shd w:val="clear" w:color="auto" w:fill="FFFFFF"/>
        <w:snapToGrid w:val="0"/>
        <w:spacing w:line="360" w:lineRule="auto"/>
        <w:ind w:firstLine="480" w:firstLineChars="200"/>
        <w:rPr>
          <w:rFonts w:ascii="宋体"/>
          <w:kern w:val="0"/>
          <w:sz w:val="24"/>
        </w:rPr>
      </w:pPr>
      <w:r>
        <w:rPr>
          <w:rFonts w:hint="eastAsia" w:ascii="宋体" w:cs="宋体"/>
          <w:kern w:val="0"/>
          <w:sz w:val="24"/>
        </w:rPr>
        <w:t>⑸</w:t>
      </w:r>
      <w:r>
        <w:rPr>
          <w:rFonts w:hint="eastAsia" w:ascii="宋体"/>
          <w:kern w:val="0"/>
          <w:sz w:val="24"/>
        </w:rPr>
        <w:t xml:space="preserve"> 不同投标人的投标文件相互混装；</w:t>
      </w:r>
    </w:p>
    <w:p>
      <w:pPr>
        <w:widowControl/>
        <w:shd w:val="clear" w:color="auto" w:fill="FFFFFF"/>
        <w:snapToGrid w:val="0"/>
        <w:spacing w:line="360" w:lineRule="auto"/>
        <w:ind w:firstLine="480" w:firstLineChars="200"/>
        <w:rPr>
          <w:rFonts w:ascii="宋体" w:cs="宋体"/>
          <w:sz w:val="24"/>
        </w:rPr>
      </w:pPr>
      <w:r>
        <w:rPr>
          <w:rFonts w:hint="eastAsia" w:ascii="宋体" w:cs="宋体"/>
          <w:kern w:val="0"/>
          <w:sz w:val="24"/>
        </w:rPr>
        <w:t>⑹ 不同投标人的投标保证金从同一单位或者个人的账户转出。</w:t>
      </w:r>
    </w:p>
    <w:p>
      <w:pPr>
        <w:spacing w:line="360" w:lineRule="auto"/>
        <w:rPr>
          <w:rFonts w:ascii="宋体" w:cs="宋体"/>
          <w:b/>
          <w:bCs/>
          <w:sz w:val="24"/>
        </w:rPr>
      </w:pPr>
      <w:r>
        <w:rPr>
          <w:rFonts w:hint="eastAsia" w:ascii="宋体" w:cs="宋体"/>
          <w:b/>
          <w:bCs/>
          <w:sz w:val="24"/>
        </w:rPr>
        <w:t>三、对评标委员会成员的纪律要求</w:t>
      </w:r>
    </w:p>
    <w:p>
      <w:pPr>
        <w:spacing w:line="360" w:lineRule="auto"/>
        <w:ind w:firstLine="480" w:firstLineChars="200"/>
        <w:rPr>
          <w:rFonts w:ascii="宋体" w:cs="宋体"/>
          <w:sz w:val="24"/>
        </w:rPr>
      </w:pPr>
      <w:r>
        <w:rPr>
          <w:rFonts w:hint="eastAsia" w:ascii="宋体" w:cs="宋体"/>
          <w:sz w:val="24"/>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评标办法”没有规定的评审因素和标准进行评标。</w:t>
      </w:r>
    </w:p>
    <w:p>
      <w:pPr>
        <w:spacing w:line="360" w:lineRule="auto"/>
        <w:rPr>
          <w:rFonts w:ascii="宋体" w:cs="宋体"/>
          <w:b/>
          <w:bCs/>
          <w:sz w:val="24"/>
        </w:rPr>
      </w:pPr>
      <w:r>
        <w:rPr>
          <w:rFonts w:hint="eastAsia" w:ascii="宋体" w:cs="宋体"/>
          <w:b/>
          <w:bCs/>
          <w:sz w:val="24"/>
        </w:rPr>
        <w:t>四、对与评标活动有关的工作人员的纪律要求</w:t>
      </w:r>
    </w:p>
    <w:p>
      <w:pPr>
        <w:spacing w:line="360" w:lineRule="auto"/>
        <w:ind w:firstLine="480" w:firstLineChars="200"/>
        <w:rPr>
          <w:rFonts w:ascii="宋体" w:cs="宋体"/>
          <w:sz w:val="24"/>
        </w:rPr>
      </w:pPr>
      <w:r>
        <w:rPr>
          <w:rFonts w:hint="eastAsia" w:ascii="宋体" w:cs="宋体"/>
          <w:sz w:val="24"/>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spacing w:line="360" w:lineRule="auto"/>
        <w:rPr>
          <w:rFonts w:asciiTheme="minorEastAsia" w:hAnsiTheme="minorEastAsia" w:eastAsiaTheme="minorEastAsia" w:cstheme="minorEastAsia"/>
          <w:b/>
          <w:bCs/>
          <w:sz w:val="24"/>
        </w:rPr>
      </w:pPr>
      <w:r>
        <w:rPr>
          <w:rFonts w:hint="eastAsia" w:ascii="宋体" w:cs="宋体"/>
          <w:b/>
          <w:bCs/>
          <w:sz w:val="24"/>
        </w:rPr>
        <w:t>五、</w:t>
      </w:r>
      <w:r>
        <w:rPr>
          <w:rFonts w:hint="eastAsia" w:asciiTheme="minorEastAsia" w:hAnsiTheme="minorEastAsia" w:eastAsiaTheme="minorEastAsia" w:cstheme="minorEastAsia"/>
          <w:b/>
          <w:bCs/>
          <w:sz w:val="24"/>
        </w:rPr>
        <w:t>询问、质疑和投诉</w:t>
      </w:r>
    </w:p>
    <w:p>
      <w:pPr>
        <w:spacing w:line="360" w:lineRule="auto"/>
        <w:ind w:firstLine="480" w:firstLineChars="200"/>
        <w:rPr>
          <w:rFonts w:asciiTheme="minorEastAsia" w:hAnsiTheme="minorEastAsia" w:cstheme="minorEastAsia"/>
          <w:sz w:val="24"/>
          <w:lang w:val="zh-CN"/>
        </w:rPr>
      </w:pPr>
      <w:r>
        <w:rPr>
          <w:rFonts w:hint="eastAsia" w:asciiTheme="minorEastAsia" w:hAnsiTheme="minorEastAsia" w:eastAsiaTheme="minorEastAsia" w:cstheme="minorEastAsia"/>
          <w:sz w:val="24"/>
        </w:rPr>
        <w:t xml:space="preserve">5.1 </w:t>
      </w:r>
      <w:r>
        <w:rPr>
          <w:rFonts w:ascii="宋体" w:hAnsi="宋体" w:cs="宋体"/>
          <w:sz w:val="24"/>
        </w:rPr>
        <w:t>询问、质疑、投诉的接收处理严格按照《中华人共和国政府采购法》、 《中华人民共和国政府采购法实施条例》、《政府采购货物和服务</w:t>
      </w:r>
      <w:r>
        <w:rPr>
          <w:rFonts w:hint="eastAsia" w:ascii="宋体" w:hAnsi="宋体" w:cs="宋体"/>
          <w:sz w:val="24"/>
        </w:rPr>
        <w:t>招标投标</w:t>
      </w:r>
      <w:r>
        <w:rPr>
          <w:rFonts w:ascii="宋体" w:hAnsi="宋体" w:cs="宋体"/>
          <w:sz w:val="24"/>
        </w:rPr>
        <w:t>管理办法》、《政府采购供应商投诉处理办法》、《财政部关于加强政府采购供应商投诉受理审查工作的通知》和《关于贯彻落实&lt;中华人民共和国政府采购法实施条例&gt;的若干规定》的规定办理</w:t>
      </w:r>
      <w:r>
        <w:rPr>
          <w:rFonts w:hint="eastAsia" w:ascii="宋体" w:hAnsi="宋体" w:cs="宋体"/>
          <w:sz w:val="24"/>
        </w:rPr>
        <w:t>。</w:t>
      </w:r>
    </w:p>
    <w:p>
      <w:pPr>
        <w:spacing w:line="360" w:lineRule="auto"/>
        <w:ind w:firstLine="480" w:firstLineChars="200"/>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rPr>
        <w:t xml:space="preserve">5.2 </w:t>
      </w:r>
      <w:r>
        <w:rPr>
          <w:rFonts w:ascii="宋体" w:hAnsi="宋体" w:cs="宋体"/>
          <w:sz w:val="24"/>
        </w:rPr>
        <w:t>供应商提出的询问，应当明确询问事项，如以书面形式提出，应由供应商签</w:t>
      </w:r>
      <w:r>
        <w:rPr>
          <w:rFonts w:hint="eastAsia" w:asciiTheme="minorEastAsia" w:hAnsiTheme="minorEastAsia" w:eastAsiaTheme="minorEastAsia" w:cstheme="minorEastAsia"/>
          <w:sz w:val="24"/>
        </w:rPr>
        <w:t>字并加盖公章。</w:t>
      </w:r>
    </w:p>
    <w:p>
      <w:pPr>
        <w:spacing w:line="500" w:lineRule="exact"/>
        <w:ind w:firstLine="480" w:firstLineChars="200"/>
        <w:rPr>
          <w:rStyle w:val="25"/>
          <w:rFonts w:asciiTheme="minorEastAsia" w:hAnsiTheme="minorEastAsia" w:eastAsiaTheme="minorEastAsia" w:cstheme="minorEastAsia"/>
          <w:b w:val="0"/>
          <w:color w:val="000000"/>
          <w:sz w:val="24"/>
          <w:shd w:val="clear" w:color="auto" w:fill="FFFFFF"/>
        </w:rPr>
      </w:pPr>
      <w:r>
        <w:rPr>
          <w:rFonts w:hint="eastAsia" w:asciiTheme="minorEastAsia" w:hAnsiTheme="minorEastAsia" w:eastAsiaTheme="minorEastAsia" w:cstheme="minorEastAsia"/>
          <w:sz w:val="24"/>
        </w:rPr>
        <w:t>5.3 质疑内容、时限。</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⑴ 提出质疑的</w:t>
      </w:r>
      <w:r>
        <w:rPr>
          <w:rFonts w:hint="eastAsia" w:asciiTheme="minorEastAsia" w:hAnsiTheme="minorEastAsia" w:eastAsiaTheme="minorEastAsia" w:cstheme="minorEastAsia"/>
          <w:sz w:val="24"/>
          <w:lang w:val="zh-CN"/>
        </w:rPr>
        <w:t>投标人</w:t>
      </w:r>
      <w:r>
        <w:rPr>
          <w:rFonts w:hint="eastAsia" w:asciiTheme="minorEastAsia" w:hAnsiTheme="minorEastAsia" w:eastAsiaTheme="minorEastAsia" w:cstheme="minorEastAsia"/>
          <w:sz w:val="24"/>
        </w:rPr>
        <w:t>应当是参与所质疑项目采购活动的供应商。潜在供应商依法获取其可质疑的招标文件的，可以对招标文件提出质疑。</w:t>
      </w:r>
    </w:p>
    <w:p>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⑵ 供应商对招标文件中供应商特定资格条件、技术质量和商务要求、评审标准及评审细则有异议的，为收到采购文件之日起三个工作日内，并附相关证明材料。采购人对质疑内容进行复核后由采购代理机构书面答复供应商。</w:t>
      </w:r>
    </w:p>
    <w:p>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⑶ </w:t>
      </w:r>
      <w:r>
        <w:rPr>
          <w:rStyle w:val="25"/>
          <w:rFonts w:hint="eastAsia" w:asciiTheme="minorEastAsia" w:hAnsiTheme="minorEastAsia" w:eastAsiaTheme="minorEastAsia" w:cstheme="minorEastAsia"/>
          <w:b w:val="0"/>
          <w:color w:val="000000"/>
          <w:sz w:val="24"/>
          <w:shd w:val="clear" w:color="auto" w:fill="FFFFFF"/>
        </w:rPr>
        <w:t>对采购过程提出质疑的，为各采购程序环节结束之日起七个工作日内</w:t>
      </w:r>
      <w:r>
        <w:rPr>
          <w:rFonts w:hint="eastAsia" w:asciiTheme="minorEastAsia" w:hAnsiTheme="minorEastAsia" w:eastAsiaTheme="minorEastAsia" w:cstheme="minorEastAsia"/>
          <w:sz w:val="24"/>
        </w:rPr>
        <w:t>。</w:t>
      </w:r>
    </w:p>
    <w:p>
      <w:pPr>
        <w:snapToGrid w:val="0"/>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sz w:val="24"/>
        </w:rPr>
        <w:t>⑷ 供应商对</w:t>
      </w:r>
      <w:r>
        <w:rPr>
          <w:rStyle w:val="25"/>
          <w:rFonts w:hint="eastAsia" w:asciiTheme="minorEastAsia" w:hAnsiTheme="minorEastAsia" w:eastAsiaTheme="minorEastAsia" w:cstheme="minorEastAsia"/>
          <w:b w:val="0"/>
          <w:color w:val="000000"/>
          <w:sz w:val="24"/>
          <w:shd w:val="clear" w:color="auto" w:fill="FFFFFF"/>
        </w:rPr>
        <w:t>成交结果提出质疑的，为成交结果公告期限届满之日起七个工作日内</w:t>
      </w:r>
      <w:r>
        <w:rPr>
          <w:rFonts w:hint="eastAsia" w:asciiTheme="minorEastAsia" w:hAnsiTheme="minorEastAsia" w:eastAsiaTheme="minorEastAsia" w:cstheme="minorEastAsia"/>
          <w:sz w:val="24"/>
        </w:rPr>
        <w:t>以书面形式向采购代理机构提出质疑，并附相关证明材料。</w:t>
      </w:r>
    </w:p>
    <w:p>
      <w:pPr>
        <w:snapToGrid w:val="0"/>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sz w:val="24"/>
        </w:rPr>
        <w:t>⑸ 供应商</w:t>
      </w:r>
      <w:r>
        <w:rPr>
          <w:rFonts w:hint="eastAsia" w:asciiTheme="minorEastAsia" w:hAnsiTheme="minorEastAsia" w:eastAsiaTheme="minorEastAsia" w:cstheme="minorEastAsia"/>
          <w:kern w:val="0"/>
          <w:sz w:val="24"/>
        </w:rPr>
        <w:t>应当在法定质疑期内一次性提出针对同一采购程序环节的质疑。</w:t>
      </w:r>
      <w:r>
        <w:rPr>
          <w:rFonts w:hint="eastAsia" w:asciiTheme="minorEastAsia" w:hAnsiTheme="minorEastAsia" w:eastAsiaTheme="minorEastAsia" w:cstheme="minorEastAsia"/>
          <w:sz w:val="24"/>
          <w:lang w:val="zh-CN"/>
        </w:rPr>
        <w:t>投标人</w:t>
      </w:r>
      <w:r>
        <w:rPr>
          <w:rFonts w:hint="eastAsia" w:asciiTheme="minorEastAsia" w:hAnsiTheme="minorEastAsia" w:eastAsiaTheme="minorEastAsia" w:cstheme="minorEastAsia"/>
          <w:kern w:val="0"/>
          <w:sz w:val="24"/>
        </w:rPr>
        <w:t>如在法定期限内对同一采购程序环节提出多次质疑的，将只对供应商第一次质疑作出答复。</w:t>
      </w:r>
    </w:p>
    <w:p>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⑹ 只接收以纸质原件形式送达的质疑。</w:t>
      </w:r>
    </w:p>
    <w:p>
      <w:pPr>
        <w:snapToGrid w:val="0"/>
        <w:spacing w:line="360" w:lineRule="auto"/>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⑺ 招标文件的最终解释权归招标采购单位。</w:t>
      </w:r>
    </w:p>
    <w:p>
      <w:pPr>
        <w:snapToGrid w:val="0"/>
        <w:spacing w:line="360" w:lineRule="auto"/>
        <w:ind w:firstLine="480" w:firstLineChars="200"/>
        <w:rPr>
          <w:rFonts w:asciiTheme="minorEastAsia" w:hAnsiTheme="minorEastAsia" w:eastAsiaTheme="minorEastAsia" w:cstheme="minorEastAsia"/>
          <w:sz w:val="24"/>
        </w:rPr>
      </w:pPr>
      <w:r>
        <w:rPr>
          <w:rFonts w:hint="eastAsia" w:ascii="宋体" w:hAnsi="宋体" w:cs="宋体"/>
          <w:sz w:val="24"/>
        </w:rPr>
        <w:t>⑻</w:t>
      </w:r>
      <w:r>
        <w:rPr>
          <w:rFonts w:hint="eastAsia" w:asciiTheme="minorEastAsia" w:hAnsiTheme="minorEastAsia" w:eastAsiaTheme="minorEastAsia" w:cstheme="minorEastAsia"/>
          <w:sz w:val="24"/>
        </w:rPr>
        <w:t xml:space="preserve"> 开标前、后质疑（针对采购文件的质疑）接收人：本项目采购单位联系人，联系地址：见第一章。</w:t>
      </w:r>
    </w:p>
    <w:p>
      <w:pPr>
        <w:snapToGrid w:val="0"/>
        <w:spacing w:line="360" w:lineRule="auto"/>
        <w:ind w:firstLine="480"/>
        <w:rPr>
          <w:rFonts w:asciiTheme="minorEastAsia" w:hAnsiTheme="minorEastAsia" w:eastAsiaTheme="minorEastAsia" w:cstheme="minorEastAsia"/>
          <w:sz w:val="24"/>
        </w:rPr>
      </w:pPr>
      <w:r>
        <w:rPr>
          <w:rFonts w:hint="eastAsia" w:ascii="宋体" w:hAnsi="宋体" w:cs="宋体"/>
          <w:sz w:val="24"/>
        </w:rPr>
        <w:t>⑼</w:t>
      </w:r>
      <w:r>
        <w:rPr>
          <w:rFonts w:hint="eastAsia" w:asciiTheme="minorEastAsia" w:hAnsiTheme="minorEastAsia" w:eastAsiaTheme="minorEastAsia" w:cstheme="minorEastAsia"/>
          <w:sz w:val="24"/>
        </w:rPr>
        <w:t xml:space="preserve"> 质疑函必须按要求的格式和内容进行填写。</w:t>
      </w:r>
      <w:r>
        <w:rPr>
          <w:rFonts w:hint="eastAsia" w:asciiTheme="minorEastAsia" w:hAnsiTheme="minorEastAsia" w:eastAsiaTheme="minorEastAsia" w:cstheme="minorEastAsia"/>
          <w:sz w:val="24"/>
          <w:lang w:val="zh-CN"/>
        </w:rPr>
        <w:t>投标人</w:t>
      </w:r>
      <w:r>
        <w:rPr>
          <w:rFonts w:hint="eastAsia" w:asciiTheme="minorEastAsia" w:hAnsiTheme="minorEastAsia" w:eastAsiaTheme="minorEastAsia" w:cstheme="minorEastAsia"/>
          <w:sz w:val="24"/>
        </w:rPr>
        <w:t>如组成联合体参加投标，则</w:t>
      </w:r>
      <w:r>
        <w:rPr>
          <w:rFonts w:hint="eastAsia" w:asciiTheme="minorEastAsia" w:hAnsiTheme="minorEastAsia" w:eastAsiaTheme="minorEastAsia" w:cstheme="minorEastAsia"/>
          <w:color w:val="000000"/>
          <w:sz w:val="24"/>
        </w:rPr>
        <w:t>质疑函</w:t>
      </w:r>
      <w:r>
        <w:rPr>
          <w:rFonts w:hint="eastAsia" w:asciiTheme="minorEastAsia" w:hAnsiTheme="minorEastAsia" w:eastAsiaTheme="minorEastAsia" w:cstheme="minorEastAsia"/>
          <w:sz w:val="24"/>
        </w:rPr>
        <w:t>中要求签字、盖章、加盖公章之处，联合体各方均须按要求签字、盖章、加盖公章。供应商提出质疑时应当准备的资料。</w:t>
      </w:r>
    </w:p>
    <w:p>
      <w:pPr>
        <w:snapToGrid w:val="0"/>
        <w:spacing w:line="360" w:lineRule="auto"/>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⒈ 质疑书正本1份，副本2份（如果涉及更多的供应商须提供相应数量的副本）；</w:t>
      </w:r>
    </w:p>
    <w:p>
      <w:pPr>
        <w:snapToGrid w:val="0"/>
        <w:spacing w:line="360" w:lineRule="auto"/>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⒉ </w:t>
      </w:r>
      <w:r>
        <w:rPr>
          <w:rStyle w:val="25"/>
          <w:rFonts w:hint="eastAsia" w:ascii="宋体" w:cs="宋体"/>
          <w:b w:val="0"/>
          <w:color w:val="000000"/>
          <w:sz w:val="24"/>
          <w:shd w:val="clear" w:color="auto" w:fill="FFFFFF"/>
        </w:rPr>
        <w:t>法定代表人针对本项目的专项授权书（须经法定代表人签字并加盖法人章和单位公章）及被授权人身份证复印件（查看原件）；法定代表人提交质疑书须提交其身份证复印件（查看原件）</w:t>
      </w:r>
      <w:r>
        <w:rPr>
          <w:rFonts w:hint="eastAsia" w:asciiTheme="minorEastAsia" w:hAnsiTheme="minorEastAsia" w:eastAsiaTheme="minorEastAsia" w:cstheme="minorEastAsia"/>
          <w:sz w:val="24"/>
        </w:rPr>
        <w:t>；</w:t>
      </w:r>
    </w:p>
    <w:p>
      <w:pPr>
        <w:snapToGrid w:val="0"/>
        <w:spacing w:line="360" w:lineRule="auto"/>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⒊ 营业执照复印件1份或事业单位法人证1份（加盖公章）；</w:t>
      </w:r>
    </w:p>
    <w:p>
      <w:pPr>
        <w:snapToGrid w:val="0"/>
        <w:spacing w:line="360" w:lineRule="auto"/>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⒋ 法定代表人（负责人）身份证复印件1份（加盖公章）；</w:t>
      </w:r>
    </w:p>
    <w:p>
      <w:pPr>
        <w:snapToGrid w:val="0"/>
        <w:spacing w:line="360" w:lineRule="auto"/>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⒌ 针对质疑事项的证明材料：</w:t>
      </w:r>
    </w:p>
    <w:p>
      <w:pPr>
        <w:snapToGrid w:val="0"/>
        <w:spacing w:line="360" w:lineRule="auto"/>
        <w:ind w:firstLine="720" w:firstLineChars="300"/>
        <w:rPr>
          <w:rFonts w:asciiTheme="minorEastAsia" w:hAnsiTheme="minorEastAsia" w:eastAsiaTheme="minorEastAsia" w:cstheme="minorEastAsia"/>
          <w:sz w:val="24"/>
        </w:rPr>
      </w:pPr>
      <w:r>
        <w:rPr>
          <w:rStyle w:val="25"/>
          <w:rFonts w:hint="eastAsia" w:ascii="宋体" w:cs="宋体"/>
          <w:b w:val="0"/>
          <w:color w:val="000000"/>
          <w:sz w:val="24"/>
          <w:shd w:val="clear" w:color="auto" w:fill="FFFFFF"/>
        </w:rPr>
        <w:t>a.质疑供应商的基本情况信息：名称、地址、法定代表人、委托代理人、电话、邮编</w:t>
      </w:r>
      <w:r>
        <w:rPr>
          <w:rFonts w:hint="eastAsia" w:asciiTheme="minorEastAsia" w:hAnsiTheme="minorEastAsia" w:eastAsiaTheme="minorEastAsia" w:cstheme="minorEastAsia"/>
          <w:sz w:val="24"/>
        </w:rPr>
        <w:t>；</w:t>
      </w:r>
    </w:p>
    <w:p>
      <w:pPr>
        <w:snapToGrid w:val="0"/>
        <w:spacing w:line="360" w:lineRule="auto"/>
        <w:ind w:firstLine="720" w:firstLineChars="300"/>
        <w:rPr>
          <w:rFonts w:asciiTheme="minorEastAsia" w:hAnsiTheme="minorEastAsia" w:eastAsiaTheme="minorEastAsia" w:cstheme="minorEastAsia"/>
          <w:sz w:val="24"/>
        </w:rPr>
      </w:pPr>
      <w:r>
        <w:rPr>
          <w:rStyle w:val="25"/>
          <w:rFonts w:hint="eastAsia" w:ascii="宋体" w:cs="宋体"/>
          <w:b w:val="0"/>
          <w:color w:val="000000"/>
          <w:sz w:val="24"/>
          <w:shd w:val="clear" w:color="auto" w:fill="FFFFFF"/>
        </w:rPr>
        <w:t>b.所质疑的政府采购项目的信息：包含采购人或者采购代理机构名称、项目名称、包（标段）、编号</w:t>
      </w:r>
      <w:r>
        <w:rPr>
          <w:rFonts w:hint="eastAsia" w:asciiTheme="minorEastAsia" w:hAnsiTheme="minorEastAsia" w:eastAsiaTheme="minorEastAsia" w:cstheme="minorEastAsia"/>
          <w:sz w:val="24"/>
        </w:rPr>
        <w:t>；</w:t>
      </w:r>
    </w:p>
    <w:p>
      <w:pPr>
        <w:snapToGrid w:val="0"/>
        <w:spacing w:line="360" w:lineRule="auto"/>
        <w:ind w:firstLine="720" w:firstLineChars="300"/>
        <w:rPr>
          <w:rFonts w:asciiTheme="minorEastAsia" w:hAnsiTheme="minorEastAsia" w:eastAsiaTheme="minorEastAsia" w:cstheme="minorEastAsia"/>
          <w:sz w:val="24"/>
        </w:rPr>
      </w:pPr>
      <w:r>
        <w:rPr>
          <w:rStyle w:val="25"/>
          <w:rFonts w:hint="eastAsia" w:ascii="宋体" w:cs="宋体"/>
          <w:b w:val="0"/>
          <w:color w:val="000000"/>
          <w:sz w:val="24"/>
          <w:shd w:val="clear" w:color="auto" w:fill="FFFFFF"/>
        </w:rPr>
        <w:t>c.具体的质疑事项。质疑事项不得超出法定范围并且与质疑供应商有利害关系</w:t>
      </w:r>
      <w:r>
        <w:rPr>
          <w:rFonts w:hint="eastAsia" w:asciiTheme="minorEastAsia" w:hAnsiTheme="minorEastAsia" w:eastAsiaTheme="minorEastAsia" w:cstheme="minorEastAsia"/>
          <w:sz w:val="24"/>
        </w:rPr>
        <w:t>；</w:t>
      </w:r>
    </w:p>
    <w:p>
      <w:pPr>
        <w:snapToGrid w:val="0"/>
        <w:spacing w:line="360" w:lineRule="auto"/>
        <w:ind w:firstLine="720" w:firstLineChars="300"/>
        <w:rPr>
          <w:rFonts w:asciiTheme="minorEastAsia" w:hAnsiTheme="minorEastAsia" w:eastAsiaTheme="minorEastAsia" w:cstheme="minorEastAsia"/>
          <w:sz w:val="24"/>
        </w:rPr>
      </w:pPr>
      <w:r>
        <w:rPr>
          <w:rStyle w:val="25"/>
          <w:rFonts w:hint="eastAsia" w:ascii="宋体" w:cs="宋体"/>
          <w:b w:val="0"/>
          <w:color w:val="000000"/>
          <w:sz w:val="24"/>
          <w:shd w:val="clear" w:color="auto" w:fill="FFFFFF"/>
        </w:rPr>
        <w:t>d.明确、具体的质疑请求</w:t>
      </w:r>
      <w:r>
        <w:rPr>
          <w:rFonts w:hint="eastAsia" w:asciiTheme="minorEastAsia" w:hAnsiTheme="minorEastAsia" w:eastAsiaTheme="minorEastAsia" w:cstheme="minorEastAsia"/>
          <w:sz w:val="24"/>
        </w:rPr>
        <w:t>；</w:t>
      </w:r>
    </w:p>
    <w:p>
      <w:pPr>
        <w:snapToGrid w:val="0"/>
        <w:spacing w:line="360" w:lineRule="auto"/>
        <w:ind w:firstLine="720" w:firstLineChars="300"/>
        <w:rPr>
          <w:rFonts w:asciiTheme="minorEastAsia" w:hAnsiTheme="minorEastAsia" w:eastAsiaTheme="minorEastAsia" w:cstheme="minorEastAsia"/>
          <w:sz w:val="24"/>
        </w:rPr>
      </w:pPr>
      <w:r>
        <w:rPr>
          <w:rStyle w:val="25"/>
          <w:rFonts w:hint="eastAsia" w:ascii="宋体" w:cs="宋体"/>
          <w:b w:val="0"/>
          <w:color w:val="000000"/>
          <w:sz w:val="24"/>
          <w:shd w:val="clear" w:color="auto" w:fill="FFFFFF"/>
        </w:rPr>
        <w:t>e.质疑所依据的事实、理由和法律依据及证明材料</w:t>
      </w:r>
      <w:r>
        <w:rPr>
          <w:rFonts w:hint="eastAsia" w:asciiTheme="minorEastAsia" w:hAnsiTheme="minorEastAsia" w:eastAsiaTheme="minorEastAsia" w:cstheme="minorEastAsia"/>
          <w:sz w:val="24"/>
        </w:rPr>
        <w:t>；</w:t>
      </w:r>
    </w:p>
    <w:p>
      <w:pPr>
        <w:snapToGrid w:val="0"/>
        <w:spacing w:line="360" w:lineRule="auto"/>
        <w:ind w:firstLine="720" w:firstLineChars="300"/>
        <w:rPr>
          <w:rFonts w:asciiTheme="minorEastAsia" w:hAnsiTheme="minorEastAsia" w:eastAsiaTheme="minorEastAsia" w:cstheme="minorEastAsia"/>
          <w:sz w:val="24"/>
        </w:rPr>
      </w:pPr>
      <w:r>
        <w:rPr>
          <w:rStyle w:val="25"/>
          <w:rFonts w:hint="eastAsia" w:ascii="宋体" w:cs="宋体"/>
          <w:b w:val="0"/>
          <w:color w:val="000000"/>
          <w:sz w:val="24"/>
          <w:shd w:val="clear" w:color="auto" w:fill="FFFFFF"/>
        </w:rPr>
        <w:t>f.质疑书需要加盖质疑供应商公章并经法定代表人签字和盖章</w:t>
      </w:r>
      <w:r>
        <w:rPr>
          <w:rFonts w:hint="eastAsia" w:asciiTheme="minorEastAsia" w:hAnsiTheme="minorEastAsia" w:eastAsiaTheme="minorEastAsia" w:cstheme="minorEastAsia"/>
          <w:sz w:val="24"/>
        </w:rPr>
        <w:t>。</w:t>
      </w:r>
    </w:p>
    <w:p>
      <w:pPr>
        <w:snapToGrid w:val="0"/>
        <w:spacing w:line="360" w:lineRule="auto"/>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⑽ 不予受理</w:t>
      </w:r>
    </w:p>
    <w:p>
      <w:pPr>
        <w:snapToGrid w:val="0"/>
        <w:spacing w:line="360" w:lineRule="auto"/>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⒈ 内容不符合《政府采购质疑和投诉办法》第十二条规定的质疑；</w:t>
      </w:r>
    </w:p>
    <w:p>
      <w:pPr>
        <w:snapToGrid w:val="0"/>
        <w:spacing w:line="360" w:lineRule="auto"/>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⒉ </w:t>
      </w:r>
      <w:r>
        <w:rPr>
          <w:rStyle w:val="25"/>
          <w:rFonts w:hint="eastAsia" w:ascii="宋体" w:cs="宋体"/>
          <w:b w:val="0"/>
          <w:color w:val="000000"/>
          <w:sz w:val="24"/>
          <w:shd w:val="clear" w:color="auto" w:fill="FFFFFF"/>
        </w:rPr>
        <w:t>未在法定期限内提出质疑的</w:t>
      </w:r>
      <w:r>
        <w:rPr>
          <w:rFonts w:hint="eastAsia" w:asciiTheme="minorEastAsia" w:hAnsiTheme="minorEastAsia" w:eastAsiaTheme="minorEastAsia" w:cstheme="minorEastAsia"/>
          <w:sz w:val="24"/>
        </w:rPr>
        <w:t>；</w:t>
      </w:r>
    </w:p>
    <w:p>
      <w:pPr>
        <w:snapToGrid w:val="0"/>
        <w:spacing w:line="360" w:lineRule="auto"/>
        <w:ind w:firstLine="480" w:firstLineChars="200"/>
        <w:rPr>
          <w:rFonts w:asciiTheme="minorEastAsia" w:hAnsiTheme="minorEastAsia" w:eastAsiaTheme="minorEastAsia" w:cstheme="minorEastAsia"/>
          <w:sz w:val="24"/>
        </w:rPr>
      </w:pPr>
      <w:r>
        <w:rPr>
          <w:rFonts w:hint="eastAsia" w:ascii="宋体" w:hAnsi="宋体" w:cs="宋体"/>
          <w:sz w:val="24"/>
        </w:rPr>
        <w:t>⒊</w:t>
      </w:r>
      <w:r>
        <w:rPr>
          <w:rFonts w:hint="eastAsia" w:asciiTheme="minorEastAsia" w:hAnsiTheme="minorEastAsia" w:eastAsiaTheme="minorEastAsia" w:cstheme="minorEastAsia"/>
          <w:sz w:val="24"/>
        </w:rPr>
        <w:t xml:space="preserve"> </w:t>
      </w:r>
      <w:r>
        <w:rPr>
          <w:rStyle w:val="25"/>
          <w:rFonts w:hint="eastAsia" w:ascii="宋体" w:cs="宋体"/>
          <w:b w:val="0"/>
          <w:color w:val="000000"/>
          <w:sz w:val="24"/>
          <w:shd w:val="clear" w:color="auto" w:fill="FFFFFF"/>
        </w:rPr>
        <w:t>质疑未以书面形式提出，或质疑书主要内容构成不完整的</w:t>
      </w:r>
      <w:r>
        <w:rPr>
          <w:rFonts w:hint="eastAsia" w:asciiTheme="minorEastAsia" w:hAnsiTheme="minorEastAsia" w:eastAsiaTheme="minorEastAsia" w:cstheme="minorEastAsia"/>
          <w:sz w:val="24"/>
        </w:rPr>
        <w:t>；</w:t>
      </w:r>
    </w:p>
    <w:p>
      <w:pPr>
        <w:snapToGrid w:val="0"/>
        <w:spacing w:line="360" w:lineRule="auto"/>
        <w:ind w:firstLine="480" w:firstLineChars="200"/>
        <w:rPr>
          <w:rFonts w:asciiTheme="minorEastAsia" w:hAnsiTheme="minorEastAsia" w:eastAsiaTheme="minorEastAsia" w:cstheme="minorEastAsia"/>
          <w:sz w:val="24"/>
        </w:rPr>
      </w:pPr>
      <w:r>
        <w:rPr>
          <w:rFonts w:hint="eastAsia" w:ascii="宋体" w:hAnsi="宋体" w:cs="宋体"/>
          <w:sz w:val="24"/>
        </w:rPr>
        <w:t>⒋</w:t>
      </w:r>
      <w:r>
        <w:rPr>
          <w:rFonts w:hint="eastAsia" w:asciiTheme="minorEastAsia" w:hAnsiTheme="minorEastAsia" w:eastAsiaTheme="minorEastAsia" w:cstheme="minorEastAsia"/>
          <w:sz w:val="24"/>
        </w:rPr>
        <w:t xml:space="preserve"> 未参加投标活动的投标人或在投标活动中自身权益未受到损害的投标人所提出的质疑；</w:t>
      </w:r>
    </w:p>
    <w:p>
      <w:pPr>
        <w:snapToGrid w:val="0"/>
        <w:spacing w:line="360" w:lineRule="auto"/>
        <w:ind w:firstLine="480" w:firstLineChars="200"/>
        <w:rPr>
          <w:rFonts w:asciiTheme="minorEastAsia" w:hAnsiTheme="minorEastAsia" w:eastAsiaTheme="minorEastAsia" w:cstheme="minorEastAsia"/>
          <w:sz w:val="24"/>
        </w:rPr>
      </w:pPr>
      <w:r>
        <w:rPr>
          <w:rFonts w:hint="eastAsia" w:ascii="宋体" w:hAnsi="宋体" w:cs="宋体"/>
          <w:sz w:val="24"/>
        </w:rPr>
        <w:t>⒌</w:t>
      </w:r>
      <w:r>
        <w:rPr>
          <w:rFonts w:hint="eastAsia" w:asciiTheme="minorEastAsia" w:hAnsiTheme="minorEastAsia" w:eastAsiaTheme="minorEastAsia" w:cstheme="minorEastAsia"/>
          <w:sz w:val="24"/>
        </w:rPr>
        <w:t xml:space="preserve"> 投标人组成联合体参加投标，联合体中任何一方或多方未按要求签字、盖章、加盖公章的质疑；</w:t>
      </w:r>
    </w:p>
    <w:p>
      <w:pPr>
        <w:snapToGrid w:val="0"/>
        <w:spacing w:line="360" w:lineRule="auto"/>
        <w:ind w:firstLine="480" w:firstLineChars="200"/>
        <w:rPr>
          <w:rFonts w:asciiTheme="minorEastAsia" w:hAnsiTheme="minorEastAsia" w:eastAsiaTheme="minorEastAsia" w:cstheme="minorEastAsia"/>
          <w:sz w:val="24"/>
        </w:rPr>
      </w:pPr>
      <w:r>
        <w:rPr>
          <w:rFonts w:hint="eastAsia" w:ascii="宋体" w:hAnsi="宋体" w:cs="宋体"/>
          <w:sz w:val="24"/>
        </w:rPr>
        <w:t>⒍</w:t>
      </w:r>
      <w:r>
        <w:rPr>
          <w:rFonts w:hint="eastAsia" w:asciiTheme="minorEastAsia" w:hAnsiTheme="minorEastAsia" w:eastAsiaTheme="minorEastAsia" w:cstheme="minorEastAsia"/>
          <w:sz w:val="24"/>
        </w:rPr>
        <w:t xml:space="preserve"> 对同一事项重复质疑的；</w:t>
      </w:r>
    </w:p>
    <w:p>
      <w:pPr>
        <w:snapToGrid w:val="0"/>
        <w:spacing w:line="360" w:lineRule="auto"/>
        <w:ind w:firstLine="480" w:firstLineChars="200"/>
        <w:rPr>
          <w:rFonts w:asciiTheme="minorEastAsia" w:hAnsiTheme="minorEastAsia" w:eastAsiaTheme="minorEastAsia" w:cstheme="minorEastAsia"/>
          <w:sz w:val="24"/>
        </w:rPr>
      </w:pPr>
      <w:r>
        <w:rPr>
          <w:rFonts w:hint="eastAsia" w:ascii="宋体" w:hAnsi="宋体" w:cs="宋体"/>
          <w:sz w:val="24"/>
        </w:rPr>
        <w:t>⑾</w:t>
      </w:r>
      <w:r>
        <w:rPr>
          <w:rFonts w:hint="eastAsia" w:asciiTheme="minorEastAsia" w:hAnsiTheme="minorEastAsia" w:eastAsiaTheme="minorEastAsia" w:cstheme="minorEastAsia"/>
          <w:sz w:val="24"/>
        </w:rPr>
        <w:t xml:space="preserve"> 质疑有下列情形之一的，应暂不受理并告知供应商补充材料。逾期未补充的，不予受理：</w:t>
      </w:r>
    </w:p>
    <w:p>
      <w:pPr>
        <w:snapToGrid w:val="0"/>
        <w:spacing w:line="360" w:lineRule="auto"/>
        <w:ind w:firstLine="480" w:firstLineChars="200"/>
        <w:rPr>
          <w:rFonts w:asciiTheme="minorEastAsia" w:hAnsiTheme="minorEastAsia" w:eastAsiaTheme="minorEastAsia" w:cstheme="minorEastAsia"/>
          <w:sz w:val="24"/>
        </w:rPr>
      </w:pPr>
      <w:r>
        <w:rPr>
          <w:rFonts w:hint="eastAsia" w:ascii="宋体" w:hAnsi="宋体" w:cs="宋体"/>
          <w:sz w:val="24"/>
        </w:rPr>
        <w:t>⒈</w:t>
      </w:r>
      <w:r>
        <w:rPr>
          <w:rFonts w:hint="eastAsia" w:asciiTheme="minorEastAsia" w:hAnsiTheme="minorEastAsia" w:eastAsiaTheme="minorEastAsia" w:cstheme="minorEastAsia"/>
          <w:sz w:val="24"/>
        </w:rPr>
        <w:t xml:space="preserve"> 质疑书格式和内容不符合相关规定的；</w:t>
      </w:r>
    </w:p>
    <w:p>
      <w:pPr>
        <w:snapToGrid w:val="0"/>
        <w:spacing w:line="360" w:lineRule="auto"/>
        <w:ind w:firstLine="480" w:firstLineChars="200"/>
        <w:rPr>
          <w:rFonts w:asciiTheme="minorEastAsia" w:hAnsiTheme="minorEastAsia" w:eastAsiaTheme="minorEastAsia" w:cstheme="minorEastAsia"/>
          <w:sz w:val="24"/>
        </w:rPr>
      </w:pPr>
      <w:r>
        <w:rPr>
          <w:rFonts w:hint="eastAsia" w:ascii="宋体" w:hAnsi="宋体" w:cs="宋体"/>
          <w:sz w:val="24"/>
        </w:rPr>
        <w:t>⒉</w:t>
      </w:r>
      <w:r>
        <w:rPr>
          <w:rFonts w:hint="eastAsia" w:asciiTheme="minorEastAsia" w:hAnsiTheme="minorEastAsia" w:eastAsiaTheme="minorEastAsia" w:cstheme="minorEastAsia"/>
          <w:sz w:val="24"/>
        </w:rPr>
        <w:t xml:space="preserve"> 质疑书提供的依据或证明材料不全的；</w:t>
      </w:r>
    </w:p>
    <w:p>
      <w:pPr>
        <w:snapToGrid w:val="0"/>
        <w:spacing w:line="360" w:lineRule="auto"/>
        <w:ind w:firstLine="480" w:firstLineChars="200"/>
        <w:rPr>
          <w:rFonts w:asciiTheme="minorEastAsia" w:hAnsiTheme="minorEastAsia" w:eastAsiaTheme="minorEastAsia" w:cstheme="minorEastAsia"/>
          <w:sz w:val="24"/>
        </w:rPr>
      </w:pPr>
      <w:r>
        <w:rPr>
          <w:rFonts w:hint="eastAsia" w:ascii="宋体" w:hAnsi="宋体" w:cs="宋体"/>
          <w:sz w:val="24"/>
        </w:rPr>
        <w:t>⒊</w:t>
      </w:r>
      <w:r>
        <w:rPr>
          <w:rFonts w:hint="eastAsia" w:asciiTheme="minorEastAsia" w:hAnsiTheme="minorEastAsia" w:eastAsiaTheme="minorEastAsia" w:cstheme="minorEastAsia"/>
          <w:sz w:val="24"/>
        </w:rPr>
        <w:t xml:space="preserve"> 质疑书副本数量不足的。</w:t>
      </w:r>
    </w:p>
    <w:p>
      <w:pPr>
        <w:spacing w:line="360" w:lineRule="auto"/>
        <w:ind w:firstLine="480" w:firstLineChars="200"/>
        <w:rPr>
          <w:rFonts w:asciiTheme="minorEastAsia" w:hAnsiTheme="minorEastAsia" w:eastAsiaTheme="minorEastAsia" w:cstheme="minorEastAsia"/>
          <w:sz w:val="24"/>
          <w:lang w:val="zh-CN"/>
        </w:rPr>
      </w:pPr>
      <w:r>
        <w:rPr>
          <w:rFonts w:hint="eastAsia" w:ascii="宋体" w:hAnsi="宋体" w:cs="宋体"/>
          <w:sz w:val="24"/>
        </w:rPr>
        <w:t>⑿</w:t>
      </w:r>
      <w:r>
        <w:rPr>
          <w:rFonts w:hint="eastAsia" w:asciiTheme="minorEastAsia" w:hAnsiTheme="minorEastAsia" w:eastAsiaTheme="minorEastAsia" w:cstheme="minorEastAsia"/>
          <w:sz w:val="24"/>
        </w:rPr>
        <w:t xml:space="preserve"> 投标人提出书面质疑必须有理、有据，不得捏造事实、提供虚假材料进行恶意质疑。否则，一经查实，依据政府采购的有关规定，报请政府采购监管部门对该投标人进行相应的行政处罚和记录该供应商的失信信息。</w:t>
      </w:r>
    </w:p>
    <w:p>
      <w:pPr>
        <w:spacing w:line="360" w:lineRule="auto"/>
        <w:ind w:firstLine="480"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sz w:val="24"/>
        </w:rPr>
        <w:t>5.4 质疑答复</w:t>
      </w:r>
    </w:p>
    <w:p>
      <w:pPr>
        <w:spacing w:line="360" w:lineRule="auto"/>
        <w:ind w:firstLine="480" w:firstLineChars="200"/>
        <w:rPr>
          <w:rFonts w:asciiTheme="minorEastAsia" w:hAnsiTheme="minorEastAsia" w:eastAsiaTheme="minorEastAsia" w:cstheme="minorEastAsia"/>
          <w:sz w:val="24"/>
        </w:rPr>
      </w:pPr>
      <w:r>
        <w:rPr>
          <w:rStyle w:val="25"/>
          <w:rFonts w:hint="eastAsia" w:ascii="宋体" w:cs="宋体"/>
          <w:b w:val="0"/>
          <w:color w:val="000000"/>
          <w:sz w:val="24"/>
          <w:shd w:val="clear" w:color="auto" w:fill="FFFFFF"/>
        </w:rPr>
        <w:t>采购人或采购代理机构在收到供应商的书面质疑后将按规定的时间进行回复</w:t>
      </w:r>
      <w:r>
        <w:rPr>
          <w:rFonts w:hint="eastAsia" w:asciiTheme="minorEastAsia" w:hAnsiTheme="minorEastAsia" w:eastAsiaTheme="minorEastAsia" w:cstheme="minorEastAsia"/>
          <w:sz w:val="24"/>
        </w:rPr>
        <w:t>。</w:t>
      </w:r>
    </w:p>
    <w:p>
      <w:pPr>
        <w:spacing w:line="360" w:lineRule="auto"/>
        <w:ind w:firstLine="480" w:firstLineChars="200"/>
        <w:rPr>
          <w:rFonts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5.5 投诉</w:t>
      </w:r>
    </w:p>
    <w:p>
      <w:pPr>
        <w:spacing w:line="360" w:lineRule="auto"/>
        <w:ind w:firstLine="480" w:firstLineChars="200"/>
        <w:rPr>
          <w:rFonts w:ascii="宋体" w:cs="宋体"/>
          <w:sz w:val="24"/>
        </w:rPr>
      </w:pPr>
      <w:r>
        <w:rPr>
          <w:rStyle w:val="25"/>
          <w:rFonts w:hint="eastAsia" w:asciiTheme="minorEastAsia" w:hAnsiTheme="minorEastAsia" w:eastAsiaTheme="minorEastAsia" w:cstheme="minorEastAsia"/>
          <w:b w:val="0"/>
          <w:color w:val="000000"/>
          <w:sz w:val="24"/>
          <w:shd w:val="clear" w:color="auto" w:fill="FFFFFF"/>
        </w:rPr>
        <w:t>质疑供应商对采购人、采购代理机构的答复不满意或者采购人、采购代理机构未在规定的时间内作出答复的，可按《政府采购法》第55条和《政府采购质疑和投诉办法》（财政部令第94号）第17条等有关规定执行</w:t>
      </w:r>
      <w:r>
        <w:rPr>
          <w:rFonts w:hint="eastAsia" w:ascii="宋体" w:cs="宋体"/>
          <w:sz w:val="24"/>
          <w:lang w:val="zh-CN"/>
        </w:rPr>
        <w:t>。</w:t>
      </w:r>
    </w:p>
    <w:p/>
    <w:p>
      <w:pPr>
        <w:pStyle w:val="4"/>
        <w:jc w:val="center"/>
        <w:rPr>
          <w:rFonts w:cs="宋体"/>
          <w:sz w:val="24"/>
          <w:szCs w:val="24"/>
        </w:rPr>
      </w:pPr>
      <w:bookmarkStart w:id="12" w:name="_Toc1680"/>
      <w:r>
        <w:rPr>
          <w:rFonts w:ascii="Times New Roman" w:hAnsi="Times New Roman"/>
          <w:sz w:val="24"/>
          <w:szCs w:val="24"/>
        </w:rPr>
        <w:t>第</w:t>
      </w:r>
      <w:r>
        <w:rPr>
          <w:rFonts w:hint="eastAsia" w:ascii="Times New Roman" w:hAnsi="Times New Roman"/>
          <w:sz w:val="24"/>
          <w:szCs w:val="24"/>
        </w:rPr>
        <w:t>十</w:t>
      </w:r>
      <w:r>
        <w:rPr>
          <w:rFonts w:ascii="Times New Roman" w:hAnsi="Times New Roman"/>
          <w:sz w:val="24"/>
          <w:szCs w:val="24"/>
        </w:rPr>
        <w:t>节</w:t>
      </w:r>
      <w:r>
        <w:rPr>
          <w:rFonts w:hint="eastAsia" w:ascii="Times New Roman" w:hAnsi="Times New Roman"/>
          <w:sz w:val="24"/>
          <w:szCs w:val="24"/>
        </w:rPr>
        <w:t xml:space="preserve"> 需要补充的其他内容</w:t>
      </w:r>
      <w:bookmarkEnd w:id="12"/>
    </w:p>
    <w:p>
      <w:pPr>
        <w:spacing w:line="360" w:lineRule="auto"/>
        <w:ind w:firstLine="480" w:firstLineChars="200"/>
        <w:rPr>
          <w:rFonts w:cs="宋体"/>
          <w:color w:val="000000"/>
          <w:kern w:val="0"/>
          <w:sz w:val="24"/>
        </w:rPr>
      </w:pPr>
      <w:r>
        <w:rPr>
          <w:rFonts w:hint="eastAsia" w:ascii="宋体" w:cs="宋体"/>
          <w:sz w:val="24"/>
        </w:rPr>
        <w:t>需要补充的其他内容。</w:t>
      </w:r>
    </w:p>
    <w:p>
      <w:pPr>
        <w:pStyle w:val="12"/>
        <w:rPr>
          <w:rFonts w:cs="宋体"/>
          <w:color w:val="000000"/>
          <w:kern w:val="0"/>
          <w:sz w:val="24"/>
        </w:rPr>
      </w:pPr>
    </w:p>
    <w:p>
      <w:pPr>
        <w:rPr>
          <w:rFonts w:ascii="黑体" w:eastAsia="黑体" w:cs="黑体"/>
          <w:sz w:val="24"/>
        </w:rPr>
      </w:pPr>
      <w:r>
        <w:rPr>
          <w:rFonts w:hint="eastAsia" w:ascii="黑体" w:eastAsia="黑体" w:cs="黑体"/>
          <w:sz w:val="24"/>
        </w:rPr>
        <w:br w:type="page"/>
      </w:r>
    </w:p>
    <w:p>
      <w:pPr>
        <w:pStyle w:val="3"/>
        <w:jc w:val="center"/>
        <w:rPr>
          <w:rFonts w:ascii="黑体" w:eastAsia="黑体" w:cs="黑体"/>
          <w:sz w:val="24"/>
        </w:rPr>
      </w:pPr>
      <w:bookmarkStart w:id="13" w:name="_Toc2184"/>
      <w:r>
        <w:rPr>
          <w:rFonts w:hint="eastAsia" w:ascii="黑体" w:eastAsia="黑体" w:cs="黑体"/>
          <w:sz w:val="24"/>
        </w:rPr>
        <w:t>第三章  评标办法</w:t>
      </w:r>
      <w:bookmarkEnd w:id="13"/>
    </w:p>
    <w:p>
      <w:pPr>
        <w:pStyle w:val="4"/>
        <w:jc w:val="center"/>
        <w:rPr>
          <w:rFonts w:cs="宋体"/>
          <w:sz w:val="24"/>
          <w:szCs w:val="24"/>
        </w:rPr>
      </w:pPr>
      <w:bookmarkStart w:id="14" w:name="_Toc20234"/>
      <w:r>
        <w:rPr>
          <w:rFonts w:ascii="Times New Roman" w:hAnsi="Times New Roman"/>
          <w:sz w:val="24"/>
          <w:szCs w:val="24"/>
        </w:rPr>
        <w:t>第一节</w:t>
      </w:r>
      <w:r>
        <w:rPr>
          <w:rFonts w:hint="eastAsia" w:ascii="Times New Roman" w:hAnsi="Times New Roman"/>
          <w:sz w:val="24"/>
          <w:szCs w:val="24"/>
        </w:rPr>
        <w:t xml:space="preserve"> </w:t>
      </w:r>
      <w:r>
        <w:rPr>
          <w:rFonts w:cs="宋体"/>
          <w:bCs/>
          <w:color w:val="000000"/>
          <w:sz w:val="24"/>
          <w:szCs w:val="24"/>
        </w:rPr>
        <w:t>评标方法</w:t>
      </w:r>
      <w:bookmarkEnd w:id="14"/>
    </w:p>
    <w:p>
      <w:pPr>
        <w:spacing w:line="360" w:lineRule="auto"/>
        <w:ind w:firstLine="480" w:firstLineChars="200"/>
        <w:jc w:val="left"/>
        <w:rPr>
          <w:rFonts w:ascii="宋体"/>
          <w:kern w:val="0"/>
          <w:sz w:val="24"/>
        </w:rPr>
      </w:pPr>
      <w:r>
        <w:rPr>
          <w:rFonts w:hint="eastAsia" w:ascii="宋体"/>
          <w:kern w:val="0"/>
          <w:sz w:val="24"/>
        </w:rPr>
        <w:t>评标委员会对满足招标文件实质性要求的投标文件，按照本节规定的评审标准进行评审</w:t>
      </w:r>
      <w:r>
        <w:rPr>
          <w:rFonts w:hint="eastAsia" w:asciiTheme="minorEastAsia" w:hAnsiTheme="minorEastAsia" w:eastAsiaTheme="minorEastAsia" w:cstheme="minorEastAsia"/>
          <w:kern w:val="0"/>
          <w:sz w:val="24"/>
        </w:rPr>
        <w:t>，并按得分由高到低顺序推荐中标候选人</w:t>
      </w:r>
      <w:r>
        <w:rPr>
          <w:rFonts w:hint="eastAsia" w:ascii="宋体"/>
          <w:kern w:val="0"/>
          <w:sz w:val="24"/>
        </w:rPr>
        <w:t>。评标中各评委若发生意见分歧，以少数服从多数原则确定。</w:t>
      </w:r>
    </w:p>
    <w:p/>
    <w:p>
      <w:pPr>
        <w:pStyle w:val="4"/>
        <w:jc w:val="center"/>
        <w:rPr>
          <w:rFonts w:cs="宋体"/>
          <w:sz w:val="24"/>
          <w:szCs w:val="24"/>
        </w:rPr>
      </w:pPr>
      <w:bookmarkStart w:id="15" w:name="_Toc1908"/>
      <w:r>
        <w:rPr>
          <w:rFonts w:ascii="Times New Roman" w:hAnsi="Times New Roman"/>
          <w:sz w:val="24"/>
          <w:szCs w:val="24"/>
        </w:rPr>
        <w:t>第二节</w:t>
      </w:r>
      <w:r>
        <w:rPr>
          <w:rFonts w:hint="eastAsia" w:ascii="Times New Roman" w:hAnsi="Times New Roman"/>
          <w:sz w:val="24"/>
          <w:szCs w:val="24"/>
        </w:rPr>
        <w:t xml:space="preserve"> </w:t>
      </w:r>
      <w:r>
        <w:rPr>
          <w:rFonts w:cs="宋体"/>
          <w:bCs/>
          <w:color w:val="000000"/>
          <w:sz w:val="24"/>
          <w:szCs w:val="24"/>
        </w:rPr>
        <w:t>评标标准</w:t>
      </w:r>
      <w:bookmarkEnd w:id="15"/>
    </w:p>
    <w:p>
      <w:pPr>
        <w:pStyle w:val="14"/>
        <w:ind w:firstLine="480" w:firstLineChars="200"/>
        <w:jc w:val="left"/>
        <w:rPr>
          <w:rFonts w:ascii="宋体" w:cs="宋体"/>
          <w:color w:val="000000"/>
          <w:sz w:val="24"/>
          <w:szCs w:val="24"/>
        </w:rPr>
      </w:pPr>
      <w:r>
        <w:rPr>
          <w:rFonts w:hint="eastAsia" w:ascii="宋体" w:cs="宋体"/>
          <w:color w:val="000000"/>
          <w:sz w:val="24"/>
          <w:szCs w:val="24"/>
        </w:rPr>
        <w:t>根据评分法最大限度的满足招标文件中规定的各项综合评价的投标，且综合得分高低确定</w:t>
      </w:r>
      <w:r>
        <w:rPr>
          <w:rFonts w:hint="eastAsia" w:ascii="宋体" w:cs="宋体"/>
          <w:b/>
          <w:bCs/>
          <w:color w:val="000000"/>
          <w:sz w:val="24"/>
          <w:szCs w:val="24"/>
        </w:rPr>
        <w:t>中标候选人顺序排名</w:t>
      </w:r>
      <w:r>
        <w:rPr>
          <w:rFonts w:hint="eastAsia" w:ascii="宋体" w:cs="宋体"/>
          <w:color w:val="000000"/>
          <w:sz w:val="24"/>
          <w:szCs w:val="24"/>
        </w:rPr>
        <w:t>。</w:t>
      </w:r>
    </w:p>
    <w:p>
      <w:pPr>
        <w:widowControl/>
        <w:shd w:val="clear" w:color="auto" w:fill="FFFFFF"/>
        <w:snapToGrid w:val="0"/>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2.1 有效性审查：评审因素和评审标准见《有效性审查标准》。</w:t>
      </w:r>
    </w:p>
    <w:p>
      <w:pPr>
        <w:widowControl/>
        <w:shd w:val="clear" w:color="auto" w:fill="FFFFFF"/>
        <w:snapToGrid w:val="0"/>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2.2 资格审查标准：评审因素和评审标准见《资格审查标准》。</w:t>
      </w:r>
    </w:p>
    <w:p>
      <w:pPr>
        <w:widowControl/>
        <w:shd w:val="clear" w:color="auto" w:fill="FFFFFF"/>
        <w:snapToGrid w:val="0"/>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2.3 完备性及符合性审查标准：评审因素和评审标准见《完备性及符合性审查标准》。</w:t>
      </w:r>
    </w:p>
    <w:p>
      <w:pPr>
        <w:widowControl/>
        <w:shd w:val="clear" w:color="auto" w:fill="FFFFFF"/>
        <w:snapToGrid w:val="0"/>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2.4 详细评审标准：</w:t>
      </w:r>
    </w:p>
    <w:p>
      <w:pPr>
        <w:widowControl/>
        <w:shd w:val="clear" w:color="auto" w:fill="FFFFFF"/>
        <w:snapToGrid w:val="0"/>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color w:val="000000"/>
          <w:sz w:val="24"/>
        </w:rPr>
        <w:t xml:space="preserve">⑴ </w:t>
      </w:r>
      <w:r>
        <w:rPr>
          <w:rFonts w:hint="eastAsia" w:asciiTheme="minorEastAsia" w:hAnsiTheme="minorEastAsia" w:eastAsiaTheme="minorEastAsia" w:cstheme="minorEastAsia"/>
          <w:kern w:val="0"/>
          <w:sz w:val="24"/>
        </w:rPr>
        <w:t>技术详细评审标准：评审因素和评审标准见《技术标详细评审标准》。</w:t>
      </w:r>
    </w:p>
    <w:p>
      <w:pPr>
        <w:widowControl/>
        <w:shd w:val="clear" w:color="auto" w:fill="FFFFFF"/>
        <w:snapToGrid w:val="0"/>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color w:val="000000"/>
          <w:sz w:val="24"/>
        </w:rPr>
        <w:t xml:space="preserve">⑵ </w:t>
      </w:r>
      <w:r>
        <w:rPr>
          <w:rFonts w:hint="eastAsia" w:asciiTheme="minorEastAsia" w:hAnsiTheme="minorEastAsia" w:eastAsiaTheme="minorEastAsia" w:cstheme="minorEastAsia"/>
          <w:kern w:val="0"/>
          <w:sz w:val="24"/>
        </w:rPr>
        <w:t>投标报价评分标准：</w:t>
      </w:r>
    </w:p>
    <w:p>
      <w:pPr>
        <w:widowControl/>
        <w:shd w:val="clear" w:color="auto" w:fill="FFFFFF"/>
        <w:snapToGrid w:val="0"/>
        <w:spacing w:line="360" w:lineRule="auto"/>
        <w:ind w:firstLine="720" w:firstLineChars="300"/>
        <w:rPr>
          <w:rFonts w:asciiTheme="minorEastAsia" w:hAnsiTheme="minorEastAsia" w:eastAsiaTheme="minorEastAsia" w:cstheme="minorEastAsia"/>
          <w:kern w:val="0"/>
          <w:sz w:val="24"/>
        </w:rPr>
      </w:pPr>
      <w:r>
        <w:rPr>
          <w:rFonts w:hint="eastAsia" w:ascii="宋体" w:hAnsi="宋体" w:cs="宋体"/>
          <w:kern w:val="0"/>
          <w:sz w:val="24"/>
        </w:rPr>
        <w:t xml:space="preserve">① </w:t>
      </w:r>
      <w:r>
        <w:rPr>
          <w:rFonts w:hint="eastAsia" w:asciiTheme="minorEastAsia" w:hAnsiTheme="minorEastAsia" w:eastAsiaTheme="minorEastAsia" w:cstheme="minorEastAsia"/>
          <w:kern w:val="0"/>
          <w:sz w:val="24"/>
        </w:rPr>
        <w:t>分值构成及权重：见评标办法前附表。</w:t>
      </w:r>
    </w:p>
    <w:p>
      <w:pPr>
        <w:widowControl/>
        <w:shd w:val="clear" w:color="auto" w:fill="FFFFFF"/>
        <w:snapToGrid w:val="0"/>
        <w:spacing w:line="360" w:lineRule="auto"/>
        <w:ind w:firstLine="720" w:firstLineChars="300"/>
        <w:rPr>
          <w:rFonts w:asciiTheme="minorEastAsia" w:hAnsiTheme="minorEastAsia" w:eastAsiaTheme="minorEastAsia" w:cstheme="minorEastAsia"/>
          <w:kern w:val="0"/>
          <w:sz w:val="24"/>
        </w:rPr>
      </w:pPr>
      <w:r>
        <w:rPr>
          <w:rFonts w:hint="eastAsia" w:ascii="宋体" w:hAnsi="宋体" w:cs="宋体"/>
          <w:kern w:val="0"/>
          <w:sz w:val="24"/>
        </w:rPr>
        <w:t xml:space="preserve">② </w:t>
      </w:r>
      <w:r>
        <w:rPr>
          <w:rFonts w:hint="eastAsia" w:asciiTheme="minorEastAsia" w:hAnsiTheme="minorEastAsia" w:eastAsiaTheme="minorEastAsia" w:cstheme="minorEastAsia"/>
          <w:kern w:val="0"/>
          <w:sz w:val="24"/>
        </w:rPr>
        <w:t>评标基准价计算：见评标办法前附表。</w:t>
      </w:r>
    </w:p>
    <w:p>
      <w:pPr>
        <w:widowControl/>
        <w:shd w:val="clear" w:color="auto" w:fill="FFFFFF"/>
        <w:snapToGrid w:val="0"/>
        <w:spacing w:line="360" w:lineRule="auto"/>
        <w:ind w:firstLine="720" w:firstLineChars="300"/>
        <w:rPr>
          <w:rFonts w:asciiTheme="minorEastAsia" w:hAnsiTheme="minorEastAsia" w:eastAsiaTheme="minorEastAsia" w:cstheme="minorEastAsia"/>
          <w:kern w:val="0"/>
          <w:sz w:val="24"/>
        </w:rPr>
      </w:pPr>
      <w:r>
        <w:rPr>
          <w:rFonts w:hint="eastAsia" w:ascii="宋体" w:hAnsi="宋体" w:cs="宋体"/>
          <w:kern w:val="0"/>
          <w:sz w:val="24"/>
        </w:rPr>
        <w:t xml:space="preserve">③ </w:t>
      </w:r>
      <w:r>
        <w:rPr>
          <w:rFonts w:hint="eastAsia" w:asciiTheme="minorEastAsia" w:hAnsiTheme="minorEastAsia" w:eastAsiaTheme="minorEastAsia" w:cstheme="minorEastAsia"/>
          <w:kern w:val="0"/>
          <w:sz w:val="24"/>
        </w:rPr>
        <w:t>投标报价的偏差率计算：见评标办法前附表。</w:t>
      </w:r>
    </w:p>
    <w:p>
      <w:pPr>
        <w:widowControl/>
        <w:shd w:val="clear" w:color="auto" w:fill="FFFFFF"/>
        <w:snapToGrid w:val="0"/>
        <w:spacing w:line="360" w:lineRule="auto"/>
        <w:ind w:firstLine="720" w:firstLineChars="300"/>
        <w:rPr>
          <w:rFonts w:asciiTheme="minorEastAsia" w:hAnsiTheme="minorEastAsia" w:eastAsiaTheme="minorEastAsia" w:cstheme="minorEastAsia"/>
          <w:kern w:val="0"/>
          <w:sz w:val="24"/>
        </w:rPr>
      </w:pPr>
      <w:r>
        <w:rPr>
          <w:rFonts w:hint="eastAsia" w:ascii="宋体" w:hAnsi="宋体" w:cs="宋体"/>
          <w:kern w:val="0"/>
          <w:sz w:val="24"/>
        </w:rPr>
        <w:t xml:space="preserve">④ </w:t>
      </w:r>
      <w:r>
        <w:rPr>
          <w:rFonts w:hint="eastAsia" w:asciiTheme="minorEastAsia" w:hAnsiTheme="minorEastAsia" w:eastAsiaTheme="minorEastAsia" w:cstheme="minorEastAsia"/>
          <w:kern w:val="0"/>
          <w:sz w:val="24"/>
        </w:rPr>
        <w:t>投标报价得分的计算：见评标办法前附表。</w:t>
      </w:r>
    </w:p>
    <w:p/>
    <w:p>
      <w:pPr>
        <w:pStyle w:val="4"/>
        <w:jc w:val="center"/>
        <w:rPr>
          <w:rFonts w:cs="宋体"/>
          <w:sz w:val="24"/>
          <w:szCs w:val="24"/>
        </w:rPr>
      </w:pPr>
      <w:bookmarkStart w:id="16" w:name="_Toc9941"/>
      <w:r>
        <w:rPr>
          <w:rFonts w:ascii="Times New Roman" w:hAnsi="Times New Roman"/>
          <w:sz w:val="24"/>
          <w:szCs w:val="24"/>
        </w:rPr>
        <w:t>第三节</w:t>
      </w:r>
      <w:r>
        <w:rPr>
          <w:rFonts w:hint="eastAsia" w:ascii="Times New Roman" w:hAnsi="Times New Roman"/>
          <w:sz w:val="24"/>
          <w:szCs w:val="24"/>
        </w:rPr>
        <w:t xml:space="preserve"> </w:t>
      </w:r>
      <w:r>
        <w:rPr>
          <w:rFonts w:cs="宋体"/>
          <w:bCs/>
          <w:color w:val="000000"/>
          <w:sz w:val="24"/>
          <w:szCs w:val="24"/>
        </w:rPr>
        <w:t>评标程序</w:t>
      </w:r>
      <w:bookmarkEnd w:id="16"/>
    </w:p>
    <w:p>
      <w:pPr>
        <w:tabs>
          <w:tab w:val="left" w:pos="210"/>
        </w:tabs>
        <w:spacing w:line="360" w:lineRule="auto"/>
        <w:ind w:firstLine="480" w:firstLineChars="200"/>
        <w:jc w:val="left"/>
        <w:rPr>
          <w:rFonts w:ascii="宋体"/>
          <w:kern w:val="0"/>
          <w:sz w:val="24"/>
        </w:rPr>
      </w:pPr>
      <w:r>
        <w:rPr>
          <w:rFonts w:hint="eastAsia" w:ascii="宋体"/>
          <w:kern w:val="0"/>
          <w:sz w:val="24"/>
        </w:rPr>
        <w:t>评标活动将按以下步骤进行：评标准备，资格审查，完备性及符合性审查，详细评审，澄清、说明或补正，推荐中标候选人及提交评标报告。</w:t>
      </w:r>
    </w:p>
    <w:p/>
    <w:p>
      <w:pPr>
        <w:pStyle w:val="4"/>
        <w:jc w:val="center"/>
        <w:rPr>
          <w:rFonts w:cs="宋体"/>
          <w:sz w:val="24"/>
          <w:szCs w:val="24"/>
        </w:rPr>
      </w:pPr>
      <w:bookmarkStart w:id="17" w:name="_Toc27013"/>
      <w:r>
        <w:rPr>
          <w:rFonts w:cs="宋体"/>
          <w:sz w:val="24"/>
          <w:szCs w:val="24"/>
        </w:rPr>
        <w:t xml:space="preserve">第四节 </w:t>
      </w:r>
      <w:r>
        <w:rPr>
          <w:rFonts w:cs="宋体"/>
          <w:bCs/>
          <w:color w:val="000000"/>
          <w:sz w:val="24"/>
          <w:szCs w:val="24"/>
        </w:rPr>
        <w:t>评标准备</w:t>
      </w:r>
      <w:bookmarkEnd w:id="17"/>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4.1 评标委员会成员签到</w:t>
      </w:r>
    </w:p>
    <w:p>
      <w:pPr>
        <w:widowControl/>
        <w:shd w:val="clear" w:color="auto" w:fill="FFFFFF"/>
        <w:snapToGrid w:val="0"/>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color w:val="000000"/>
          <w:sz w:val="24"/>
        </w:rPr>
        <w:t xml:space="preserve">⑴ </w:t>
      </w:r>
      <w:r>
        <w:rPr>
          <w:rFonts w:hint="eastAsia" w:asciiTheme="minorEastAsia" w:hAnsiTheme="minorEastAsia" w:eastAsiaTheme="minorEastAsia" w:cstheme="minorEastAsia"/>
          <w:kern w:val="0"/>
          <w:sz w:val="24"/>
        </w:rPr>
        <w:t>评标委员会成员到达评标现场时应当在签到表上签到以证明其出席。</w:t>
      </w:r>
    </w:p>
    <w:p>
      <w:pPr>
        <w:widowControl/>
        <w:shd w:val="clear" w:color="auto" w:fill="FFFFFF"/>
        <w:snapToGrid w:val="0"/>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color w:val="000000"/>
          <w:sz w:val="24"/>
        </w:rPr>
        <w:t xml:space="preserve">⑵ </w:t>
      </w:r>
      <w:r>
        <w:rPr>
          <w:rFonts w:hint="eastAsia" w:asciiTheme="minorEastAsia" w:hAnsiTheme="minorEastAsia" w:eastAsiaTheme="minorEastAsia" w:cstheme="minorEastAsia"/>
          <w:kern w:val="0"/>
          <w:sz w:val="24"/>
        </w:rPr>
        <w:t>评标委员会的分工。</w:t>
      </w:r>
    </w:p>
    <w:p>
      <w:pPr>
        <w:widowControl/>
        <w:shd w:val="clear" w:color="auto" w:fill="FFFFFF"/>
        <w:snapToGrid w:val="0"/>
        <w:spacing w:line="360" w:lineRule="auto"/>
        <w:ind w:firstLine="720" w:firstLineChars="300"/>
        <w:rPr>
          <w:rFonts w:asciiTheme="minorEastAsia" w:hAnsiTheme="minorEastAsia" w:eastAsiaTheme="minorEastAsia" w:cstheme="minorEastAsia"/>
          <w:kern w:val="0"/>
          <w:sz w:val="24"/>
        </w:rPr>
      </w:pPr>
      <w:r>
        <w:rPr>
          <w:rFonts w:hint="eastAsia" w:ascii="宋体" w:hAnsi="宋体" w:cs="宋体"/>
          <w:kern w:val="0"/>
          <w:sz w:val="24"/>
        </w:rPr>
        <w:t xml:space="preserve">① </w:t>
      </w:r>
      <w:r>
        <w:rPr>
          <w:rFonts w:hint="eastAsia" w:asciiTheme="minorEastAsia" w:hAnsiTheme="minorEastAsia" w:eastAsiaTheme="minorEastAsia" w:cstheme="minorEastAsia"/>
          <w:kern w:val="0"/>
          <w:sz w:val="24"/>
        </w:rPr>
        <w:t>评标委员会首先推选一名评标委员会组长。</w:t>
      </w:r>
    </w:p>
    <w:p>
      <w:pPr>
        <w:widowControl/>
        <w:shd w:val="clear" w:color="auto" w:fill="FFFFFF"/>
        <w:snapToGrid w:val="0"/>
        <w:spacing w:line="360" w:lineRule="auto"/>
        <w:ind w:firstLine="720" w:firstLineChars="300"/>
        <w:rPr>
          <w:rFonts w:asciiTheme="minorEastAsia" w:hAnsiTheme="minorEastAsia" w:eastAsiaTheme="minorEastAsia" w:cstheme="minorEastAsia"/>
          <w:kern w:val="0"/>
          <w:sz w:val="24"/>
        </w:rPr>
      </w:pPr>
      <w:r>
        <w:rPr>
          <w:rFonts w:hint="eastAsia" w:ascii="宋体" w:hAnsi="宋体" w:cs="宋体"/>
          <w:kern w:val="0"/>
          <w:sz w:val="24"/>
        </w:rPr>
        <w:t xml:space="preserve">② </w:t>
      </w:r>
      <w:r>
        <w:rPr>
          <w:rFonts w:hint="eastAsia" w:asciiTheme="minorEastAsia" w:hAnsiTheme="minorEastAsia" w:eastAsiaTheme="minorEastAsia" w:cstheme="minorEastAsia"/>
          <w:kern w:val="0"/>
          <w:sz w:val="24"/>
        </w:rPr>
        <w:t>评标委员会组长负责评标活动的组织领导工作。评标委员会组长与评标委员会其他成员具有同等的评标权力；</w:t>
      </w:r>
    </w:p>
    <w:p>
      <w:pPr>
        <w:widowControl/>
        <w:shd w:val="clear" w:color="auto" w:fill="FFFFFF"/>
        <w:snapToGrid w:val="0"/>
        <w:spacing w:line="360" w:lineRule="auto"/>
        <w:ind w:firstLine="720" w:firstLineChars="300"/>
        <w:rPr>
          <w:rFonts w:asciiTheme="minorEastAsia" w:hAnsiTheme="minorEastAsia" w:eastAsiaTheme="minorEastAsia" w:cstheme="minorEastAsia"/>
          <w:kern w:val="0"/>
          <w:sz w:val="24"/>
        </w:rPr>
      </w:pPr>
      <w:r>
        <w:rPr>
          <w:rFonts w:hint="eastAsia" w:ascii="宋体" w:hAnsi="宋体" w:cs="宋体"/>
          <w:kern w:val="0"/>
          <w:sz w:val="24"/>
        </w:rPr>
        <w:t xml:space="preserve">③ </w:t>
      </w:r>
      <w:r>
        <w:rPr>
          <w:rFonts w:hint="eastAsia" w:asciiTheme="minorEastAsia" w:hAnsiTheme="minorEastAsia" w:eastAsiaTheme="minorEastAsia" w:cstheme="minorEastAsia"/>
          <w:kern w:val="0"/>
          <w:sz w:val="24"/>
        </w:rPr>
        <w:t xml:space="preserve">评标委员会组长除履行自己作为评标委员会成员独立评标的职责外，主要负责以下工作； </w:t>
      </w:r>
    </w:p>
    <w:p>
      <w:pPr>
        <w:widowControl/>
        <w:shd w:val="clear" w:color="auto" w:fill="FFFFFF"/>
        <w:snapToGrid w:val="0"/>
        <w:spacing w:line="360" w:lineRule="auto"/>
        <w:ind w:firstLine="720" w:firstLineChars="300"/>
        <w:rPr>
          <w:rFonts w:asciiTheme="minorEastAsia" w:hAnsiTheme="minorEastAsia" w:eastAsiaTheme="minorEastAsia" w:cstheme="minorEastAsia"/>
          <w:kern w:val="0"/>
          <w:sz w:val="24"/>
        </w:rPr>
      </w:pPr>
      <w:r>
        <w:rPr>
          <w:rFonts w:hint="eastAsia" w:ascii="宋体" w:hAnsi="宋体" w:cs="宋体"/>
          <w:kern w:val="0"/>
          <w:sz w:val="24"/>
        </w:rPr>
        <w:t>⒈</w:t>
      </w:r>
      <w:r>
        <w:rPr>
          <w:rFonts w:hint="eastAsia" w:asciiTheme="minorEastAsia" w:hAnsiTheme="minorEastAsia" w:eastAsiaTheme="minorEastAsia" w:cstheme="minorEastAsia"/>
          <w:kern w:val="0"/>
          <w:sz w:val="24"/>
        </w:rPr>
        <w:t xml:space="preserve"> 组织评标委员会成员学习招标文件；</w:t>
      </w:r>
    </w:p>
    <w:p>
      <w:pPr>
        <w:widowControl/>
        <w:shd w:val="clear" w:color="auto" w:fill="FFFFFF"/>
        <w:snapToGrid w:val="0"/>
        <w:spacing w:line="360" w:lineRule="auto"/>
        <w:ind w:firstLine="720" w:firstLineChars="300"/>
        <w:rPr>
          <w:rFonts w:asciiTheme="minorEastAsia" w:hAnsiTheme="minorEastAsia" w:eastAsiaTheme="minorEastAsia" w:cstheme="minorEastAsia"/>
          <w:kern w:val="0"/>
          <w:sz w:val="24"/>
        </w:rPr>
      </w:pPr>
      <w:r>
        <w:rPr>
          <w:rFonts w:hint="eastAsia" w:ascii="宋体" w:hAnsi="宋体" w:cs="宋体"/>
          <w:kern w:val="0"/>
          <w:sz w:val="24"/>
        </w:rPr>
        <w:t>⒉</w:t>
      </w:r>
      <w:r>
        <w:rPr>
          <w:rFonts w:hint="eastAsia" w:asciiTheme="minorEastAsia" w:hAnsiTheme="minorEastAsia" w:eastAsiaTheme="minorEastAsia" w:cstheme="minorEastAsia"/>
          <w:kern w:val="0"/>
          <w:sz w:val="24"/>
        </w:rPr>
        <w:t xml:space="preserve"> 汇总各评标委员会成员认为需要投标人澄清、说明或者补正的问题；</w:t>
      </w:r>
    </w:p>
    <w:p>
      <w:pPr>
        <w:widowControl/>
        <w:shd w:val="clear" w:color="auto" w:fill="FFFFFF"/>
        <w:snapToGrid w:val="0"/>
        <w:spacing w:line="360" w:lineRule="auto"/>
        <w:ind w:firstLine="720" w:firstLineChars="300"/>
        <w:rPr>
          <w:rFonts w:asciiTheme="minorEastAsia" w:hAnsiTheme="minorEastAsia" w:eastAsiaTheme="minorEastAsia" w:cstheme="minorEastAsia"/>
          <w:kern w:val="0"/>
          <w:sz w:val="24"/>
        </w:rPr>
      </w:pPr>
      <w:r>
        <w:rPr>
          <w:rFonts w:hint="eastAsia" w:ascii="宋体" w:hAnsi="宋体" w:cs="宋体"/>
          <w:kern w:val="0"/>
          <w:sz w:val="24"/>
        </w:rPr>
        <w:t>⒊</w:t>
      </w:r>
      <w:r>
        <w:rPr>
          <w:rFonts w:hint="eastAsia" w:asciiTheme="minorEastAsia" w:hAnsiTheme="minorEastAsia" w:eastAsiaTheme="minorEastAsia" w:cstheme="minorEastAsia"/>
          <w:kern w:val="0"/>
          <w:sz w:val="24"/>
        </w:rPr>
        <w:t xml:space="preserve"> 组织评标委员会对投标人质询并对投标人的答复进行评审；</w:t>
      </w:r>
    </w:p>
    <w:p>
      <w:pPr>
        <w:widowControl/>
        <w:shd w:val="clear" w:color="auto" w:fill="FFFFFF"/>
        <w:snapToGrid w:val="0"/>
        <w:spacing w:line="360" w:lineRule="auto"/>
        <w:ind w:firstLine="720" w:firstLineChars="300"/>
        <w:rPr>
          <w:rFonts w:asciiTheme="minorEastAsia" w:hAnsiTheme="minorEastAsia" w:eastAsiaTheme="minorEastAsia" w:cstheme="minorEastAsia"/>
          <w:kern w:val="0"/>
          <w:sz w:val="24"/>
        </w:rPr>
      </w:pPr>
      <w:r>
        <w:rPr>
          <w:rFonts w:hint="eastAsia" w:ascii="宋体" w:hAnsi="宋体" w:cs="宋体"/>
          <w:kern w:val="0"/>
          <w:sz w:val="24"/>
        </w:rPr>
        <w:t>⒋</w:t>
      </w:r>
      <w:r>
        <w:rPr>
          <w:rFonts w:hint="eastAsia" w:asciiTheme="minorEastAsia" w:hAnsiTheme="minorEastAsia" w:eastAsiaTheme="minorEastAsia" w:cstheme="minorEastAsia"/>
          <w:kern w:val="0"/>
          <w:sz w:val="24"/>
        </w:rPr>
        <w:t xml:space="preserve"> 对出现较大争议的事项进行书面记录；</w:t>
      </w:r>
    </w:p>
    <w:p>
      <w:pPr>
        <w:widowControl/>
        <w:shd w:val="clear" w:color="auto" w:fill="FFFFFF"/>
        <w:snapToGrid w:val="0"/>
        <w:spacing w:line="360" w:lineRule="auto"/>
        <w:ind w:firstLine="720" w:firstLineChars="300"/>
        <w:rPr>
          <w:rFonts w:asciiTheme="minorEastAsia" w:hAnsiTheme="minorEastAsia" w:eastAsiaTheme="minorEastAsia" w:cstheme="minorEastAsia"/>
          <w:kern w:val="0"/>
          <w:sz w:val="24"/>
        </w:rPr>
      </w:pPr>
      <w:r>
        <w:rPr>
          <w:rFonts w:hint="eastAsia" w:ascii="宋体" w:hAnsi="宋体" w:cs="宋体"/>
          <w:kern w:val="0"/>
          <w:sz w:val="24"/>
        </w:rPr>
        <w:t>⒌</w:t>
      </w:r>
      <w:r>
        <w:rPr>
          <w:rFonts w:hint="eastAsia" w:asciiTheme="minorEastAsia" w:hAnsiTheme="minorEastAsia" w:eastAsiaTheme="minorEastAsia" w:cstheme="minorEastAsia"/>
          <w:kern w:val="0"/>
          <w:sz w:val="24"/>
        </w:rPr>
        <w:t xml:space="preserve"> 组织收回评标过程中使用的文件、表格和评标记录以及其他资料，并查验评标记录的完整性及有效性；</w:t>
      </w:r>
    </w:p>
    <w:p>
      <w:pPr>
        <w:widowControl/>
        <w:shd w:val="clear" w:color="auto" w:fill="FFFFFF"/>
        <w:snapToGrid w:val="0"/>
        <w:spacing w:line="360" w:lineRule="auto"/>
        <w:ind w:firstLine="720" w:firstLineChars="300"/>
        <w:rPr>
          <w:rFonts w:asciiTheme="minorEastAsia" w:hAnsiTheme="minorEastAsia" w:eastAsiaTheme="minorEastAsia" w:cstheme="minorEastAsia"/>
          <w:kern w:val="0"/>
          <w:sz w:val="24"/>
        </w:rPr>
      </w:pPr>
      <w:r>
        <w:rPr>
          <w:rFonts w:hint="eastAsia" w:ascii="宋体" w:hAnsi="宋体" w:cs="宋体"/>
          <w:kern w:val="0"/>
          <w:sz w:val="24"/>
        </w:rPr>
        <w:t>⒍</w:t>
      </w:r>
      <w:r>
        <w:rPr>
          <w:rFonts w:hint="eastAsia" w:asciiTheme="minorEastAsia" w:hAnsiTheme="minorEastAsia" w:eastAsiaTheme="minorEastAsia" w:cstheme="minorEastAsia"/>
          <w:kern w:val="0"/>
          <w:sz w:val="24"/>
        </w:rPr>
        <w:t xml:space="preserve"> 组织对评标结论进行复核确认；</w:t>
      </w:r>
    </w:p>
    <w:p>
      <w:pPr>
        <w:widowControl/>
        <w:shd w:val="clear" w:color="auto" w:fill="FFFFFF"/>
        <w:snapToGrid w:val="0"/>
        <w:spacing w:line="360" w:lineRule="auto"/>
        <w:ind w:firstLine="720" w:firstLineChars="300"/>
        <w:rPr>
          <w:rFonts w:asciiTheme="minorEastAsia" w:hAnsiTheme="minorEastAsia" w:eastAsiaTheme="minorEastAsia" w:cstheme="minorEastAsia"/>
          <w:kern w:val="0"/>
          <w:sz w:val="24"/>
        </w:rPr>
      </w:pPr>
      <w:r>
        <w:rPr>
          <w:rFonts w:hint="eastAsia" w:ascii="宋体" w:hAnsi="宋体" w:cs="宋体"/>
          <w:kern w:val="0"/>
          <w:sz w:val="24"/>
        </w:rPr>
        <w:t>⒎</w:t>
      </w:r>
      <w:r>
        <w:rPr>
          <w:rFonts w:hint="eastAsia" w:asciiTheme="minorEastAsia" w:hAnsiTheme="minorEastAsia" w:eastAsiaTheme="minorEastAsia" w:cstheme="minorEastAsia"/>
          <w:kern w:val="0"/>
          <w:sz w:val="24"/>
        </w:rPr>
        <w:t xml:space="preserve"> 组织编写评标报告。</w:t>
      </w:r>
    </w:p>
    <w:p>
      <w:pPr>
        <w:widowControl/>
        <w:shd w:val="clear" w:color="auto" w:fill="FFFFFF"/>
        <w:snapToGrid w:val="0"/>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4.2 熟悉文件资料。</w:t>
      </w:r>
    </w:p>
    <w:p>
      <w:pPr>
        <w:widowControl/>
        <w:shd w:val="clear" w:color="auto" w:fill="FFFFFF"/>
        <w:snapToGrid w:val="0"/>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⑴ 评标委员会组长应当组织评标委员会成员认真研究招标文件，了解和熟悉招标目的、招标范围、主要合同条件、技术标准、质量标准和要求，掌握评标标准和方法，熟悉本章及附件中包括的评标表格的使用，如果本章及附件所附的表格不能满足评标所需时，评标委员会应当补充编制评标所需的表格。</w:t>
      </w:r>
    </w:p>
    <w:p>
      <w:pPr>
        <w:widowControl/>
        <w:shd w:val="clear" w:color="auto" w:fill="FFFFFF"/>
        <w:snapToGrid w:val="0"/>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⑵ 采购人或采购代理机构应当向评标委员会提供评标所需的信息和数据，包括：</w:t>
      </w:r>
    </w:p>
    <w:p>
      <w:pPr>
        <w:widowControl/>
        <w:shd w:val="clear" w:color="auto" w:fill="FFFFFF"/>
        <w:snapToGrid w:val="0"/>
        <w:spacing w:line="360" w:lineRule="auto"/>
        <w:ind w:firstLine="720" w:firstLineChars="300"/>
        <w:rPr>
          <w:rFonts w:asciiTheme="minorEastAsia" w:hAnsiTheme="minorEastAsia" w:eastAsiaTheme="minorEastAsia" w:cstheme="minorEastAsia"/>
          <w:kern w:val="0"/>
          <w:sz w:val="24"/>
        </w:rPr>
      </w:pPr>
      <w:r>
        <w:rPr>
          <w:rFonts w:hint="eastAsia" w:ascii="宋体" w:hAnsi="宋体" w:cs="宋体"/>
          <w:kern w:val="0"/>
          <w:sz w:val="24"/>
        </w:rPr>
        <w:t xml:space="preserve">① </w:t>
      </w:r>
      <w:r>
        <w:rPr>
          <w:rFonts w:hint="eastAsia" w:asciiTheme="minorEastAsia" w:hAnsiTheme="minorEastAsia" w:eastAsiaTheme="minorEastAsia" w:cstheme="minorEastAsia"/>
          <w:kern w:val="0"/>
          <w:sz w:val="24"/>
        </w:rPr>
        <w:t>招标文件及其澄清修改等招标文件补充；</w:t>
      </w:r>
    </w:p>
    <w:p>
      <w:pPr>
        <w:widowControl/>
        <w:shd w:val="clear" w:color="auto" w:fill="FFFFFF"/>
        <w:snapToGrid w:val="0"/>
        <w:spacing w:line="360" w:lineRule="auto"/>
        <w:ind w:firstLine="720" w:firstLineChars="300"/>
        <w:rPr>
          <w:rFonts w:asciiTheme="minorEastAsia" w:hAnsiTheme="minorEastAsia" w:eastAsiaTheme="minorEastAsia" w:cstheme="minorEastAsia"/>
          <w:kern w:val="0"/>
          <w:sz w:val="24"/>
        </w:rPr>
      </w:pPr>
      <w:r>
        <w:rPr>
          <w:rFonts w:hint="eastAsia" w:ascii="宋体" w:hAnsi="宋体" w:cs="宋体"/>
          <w:kern w:val="0"/>
          <w:sz w:val="24"/>
        </w:rPr>
        <w:t>②</w:t>
      </w:r>
      <w:r>
        <w:rPr>
          <w:rFonts w:hint="eastAsia" w:asciiTheme="minorEastAsia" w:hAnsiTheme="minorEastAsia" w:eastAsiaTheme="minorEastAsia" w:cstheme="minorEastAsia"/>
          <w:kern w:val="0"/>
          <w:sz w:val="24"/>
        </w:rPr>
        <w:t xml:space="preserve"> 未在开标会上当场拒绝的各投标文件；</w:t>
      </w:r>
    </w:p>
    <w:p>
      <w:pPr>
        <w:widowControl/>
        <w:shd w:val="clear" w:color="auto" w:fill="FFFFFF"/>
        <w:snapToGrid w:val="0"/>
        <w:spacing w:line="360" w:lineRule="auto"/>
        <w:ind w:firstLine="720" w:firstLineChars="300"/>
        <w:rPr>
          <w:rFonts w:asciiTheme="minorEastAsia" w:hAnsiTheme="minorEastAsia" w:eastAsiaTheme="minorEastAsia" w:cstheme="minorEastAsia"/>
          <w:kern w:val="0"/>
          <w:sz w:val="24"/>
        </w:rPr>
      </w:pPr>
      <w:r>
        <w:rPr>
          <w:rFonts w:hint="eastAsia" w:ascii="宋体" w:hAnsi="宋体" w:cs="宋体"/>
          <w:kern w:val="0"/>
          <w:sz w:val="24"/>
        </w:rPr>
        <w:t>③</w:t>
      </w:r>
      <w:r>
        <w:rPr>
          <w:rFonts w:hint="eastAsia" w:asciiTheme="minorEastAsia" w:hAnsiTheme="minorEastAsia" w:eastAsiaTheme="minorEastAsia" w:cstheme="minorEastAsia"/>
          <w:kern w:val="0"/>
          <w:sz w:val="24"/>
        </w:rPr>
        <w:t xml:space="preserve"> 开标会记录；</w:t>
      </w:r>
    </w:p>
    <w:p>
      <w:pPr>
        <w:widowControl/>
        <w:shd w:val="clear" w:color="auto" w:fill="FFFFFF"/>
        <w:snapToGrid w:val="0"/>
        <w:spacing w:line="360" w:lineRule="auto"/>
        <w:ind w:firstLine="720" w:firstLineChars="300"/>
        <w:rPr>
          <w:rFonts w:asciiTheme="minorEastAsia" w:hAnsiTheme="minorEastAsia" w:eastAsiaTheme="minorEastAsia" w:cstheme="minorEastAsia"/>
          <w:kern w:val="0"/>
          <w:sz w:val="24"/>
        </w:rPr>
      </w:pPr>
      <w:r>
        <w:rPr>
          <w:rFonts w:hint="eastAsia" w:ascii="宋体" w:hAnsi="宋体" w:cs="宋体"/>
          <w:kern w:val="0"/>
          <w:sz w:val="24"/>
        </w:rPr>
        <w:t>④</w:t>
      </w:r>
      <w:r>
        <w:rPr>
          <w:rFonts w:hint="eastAsia" w:asciiTheme="minorEastAsia" w:hAnsiTheme="minorEastAsia" w:eastAsiaTheme="minorEastAsia" w:cstheme="minorEastAsia"/>
          <w:kern w:val="0"/>
          <w:sz w:val="24"/>
        </w:rPr>
        <w:t xml:space="preserve"> 评标表格；</w:t>
      </w:r>
    </w:p>
    <w:p>
      <w:pPr>
        <w:widowControl/>
        <w:shd w:val="clear" w:color="auto" w:fill="FFFFFF"/>
        <w:snapToGrid w:val="0"/>
        <w:spacing w:line="360" w:lineRule="auto"/>
        <w:ind w:firstLine="720" w:firstLineChars="3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⑤ 其他信息和数据。</w:t>
      </w:r>
    </w:p>
    <w:p>
      <w:pPr>
        <w:widowControl/>
        <w:shd w:val="clear" w:color="auto" w:fill="FFFFFF"/>
        <w:snapToGrid w:val="0"/>
        <w:spacing w:line="360" w:lineRule="auto"/>
        <w:ind w:firstLine="720" w:firstLineChars="3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4.3有效性审查</w:t>
      </w:r>
    </w:p>
    <w:p>
      <w:pPr>
        <w:widowControl/>
        <w:shd w:val="clear" w:color="auto" w:fill="FFFFFF"/>
        <w:snapToGrid w:val="0"/>
        <w:spacing w:line="360" w:lineRule="auto"/>
        <w:ind w:firstLine="720" w:firstLineChars="3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监督人依据本章规定的审查标准，对投标人进行有效性审查，有效性未通过审查标准，监督人将认定整个投标文件不响应招标文件而否决其投标，并且不允许投标人通过修改或撤销其不符合要求的差异或保留，使之成为具有响应性的投标。</w:t>
      </w:r>
    </w:p>
    <w:p>
      <w:pPr>
        <w:widowControl/>
        <w:shd w:val="clear" w:color="auto" w:fill="FFFFFF"/>
        <w:snapToGrid w:val="0"/>
        <w:spacing w:line="360" w:lineRule="auto"/>
        <w:ind w:firstLine="720" w:firstLineChars="3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4.4资格审查（适用于资格后审）</w:t>
      </w:r>
    </w:p>
    <w:p>
      <w:pPr>
        <w:widowControl/>
        <w:shd w:val="clear" w:color="auto" w:fill="FFFFFF"/>
        <w:snapToGrid w:val="0"/>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采购人会依据本章规定的评审因素和审查标准，对投标人的资格审查资料进行资格审查。资格审查有一项未通过审查标准，采购人将认定整个投标文件不响应招标文件而否决其投标，并且不允许投标人通过修改或撤销其不符合要求的差异或保留，使之成为具有响应性的投标。</w:t>
      </w:r>
    </w:p>
    <w:p>
      <w:pPr>
        <w:widowControl/>
        <w:shd w:val="clear" w:color="auto" w:fill="FFFFFF"/>
        <w:snapToGrid w:val="0"/>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4.5完备性及符合性审查</w:t>
      </w:r>
    </w:p>
    <w:p>
      <w:pPr>
        <w:widowControl/>
        <w:shd w:val="clear" w:color="auto" w:fill="FFFFFF"/>
        <w:snapToGrid w:val="0"/>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⑴ 评标委员会依据本章规定的评审因素和评审标准，对投标人的投标文件进行完备性及符合性审查。完备性及符合性审查有一项未通过评审标准，评标委员会将认定整个投标文件不响应招标文件而否决其投标，并且不允许投标人通过修改或撤销其不符合要求的差异或保留，使之成为具有响应性的投标。</w:t>
      </w:r>
    </w:p>
    <w:p>
      <w:pPr>
        <w:widowControl/>
        <w:shd w:val="clear" w:color="auto" w:fill="FFFFFF"/>
        <w:snapToGrid w:val="0"/>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⑵ 完备性及符合性审查条款是指对本招标项目产生了重大影响的重大偏差，而且纠正此类偏差将会对响应本次招标的其他投标人的竞争地位产生不公正的影响。</w:t>
      </w:r>
    </w:p>
    <w:p>
      <w:pPr>
        <w:widowControl/>
        <w:shd w:val="clear" w:color="auto" w:fill="FFFFFF"/>
        <w:snapToGrid w:val="0"/>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⑶ 细微偏差是指投标文件在实质上响应招标文件要求，但在个别地方存在疏漏或者提供了不完整的技术信息和数据等情况，并且补正这些遗漏和不完整不会对其他投标人造成不公平的结果。细微偏差不影响投标文件的有效性，评标委员会可要求存在细微偏差的投标人予以补正。</w:t>
      </w:r>
    </w:p>
    <w:p>
      <w:pPr>
        <w:widowControl/>
        <w:shd w:val="clear" w:color="auto" w:fill="FFFFFF"/>
        <w:snapToGrid w:val="0"/>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4.6详细评审</w:t>
      </w:r>
    </w:p>
    <w:p>
      <w:pPr>
        <w:widowControl/>
        <w:shd w:val="clear" w:color="auto" w:fill="FFFFFF"/>
        <w:snapToGrid w:val="0"/>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⑴ 只有通过了有效性审查、资格审查、完备性及符合性审查的投标方可进入详细评审。</w:t>
      </w:r>
    </w:p>
    <w:p>
      <w:pPr>
        <w:widowControl/>
        <w:shd w:val="clear" w:color="auto" w:fill="FFFFFF"/>
        <w:snapToGrid w:val="0"/>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⑵ 澄清答疑：在不改变投标人投标文件实质性内容的前提下，评标委员会应当对投标文件进行基础性数据分析和整理，从而发现并提取其中可能存在的对招标范围理解的偏差、技术响应偏离、投标报价的算术性错误、错漏项、投标报价构成不合理、不平衡报价等存在明显异常的问题。评标委员会针对需要投标人进行书面澄清、说明或补正的，可向投标人发出书面澄清通知。澄清通知不得向投标人提出带有暗示性或诱导性问题，或向其明确投标文件中的遗漏和错误。投标人接到评标委员会发出的书面澄清通知后，应按评标委员会的要求提供书面澄清资料，并在规定的时间递交到指定地点。</w:t>
      </w:r>
    </w:p>
    <w:p>
      <w:pPr>
        <w:widowControl/>
        <w:shd w:val="clear" w:color="auto" w:fill="FFFFFF"/>
        <w:snapToGrid w:val="0"/>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⑶ 技术详细评审：见附表《技术标详细评审标准》。投标人的技术标详细评审得分等于全部评委评分的算术平均值。</w:t>
      </w:r>
    </w:p>
    <w:p>
      <w:pPr>
        <w:widowControl/>
        <w:shd w:val="clear" w:color="auto" w:fill="FFFFFF"/>
        <w:snapToGrid w:val="0"/>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⑷ 算术错误修正：投标报价有算术错误的，评标委员会按以下原则对投标报价进行修正，修正的价格经投标人书面确认后具有约束力。投标人不接受修正价格的，其投标将被否决。</w:t>
      </w:r>
    </w:p>
    <w:p>
      <w:pPr>
        <w:widowControl/>
        <w:shd w:val="clear" w:color="auto" w:fill="FFFFFF"/>
        <w:snapToGrid w:val="0"/>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⑸ 评标委员会发现投标人的报价明显低于其他投标报价，使得其投标报价可能低于其个别成本的，应当要求该投标人作出书面说明并提供相应的证明材料。投标人不能合理说明或者不能提供相应证明材料的，由评标委员会认定该投标人以低于成本报价竞标，否决其投标。</w:t>
      </w:r>
    </w:p>
    <w:p>
      <w:pPr>
        <w:widowControl/>
        <w:shd w:val="clear" w:color="auto" w:fill="FFFFFF"/>
        <w:snapToGrid w:val="0"/>
        <w:spacing w:line="360" w:lineRule="auto"/>
        <w:ind w:firstLine="480" w:firstLineChars="200"/>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kern w:val="0"/>
          <w:sz w:val="24"/>
        </w:rPr>
        <w:t>4.7澄清、说明和补正</w:t>
      </w:r>
    </w:p>
    <w:p>
      <w:pPr>
        <w:widowControl/>
        <w:shd w:val="clear" w:color="auto" w:fill="FFFFFF"/>
        <w:snapToGrid w:val="0"/>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⑴ 在不改变投标人投标文件实质性内容的前提下，评标委员会应当对投标文件进行基础性数据分析和整理，从而发现并提取其中可能存在的对招标范围理解的偏差、技术响应偏离、投标价格的算术性错误、错漏项、投标价格构成不合理、不平衡报价等存在明显异常的问题。</w:t>
      </w:r>
    </w:p>
    <w:p>
      <w:pPr>
        <w:widowControl/>
        <w:shd w:val="clear" w:color="auto" w:fill="FFFFFF"/>
        <w:snapToGrid w:val="0"/>
        <w:spacing w:line="360" w:lineRule="auto"/>
        <w:ind w:firstLine="480" w:firstLineChars="200"/>
        <w:rPr>
          <w:rFonts w:asciiTheme="minorEastAsia" w:hAnsiTheme="minorEastAsia" w:eastAsiaTheme="minorEastAsia" w:cstheme="minorEastAsia"/>
          <w:kern w:val="0"/>
          <w:sz w:val="24"/>
        </w:rPr>
      </w:pPr>
      <w:r>
        <w:rPr>
          <w:rFonts w:hint="eastAsia" w:ascii="宋体" w:hAnsi="宋体" w:cs="宋体"/>
          <w:kern w:val="0"/>
          <w:sz w:val="24"/>
        </w:rPr>
        <w:t>⑵</w:t>
      </w:r>
      <w:r>
        <w:rPr>
          <w:rFonts w:hint="eastAsia" w:asciiTheme="minorEastAsia" w:hAnsiTheme="minorEastAsia" w:eastAsiaTheme="minorEastAsia" w:cstheme="minorEastAsia"/>
          <w:kern w:val="0"/>
          <w:sz w:val="24"/>
        </w:rPr>
        <w:t xml:space="preserve"> 澄清、说明和补正内容不得改变投标文件的实质性内容（算术性错误修正的除外）。投标人的书面澄清、说明和补正属于投标文件的组成部分。</w:t>
      </w:r>
    </w:p>
    <w:p>
      <w:pPr>
        <w:widowControl/>
        <w:shd w:val="clear" w:color="auto" w:fill="FFFFFF"/>
        <w:snapToGrid w:val="0"/>
        <w:spacing w:line="360" w:lineRule="auto"/>
        <w:ind w:firstLine="480" w:firstLineChars="200"/>
        <w:rPr>
          <w:rFonts w:asciiTheme="minorEastAsia" w:hAnsiTheme="minorEastAsia" w:eastAsiaTheme="minorEastAsia" w:cstheme="minorEastAsia"/>
          <w:color w:val="FF0000"/>
          <w:kern w:val="0"/>
          <w:sz w:val="24"/>
        </w:rPr>
      </w:pPr>
      <w:r>
        <w:rPr>
          <w:rFonts w:hint="eastAsia" w:ascii="宋体" w:hAnsi="宋体" w:cs="宋体"/>
          <w:kern w:val="0"/>
          <w:sz w:val="24"/>
        </w:rPr>
        <w:t>⑶</w:t>
      </w:r>
      <w:r>
        <w:rPr>
          <w:rFonts w:hint="eastAsia" w:asciiTheme="minorEastAsia" w:hAnsiTheme="minorEastAsia" w:eastAsiaTheme="minorEastAsia" w:cstheme="minorEastAsia"/>
          <w:kern w:val="0"/>
          <w:sz w:val="24"/>
        </w:rPr>
        <w:t xml:space="preserve"> </w:t>
      </w:r>
      <w:r>
        <w:rPr>
          <w:rFonts w:hint="eastAsia" w:asciiTheme="minorEastAsia" w:hAnsiTheme="minorEastAsia" w:eastAsiaTheme="minorEastAsia" w:cstheme="minorEastAsia"/>
          <w:color w:val="000000"/>
          <w:kern w:val="0"/>
          <w:sz w:val="24"/>
        </w:rPr>
        <w:t>评标委员会</w:t>
      </w:r>
      <w:r>
        <w:rPr>
          <w:rFonts w:hint="eastAsia" w:asciiTheme="minorEastAsia" w:hAnsiTheme="minorEastAsia" w:eastAsiaTheme="minorEastAsia" w:cstheme="minorEastAsia"/>
          <w:kern w:val="0"/>
          <w:sz w:val="24"/>
        </w:rPr>
        <w:t>针对需要投标</w:t>
      </w:r>
      <w:r>
        <w:rPr>
          <w:rFonts w:hint="eastAsia" w:asciiTheme="minorEastAsia" w:hAnsiTheme="minorEastAsia" w:eastAsiaTheme="minorEastAsia" w:cstheme="minorEastAsia"/>
          <w:color w:val="000000"/>
          <w:kern w:val="0"/>
          <w:sz w:val="24"/>
        </w:rPr>
        <w:t>人对所提交投标文件中不明确的内容进行书面澄清、说明或补正。</w:t>
      </w:r>
      <w:r>
        <w:rPr>
          <w:rFonts w:hint="eastAsia" w:asciiTheme="minorEastAsia" w:hAnsiTheme="minorEastAsia" w:eastAsiaTheme="minorEastAsia" w:cstheme="minorEastAsia"/>
          <w:kern w:val="0"/>
          <w:sz w:val="24"/>
        </w:rPr>
        <w:t>澄清通知不得向投标人提出带有暗示性或诱导性问题，或向其明确投标文件中的遗漏和错误。</w:t>
      </w:r>
      <w:r>
        <w:rPr>
          <w:rFonts w:hint="eastAsia" w:asciiTheme="minorEastAsia" w:hAnsiTheme="minorEastAsia" w:eastAsiaTheme="minorEastAsia" w:cstheme="minorEastAsia"/>
          <w:color w:val="000000"/>
          <w:kern w:val="0"/>
          <w:sz w:val="24"/>
        </w:rPr>
        <w:t>投标人接到评标委员会发出的书面澄清通知后，应按评标委员会的要求提供书面澄清资料，并在规定的时间递交到指定地点。评标委员会不接受投标人主动提出的澄清、说明或补正。</w:t>
      </w:r>
    </w:p>
    <w:p>
      <w:pPr>
        <w:widowControl/>
        <w:shd w:val="clear" w:color="auto" w:fill="FFFFFF"/>
        <w:snapToGrid w:val="0"/>
        <w:spacing w:line="360" w:lineRule="auto"/>
        <w:ind w:firstLine="480" w:firstLineChars="200"/>
        <w:rPr>
          <w:rFonts w:asciiTheme="minorEastAsia" w:hAnsiTheme="minorEastAsia" w:eastAsiaTheme="minorEastAsia" w:cstheme="minorEastAsia"/>
          <w:kern w:val="0"/>
          <w:sz w:val="24"/>
        </w:rPr>
      </w:pPr>
      <w:r>
        <w:rPr>
          <w:rFonts w:hint="eastAsia" w:ascii="宋体" w:hAnsi="宋体" w:cs="宋体"/>
          <w:kern w:val="0"/>
          <w:sz w:val="24"/>
        </w:rPr>
        <w:t>⑷</w:t>
      </w:r>
      <w:r>
        <w:rPr>
          <w:rFonts w:hint="eastAsia" w:asciiTheme="minorEastAsia" w:hAnsiTheme="minorEastAsia" w:eastAsiaTheme="minorEastAsia" w:cstheme="minorEastAsia"/>
          <w:kern w:val="0"/>
          <w:sz w:val="24"/>
        </w:rPr>
        <w:t xml:space="preserve"> 评标委员会对投标人提交的澄清、说明或补正有疑问的，可以要求投标人进一步澄清、说明或补正，直至满足评标委员会的要求。</w:t>
      </w:r>
    </w:p>
    <w:p>
      <w:pPr>
        <w:widowControl/>
        <w:shd w:val="clear" w:color="auto" w:fill="FFFFFF"/>
        <w:snapToGrid w:val="0"/>
        <w:spacing w:line="360" w:lineRule="auto"/>
        <w:ind w:firstLine="480" w:firstLineChars="200"/>
        <w:rPr>
          <w:rFonts w:asciiTheme="minorEastAsia" w:hAnsiTheme="minorEastAsia" w:eastAsiaTheme="minorEastAsia" w:cstheme="minorEastAsia"/>
          <w:b/>
          <w:bCs/>
          <w:kern w:val="0"/>
          <w:sz w:val="24"/>
        </w:rPr>
      </w:pPr>
      <w:r>
        <w:rPr>
          <w:rFonts w:hint="eastAsia" w:ascii="宋体" w:hAnsi="宋体" w:cs="宋体"/>
          <w:kern w:val="0"/>
          <w:sz w:val="24"/>
        </w:rPr>
        <w:t>⑸</w:t>
      </w:r>
      <w:r>
        <w:rPr>
          <w:rFonts w:hint="eastAsia" w:asciiTheme="minorEastAsia" w:hAnsiTheme="minorEastAsia" w:eastAsiaTheme="minorEastAsia" w:cstheme="minorEastAsia"/>
          <w:kern w:val="0"/>
          <w:sz w:val="24"/>
        </w:rPr>
        <w:t xml:space="preserve"> </w:t>
      </w:r>
      <w:r>
        <w:rPr>
          <w:rFonts w:hint="eastAsia" w:asciiTheme="minorEastAsia" w:hAnsiTheme="minorEastAsia" w:eastAsiaTheme="minorEastAsia" w:cstheme="minorEastAsia"/>
          <w:b/>
          <w:bCs/>
          <w:kern w:val="0"/>
          <w:sz w:val="24"/>
        </w:rPr>
        <w:t>评标委员会发现投标人的报价明显低于其他投标人投标价格，使得其投标价格可能低于其成本的，</w:t>
      </w:r>
      <w:r>
        <w:rPr>
          <w:rFonts w:hint="eastAsia" w:asciiTheme="minorEastAsia" w:hAnsiTheme="minorEastAsia" w:eastAsiaTheme="minorEastAsia" w:cstheme="minorEastAsia"/>
          <w:b/>
          <w:bCs/>
          <w:color w:val="000000"/>
          <w:kern w:val="0"/>
          <w:sz w:val="24"/>
        </w:rPr>
        <w:t>可</w:t>
      </w:r>
      <w:r>
        <w:rPr>
          <w:rFonts w:hint="eastAsia" w:asciiTheme="minorEastAsia" w:hAnsiTheme="minorEastAsia" w:eastAsiaTheme="minorEastAsia" w:cstheme="minorEastAsia"/>
          <w:b/>
          <w:bCs/>
          <w:kern w:val="0"/>
          <w:sz w:val="24"/>
        </w:rPr>
        <w:t>要求该投标人作出书面说明并提供相应的证明材料。投标人不能合理说明或者不能提供相应证明材料的，由评标委员会认定该投标人以低于成本报价竞标，否决其投标。</w:t>
      </w:r>
    </w:p>
    <w:p>
      <w:pPr>
        <w:widowControl/>
        <w:shd w:val="clear" w:color="auto" w:fill="FFFFFF"/>
        <w:snapToGrid w:val="0"/>
        <w:spacing w:line="360" w:lineRule="auto"/>
        <w:ind w:firstLine="480" w:firstLineChars="200"/>
        <w:rPr>
          <w:rFonts w:asciiTheme="minorEastAsia" w:hAnsiTheme="minorEastAsia" w:eastAsiaTheme="minorEastAsia" w:cstheme="minorEastAsia"/>
          <w:kern w:val="0"/>
          <w:sz w:val="24"/>
        </w:rPr>
      </w:pPr>
      <w:r>
        <w:rPr>
          <w:rFonts w:hint="eastAsia" w:ascii="宋体" w:hAnsi="宋体" w:cs="宋体"/>
          <w:kern w:val="0"/>
          <w:sz w:val="24"/>
        </w:rPr>
        <w:t>⑹</w:t>
      </w:r>
      <w:r>
        <w:rPr>
          <w:rFonts w:hint="eastAsia" w:asciiTheme="minorEastAsia" w:hAnsiTheme="minorEastAsia" w:eastAsiaTheme="minorEastAsia" w:cstheme="minorEastAsia"/>
          <w:kern w:val="0"/>
          <w:sz w:val="24"/>
        </w:rPr>
        <w:t xml:space="preserve"> 投标报价评分：对投标报价进行投标报价得分计算，计算方法详见评标办法前附表。</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⑺ 汇总评分结果，评分分值计算保留小数点后两位，小数点后第三位“四舍五入”。</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⑻ 详细评审工作全部结束后，投标人总得分排序按照以下原则进行。</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⑼ 按照总得分由高到低顺序对投标人进行排序；</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⑽ 总得分相同时报价低的投标人排序靠前；</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⑾ 总得分相同且报价相同的投标人，采取随机抽取方式确定排序顺序。</w:t>
      </w:r>
    </w:p>
    <w:p>
      <w:pPr>
        <w:pStyle w:val="2"/>
      </w:pPr>
    </w:p>
    <w:p>
      <w:pPr>
        <w:widowControl/>
        <w:shd w:val="clear" w:color="auto" w:fill="FFFFFF"/>
        <w:snapToGrid w:val="0"/>
        <w:spacing w:line="360" w:lineRule="auto"/>
        <w:ind w:firstLine="482" w:firstLineChars="200"/>
        <w:jc w:val="center"/>
        <w:rPr>
          <w:rFonts w:ascii="宋体" w:cs="宋体"/>
          <w:b/>
          <w:sz w:val="24"/>
        </w:rPr>
      </w:pPr>
      <w:r>
        <w:rPr>
          <w:rFonts w:hint="eastAsia" w:ascii="宋体" w:cs="宋体"/>
          <w:b/>
          <w:sz w:val="24"/>
        </w:rPr>
        <w:t>问题澄清通知</w:t>
      </w:r>
    </w:p>
    <w:p>
      <w:pPr>
        <w:rPr>
          <w:rFonts w:ascii="宋体" w:cs="宋体"/>
          <w:kern w:val="0"/>
          <w:sz w:val="24"/>
        </w:rPr>
      </w:pPr>
      <w:r>
        <w:rPr>
          <w:rFonts w:hint="eastAsia" w:ascii="宋体" w:cs="宋体"/>
          <w:kern w:val="0"/>
          <w:sz w:val="24"/>
        </w:rPr>
        <w:t>（投标人名称）：</w:t>
      </w:r>
    </w:p>
    <w:p>
      <w:pPr>
        <w:ind w:firstLine="480" w:firstLineChars="200"/>
        <w:rPr>
          <w:rFonts w:ascii="宋体" w:cs="宋体"/>
          <w:kern w:val="0"/>
          <w:sz w:val="24"/>
        </w:rPr>
      </w:pPr>
      <w:r>
        <w:rPr>
          <w:rFonts w:hint="eastAsia" w:ascii="宋体" w:cs="宋体"/>
          <w:kern w:val="0"/>
          <w:sz w:val="24"/>
        </w:rPr>
        <w:t>（招标项目名称）招标的评标委员会，对你方的投标文件进行了仔细的审查，现需你方对本通知所附质疑问卷中的问题以书面形式予以澄清、说明或者补正。</w:t>
      </w:r>
    </w:p>
    <w:p>
      <w:pPr>
        <w:rPr>
          <w:rFonts w:ascii="宋体" w:cs="宋体"/>
          <w:kern w:val="0"/>
          <w:sz w:val="24"/>
        </w:rPr>
      </w:pPr>
      <w:r>
        <w:rPr>
          <w:rFonts w:hint="eastAsia" w:ascii="宋体" w:cs="宋体"/>
          <w:kern w:val="0"/>
          <w:sz w:val="24"/>
        </w:rPr>
        <w:t>质疑问题：</w:t>
      </w:r>
    </w:p>
    <w:p>
      <w:pPr>
        <w:rPr>
          <w:rFonts w:ascii="宋体" w:cs="宋体"/>
          <w:kern w:val="0"/>
          <w:sz w:val="24"/>
        </w:rPr>
      </w:pPr>
    </w:p>
    <w:p>
      <w:pPr>
        <w:rPr>
          <w:rFonts w:ascii="宋体" w:cs="宋体"/>
          <w:kern w:val="0"/>
          <w:sz w:val="24"/>
        </w:rPr>
      </w:pPr>
    </w:p>
    <w:p>
      <w:pPr>
        <w:rPr>
          <w:rFonts w:ascii="宋体" w:cs="宋体"/>
          <w:kern w:val="0"/>
          <w:sz w:val="24"/>
        </w:rPr>
      </w:pPr>
      <w:r>
        <w:rPr>
          <w:rFonts w:hint="eastAsia" w:ascii="宋体" w:cs="宋体"/>
          <w:kern w:val="0"/>
          <w:sz w:val="24"/>
        </w:rPr>
        <w:t>评标委员会员（签字）：</w:t>
      </w:r>
    </w:p>
    <w:p>
      <w:pPr>
        <w:rPr>
          <w:rFonts w:ascii="宋体" w:cs="宋体"/>
          <w:kern w:val="0"/>
          <w:sz w:val="24"/>
        </w:rPr>
      </w:pPr>
    </w:p>
    <w:p>
      <w:pPr>
        <w:rPr>
          <w:rFonts w:ascii="宋体" w:cs="宋体"/>
          <w:kern w:val="0"/>
          <w:sz w:val="24"/>
        </w:rPr>
      </w:pPr>
      <w:r>
        <w:rPr>
          <w:rFonts w:hint="eastAsia" w:ascii="宋体" w:cs="宋体"/>
          <w:kern w:val="0"/>
          <w:sz w:val="24"/>
        </w:rPr>
        <w:t>日期：    年    月    日</w:t>
      </w:r>
    </w:p>
    <w:p>
      <w:pPr>
        <w:pStyle w:val="5"/>
        <w:rPr>
          <w:rFonts w:cs="宋体"/>
        </w:rPr>
      </w:pPr>
    </w:p>
    <w:p>
      <w:pPr>
        <w:jc w:val="center"/>
        <w:rPr>
          <w:rFonts w:ascii="宋体" w:cs="宋体"/>
          <w:b/>
          <w:sz w:val="24"/>
        </w:rPr>
      </w:pPr>
      <w:r>
        <w:rPr>
          <w:rFonts w:hint="eastAsia" w:ascii="宋体" w:cs="宋体"/>
          <w:b/>
          <w:sz w:val="24"/>
        </w:rPr>
        <w:t>问题的澄清、说明或补正</w:t>
      </w:r>
    </w:p>
    <w:p>
      <w:pPr>
        <w:rPr>
          <w:rFonts w:ascii="宋体" w:cs="宋体"/>
          <w:kern w:val="0"/>
          <w:sz w:val="24"/>
        </w:rPr>
      </w:pPr>
    </w:p>
    <w:p>
      <w:pPr>
        <w:rPr>
          <w:rFonts w:ascii="宋体" w:cs="宋体"/>
          <w:kern w:val="0"/>
          <w:sz w:val="24"/>
        </w:rPr>
      </w:pPr>
      <w:r>
        <w:rPr>
          <w:rFonts w:hint="eastAsia" w:ascii="宋体" w:cs="宋体"/>
          <w:kern w:val="0"/>
          <w:sz w:val="24"/>
        </w:rPr>
        <w:t>评标委员会：</w:t>
      </w:r>
    </w:p>
    <w:p>
      <w:pPr>
        <w:ind w:firstLine="480" w:firstLineChars="200"/>
        <w:rPr>
          <w:rFonts w:ascii="宋体" w:cs="宋体"/>
          <w:kern w:val="0"/>
          <w:sz w:val="24"/>
        </w:rPr>
      </w:pPr>
      <w:r>
        <w:rPr>
          <w:rFonts w:hint="eastAsia" w:ascii="宋体" w:cs="宋体"/>
          <w:kern w:val="0"/>
          <w:sz w:val="24"/>
        </w:rPr>
        <w:t>（招标项目名称）的问题澄清通知已收悉，现澄清、说明或者补正如下：</w:t>
      </w:r>
    </w:p>
    <w:p>
      <w:pPr>
        <w:rPr>
          <w:rFonts w:ascii="宋体" w:cs="宋体"/>
          <w:kern w:val="0"/>
          <w:sz w:val="24"/>
        </w:rPr>
      </w:pPr>
    </w:p>
    <w:p>
      <w:pPr>
        <w:rPr>
          <w:rFonts w:ascii="宋体" w:cs="宋体"/>
          <w:kern w:val="0"/>
          <w:sz w:val="24"/>
        </w:rPr>
      </w:pPr>
      <w:r>
        <w:rPr>
          <w:rFonts w:hint="eastAsia" w:ascii="宋体" w:cs="宋体"/>
          <w:kern w:val="0"/>
          <w:sz w:val="24"/>
        </w:rPr>
        <w:t>法定代表人或其授权委托人（签字）：</w:t>
      </w:r>
    </w:p>
    <w:p>
      <w:pPr>
        <w:rPr>
          <w:rFonts w:ascii="宋体" w:cs="宋体"/>
          <w:kern w:val="0"/>
          <w:sz w:val="24"/>
        </w:rPr>
      </w:pPr>
    </w:p>
    <w:p>
      <w:pPr>
        <w:rPr>
          <w:rFonts w:ascii="宋体" w:cs="宋体"/>
          <w:kern w:val="0"/>
          <w:sz w:val="24"/>
        </w:rPr>
      </w:pPr>
      <w:r>
        <w:rPr>
          <w:rFonts w:hint="eastAsia" w:ascii="宋体" w:cs="宋体"/>
          <w:kern w:val="0"/>
          <w:sz w:val="24"/>
        </w:rPr>
        <w:t>日期：    年    月    日</w:t>
      </w:r>
    </w:p>
    <w:p>
      <w:pPr>
        <w:jc w:val="center"/>
        <w:rPr>
          <w:rFonts w:ascii="宋体" w:cs="宋体"/>
          <w:b/>
          <w:sz w:val="24"/>
        </w:rPr>
      </w:pPr>
    </w:p>
    <w:p>
      <w:pPr>
        <w:widowControl/>
        <w:shd w:val="clear" w:color="auto" w:fill="FFFFFF"/>
        <w:snapToGrid w:val="0"/>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4.8 推荐成交候选人及提交评标报告</w:t>
      </w:r>
    </w:p>
    <w:p>
      <w:pPr>
        <w:widowControl/>
        <w:shd w:val="clear" w:color="auto" w:fill="FFFFFF"/>
        <w:snapToGrid w:val="0"/>
        <w:spacing w:line="360" w:lineRule="auto"/>
        <w:ind w:firstLine="480" w:firstLineChars="200"/>
        <w:rPr>
          <w:rFonts w:asciiTheme="minorEastAsia" w:hAnsiTheme="minorEastAsia" w:eastAsiaTheme="minorEastAsia" w:cstheme="minorEastAsia"/>
          <w:kern w:val="0"/>
          <w:sz w:val="24"/>
        </w:rPr>
      </w:pPr>
      <w:r>
        <w:rPr>
          <w:rFonts w:hint="eastAsia" w:ascii="宋体" w:hAnsi="宋体" w:cs="宋体"/>
          <w:kern w:val="0"/>
          <w:sz w:val="24"/>
        </w:rPr>
        <w:t>⑴</w:t>
      </w:r>
      <w:r>
        <w:rPr>
          <w:rFonts w:hint="eastAsia" w:asciiTheme="minorEastAsia" w:hAnsiTheme="minorEastAsia" w:eastAsiaTheme="minorEastAsia" w:cstheme="minorEastAsia"/>
          <w:kern w:val="0"/>
          <w:sz w:val="24"/>
        </w:rPr>
        <w:t xml:space="preserve"> 评标委员会推荐成交候选人，得分由高到低顺序排列排序第一的投标人将被确定为第一成交候选人，以此类推确定出规定数量的的成交候选人。</w:t>
      </w:r>
    </w:p>
    <w:p>
      <w:pPr>
        <w:widowControl/>
        <w:shd w:val="clear" w:color="auto" w:fill="FFFFFF"/>
        <w:snapToGrid w:val="0"/>
        <w:spacing w:line="360" w:lineRule="auto"/>
        <w:ind w:firstLine="480" w:firstLineChars="200"/>
        <w:rPr>
          <w:rFonts w:asciiTheme="minorEastAsia" w:hAnsiTheme="minorEastAsia" w:eastAsiaTheme="minorEastAsia" w:cstheme="minorEastAsia"/>
          <w:kern w:val="0"/>
          <w:sz w:val="24"/>
        </w:rPr>
      </w:pPr>
      <w:r>
        <w:rPr>
          <w:rFonts w:hint="eastAsia" w:ascii="宋体" w:hAnsi="宋体" w:cs="宋体"/>
          <w:kern w:val="0"/>
          <w:sz w:val="24"/>
        </w:rPr>
        <w:t>⑵</w:t>
      </w:r>
      <w:r>
        <w:rPr>
          <w:rFonts w:hint="eastAsia" w:asciiTheme="minorEastAsia" w:hAnsiTheme="minorEastAsia" w:eastAsiaTheme="minorEastAsia" w:cstheme="minorEastAsia"/>
          <w:kern w:val="0"/>
          <w:sz w:val="24"/>
        </w:rPr>
        <w:t xml:space="preserve"> 当通过了资格审查、完备性及符合性审查后，投标人少于3个时，采购人应当依法重新招标。</w:t>
      </w:r>
    </w:p>
    <w:p>
      <w:pPr>
        <w:widowControl/>
        <w:shd w:val="clear" w:color="auto" w:fill="FFFFFF"/>
        <w:snapToGrid w:val="0"/>
        <w:spacing w:line="360" w:lineRule="auto"/>
        <w:ind w:firstLine="480" w:firstLineChars="200"/>
        <w:rPr>
          <w:rFonts w:asciiTheme="minorEastAsia" w:hAnsiTheme="minorEastAsia" w:eastAsiaTheme="minorEastAsia" w:cstheme="minorEastAsia"/>
          <w:kern w:val="0"/>
          <w:sz w:val="24"/>
        </w:rPr>
      </w:pPr>
      <w:r>
        <w:rPr>
          <w:rFonts w:hint="eastAsia" w:ascii="宋体" w:hAnsi="宋体" w:cs="宋体"/>
          <w:kern w:val="0"/>
          <w:sz w:val="24"/>
        </w:rPr>
        <w:t>⑶</w:t>
      </w:r>
      <w:r>
        <w:rPr>
          <w:rFonts w:hint="eastAsia" w:asciiTheme="minorEastAsia" w:hAnsiTheme="minorEastAsia" w:eastAsiaTheme="minorEastAsia" w:cstheme="minorEastAsia"/>
          <w:kern w:val="0"/>
          <w:sz w:val="24"/>
        </w:rPr>
        <w:t xml:space="preserve"> 评标委员会完成评标后，应当向采购人提交书面评标报告。</w:t>
      </w:r>
    </w:p>
    <w:p>
      <w:pPr>
        <w:widowControl/>
        <w:shd w:val="clear" w:color="auto" w:fill="FFFFFF"/>
        <w:snapToGrid w:val="0"/>
        <w:spacing w:line="360" w:lineRule="auto"/>
        <w:ind w:firstLine="480" w:firstLineChars="200"/>
        <w:rPr>
          <w:rFonts w:asciiTheme="minorEastAsia" w:hAnsiTheme="minorEastAsia" w:eastAsiaTheme="minorEastAsia" w:cstheme="minorEastAsia"/>
          <w:kern w:val="0"/>
          <w:sz w:val="24"/>
        </w:rPr>
      </w:pPr>
      <w:r>
        <w:rPr>
          <w:rFonts w:hint="eastAsia" w:ascii="宋体" w:hAnsi="宋体" w:cs="宋体"/>
          <w:kern w:val="0"/>
          <w:sz w:val="24"/>
        </w:rPr>
        <w:t>⑷</w:t>
      </w:r>
      <w:r>
        <w:rPr>
          <w:rFonts w:hint="eastAsia" w:asciiTheme="minorEastAsia" w:hAnsiTheme="minorEastAsia" w:eastAsiaTheme="minorEastAsia" w:cstheme="minorEastAsia"/>
          <w:kern w:val="0"/>
          <w:sz w:val="24"/>
        </w:rPr>
        <w:t xml:space="preserve"> 特殊情况的处置程序</w:t>
      </w:r>
    </w:p>
    <w:p>
      <w:pPr>
        <w:widowControl/>
        <w:shd w:val="clear" w:color="auto" w:fill="FFFFFF"/>
        <w:snapToGrid w:val="0"/>
        <w:spacing w:line="360" w:lineRule="auto"/>
        <w:ind w:firstLine="720" w:firstLineChars="300"/>
        <w:rPr>
          <w:rFonts w:asciiTheme="minorEastAsia" w:hAnsiTheme="minorEastAsia" w:eastAsiaTheme="minorEastAsia" w:cstheme="minorEastAsia"/>
          <w:kern w:val="0"/>
          <w:sz w:val="24"/>
        </w:rPr>
      </w:pPr>
      <w:r>
        <w:rPr>
          <w:rFonts w:hint="eastAsia" w:ascii="宋体" w:hAnsi="宋体" w:cs="宋体"/>
          <w:kern w:val="0"/>
          <w:sz w:val="24"/>
        </w:rPr>
        <w:t xml:space="preserve">① </w:t>
      </w:r>
      <w:r>
        <w:rPr>
          <w:rFonts w:hint="eastAsia" w:asciiTheme="minorEastAsia" w:hAnsiTheme="minorEastAsia" w:eastAsiaTheme="minorEastAsia" w:cstheme="minorEastAsia"/>
          <w:kern w:val="0"/>
          <w:sz w:val="24"/>
        </w:rPr>
        <w:t>关于评标活动暂停。评标委员会应当执行连续评标的原则，按评标办法中规定的程序、内容、方法、标准完成全部评标工作。只有发生不可抗力导致评标工作无法继续时，评标活动方可暂停。发生评标暂停情况时，应当封存全部投标文件和评标记录，待不可抗力的影响结束且具备继续评标的条件时，由原评标委员会继续评标。</w:t>
      </w:r>
    </w:p>
    <w:p>
      <w:pPr>
        <w:widowControl/>
        <w:shd w:val="clear" w:color="auto" w:fill="FFFFFF"/>
        <w:snapToGrid w:val="0"/>
        <w:spacing w:line="360" w:lineRule="auto"/>
        <w:ind w:firstLine="720" w:firstLineChars="300"/>
        <w:rPr>
          <w:rFonts w:asciiTheme="minorEastAsia" w:hAnsiTheme="minorEastAsia" w:eastAsiaTheme="minorEastAsia" w:cstheme="minorEastAsia"/>
          <w:kern w:val="0"/>
          <w:sz w:val="24"/>
        </w:rPr>
      </w:pPr>
      <w:r>
        <w:rPr>
          <w:rFonts w:hint="eastAsia" w:ascii="宋体" w:hAnsi="宋体" w:cs="宋体"/>
          <w:kern w:val="0"/>
          <w:sz w:val="24"/>
        </w:rPr>
        <w:t>②</w:t>
      </w:r>
      <w:r>
        <w:rPr>
          <w:rFonts w:hint="eastAsia" w:asciiTheme="minorEastAsia" w:hAnsiTheme="minorEastAsia" w:eastAsiaTheme="minorEastAsia" w:cstheme="minorEastAsia"/>
          <w:kern w:val="0"/>
          <w:sz w:val="24"/>
        </w:rPr>
        <w:t xml:space="preserve"> 关于评标中途更换评委。除非发生下列情况之一，评标委员会成员不得在评标中途更换：</w:t>
      </w:r>
    </w:p>
    <w:p>
      <w:pPr>
        <w:widowControl/>
        <w:shd w:val="clear" w:color="auto" w:fill="FFFFFF"/>
        <w:snapToGrid w:val="0"/>
        <w:spacing w:line="360" w:lineRule="auto"/>
        <w:ind w:firstLine="720" w:firstLineChars="300"/>
        <w:rPr>
          <w:rFonts w:asciiTheme="minorEastAsia" w:hAnsiTheme="minorEastAsia" w:eastAsiaTheme="minorEastAsia" w:cstheme="minorEastAsia"/>
          <w:kern w:val="0"/>
          <w:sz w:val="24"/>
        </w:rPr>
      </w:pPr>
      <w:r>
        <w:rPr>
          <w:rFonts w:hint="eastAsia" w:ascii="宋体" w:hAnsi="宋体" w:cs="宋体"/>
          <w:kern w:val="0"/>
          <w:sz w:val="24"/>
        </w:rPr>
        <w:t xml:space="preserve">⒈ </w:t>
      </w:r>
      <w:r>
        <w:rPr>
          <w:rFonts w:hint="eastAsia" w:asciiTheme="minorEastAsia" w:hAnsiTheme="minorEastAsia" w:eastAsiaTheme="minorEastAsia" w:cstheme="minorEastAsia"/>
          <w:kern w:val="0"/>
          <w:sz w:val="24"/>
        </w:rPr>
        <w:t>因不可抗拒的客观原因，不能到场或需在评标中途退出评标活动。</w:t>
      </w:r>
    </w:p>
    <w:p>
      <w:pPr>
        <w:widowControl/>
        <w:shd w:val="clear" w:color="auto" w:fill="FFFFFF"/>
        <w:snapToGrid w:val="0"/>
        <w:spacing w:line="360" w:lineRule="auto"/>
        <w:ind w:firstLine="720" w:firstLineChars="300"/>
        <w:rPr>
          <w:rFonts w:asciiTheme="minorEastAsia" w:hAnsiTheme="minorEastAsia" w:eastAsiaTheme="minorEastAsia" w:cstheme="minorEastAsia"/>
          <w:kern w:val="0"/>
          <w:sz w:val="24"/>
        </w:rPr>
      </w:pPr>
      <w:r>
        <w:rPr>
          <w:rFonts w:hint="eastAsia" w:ascii="宋体" w:hAnsi="宋体" w:cs="宋体"/>
          <w:kern w:val="0"/>
          <w:sz w:val="24"/>
        </w:rPr>
        <w:t xml:space="preserve">⒉ </w:t>
      </w:r>
      <w:r>
        <w:rPr>
          <w:rFonts w:hint="eastAsia" w:asciiTheme="minorEastAsia" w:hAnsiTheme="minorEastAsia" w:eastAsiaTheme="minorEastAsia" w:cstheme="minorEastAsia"/>
          <w:kern w:val="0"/>
          <w:sz w:val="24"/>
        </w:rPr>
        <w:t>根据法律法规规定，某个或某几个评标委员会成员需要回避。</w:t>
      </w:r>
    </w:p>
    <w:p>
      <w:pPr>
        <w:widowControl/>
        <w:shd w:val="clear" w:color="auto" w:fill="FFFFFF"/>
        <w:snapToGrid w:val="0"/>
        <w:spacing w:line="360" w:lineRule="auto"/>
        <w:ind w:firstLine="720" w:firstLineChars="300"/>
        <w:rPr>
          <w:rFonts w:asciiTheme="minorEastAsia" w:hAnsiTheme="minorEastAsia" w:eastAsiaTheme="minorEastAsia" w:cstheme="minorEastAsia"/>
          <w:kern w:val="0"/>
          <w:sz w:val="24"/>
        </w:rPr>
      </w:pPr>
      <w:r>
        <w:rPr>
          <w:rFonts w:hint="eastAsia" w:ascii="宋体" w:hAnsi="宋体" w:cs="宋体"/>
          <w:kern w:val="0"/>
          <w:sz w:val="24"/>
        </w:rPr>
        <w:t xml:space="preserve">⒊ </w:t>
      </w:r>
      <w:r>
        <w:rPr>
          <w:rFonts w:hint="eastAsia" w:asciiTheme="minorEastAsia" w:hAnsiTheme="minorEastAsia" w:eastAsiaTheme="minorEastAsia" w:cstheme="minorEastAsia"/>
          <w:kern w:val="0"/>
          <w:sz w:val="24"/>
        </w:rPr>
        <w:t>退出评标的评标委员会成员，其已完成的评标行为无效，由更换的评委进行评标。</w:t>
      </w:r>
    </w:p>
    <w:p>
      <w:pPr>
        <w:widowControl/>
        <w:shd w:val="clear" w:color="auto" w:fill="FFFFFF"/>
        <w:snapToGrid w:val="0"/>
        <w:spacing w:line="360" w:lineRule="auto"/>
        <w:ind w:firstLine="720" w:firstLineChars="300"/>
        <w:rPr>
          <w:rFonts w:ascii="宋体" w:cs="宋体"/>
          <w:kern w:val="0"/>
          <w:sz w:val="24"/>
        </w:rPr>
      </w:pPr>
      <w:r>
        <w:rPr>
          <w:rFonts w:hint="eastAsia" w:ascii="宋体" w:hAnsi="宋体" w:cs="宋体"/>
          <w:kern w:val="0"/>
          <w:sz w:val="24"/>
        </w:rPr>
        <w:t xml:space="preserve">⒋ </w:t>
      </w:r>
      <w:r>
        <w:rPr>
          <w:rFonts w:hint="eastAsia" w:asciiTheme="minorEastAsia" w:hAnsiTheme="minorEastAsia" w:eastAsiaTheme="minorEastAsia" w:cstheme="minorEastAsia"/>
          <w:kern w:val="0"/>
          <w:sz w:val="24"/>
        </w:rPr>
        <w:t>在评标环节中，需评标委员会就某项定性的评审结论做出表决的，由评标委员会全体成员按照少数服从多数的原则确定</w:t>
      </w:r>
      <w:r>
        <w:rPr>
          <w:rFonts w:hint="eastAsia" w:ascii="宋体" w:cs="宋体"/>
          <w:kern w:val="0"/>
          <w:sz w:val="24"/>
        </w:rPr>
        <w:t>。</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4.10推荐中标候选人及提交评标报告</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⑴ 评标委员会推荐中标候选人，得分由高到低顺序排列排序第一的投标人将被确定为第一中标候选人，以此类推确定出规定数量的的中标候选人。</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⑵ 当通过了资格审查、完备性及符合性审查后，投标人少于3个时，采购人应当依法重新招标。</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⑶ 评标委员会完成评标后，应当向采购人提交书面评标报告。</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⑷ 特殊情况的处置程序</w:t>
      </w:r>
    </w:p>
    <w:p>
      <w:pPr>
        <w:widowControl/>
        <w:shd w:val="clear" w:color="auto" w:fill="FFFFFF"/>
        <w:snapToGrid w:val="0"/>
        <w:spacing w:line="360" w:lineRule="auto"/>
        <w:ind w:firstLine="720" w:firstLineChars="300"/>
        <w:rPr>
          <w:rFonts w:ascii="宋体" w:cs="宋体"/>
          <w:kern w:val="0"/>
          <w:sz w:val="24"/>
        </w:rPr>
      </w:pPr>
      <w:r>
        <w:rPr>
          <w:rFonts w:hint="eastAsia" w:ascii="宋体" w:cs="宋体"/>
          <w:kern w:val="0"/>
          <w:sz w:val="24"/>
        </w:rPr>
        <w:t>①关于评标活动暂停</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评标委员会应当执行连续评标的原则，按评标办法中规定的程序、内容、方法、标准完成全部评标工作。只有发生不可抗力导致评标工作无法继续时，评标活动方可暂停。发生评标暂停情况时，应当封存全部投标文件和评标记录，待不可抗力的影响结束且具备继续评标的条件时，由原评标委员会继续评标。</w:t>
      </w:r>
    </w:p>
    <w:p>
      <w:pPr>
        <w:widowControl/>
        <w:shd w:val="clear" w:color="auto" w:fill="FFFFFF"/>
        <w:snapToGrid w:val="0"/>
        <w:spacing w:line="360" w:lineRule="auto"/>
        <w:ind w:firstLine="720" w:firstLineChars="300"/>
        <w:rPr>
          <w:rFonts w:ascii="宋体" w:cs="宋体"/>
          <w:kern w:val="0"/>
          <w:sz w:val="24"/>
        </w:rPr>
      </w:pPr>
      <w:r>
        <w:rPr>
          <w:rFonts w:hint="eastAsia" w:ascii="宋体" w:cs="宋体"/>
          <w:kern w:val="0"/>
          <w:sz w:val="24"/>
        </w:rPr>
        <w:t>②关于评标中途更换评委</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除非发生下列情况之一，评标委员会成员不得在评标中途更换：</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⒈因不可抗拒的客观原因，不能到场或需在评标中途退出评标活动。</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⒉根据法律法规规定，某个或某几个评标委员会成员需要回避。</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3.退出评标的评标委员会成员，其已完成的评标行为无效，由更换的评委进行评标。</w:t>
      </w:r>
    </w:p>
    <w:p>
      <w:pPr>
        <w:widowControl/>
        <w:shd w:val="clear" w:color="auto" w:fill="FFFFFF"/>
        <w:snapToGrid w:val="0"/>
        <w:spacing w:line="360" w:lineRule="auto"/>
        <w:ind w:firstLine="480" w:firstLineChars="200"/>
        <w:rPr>
          <w:rFonts w:ascii="宋体" w:cs="宋体"/>
          <w:kern w:val="0"/>
          <w:sz w:val="24"/>
        </w:rPr>
      </w:pPr>
      <w:r>
        <w:rPr>
          <w:rFonts w:hint="eastAsia" w:ascii="宋体" w:cs="宋体"/>
          <w:kern w:val="0"/>
          <w:sz w:val="24"/>
        </w:rPr>
        <w:t>4.在评标环节中，需评标委员会就某项定性的评审结论做出表决的，由评标委员会全体成员按照少数服从多数的原则确定。</w:t>
      </w:r>
    </w:p>
    <w:p>
      <w:pPr>
        <w:pStyle w:val="4"/>
        <w:rPr>
          <w:rFonts w:cs="宋体"/>
          <w:sz w:val="24"/>
          <w:szCs w:val="24"/>
        </w:rPr>
      </w:pPr>
    </w:p>
    <w:p/>
    <w:p>
      <w:bookmarkStart w:id="18" w:name="_BookMark_10"/>
      <w:bookmarkEnd w:id="18"/>
      <w:r>
        <w:rPr>
          <w:rFonts w:hint="eastAsia"/>
          <w:b/>
          <w:bCs/>
          <w:sz w:val="24"/>
        </w:rPr>
        <w:br w:type="page"/>
      </w:r>
    </w:p>
    <w:p>
      <w:pPr>
        <w:pStyle w:val="4"/>
        <w:jc w:val="center"/>
        <w:rPr>
          <w:rFonts w:cs="宋体"/>
          <w:sz w:val="24"/>
          <w:szCs w:val="24"/>
        </w:rPr>
      </w:pPr>
      <w:bookmarkStart w:id="19" w:name="_Toc3821"/>
      <w:r>
        <w:rPr>
          <w:rFonts w:cs="宋体"/>
          <w:sz w:val="24"/>
          <w:szCs w:val="24"/>
        </w:rPr>
        <w:t>第</w:t>
      </w:r>
      <w:r>
        <w:rPr>
          <w:rFonts w:hint="eastAsia" w:cs="宋体"/>
          <w:sz w:val="24"/>
          <w:szCs w:val="24"/>
        </w:rPr>
        <w:t>五</w:t>
      </w:r>
      <w:r>
        <w:rPr>
          <w:rFonts w:cs="宋体"/>
          <w:sz w:val="24"/>
          <w:szCs w:val="24"/>
        </w:rPr>
        <w:t xml:space="preserve">节 </w:t>
      </w:r>
      <w:r>
        <w:rPr>
          <w:rFonts w:cs="宋体"/>
          <w:bCs/>
          <w:color w:val="000000"/>
          <w:sz w:val="24"/>
          <w:szCs w:val="24"/>
        </w:rPr>
        <w:t>评标</w:t>
      </w:r>
      <w:r>
        <w:rPr>
          <w:rFonts w:hint="eastAsia" w:cs="宋体"/>
          <w:bCs/>
          <w:color w:val="000000"/>
          <w:sz w:val="24"/>
          <w:szCs w:val="24"/>
        </w:rPr>
        <w:t>办法</w:t>
      </w:r>
      <w:bookmarkEnd w:id="19"/>
    </w:p>
    <w:p>
      <w:pPr>
        <w:jc w:val="center"/>
        <w:rPr>
          <w:b/>
          <w:bCs/>
          <w:sz w:val="24"/>
        </w:rPr>
      </w:pPr>
      <w:r>
        <w:rPr>
          <w:rFonts w:hint="eastAsia" w:asciiTheme="minorEastAsia" w:hAnsiTheme="minorEastAsia" w:eastAsiaTheme="minorEastAsia" w:cstheme="minorEastAsia"/>
          <w:b/>
          <w:bCs/>
          <w:sz w:val="24"/>
        </w:rPr>
        <w:t>评标办法（</w:t>
      </w:r>
      <w:r>
        <w:rPr>
          <w:rFonts w:hint="eastAsia"/>
          <w:b/>
          <w:bCs/>
          <w:sz w:val="24"/>
        </w:rPr>
        <w:t>综合评估法</w:t>
      </w:r>
      <w:r>
        <w:rPr>
          <w:rFonts w:hint="eastAsia" w:asciiTheme="minorEastAsia" w:hAnsiTheme="minorEastAsia" w:eastAsiaTheme="minorEastAsia" w:cstheme="minorEastAsia"/>
          <w:b/>
          <w:bCs/>
          <w:sz w:val="24"/>
        </w:rPr>
        <w:t>）</w:t>
      </w:r>
    </w:p>
    <w:p>
      <w:pPr>
        <w:jc w:val="center"/>
        <w:rPr>
          <w:sz w:val="24"/>
        </w:rPr>
      </w:pPr>
      <w:bookmarkStart w:id="20" w:name="_Toc1514"/>
      <w:r>
        <w:rPr>
          <w:rFonts w:hint="eastAsia"/>
          <w:sz w:val="24"/>
        </w:rPr>
        <w:t>评标办法前附表</w:t>
      </w:r>
      <w:bookmarkEnd w:id="20"/>
    </w:p>
    <w:tbl>
      <w:tblPr>
        <w:tblStyle w:val="23"/>
        <w:tblW w:w="9160" w:type="dxa"/>
        <w:jc w:val="center"/>
        <w:tblInd w:w="0" w:type="dxa"/>
        <w:tblLayout w:type="fixed"/>
        <w:tblCellMar>
          <w:top w:w="0" w:type="dxa"/>
          <w:left w:w="0" w:type="dxa"/>
          <w:bottom w:w="0" w:type="dxa"/>
          <w:right w:w="0" w:type="dxa"/>
        </w:tblCellMar>
      </w:tblPr>
      <w:tblGrid>
        <w:gridCol w:w="612"/>
        <w:gridCol w:w="2393"/>
        <w:gridCol w:w="6155"/>
      </w:tblGrid>
      <w:tr>
        <w:tblPrEx>
          <w:tblLayout w:type="fixed"/>
          <w:tblCellMar>
            <w:top w:w="0" w:type="dxa"/>
            <w:left w:w="0" w:type="dxa"/>
            <w:bottom w:w="0" w:type="dxa"/>
            <w:right w:w="0" w:type="dxa"/>
          </w:tblCellMar>
        </w:tblPrEx>
        <w:trPr>
          <w:cantSplit/>
          <w:trHeight w:val="325" w:hRule="atLeast"/>
          <w:jc w:val="center"/>
        </w:trPr>
        <w:tc>
          <w:tcPr>
            <w:tcW w:w="612"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jc w:val="center"/>
              <w:rPr>
                <w:rFonts w:ascii="宋体"/>
                <w:sz w:val="24"/>
              </w:rPr>
            </w:pPr>
            <w:r>
              <w:rPr>
                <w:rFonts w:hint="eastAsia" w:ascii="宋体"/>
                <w:sz w:val="24"/>
              </w:rPr>
              <w:t>序号</w:t>
            </w:r>
          </w:p>
        </w:tc>
        <w:tc>
          <w:tcPr>
            <w:tcW w:w="2393"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jc w:val="center"/>
              <w:rPr>
                <w:rFonts w:ascii="宋体"/>
                <w:sz w:val="24"/>
              </w:rPr>
            </w:pPr>
            <w:r>
              <w:rPr>
                <w:rFonts w:hint="eastAsia" w:ascii="宋体"/>
                <w:sz w:val="24"/>
              </w:rPr>
              <w:t>条款内容</w:t>
            </w:r>
          </w:p>
        </w:tc>
        <w:tc>
          <w:tcPr>
            <w:tcW w:w="6155"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jc w:val="center"/>
              <w:rPr>
                <w:rFonts w:ascii="宋体"/>
                <w:sz w:val="24"/>
              </w:rPr>
            </w:pPr>
            <w:r>
              <w:rPr>
                <w:rFonts w:hint="eastAsia" w:ascii="宋体"/>
                <w:sz w:val="24"/>
              </w:rPr>
              <w:t>编列内容</w:t>
            </w:r>
          </w:p>
        </w:tc>
      </w:tr>
      <w:tr>
        <w:tblPrEx>
          <w:tblLayout w:type="fixed"/>
          <w:tblCellMar>
            <w:top w:w="0" w:type="dxa"/>
            <w:left w:w="0" w:type="dxa"/>
            <w:bottom w:w="0" w:type="dxa"/>
            <w:right w:w="0" w:type="dxa"/>
          </w:tblCellMar>
        </w:tblPrEx>
        <w:trPr>
          <w:cantSplit/>
          <w:trHeight w:val="630" w:hRule="atLeast"/>
          <w:jc w:val="center"/>
        </w:trPr>
        <w:tc>
          <w:tcPr>
            <w:tcW w:w="612"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jc w:val="center"/>
              <w:rPr>
                <w:rFonts w:ascii="宋体"/>
                <w:sz w:val="24"/>
              </w:rPr>
            </w:pPr>
            <w:r>
              <w:rPr>
                <w:rFonts w:ascii="宋体"/>
                <w:sz w:val="24"/>
              </w:rPr>
              <w:t>1</w:t>
            </w:r>
          </w:p>
        </w:tc>
        <w:tc>
          <w:tcPr>
            <w:tcW w:w="2393"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rPr>
                <w:rFonts w:ascii="宋体"/>
                <w:sz w:val="24"/>
              </w:rPr>
            </w:pPr>
            <w:r>
              <w:rPr>
                <w:rFonts w:hint="eastAsia" w:ascii="宋体"/>
                <w:sz w:val="24"/>
              </w:rPr>
              <w:t>分值构成及权重</w:t>
            </w:r>
          </w:p>
          <w:p>
            <w:pPr>
              <w:rPr>
                <w:rFonts w:ascii="宋体"/>
                <w:sz w:val="24"/>
              </w:rPr>
            </w:pPr>
            <w:r>
              <w:rPr>
                <w:rFonts w:ascii="宋体"/>
                <w:sz w:val="24"/>
              </w:rPr>
              <w:t>(</w:t>
            </w:r>
            <w:r>
              <w:rPr>
                <w:rFonts w:hint="eastAsia" w:ascii="宋体"/>
                <w:sz w:val="24"/>
              </w:rPr>
              <w:t>总分</w:t>
            </w:r>
            <w:r>
              <w:rPr>
                <w:rFonts w:ascii="宋体"/>
                <w:sz w:val="24"/>
              </w:rPr>
              <w:t>100</w:t>
            </w:r>
            <w:r>
              <w:rPr>
                <w:rFonts w:hint="eastAsia" w:ascii="宋体"/>
                <w:sz w:val="24"/>
              </w:rPr>
              <w:t>分</w:t>
            </w:r>
            <w:r>
              <w:rPr>
                <w:rFonts w:ascii="宋体"/>
                <w:sz w:val="24"/>
              </w:rPr>
              <w:t>)</w:t>
            </w:r>
          </w:p>
        </w:tc>
        <w:tc>
          <w:tcPr>
            <w:tcW w:w="6155"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rPr>
                <w:rFonts w:ascii="宋体"/>
                <w:sz w:val="24"/>
              </w:rPr>
            </w:pPr>
            <w:r>
              <w:rPr>
                <w:rFonts w:ascii="宋体"/>
                <w:sz w:val="24"/>
              </w:rPr>
              <w:t>1.</w:t>
            </w:r>
            <w:r>
              <w:rPr>
                <w:rFonts w:hint="eastAsia" w:ascii="宋体"/>
                <w:sz w:val="24"/>
              </w:rPr>
              <w:t>详细评审部分权重</w:t>
            </w:r>
            <w:r>
              <w:rPr>
                <w:rFonts w:ascii="宋体"/>
                <w:sz w:val="24"/>
              </w:rPr>
              <w:t>Q1=70%</w:t>
            </w:r>
          </w:p>
          <w:p>
            <w:pPr>
              <w:rPr>
                <w:rFonts w:ascii="宋体"/>
                <w:sz w:val="24"/>
              </w:rPr>
            </w:pPr>
            <w:r>
              <w:rPr>
                <w:rFonts w:ascii="宋体"/>
                <w:sz w:val="24"/>
              </w:rPr>
              <w:t>2.</w:t>
            </w:r>
            <w:r>
              <w:rPr>
                <w:rFonts w:hint="eastAsia" w:ascii="宋体"/>
                <w:sz w:val="24"/>
              </w:rPr>
              <w:t>投标报价权重</w:t>
            </w:r>
            <w:r>
              <w:rPr>
                <w:rFonts w:ascii="宋体"/>
                <w:sz w:val="24"/>
              </w:rPr>
              <w:t>Q2=30%</w:t>
            </w:r>
          </w:p>
        </w:tc>
      </w:tr>
      <w:tr>
        <w:tblPrEx>
          <w:tblLayout w:type="fixed"/>
          <w:tblCellMar>
            <w:top w:w="0" w:type="dxa"/>
            <w:left w:w="0" w:type="dxa"/>
            <w:bottom w:w="0" w:type="dxa"/>
            <w:right w:w="0" w:type="dxa"/>
          </w:tblCellMar>
        </w:tblPrEx>
        <w:trPr>
          <w:cantSplit/>
          <w:trHeight w:val="147" w:hRule="atLeast"/>
          <w:jc w:val="center"/>
        </w:trPr>
        <w:tc>
          <w:tcPr>
            <w:tcW w:w="612"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jc w:val="center"/>
              <w:rPr>
                <w:rFonts w:ascii="宋体"/>
                <w:sz w:val="24"/>
              </w:rPr>
            </w:pPr>
            <w:r>
              <w:rPr>
                <w:rFonts w:hint="eastAsia" w:ascii="宋体"/>
                <w:sz w:val="24"/>
              </w:rPr>
              <w:t>2</w:t>
            </w:r>
          </w:p>
        </w:tc>
        <w:tc>
          <w:tcPr>
            <w:tcW w:w="2393"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rPr>
                <w:rFonts w:ascii="宋体"/>
                <w:sz w:val="24"/>
              </w:rPr>
            </w:pPr>
            <w:r>
              <w:rPr>
                <w:rFonts w:hint="eastAsia" w:ascii="宋体"/>
                <w:sz w:val="24"/>
              </w:rPr>
              <w:t>资格审查</w:t>
            </w:r>
          </w:p>
        </w:tc>
        <w:tc>
          <w:tcPr>
            <w:tcW w:w="6155"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rPr>
                <w:rFonts w:ascii="宋体"/>
                <w:sz w:val="24"/>
              </w:rPr>
            </w:pPr>
            <w:r>
              <w:rPr>
                <w:rFonts w:hint="eastAsia" w:ascii="宋体"/>
                <w:sz w:val="24"/>
              </w:rPr>
              <w:t>详见《资格审查标准》</w:t>
            </w:r>
          </w:p>
        </w:tc>
      </w:tr>
      <w:tr>
        <w:tblPrEx>
          <w:tblLayout w:type="fixed"/>
          <w:tblCellMar>
            <w:top w:w="0" w:type="dxa"/>
            <w:left w:w="0" w:type="dxa"/>
            <w:bottom w:w="0" w:type="dxa"/>
            <w:right w:w="0" w:type="dxa"/>
          </w:tblCellMar>
        </w:tblPrEx>
        <w:trPr>
          <w:cantSplit/>
          <w:trHeight w:val="325" w:hRule="atLeast"/>
          <w:jc w:val="center"/>
        </w:trPr>
        <w:tc>
          <w:tcPr>
            <w:tcW w:w="612"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jc w:val="center"/>
              <w:rPr>
                <w:rFonts w:ascii="宋体"/>
                <w:sz w:val="24"/>
              </w:rPr>
            </w:pPr>
            <w:r>
              <w:rPr>
                <w:rFonts w:hint="eastAsia" w:ascii="宋体"/>
                <w:sz w:val="24"/>
              </w:rPr>
              <w:t>3</w:t>
            </w:r>
          </w:p>
        </w:tc>
        <w:tc>
          <w:tcPr>
            <w:tcW w:w="2393"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rPr>
                <w:rFonts w:ascii="宋体"/>
                <w:sz w:val="24"/>
              </w:rPr>
            </w:pPr>
            <w:r>
              <w:rPr>
                <w:rFonts w:hint="eastAsia" w:ascii="宋体"/>
                <w:sz w:val="24"/>
              </w:rPr>
              <w:t>完备性及符合性审查</w:t>
            </w:r>
          </w:p>
        </w:tc>
        <w:tc>
          <w:tcPr>
            <w:tcW w:w="6155"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rPr>
                <w:rFonts w:ascii="宋体"/>
                <w:sz w:val="24"/>
              </w:rPr>
            </w:pPr>
            <w:r>
              <w:rPr>
                <w:rFonts w:hint="eastAsia" w:ascii="宋体"/>
                <w:sz w:val="24"/>
              </w:rPr>
              <w:t>详见《完备性及符合性审查标准》</w:t>
            </w:r>
          </w:p>
        </w:tc>
      </w:tr>
      <w:tr>
        <w:tblPrEx>
          <w:tblLayout w:type="fixed"/>
          <w:tblCellMar>
            <w:top w:w="0" w:type="dxa"/>
            <w:left w:w="0" w:type="dxa"/>
            <w:bottom w:w="0" w:type="dxa"/>
            <w:right w:w="0" w:type="dxa"/>
          </w:tblCellMar>
        </w:tblPrEx>
        <w:trPr>
          <w:cantSplit/>
          <w:trHeight w:val="325" w:hRule="atLeast"/>
          <w:jc w:val="center"/>
        </w:trPr>
        <w:tc>
          <w:tcPr>
            <w:tcW w:w="612"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jc w:val="center"/>
              <w:rPr>
                <w:rFonts w:ascii="宋体"/>
                <w:sz w:val="24"/>
              </w:rPr>
            </w:pPr>
            <w:r>
              <w:rPr>
                <w:rFonts w:hint="eastAsia" w:ascii="宋体"/>
                <w:sz w:val="24"/>
              </w:rPr>
              <w:t>4</w:t>
            </w:r>
          </w:p>
        </w:tc>
        <w:tc>
          <w:tcPr>
            <w:tcW w:w="2393"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rPr>
                <w:rFonts w:ascii="宋体"/>
                <w:sz w:val="24"/>
              </w:rPr>
            </w:pPr>
            <w:r>
              <w:rPr>
                <w:rFonts w:hint="eastAsia" w:ascii="宋体"/>
                <w:sz w:val="24"/>
              </w:rPr>
              <w:t>投标品牌</w:t>
            </w:r>
          </w:p>
        </w:tc>
        <w:tc>
          <w:tcPr>
            <w:tcW w:w="6155"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rPr>
                <w:rFonts w:ascii="宋体"/>
                <w:sz w:val="24"/>
              </w:rPr>
            </w:pPr>
            <w:r>
              <w:rPr>
                <w:rFonts w:hint="eastAsia" w:ascii="宋体"/>
                <w:sz w:val="24"/>
              </w:rPr>
              <w:t>详见《投标品牌统计》</w:t>
            </w:r>
          </w:p>
        </w:tc>
      </w:tr>
      <w:tr>
        <w:tblPrEx>
          <w:tblLayout w:type="fixed"/>
          <w:tblCellMar>
            <w:top w:w="0" w:type="dxa"/>
            <w:left w:w="0" w:type="dxa"/>
            <w:bottom w:w="0" w:type="dxa"/>
            <w:right w:w="0" w:type="dxa"/>
          </w:tblCellMar>
        </w:tblPrEx>
        <w:trPr>
          <w:cantSplit/>
          <w:trHeight w:val="325" w:hRule="atLeast"/>
          <w:jc w:val="center"/>
        </w:trPr>
        <w:tc>
          <w:tcPr>
            <w:tcW w:w="612" w:type="dxa"/>
            <w:vMerge w:val="restart"/>
            <w:tcBorders>
              <w:top w:val="single" w:color="auto" w:sz="8" w:space="0"/>
              <w:left w:val="single" w:color="auto" w:sz="8" w:space="0"/>
              <w:right w:val="single" w:color="auto" w:sz="8" w:space="0"/>
            </w:tcBorders>
            <w:tcMar>
              <w:left w:w="28" w:type="dxa"/>
              <w:right w:w="28" w:type="dxa"/>
            </w:tcMar>
            <w:vAlign w:val="center"/>
          </w:tcPr>
          <w:p>
            <w:pPr>
              <w:jc w:val="center"/>
              <w:rPr>
                <w:rFonts w:ascii="宋体"/>
                <w:sz w:val="24"/>
              </w:rPr>
            </w:pPr>
            <w:r>
              <w:rPr>
                <w:rFonts w:hint="eastAsia" w:ascii="宋体"/>
                <w:sz w:val="24"/>
              </w:rPr>
              <w:t>5</w:t>
            </w:r>
          </w:p>
        </w:tc>
        <w:tc>
          <w:tcPr>
            <w:tcW w:w="2393" w:type="dxa"/>
            <w:vMerge w:val="restart"/>
            <w:tcBorders>
              <w:top w:val="single" w:color="auto" w:sz="8" w:space="0"/>
              <w:left w:val="single" w:color="auto" w:sz="8" w:space="0"/>
              <w:right w:val="single" w:color="auto" w:sz="8" w:space="0"/>
            </w:tcBorders>
            <w:tcMar>
              <w:left w:w="28" w:type="dxa"/>
              <w:right w:w="28" w:type="dxa"/>
            </w:tcMar>
            <w:vAlign w:val="center"/>
          </w:tcPr>
          <w:p>
            <w:pPr>
              <w:rPr>
                <w:rFonts w:ascii="宋体"/>
                <w:sz w:val="24"/>
              </w:rPr>
            </w:pPr>
            <w:r>
              <w:rPr>
                <w:rFonts w:hint="eastAsia" w:ascii="宋体"/>
                <w:sz w:val="24"/>
              </w:rPr>
              <w:t>详细评审</w:t>
            </w:r>
          </w:p>
        </w:tc>
        <w:tc>
          <w:tcPr>
            <w:tcW w:w="6155"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rPr>
                <w:rFonts w:ascii="宋体"/>
                <w:sz w:val="24"/>
              </w:rPr>
            </w:pPr>
            <w:r>
              <w:rPr>
                <w:rFonts w:hint="eastAsia" w:ascii="宋体"/>
                <w:sz w:val="24"/>
              </w:rPr>
              <w:t>详见《详细评审标准》</w:t>
            </w:r>
          </w:p>
        </w:tc>
      </w:tr>
      <w:tr>
        <w:tblPrEx>
          <w:tblLayout w:type="fixed"/>
          <w:tblCellMar>
            <w:top w:w="0" w:type="dxa"/>
            <w:left w:w="0" w:type="dxa"/>
            <w:bottom w:w="0" w:type="dxa"/>
            <w:right w:w="0" w:type="dxa"/>
          </w:tblCellMar>
        </w:tblPrEx>
        <w:trPr>
          <w:cantSplit/>
          <w:trHeight w:val="2577" w:hRule="atLeast"/>
          <w:jc w:val="center"/>
        </w:trPr>
        <w:tc>
          <w:tcPr>
            <w:tcW w:w="612" w:type="dxa"/>
            <w:vMerge w:val="continue"/>
            <w:tcBorders>
              <w:left w:val="single" w:color="auto" w:sz="8" w:space="0"/>
              <w:bottom w:val="single" w:color="auto" w:sz="8" w:space="0"/>
              <w:right w:val="single" w:color="auto" w:sz="8" w:space="0"/>
            </w:tcBorders>
            <w:tcMar>
              <w:left w:w="28" w:type="dxa"/>
              <w:right w:w="28" w:type="dxa"/>
            </w:tcMar>
            <w:vAlign w:val="center"/>
          </w:tcPr>
          <w:p/>
        </w:tc>
        <w:tc>
          <w:tcPr>
            <w:tcW w:w="2393" w:type="dxa"/>
            <w:vMerge w:val="continue"/>
            <w:tcBorders>
              <w:left w:val="single" w:color="auto" w:sz="8" w:space="0"/>
              <w:bottom w:val="single" w:color="auto" w:sz="8" w:space="0"/>
              <w:right w:val="single" w:color="auto" w:sz="8" w:space="0"/>
            </w:tcBorders>
            <w:tcMar>
              <w:left w:w="28" w:type="dxa"/>
              <w:right w:w="28" w:type="dxa"/>
            </w:tcMar>
            <w:vAlign w:val="center"/>
          </w:tcPr>
          <w:p/>
        </w:tc>
        <w:tc>
          <w:tcPr>
            <w:tcW w:w="6155" w:type="dxa"/>
            <w:tcBorders>
              <w:top w:val="single" w:color="auto" w:sz="8" w:space="0"/>
              <w:left w:val="single" w:color="auto" w:sz="8" w:space="0"/>
              <w:bottom w:val="single" w:color="auto" w:sz="8" w:space="0"/>
              <w:right w:val="single" w:color="auto" w:sz="8" w:space="0"/>
            </w:tcBorders>
            <w:tcMar>
              <w:left w:w="28" w:type="dxa"/>
              <w:right w:w="28" w:type="dxa"/>
            </w:tcMar>
          </w:tcPr>
          <w:p>
            <w:pPr>
              <w:widowControl/>
              <w:shd w:val="clear" w:color="auto" w:fill="FFFFFF"/>
              <w:snapToGrid w:val="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投标报价得分计算方法：</w:t>
            </w:r>
          </w:p>
          <w:p>
            <w:pPr>
              <w:widowControl/>
              <w:shd w:val="clear" w:color="auto" w:fill="FFFFFF"/>
              <w:snapToGrid w:val="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1.投标报价的确定</w:t>
            </w:r>
          </w:p>
          <w:p>
            <w:pPr>
              <w:widowControl/>
              <w:shd w:val="clear" w:color="auto" w:fill="FFFFFF"/>
              <w:snapToGrid w:val="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投标报价是指经评审的且不超过采购预算金额的投标价格</w:t>
            </w:r>
          </w:p>
          <w:p>
            <w:pPr>
              <w:widowControl/>
              <w:shd w:val="clear" w:color="auto" w:fill="FFFFFF"/>
              <w:snapToGrid w:val="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2.评标基准价的确定</w:t>
            </w:r>
          </w:p>
          <w:p>
            <w:pPr>
              <w:widowControl/>
              <w:shd w:val="clear" w:color="auto" w:fill="FFFFFF"/>
              <w:snapToGrid w:val="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满足磋商文件要求且投标报价最低的为评标基准价</w:t>
            </w:r>
          </w:p>
          <w:p>
            <w:pPr>
              <w:widowControl/>
              <w:shd w:val="clear" w:color="auto" w:fill="FFFFFF"/>
              <w:snapToGrid w:val="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3.投标报价得分=(评标基准价／投标报价)×100×Q2</w:t>
            </w:r>
          </w:p>
          <w:p>
            <w:pPr>
              <w:widowControl/>
              <w:shd w:val="clear" w:color="auto" w:fill="FFFFFF"/>
              <w:snapToGrid w:val="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4.评分分值计算保留小数点后两位，小数点后三位“四舍五入”。</w:t>
            </w:r>
          </w:p>
          <w:p>
            <w:pPr>
              <w:widowControl/>
              <w:shd w:val="clear" w:color="auto" w:fill="FFFFFF"/>
              <w:snapToGrid w:val="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5.评标报价计算。符合《政府采购促进中小企业发展管理办法》（财库﹝2020﹞46 号）规定情形且按该办法中规定的格式提供了《中小企业声明函》的，对其最后报价给予6%的扣除，扣除后的价格为评标报价，即评标报价=最后报价×（1-6%）；除上述情况外，评标报价=最后报价。</w:t>
            </w:r>
          </w:p>
          <w:p>
            <w:pPr>
              <w:rPr>
                <w:rFonts w:ascii="宋体"/>
                <w:color w:val="000000"/>
                <w:sz w:val="24"/>
              </w:rPr>
            </w:pPr>
            <w:r>
              <w:rPr>
                <w:rFonts w:hint="eastAsia" w:asciiTheme="minorEastAsia" w:hAnsiTheme="minorEastAsia" w:eastAsiaTheme="minorEastAsia" w:cstheme="minorEastAsia"/>
                <w:kern w:val="0"/>
                <w:sz w:val="24"/>
              </w:rPr>
              <w:t>6.在政府采购活动中，残疾人福利性单位视同小型、微型企业。对小微企业报价给予6%的扣除，用扣除后的价格参与评审。因落实政府采购政策进行价格调整的，以调整后的价格计算评标基准价和投标报价。残疾人福利性单位属于小型、微型企业的，不重复享受政策。</w:t>
            </w:r>
          </w:p>
        </w:tc>
      </w:tr>
    </w:tbl>
    <w:p>
      <w:pPr>
        <w:widowControl/>
        <w:shd w:val="clear" w:color="auto" w:fill="FFFFFF"/>
        <w:snapToGrid w:val="0"/>
        <w:jc w:val="center"/>
        <w:rPr>
          <w:rFonts w:ascii="宋体"/>
          <w:b/>
          <w:kern w:val="0"/>
          <w:sz w:val="24"/>
        </w:rPr>
      </w:pPr>
      <w:bookmarkStart w:id="21" w:name="_Toc501719166"/>
    </w:p>
    <w:p/>
    <w:p>
      <w:pPr>
        <w:pStyle w:val="9"/>
        <w:numPr>
          <w:ilvl w:val="0"/>
          <w:numId w:val="0"/>
        </w:numPr>
      </w:pPr>
    </w:p>
    <w:p>
      <w:pPr>
        <w:widowControl/>
        <w:shd w:val="clear" w:color="auto" w:fill="FFFFFF"/>
        <w:snapToGrid w:val="0"/>
        <w:jc w:val="center"/>
        <w:rPr>
          <w:rFonts w:ascii="宋体"/>
          <w:b/>
          <w:kern w:val="0"/>
          <w:sz w:val="24"/>
        </w:rPr>
      </w:pPr>
      <w:r>
        <w:rPr>
          <w:rFonts w:hint="eastAsia" w:ascii="宋体"/>
          <w:b/>
          <w:kern w:val="0"/>
          <w:sz w:val="24"/>
        </w:rPr>
        <w:t>《资格审查标准》</w:t>
      </w:r>
      <w:bookmarkEnd w:id="21"/>
    </w:p>
    <w:tbl>
      <w:tblPr>
        <w:tblStyle w:val="23"/>
        <w:tblW w:w="9160" w:type="dxa"/>
        <w:jc w:val="center"/>
        <w:tblInd w:w="0" w:type="dxa"/>
        <w:tblLayout w:type="fixed"/>
        <w:tblCellMar>
          <w:top w:w="0" w:type="dxa"/>
          <w:left w:w="0" w:type="dxa"/>
          <w:bottom w:w="0" w:type="dxa"/>
          <w:right w:w="0" w:type="dxa"/>
        </w:tblCellMar>
      </w:tblPr>
      <w:tblGrid>
        <w:gridCol w:w="628"/>
        <w:gridCol w:w="8532"/>
      </w:tblGrid>
      <w:tr>
        <w:tblPrEx>
          <w:tblLayout w:type="fixed"/>
          <w:tblCellMar>
            <w:top w:w="0" w:type="dxa"/>
            <w:left w:w="0" w:type="dxa"/>
            <w:bottom w:w="0" w:type="dxa"/>
            <w:right w:w="0" w:type="dxa"/>
          </w:tblCellMar>
        </w:tblPrEx>
        <w:trPr>
          <w:cantSplit/>
          <w:trHeight w:val="471" w:hRule="atLeast"/>
          <w:jc w:val="center"/>
        </w:trPr>
        <w:tc>
          <w:tcPr>
            <w:tcW w:w="628"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center"/>
              <w:rPr>
                <w:rFonts w:ascii="宋体"/>
                <w:kern w:val="0"/>
                <w:sz w:val="24"/>
              </w:rPr>
            </w:pPr>
            <w:r>
              <w:rPr>
                <w:rFonts w:hint="eastAsia" w:ascii="宋体"/>
                <w:kern w:val="0"/>
                <w:sz w:val="24"/>
              </w:rPr>
              <w:t>序号</w:t>
            </w:r>
          </w:p>
        </w:tc>
        <w:tc>
          <w:tcPr>
            <w:tcW w:w="8532"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center"/>
              <w:rPr>
                <w:rFonts w:ascii="宋体"/>
                <w:kern w:val="0"/>
                <w:sz w:val="24"/>
              </w:rPr>
            </w:pPr>
            <w:r>
              <w:rPr>
                <w:rFonts w:hint="eastAsia" w:ascii="宋体"/>
                <w:kern w:val="0"/>
                <w:sz w:val="24"/>
              </w:rPr>
              <w:t>审查标准</w:t>
            </w:r>
          </w:p>
        </w:tc>
      </w:tr>
      <w:tr>
        <w:tblPrEx>
          <w:tblLayout w:type="fixed"/>
          <w:tblCellMar>
            <w:top w:w="0" w:type="dxa"/>
            <w:left w:w="0" w:type="dxa"/>
            <w:bottom w:w="0" w:type="dxa"/>
            <w:right w:w="0" w:type="dxa"/>
          </w:tblCellMar>
        </w:tblPrEx>
        <w:trPr>
          <w:cantSplit/>
          <w:trHeight w:val="314" w:hRule="atLeast"/>
          <w:jc w:val="center"/>
        </w:trPr>
        <w:tc>
          <w:tcPr>
            <w:tcW w:w="628"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center"/>
              <w:rPr>
                <w:rFonts w:ascii="宋体"/>
                <w:kern w:val="0"/>
                <w:sz w:val="24"/>
              </w:rPr>
            </w:pPr>
            <w:r>
              <w:rPr>
                <w:rFonts w:ascii="宋体"/>
                <w:kern w:val="0"/>
                <w:sz w:val="24"/>
              </w:rPr>
              <w:t>1</w:t>
            </w:r>
          </w:p>
        </w:tc>
        <w:tc>
          <w:tcPr>
            <w:tcW w:w="8532"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left"/>
              <w:rPr>
                <w:rFonts w:ascii="宋体"/>
                <w:color w:val="000000"/>
                <w:kern w:val="0"/>
                <w:sz w:val="24"/>
              </w:rPr>
            </w:pPr>
            <w:r>
              <w:rPr>
                <w:rFonts w:hint="eastAsia" w:ascii="宋体" w:cs="宋体"/>
                <w:color w:val="000000"/>
                <w:sz w:val="24"/>
              </w:rPr>
              <w:t>提供</w:t>
            </w:r>
            <w:r>
              <w:rPr>
                <w:rFonts w:hint="eastAsia" w:ascii="宋体" w:cs="宋体"/>
                <w:color w:val="000000"/>
                <w:kern w:val="0"/>
                <w:sz w:val="24"/>
              </w:rPr>
              <w:t>有效期内与供应商投标文件名称一致的营业执照</w:t>
            </w:r>
          </w:p>
        </w:tc>
      </w:tr>
      <w:tr>
        <w:tblPrEx>
          <w:tblLayout w:type="fixed"/>
          <w:tblCellMar>
            <w:top w:w="0" w:type="dxa"/>
            <w:left w:w="0" w:type="dxa"/>
            <w:bottom w:w="0" w:type="dxa"/>
            <w:right w:w="0" w:type="dxa"/>
          </w:tblCellMar>
        </w:tblPrEx>
        <w:trPr>
          <w:cantSplit/>
          <w:trHeight w:val="411" w:hRule="atLeast"/>
          <w:jc w:val="center"/>
        </w:trPr>
        <w:tc>
          <w:tcPr>
            <w:tcW w:w="628" w:type="dxa"/>
            <w:tcBorders>
              <w:top w:val="nil"/>
              <w:left w:val="single" w:color="auto" w:sz="8" w:space="0"/>
              <w:bottom w:val="single" w:color="auto" w:sz="8" w:space="0"/>
              <w:right w:val="single" w:color="auto" w:sz="8" w:space="0"/>
            </w:tcBorders>
            <w:tcMar>
              <w:left w:w="28" w:type="dxa"/>
              <w:right w:w="28" w:type="dxa"/>
            </w:tcMar>
            <w:vAlign w:val="center"/>
          </w:tcPr>
          <w:p>
            <w:pPr>
              <w:widowControl/>
              <w:shd w:val="clear" w:color="auto" w:fill="FFFFFF"/>
              <w:snapToGrid w:val="0"/>
              <w:jc w:val="center"/>
              <w:rPr>
                <w:rFonts w:ascii="宋体"/>
                <w:kern w:val="0"/>
                <w:sz w:val="24"/>
              </w:rPr>
            </w:pPr>
            <w:r>
              <w:rPr>
                <w:rFonts w:ascii="宋体"/>
                <w:kern w:val="0"/>
                <w:sz w:val="24"/>
              </w:rPr>
              <w:t>2</w:t>
            </w:r>
          </w:p>
        </w:tc>
        <w:tc>
          <w:tcPr>
            <w:tcW w:w="8532" w:type="dxa"/>
            <w:tcBorders>
              <w:top w:val="nil"/>
              <w:left w:val="nil"/>
              <w:bottom w:val="single" w:color="auto" w:sz="8" w:space="0"/>
              <w:right w:val="single" w:color="auto" w:sz="8" w:space="0"/>
            </w:tcBorders>
            <w:tcMar>
              <w:left w:w="28" w:type="dxa"/>
              <w:right w:w="28" w:type="dxa"/>
            </w:tcMar>
            <w:vAlign w:val="center"/>
          </w:tcPr>
          <w:p>
            <w:pPr>
              <w:widowControl/>
              <w:shd w:val="clear" w:color="auto" w:fill="FFFFFF"/>
              <w:snapToGrid w:val="0"/>
              <w:jc w:val="left"/>
              <w:rPr>
                <w:rFonts w:ascii="宋体"/>
                <w:color w:val="000000"/>
                <w:kern w:val="0"/>
                <w:sz w:val="24"/>
              </w:rPr>
            </w:pPr>
            <w:r>
              <w:rPr>
                <w:rFonts w:hint="eastAsia" w:ascii="宋体"/>
                <w:color w:val="000000"/>
                <w:kern w:val="0"/>
                <w:sz w:val="24"/>
              </w:rPr>
              <w:t>供应商唯一性的报价</w:t>
            </w:r>
          </w:p>
        </w:tc>
      </w:tr>
      <w:tr>
        <w:tblPrEx>
          <w:tblLayout w:type="fixed"/>
          <w:tblCellMar>
            <w:top w:w="0" w:type="dxa"/>
            <w:left w:w="0" w:type="dxa"/>
            <w:bottom w:w="0" w:type="dxa"/>
            <w:right w:w="0" w:type="dxa"/>
          </w:tblCellMar>
        </w:tblPrEx>
        <w:trPr>
          <w:cantSplit/>
          <w:trHeight w:val="411" w:hRule="atLeast"/>
          <w:jc w:val="center"/>
        </w:trPr>
        <w:tc>
          <w:tcPr>
            <w:tcW w:w="628" w:type="dxa"/>
            <w:tcBorders>
              <w:top w:val="nil"/>
              <w:left w:val="single" w:color="auto" w:sz="8" w:space="0"/>
              <w:bottom w:val="single" w:color="auto" w:sz="8" w:space="0"/>
              <w:right w:val="single" w:color="auto" w:sz="8" w:space="0"/>
            </w:tcBorders>
            <w:tcMar>
              <w:left w:w="28" w:type="dxa"/>
              <w:right w:w="28" w:type="dxa"/>
            </w:tcMar>
            <w:vAlign w:val="center"/>
          </w:tcPr>
          <w:p>
            <w:pPr>
              <w:widowControl/>
              <w:shd w:val="clear" w:color="auto" w:fill="FFFFFF"/>
              <w:snapToGrid w:val="0"/>
              <w:jc w:val="center"/>
              <w:rPr>
                <w:rFonts w:ascii="宋体"/>
                <w:kern w:val="0"/>
                <w:sz w:val="24"/>
              </w:rPr>
            </w:pPr>
            <w:r>
              <w:rPr>
                <w:rFonts w:hint="eastAsia" w:ascii="宋体"/>
                <w:kern w:val="0"/>
                <w:sz w:val="24"/>
              </w:rPr>
              <w:t>3</w:t>
            </w:r>
          </w:p>
        </w:tc>
        <w:tc>
          <w:tcPr>
            <w:tcW w:w="8532" w:type="dxa"/>
            <w:tcBorders>
              <w:top w:val="nil"/>
              <w:left w:val="nil"/>
              <w:bottom w:val="single" w:color="auto" w:sz="8" w:space="0"/>
              <w:right w:val="single" w:color="auto" w:sz="8" w:space="0"/>
            </w:tcBorders>
            <w:tcMar>
              <w:left w:w="28" w:type="dxa"/>
              <w:right w:w="28" w:type="dxa"/>
            </w:tcMar>
            <w:vAlign w:val="center"/>
          </w:tcPr>
          <w:p>
            <w:pPr>
              <w:widowControl/>
              <w:shd w:val="clear" w:color="auto" w:fill="FFFFFF"/>
              <w:snapToGrid w:val="0"/>
              <w:jc w:val="left"/>
              <w:rPr>
                <w:rFonts w:ascii="宋体"/>
                <w:kern w:val="0"/>
                <w:sz w:val="24"/>
              </w:rPr>
            </w:pPr>
            <w:r>
              <w:rPr>
                <w:rFonts w:hint="eastAsia" w:ascii="宋体"/>
                <w:kern w:val="0"/>
                <w:sz w:val="24"/>
              </w:rPr>
              <w:t>提供采购代理机构出具的投标保证金收据</w:t>
            </w:r>
          </w:p>
        </w:tc>
      </w:tr>
      <w:tr>
        <w:tblPrEx>
          <w:tblLayout w:type="fixed"/>
          <w:tblCellMar>
            <w:top w:w="0" w:type="dxa"/>
            <w:left w:w="0" w:type="dxa"/>
            <w:bottom w:w="0" w:type="dxa"/>
            <w:right w:w="0" w:type="dxa"/>
          </w:tblCellMar>
        </w:tblPrEx>
        <w:trPr>
          <w:cantSplit/>
          <w:trHeight w:val="411" w:hRule="atLeast"/>
          <w:jc w:val="center"/>
        </w:trPr>
        <w:tc>
          <w:tcPr>
            <w:tcW w:w="628" w:type="dxa"/>
            <w:tcBorders>
              <w:top w:val="nil"/>
              <w:left w:val="single" w:color="auto" w:sz="8" w:space="0"/>
              <w:bottom w:val="single" w:color="auto" w:sz="4" w:space="0"/>
              <w:right w:val="single" w:color="auto" w:sz="8" w:space="0"/>
            </w:tcBorders>
            <w:tcMar>
              <w:left w:w="28" w:type="dxa"/>
              <w:right w:w="28" w:type="dxa"/>
            </w:tcMar>
            <w:vAlign w:val="center"/>
          </w:tcPr>
          <w:p>
            <w:pPr>
              <w:widowControl/>
              <w:shd w:val="clear" w:color="auto" w:fill="FFFFFF"/>
              <w:snapToGrid w:val="0"/>
              <w:jc w:val="center"/>
              <w:rPr>
                <w:rFonts w:ascii="宋体"/>
                <w:kern w:val="0"/>
                <w:sz w:val="24"/>
              </w:rPr>
            </w:pPr>
            <w:r>
              <w:rPr>
                <w:rFonts w:hint="eastAsia" w:ascii="宋体"/>
                <w:kern w:val="0"/>
                <w:sz w:val="24"/>
              </w:rPr>
              <w:t>4</w:t>
            </w:r>
          </w:p>
        </w:tc>
        <w:tc>
          <w:tcPr>
            <w:tcW w:w="8532" w:type="dxa"/>
            <w:tcBorders>
              <w:top w:val="nil"/>
              <w:left w:val="nil"/>
              <w:bottom w:val="single" w:color="auto" w:sz="4" w:space="0"/>
              <w:right w:val="single" w:color="auto" w:sz="8" w:space="0"/>
            </w:tcBorders>
            <w:tcMar>
              <w:left w:w="28" w:type="dxa"/>
              <w:right w:w="28" w:type="dxa"/>
            </w:tcMar>
            <w:vAlign w:val="center"/>
          </w:tcPr>
          <w:p>
            <w:pPr>
              <w:widowControl/>
              <w:shd w:val="clear" w:color="auto" w:fill="FFFFFF"/>
              <w:snapToGrid w:val="0"/>
              <w:jc w:val="left"/>
              <w:rPr>
                <w:rFonts w:ascii="宋体" w:cs="宋体"/>
                <w:sz w:val="24"/>
              </w:rPr>
            </w:pPr>
            <w:r>
              <w:rPr>
                <w:rFonts w:hint="eastAsia" w:ascii="宋体" w:cs="宋体"/>
                <w:sz w:val="24"/>
              </w:rPr>
              <w:t>提供授权委托人《法定代表人授权委托书》及身份证（法人前来投标的提供《法人身份证明书》及身份证）</w:t>
            </w:r>
          </w:p>
        </w:tc>
      </w:tr>
      <w:tr>
        <w:tblPrEx>
          <w:tblLayout w:type="fixed"/>
          <w:tblCellMar>
            <w:top w:w="0" w:type="dxa"/>
            <w:left w:w="0" w:type="dxa"/>
            <w:bottom w:w="0" w:type="dxa"/>
            <w:right w:w="0" w:type="dxa"/>
          </w:tblCellMar>
        </w:tblPrEx>
        <w:trPr>
          <w:cantSplit/>
          <w:trHeight w:val="411" w:hRule="atLeast"/>
          <w:jc w:val="center"/>
        </w:trPr>
        <w:tc>
          <w:tcPr>
            <w:tcW w:w="628" w:type="dxa"/>
            <w:tcBorders>
              <w:top w:val="single" w:color="auto" w:sz="4" w:space="0"/>
              <w:left w:val="single" w:color="auto" w:sz="4" w:space="0"/>
              <w:bottom w:val="single" w:color="auto" w:sz="4" w:space="0"/>
              <w:right w:val="single" w:color="auto" w:sz="8" w:space="0"/>
            </w:tcBorders>
            <w:tcMar>
              <w:left w:w="28" w:type="dxa"/>
              <w:right w:w="28" w:type="dxa"/>
            </w:tcMar>
            <w:vAlign w:val="center"/>
          </w:tcPr>
          <w:p>
            <w:pPr>
              <w:widowControl/>
              <w:shd w:val="clear" w:color="auto" w:fill="FFFFFF"/>
              <w:snapToGrid w:val="0"/>
              <w:jc w:val="center"/>
              <w:rPr>
                <w:rFonts w:ascii="宋体"/>
                <w:kern w:val="0"/>
                <w:sz w:val="24"/>
              </w:rPr>
            </w:pPr>
            <w:r>
              <w:rPr>
                <w:rFonts w:hint="eastAsia" w:ascii="宋体"/>
                <w:kern w:val="0"/>
                <w:sz w:val="24"/>
              </w:rPr>
              <w:t>5</w:t>
            </w:r>
          </w:p>
        </w:tc>
        <w:tc>
          <w:tcPr>
            <w:tcW w:w="8532" w:type="dxa"/>
            <w:tcBorders>
              <w:top w:val="single" w:color="auto" w:sz="4" w:space="0"/>
              <w:left w:val="nil"/>
              <w:bottom w:val="single" w:color="auto" w:sz="4" w:space="0"/>
              <w:right w:val="single" w:color="auto" w:sz="4" w:space="0"/>
            </w:tcBorders>
            <w:tcMar>
              <w:left w:w="28" w:type="dxa"/>
              <w:right w:w="28" w:type="dxa"/>
            </w:tcMar>
            <w:vAlign w:val="center"/>
          </w:tcPr>
          <w:p>
            <w:pPr>
              <w:widowControl/>
              <w:shd w:val="clear" w:color="auto" w:fill="FFFFFF"/>
              <w:snapToGrid w:val="0"/>
              <w:jc w:val="left"/>
              <w:rPr>
                <w:rFonts w:ascii="宋体"/>
                <w:sz w:val="24"/>
              </w:rPr>
            </w:pPr>
            <w:r>
              <w:rPr>
                <w:rFonts w:hint="eastAsia" w:ascii="宋体" w:cs="宋体"/>
                <w:kern w:val="0"/>
                <w:sz w:val="24"/>
              </w:rPr>
              <w:t>投标人如在“信用中国”网站（www.creditchina.gov.cn）、中国政府采购网（www.ccgp.gov.cn）被列入失信被执行人、重大税收违法案件当事人名单、政府采购严重违法失信行为记录名单的（尚在处罚期内的），将拒绝本次政府采购活动；</w:t>
            </w:r>
            <w:r>
              <w:rPr>
                <w:rFonts w:hint="eastAsia" w:ascii="宋体" w:cs="宋体"/>
                <w:sz w:val="24"/>
              </w:rPr>
              <w:t>查询结果页面清晰截图（公告发布之日起至开标日之内截图）</w:t>
            </w:r>
          </w:p>
        </w:tc>
      </w:tr>
      <w:tr>
        <w:tblPrEx>
          <w:tblLayout w:type="fixed"/>
          <w:tblCellMar>
            <w:top w:w="0" w:type="dxa"/>
            <w:left w:w="0" w:type="dxa"/>
            <w:bottom w:w="0" w:type="dxa"/>
            <w:right w:w="0" w:type="dxa"/>
          </w:tblCellMar>
        </w:tblPrEx>
        <w:trPr>
          <w:cantSplit/>
          <w:trHeight w:val="411" w:hRule="atLeast"/>
          <w:jc w:val="center"/>
        </w:trPr>
        <w:tc>
          <w:tcPr>
            <w:tcW w:w="9160" w:type="dxa"/>
            <w:gridSpan w:val="2"/>
            <w:tcBorders>
              <w:top w:val="single" w:color="auto" w:sz="4" w:space="0"/>
              <w:left w:val="single" w:color="auto" w:sz="8" w:space="0"/>
              <w:bottom w:val="single" w:color="auto" w:sz="8" w:space="0"/>
              <w:right w:val="single" w:color="auto" w:sz="4" w:space="0"/>
            </w:tcBorders>
            <w:tcMar>
              <w:left w:w="28" w:type="dxa"/>
              <w:right w:w="28" w:type="dxa"/>
            </w:tcMar>
            <w:vAlign w:val="center"/>
          </w:tcPr>
          <w:p>
            <w:pPr>
              <w:widowControl/>
              <w:shd w:val="clear" w:color="auto" w:fill="FFFFFF"/>
              <w:snapToGrid w:val="0"/>
              <w:rPr>
                <w:rFonts w:ascii="宋体"/>
                <w:sz w:val="24"/>
              </w:rPr>
            </w:pPr>
            <w:r>
              <w:rPr>
                <w:rFonts w:hint="eastAsia" w:ascii="宋体"/>
                <w:b/>
                <w:bCs/>
                <w:kern w:val="0"/>
                <w:sz w:val="24"/>
              </w:rPr>
              <w:t>备注：如果资格评审中有一项不满足审查标准的，采购人将认定该投标人不通过资格审查，投标文件将被拒绝评审。并且不允许投标人通过修改或撤销其不符合要求的差异或保留，使之成为具有响应性的投标。</w:t>
            </w:r>
          </w:p>
        </w:tc>
      </w:tr>
    </w:tbl>
    <w:p>
      <w:pPr>
        <w:widowControl/>
        <w:shd w:val="clear" w:color="auto" w:fill="FFFFFF"/>
        <w:snapToGrid w:val="0"/>
        <w:jc w:val="center"/>
        <w:rPr>
          <w:rFonts w:ascii="宋体"/>
          <w:b/>
          <w:kern w:val="0"/>
          <w:sz w:val="24"/>
        </w:rPr>
      </w:pPr>
      <w:bookmarkStart w:id="22" w:name="_Toc501719167"/>
    </w:p>
    <w:p>
      <w:pPr>
        <w:pStyle w:val="9"/>
        <w:numPr>
          <w:ilvl w:val="0"/>
          <w:numId w:val="0"/>
        </w:numPr>
      </w:pPr>
    </w:p>
    <w:p>
      <w:pPr>
        <w:rPr>
          <w:rFonts w:ascii="宋体"/>
          <w:b/>
          <w:kern w:val="0"/>
          <w:sz w:val="24"/>
        </w:rPr>
      </w:pPr>
      <w:r>
        <w:rPr>
          <w:rFonts w:hint="eastAsia" w:ascii="宋体"/>
          <w:b/>
          <w:kern w:val="0"/>
          <w:sz w:val="24"/>
        </w:rPr>
        <w:br w:type="page"/>
      </w:r>
    </w:p>
    <w:p>
      <w:pPr>
        <w:widowControl/>
        <w:shd w:val="clear" w:color="auto" w:fill="FFFFFF"/>
        <w:snapToGrid w:val="0"/>
        <w:jc w:val="center"/>
        <w:rPr>
          <w:rFonts w:ascii="宋体"/>
          <w:b/>
          <w:kern w:val="0"/>
          <w:sz w:val="24"/>
        </w:rPr>
      </w:pPr>
      <w:r>
        <w:rPr>
          <w:rFonts w:hint="eastAsia" w:ascii="宋体"/>
          <w:b/>
          <w:kern w:val="0"/>
          <w:sz w:val="24"/>
        </w:rPr>
        <w:t>《完备性及符合性审查标准》</w:t>
      </w:r>
      <w:bookmarkEnd w:id="22"/>
    </w:p>
    <w:tbl>
      <w:tblPr>
        <w:tblStyle w:val="23"/>
        <w:tblW w:w="9177" w:type="dxa"/>
        <w:jc w:val="center"/>
        <w:tblInd w:w="0" w:type="dxa"/>
        <w:tblLayout w:type="fixed"/>
        <w:tblCellMar>
          <w:top w:w="0" w:type="dxa"/>
          <w:left w:w="0" w:type="dxa"/>
          <w:bottom w:w="0" w:type="dxa"/>
          <w:right w:w="0" w:type="dxa"/>
        </w:tblCellMar>
      </w:tblPr>
      <w:tblGrid>
        <w:gridCol w:w="621"/>
        <w:gridCol w:w="8556"/>
      </w:tblGrid>
      <w:tr>
        <w:tblPrEx>
          <w:tblLayout w:type="fixed"/>
          <w:tblCellMar>
            <w:top w:w="0" w:type="dxa"/>
            <w:left w:w="0" w:type="dxa"/>
            <w:bottom w:w="0" w:type="dxa"/>
            <w:right w:w="0" w:type="dxa"/>
          </w:tblCellMar>
        </w:tblPrEx>
        <w:trPr>
          <w:cantSplit/>
          <w:trHeight w:val="465" w:hRule="atLeast"/>
          <w:jc w:val="center"/>
        </w:trPr>
        <w:tc>
          <w:tcPr>
            <w:tcW w:w="621"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rPr>
                <w:rFonts w:ascii="宋体"/>
                <w:kern w:val="0"/>
                <w:sz w:val="24"/>
              </w:rPr>
            </w:pPr>
            <w:r>
              <w:rPr>
                <w:rFonts w:hint="eastAsia" w:ascii="宋体"/>
                <w:kern w:val="0"/>
                <w:sz w:val="24"/>
              </w:rPr>
              <w:t>序号</w:t>
            </w:r>
          </w:p>
        </w:tc>
        <w:tc>
          <w:tcPr>
            <w:tcW w:w="8556"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center"/>
              <w:rPr>
                <w:rFonts w:ascii="宋体"/>
                <w:kern w:val="0"/>
                <w:sz w:val="24"/>
              </w:rPr>
            </w:pPr>
            <w:r>
              <w:rPr>
                <w:rFonts w:hint="eastAsia" w:ascii="宋体"/>
                <w:kern w:val="0"/>
                <w:sz w:val="24"/>
              </w:rPr>
              <w:t>评审标准</w:t>
            </w:r>
          </w:p>
        </w:tc>
      </w:tr>
      <w:tr>
        <w:tblPrEx>
          <w:tblLayout w:type="fixed"/>
          <w:tblCellMar>
            <w:top w:w="0" w:type="dxa"/>
            <w:left w:w="0" w:type="dxa"/>
            <w:bottom w:w="0" w:type="dxa"/>
            <w:right w:w="0" w:type="dxa"/>
          </w:tblCellMar>
        </w:tblPrEx>
        <w:trPr>
          <w:cantSplit/>
          <w:trHeight w:val="20" w:hRule="atLeast"/>
          <w:jc w:val="center"/>
        </w:trPr>
        <w:tc>
          <w:tcPr>
            <w:tcW w:w="621" w:type="dxa"/>
            <w:tcBorders>
              <w:top w:val="nil"/>
              <w:left w:val="single" w:color="auto" w:sz="8" w:space="0"/>
              <w:bottom w:val="single" w:color="auto" w:sz="8" w:space="0"/>
              <w:right w:val="single" w:color="auto" w:sz="8" w:space="0"/>
            </w:tcBorders>
            <w:tcMar>
              <w:left w:w="28" w:type="dxa"/>
              <w:right w:w="28" w:type="dxa"/>
            </w:tcMar>
            <w:vAlign w:val="center"/>
          </w:tcPr>
          <w:p>
            <w:pPr>
              <w:widowControl/>
              <w:shd w:val="clear" w:color="auto" w:fill="FFFFFF"/>
              <w:snapToGrid w:val="0"/>
              <w:jc w:val="center"/>
              <w:rPr>
                <w:rFonts w:ascii="宋体"/>
                <w:kern w:val="0"/>
                <w:sz w:val="24"/>
              </w:rPr>
            </w:pPr>
            <w:r>
              <w:rPr>
                <w:rFonts w:ascii="宋体"/>
                <w:kern w:val="0"/>
                <w:sz w:val="24"/>
              </w:rPr>
              <w:t>1</w:t>
            </w:r>
          </w:p>
        </w:tc>
        <w:tc>
          <w:tcPr>
            <w:tcW w:w="8556" w:type="dxa"/>
            <w:tcBorders>
              <w:top w:val="nil"/>
              <w:left w:val="nil"/>
              <w:bottom w:val="single" w:color="auto" w:sz="8" w:space="0"/>
              <w:right w:val="single" w:color="auto" w:sz="8" w:space="0"/>
            </w:tcBorders>
            <w:tcMar>
              <w:left w:w="28" w:type="dxa"/>
              <w:right w:w="28" w:type="dxa"/>
            </w:tcMar>
            <w:vAlign w:val="center"/>
          </w:tcPr>
          <w:p>
            <w:pPr>
              <w:widowControl/>
              <w:shd w:val="clear" w:color="auto" w:fill="FFFFFF"/>
              <w:snapToGrid w:val="0"/>
              <w:rPr>
                <w:rFonts w:ascii="宋体"/>
                <w:color w:val="000000"/>
                <w:kern w:val="0"/>
                <w:sz w:val="24"/>
              </w:rPr>
            </w:pPr>
            <w:r>
              <w:rPr>
                <w:rFonts w:hint="eastAsia" w:ascii="宋体"/>
                <w:color w:val="000000"/>
                <w:kern w:val="0"/>
                <w:sz w:val="24"/>
              </w:rPr>
              <w:t>投标文件是否按要求签署并加盖投标人章、法定代表人章处未签署和加盖的</w:t>
            </w:r>
          </w:p>
        </w:tc>
      </w:tr>
      <w:tr>
        <w:tblPrEx>
          <w:tblLayout w:type="fixed"/>
          <w:tblCellMar>
            <w:top w:w="0" w:type="dxa"/>
            <w:left w:w="0" w:type="dxa"/>
            <w:bottom w:w="0" w:type="dxa"/>
            <w:right w:w="0" w:type="dxa"/>
          </w:tblCellMar>
        </w:tblPrEx>
        <w:trPr>
          <w:cantSplit/>
          <w:trHeight w:val="20" w:hRule="atLeast"/>
          <w:jc w:val="center"/>
        </w:trPr>
        <w:tc>
          <w:tcPr>
            <w:tcW w:w="621" w:type="dxa"/>
            <w:tcBorders>
              <w:top w:val="nil"/>
              <w:left w:val="single" w:color="auto" w:sz="8" w:space="0"/>
              <w:bottom w:val="single" w:color="auto" w:sz="8" w:space="0"/>
              <w:right w:val="single" w:color="auto" w:sz="8" w:space="0"/>
            </w:tcBorders>
            <w:tcMar>
              <w:left w:w="28" w:type="dxa"/>
              <w:right w:w="28" w:type="dxa"/>
            </w:tcMar>
            <w:vAlign w:val="center"/>
          </w:tcPr>
          <w:p>
            <w:pPr>
              <w:pStyle w:val="9"/>
              <w:numPr>
                <w:ilvl w:val="0"/>
                <w:numId w:val="0"/>
              </w:numPr>
              <w:jc w:val="center"/>
            </w:pPr>
            <w:r>
              <w:rPr>
                <w:rFonts w:hint="eastAsia" w:ascii="宋体" w:eastAsia="宋体"/>
                <w:kern w:val="0"/>
                <w:sz w:val="24"/>
              </w:rPr>
              <w:t>2</w:t>
            </w:r>
          </w:p>
        </w:tc>
        <w:tc>
          <w:tcPr>
            <w:tcW w:w="8556" w:type="dxa"/>
            <w:tcBorders>
              <w:top w:val="nil"/>
              <w:left w:val="nil"/>
              <w:bottom w:val="single" w:color="auto" w:sz="8" w:space="0"/>
              <w:right w:val="single" w:color="auto" w:sz="8" w:space="0"/>
            </w:tcBorders>
            <w:tcMar>
              <w:left w:w="28" w:type="dxa"/>
              <w:right w:w="28" w:type="dxa"/>
            </w:tcMar>
            <w:vAlign w:val="center"/>
          </w:tcPr>
          <w:p>
            <w:pPr>
              <w:widowControl/>
              <w:shd w:val="clear" w:color="auto" w:fill="FFFFFF"/>
              <w:snapToGrid w:val="0"/>
              <w:rPr>
                <w:rFonts w:ascii="宋体"/>
                <w:color w:val="000000"/>
                <w:kern w:val="0"/>
                <w:sz w:val="24"/>
              </w:rPr>
            </w:pPr>
            <w:r>
              <w:rPr>
                <w:rFonts w:hint="eastAsia" w:ascii="宋体"/>
                <w:color w:val="000000"/>
                <w:kern w:val="0"/>
                <w:sz w:val="24"/>
              </w:rPr>
              <w:t>投标价格是否超过投标人须知前附表中的采购预算金额及最高限价的</w:t>
            </w:r>
          </w:p>
        </w:tc>
      </w:tr>
      <w:tr>
        <w:tblPrEx>
          <w:tblLayout w:type="fixed"/>
          <w:tblCellMar>
            <w:top w:w="0" w:type="dxa"/>
            <w:left w:w="0" w:type="dxa"/>
            <w:bottom w:w="0" w:type="dxa"/>
            <w:right w:w="0" w:type="dxa"/>
          </w:tblCellMar>
        </w:tblPrEx>
        <w:trPr>
          <w:cantSplit/>
          <w:trHeight w:val="20" w:hRule="atLeast"/>
          <w:jc w:val="center"/>
        </w:trPr>
        <w:tc>
          <w:tcPr>
            <w:tcW w:w="621" w:type="dxa"/>
            <w:tcBorders>
              <w:top w:val="nil"/>
              <w:left w:val="single" w:color="auto" w:sz="8" w:space="0"/>
              <w:bottom w:val="single" w:color="auto" w:sz="8" w:space="0"/>
              <w:right w:val="single" w:color="auto" w:sz="8" w:space="0"/>
            </w:tcBorders>
            <w:tcMar>
              <w:left w:w="28" w:type="dxa"/>
              <w:right w:w="28" w:type="dxa"/>
            </w:tcMar>
            <w:vAlign w:val="center"/>
          </w:tcPr>
          <w:p>
            <w:pPr>
              <w:widowControl/>
              <w:shd w:val="clear" w:color="auto" w:fill="FFFFFF"/>
              <w:snapToGrid w:val="0"/>
              <w:jc w:val="center"/>
              <w:rPr>
                <w:rFonts w:ascii="宋体"/>
                <w:kern w:val="0"/>
                <w:sz w:val="24"/>
              </w:rPr>
            </w:pPr>
            <w:r>
              <w:rPr>
                <w:rFonts w:hint="eastAsia" w:ascii="宋体"/>
                <w:kern w:val="0"/>
                <w:sz w:val="24"/>
              </w:rPr>
              <w:t>3</w:t>
            </w:r>
          </w:p>
        </w:tc>
        <w:tc>
          <w:tcPr>
            <w:tcW w:w="8556" w:type="dxa"/>
            <w:tcBorders>
              <w:top w:val="nil"/>
              <w:left w:val="nil"/>
              <w:bottom w:val="single" w:color="auto" w:sz="8" w:space="0"/>
              <w:right w:val="single" w:color="auto" w:sz="8" w:space="0"/>
            </w:tcBorders>
            <w:tcMar>
              <w:left w:w="28" w:type="dxa"/>
              <w:right w:w="28" w:type="dxa"/>
            </w:tcMar>
            <w:vAlign w:val="center"/>
          </w:tcPr>
          <w:p>
            <w:pPr>
              <w:widowControl/>
              <w:shd w:val="clear" w:color="auto" w:fill="FFFFFF"/>
              <w:snapToGrid w:val="0"/>
              <w:rPr>
                <w:rFonts w:ascii="宋体"/>
                <w:color w:val="000000"/>
                <w:kern w:val="0"/>
                <w:sz w:val="24"/>
              </w:rPr>
            </w:pPr>
            <w:r>
              <w:rPr>
                <w:rFonts w:hint="eastAsia" w:ascii="宋体"/>
                <w:color w:val="000000"/>
                <w:kern w:val="0"/>
                <w:sz w:val="24"/>
              </w:rPr>
              <w:t>投标文件是否符合招标文件实质性要求的</w:t>
            </w:r>
          </w:p>
        </w:tc>
      </w:tr>
      <w:tr>
        <w:tblPrEx>
          <w:tblLayout w:type="fixed"/>
          <w:tblCellMar>
            <w:top w:w="0" w:type="dxa"/>
            <w:left w:w="0" w:type="dxa"/>
            <w:bottom w:w="0" w:type="dxa"/>
            <w:right w:w="0" w:type="dxa"/>
          </w:tblCellMar>
        </w:tblPrEx>
        <w:trPr>
          <w:cantSplit/>
          <w:trHeight w:val="20" w:hRule="atLeast"/>
          <w:jc w:val="center"/>
        </w:trPr>
        <w:tc>
          <w:tcPr>
            <w:tcW w:w="621" w:type="dxa"/>
            <w:tcBorders>
              <w:top w:val="nil"/>
              <w:left w:val="single" w:color="auto" w:sz="8" w:space="0"/>
              <w:bottom w:val="single" w:color="auto" w:sz="8" w:space="0"/>
              <w:right w:val="single" w:color="auto" w:sz="8" w:space="0"/>
            </w:tcBorders>
            <w:tcMar>
              <w:left w:w="28" w:type="dxa"/>
              <w:right w:w="28" w:type="dxa"/>
            </w:tcMar>
            <w:vAlign w:val="center"/>
          </w:tcPr>
          <w:p>
            <w:pPr>
              <w:widowControl/>
              <w:shd w:val="clear" w:color="auto" w:fill="FFFFFF"/>
              <w:snapToGrid w:val="0"/>
              <w:jc w:val="center"/>
              <w:rPr>
                <w:rFonts w:ascii="宋体"/>
                <w:kern w:val="0"/>
                <w:sz w:val="24"/>
              </w:rPr>
            </w:pPr>
            <w:r>
              <w:rPr>
                <w:rFonts w:hint="eastAsia" w:ascii="宋体"/>
                <w:kern w:val="0"/>
                <w:sz w:val="24"/>
              </w:rPr>
              <w:t>4</w:t>
            </w:r>
          </w:p>
        </w:tc>
        <w:tc>
          <w:tcPr>
            <w:tcW w:w="8556" w:type="dxa"/>
            <w:tcBorders>
              <w:top w:val="nil"/>
              <w:left w:val="nil"/>
              <w:bottom w:val="single" w:color="auto" w:sz="8" w:space="0"/>
              <w:right w:val="single" w:color="auto" w:sz="8" w:space="0"/>
            </w:tcBorders>
            <w:tcMar>
              <w:left w:w="28" w:type="dxa"/>
              <w:right w:w="28" w:type="dxa"/>
            </w:tcMar>
            <w:vAlign w:val="center"/>
          </w:tcPr>
          <w:p>
            <w:pPr>
              <w:widowControl/>
              <w:shd w:val="clear" w:color="auto" w:fill="FFFFFF"/>
              <w:snapToGrid w:val="0"/>
              <w:rPr>
                <w:rFonts w:ascii="宋体"/>
                <w:kern w:val="0"/>
                <w:sz w:val="24"/>
              </w:rPr>
            </w:pPr>
            <w:r>
              <w:rPr>
                <w:rFonts w:hint="eastAsia" w:ascii="宋体" w:cs="宋体"/>
                <w:sz w:val="24"/>
              </w:rPr>
              <w:t>投标人所报交货期是否满足招标文件规定期限的</w:t>
            </w:r>
          </w:p>
        </w:tc>
      </w:tr>
      <w:tr>
        <w:tblPrEx>
          <w:tblLayout w:type="fixed"/>
          <w:tblCellMar>
            <w:top w:w="0" w:type="dxa"/>
            <w:left w:w="0" w:type="dxa"/>
            <w:bottom w:w="0" w:type="dxa"/>
            <w:right w:w="0" w:type="dxa"/>
          </w:tblCellMar>
        </w:tblPrEx>
        <w:trPr>
          <w:cantSplit/>
          <w:trHeight w:val="20" w:hRule="atLeast"/>
          <w:jc w:val="center"/>
        </w:trPr>
        <w:tc>
          <w:tcPr>
            <w:tcW w:w="621" w:type="dxa"/>
            <w:tcBorders>
              <w:top w:val="nil"/>
              <w:left w:val="single" w:color="auto" w:sz="8" w:space="0"/>
              <w:bottom w:val="single" w:color="auto" w:sz="8" w:space="0"/>
              <w:right w:val="single" w:color="auto" w:sz="8" w:space="0"/>
            </w:tcBorders>
            <w:tcMar>
              <w:left w:w="28" w:type="dxa"/>
              <w:right w:w="28" w:type="dxa"/>
            </w:tcMar>
            <w:vAlign w:val="center"/>
          </w:tcPr>
          <w:p>
            <w:pPr>
              <w:widowControl/>
              <w:shd w:val="clear" w:color="auto" w:fill="FFFFFF"/>
              <w:snapToGrid w:val="0"/>
              <w:jc w:val="center"/>
              <w:rPr>
                <w:rFonts w:ascii="宋体"/>
                <w:kern w:val="0"/>
                <w:sz w:val="24"/>
              </w:rPr>
            </w:pPr>
            <w:r>
              <w:rPr>
                <w:rFonts w:hint="eastAsia" w:ascii="宋体"/>
                <w:kern w:val="0"/>
                <w:sz w:val="24"/>
              </w:rPr>
              <w:t>5</w:t>
            </w:r>
          </w:p>
        </w:tc>
        <w:tc>
          <w:tcPr>
            <w:tcW w:w="8556" w:type="dxa"/>
            <w:tcBorders>
              <w:top w:val="nil"/>
              <w:left w:val="nil"/>
              <w:bottom w:val="single" w:color="auto" w:sz="8" w:space="0"/>
              <w:right w:val="single" w:color="auto" w:sz="8" w:space="0"/>
            </w:tcBorders>
            <w:tcMar>
              <w:left w:w="28" w:type="dxa"/>
              <w:right w:w="28" w:type="dxa"/>
            </w:tcMar>
            <w:vAlign w:val="center"/>
          </w:tcPr>
          <w:p>
            <w:pPr>
              <w:widowControl/>
              <w:shd w:val="clear" w:color="auto" w:fill="FFFFFF"/>
              <w:snapToGrid w:val="0"/>
              <w:rPr>
                <w:rFonts w:ascii="宋体" w:cs="宋体"/>
                <w:sz w:val="24"/>
              </w:rPr>
            </w:pPr>
            <w:r>
              <w:rPr>
                <w:rFonts w:hint="eastAsia" w:ascii="宋体" w:cs="宋体"/>
                <w:sz w:val="24"/>
              </w:rPr>
              <w:t>投标有效期是否满足招标文件要求的</w:t>
            </w:r>
          </w:p>
        </w:tc>
      </w:tr>
      <w:tr>
        <w:tblPrEx>
          <w:tblLayout w:type="fixed"/>
          <w:tblCellMar>
            <w:top w:w="0" w:type="dxa"/>
            <w:left w:w="0" w:type="dxa"/>
            <w:bottom w:w="0" w:type="dxa"/>
            <w:right w:w="0" w:type="dxa"/>
          </w:tblCellMar>
        </w:tblPrEx>
        <w:trPr>
          <w:cantSplit/>
          <w:trHeight w:val="20" w:hRule="atLeast"/>
          <w:jc w:val="center"/>
        </w:trPr>
        <w:tc>
          <w:tcPr>
            <w:tcW w:w="621" w:type="dxa"/>
            <w:tcBorders>
              <w:top w:val="nil"/>
              <w:left w:val="single" w:color="auto" w:sz="8" w:space="0"/>
              <w:bottom w:val="single" w:color="auto" w:sz="8" w:space="0"/>
              <w:right w:val="single" w:color="auto" w:sz="8" w:space="0"/>
            </w:tcBorders>
            <w:tcMar>
              <w:left w:w="28" w:type="dxa"/>
              <w:right w:w="28" w:type="dxa"/>
            </w:tcMar>
            <w:vAlign w:val="center"/>
          </w:tcPr>
          <w:p>
            <w:pPr>
              <w:widowControl/>
              <w:shd w:val="clear" w:color="auto" w:fill="FFFFFF"/>
              <w:snapToGrid w:val="0"/>
              <w:jc w:val="center"/>
              <w:rPr>
                <w:rFonts w:ascii="宋体"/>
                <w:kern w:val="0"/>
                <w:sz w:val="24"/>
              </w:rPr>
            </w:pPr>
            <w:r>
              <w:rPr>
                <w:rFonts w:hint="eastAsia" w:ascii="宋体"/>
                <w:kern w:val="0"/>
                <w:sz w:val="24"/>
              </w:rPr>
              <w:t>6</w:t>
            </w:r>
          </w:p>
        </w:tc>
        <w:tc>
          <w:tcPr>
            <w:tcW w:w="8556" w:type="dxa"/>
            <w:tcBorders>
              <w:top w:val="nil"/>
              <w:left w:val="nil"/>
              <w:bottom w:val="single" w:color="auto" w:sz="8" w:space="0"/>
              <w:right w:val="single" w:color="auto" w:sz="8" w:space="0"/>
            </w:tcBorders>
            <w:tcMar>
              <w:left w:w="28" w:type="dxa"/>
              <w:right w:w="28" w:type="dxa"/>
            </w:tcMar>
            <w:vAlign w:val="center"/>
          </w:tcPr>
          <w:p>
            <w:pPr>
              <w:widowControl/>
              <w:shd w:val="clear" w:color="auto" w:fill="FFFFFF"/>
              <w:snapToGrid w:val="0"/>
              <w:rPr>
                <w:rFonts w:ascii="宋体" w:cs="宋体"/>
                <w:sz w:val="24"/>
              </w:rPr>
            </w:pPr>
            <w:r>
              <w:rPr>
                <w:rFonts w:hint="eastAsia" w:ascii="宋体" w:cs="宋体"/>
                <w:sz w:val="24"/>
              </w:rPr>
              <w:t>经评审委员会认定投标文件技术参数及要求进行复制、粘贴的文件为无效文件</w:t>
            </w:r>
          </w:p>
        </w:tc>
      </w:tr>
      <w:tr>
        <w:tblPrEx>
          <w:tblLayout w:type="fixed"/>
          <w:tblCellMar>
            <w:top w:w="0" w:type="dxa"/>
            <w:left w:w="0" w:type="dxa"/>
            <w:bottom w:w="0" w:type="dxa"/>
            <w:right w:w="0" w:type="dxa"/>
          </w:tblCellMar>
        </w:tblPrEx>
        <w:trPr>
          <w:cantSplit/>
          <w:trHeight w:val="20" w:hRule="atLeast"/>
          <w:jc w:val="center"/>
        </w:trPr>
        <w:tc>
          <w:tcPr>
            <w:tcW w:w="9177" w:type="dxa"/>
            <w:gridSpan w:val="2"/>
            <w:tcBorders>
              <w:top w:val="single" w:color="auto" w:sz="8" w:space="0"/>
              <w:left w:val="single" w:color="auto" w:sz="8" w:space="0"/>
              <w:bottom w:val="single" w:color="auto" w:sz="8" w:space="0"/>
              <w:right w:val="single" w:color="auto" w:sz="8" w:space="0"/>
            </w:tcBorders>
            <w:tcMar>
              <w:left w:w="28" w:type="dxa"/>
              <w:right w:w="28" w:type="dxa"/>
            </w:tcMar>
            <w:vAlign w:val="center"/>
          </w:tcPr>
          <w:p>
            <w:pPr>
              <w:widowControl/>
              <w:shd w:val="clear" w:color="auto" w:fill="FFFFFF"/>
              <w:snapToGrid w:val="0"/>
              <w:rPr>
                <w:rFonts w:ascii="宋体" w:cs="宋体"/>
                <w:sz w:val="24"/>
              </w:rPr>
            </w:pPr>
            <w:r>
              <w:rPr>
                <w:rFonts w:hint="eastAsia" w:ascii="宋体"/>
                <w:b/>
                <w:bCs/>
                <w:kern w:val="0"/>
                <w:sz w:val="24"/>
              </w:rPr>
              <w:t>备注：完备性及符合性审查中有一项不满足评审标准的，评标委员会将认定该投标人不通过完备性及符合性审查，不得进入下一阶段评审。并且不允许投标人通过修改或撤销其不符合要求的差异或保留，使之成为具有响应性的投标。</w:t>
            </w:r>
          </w:p>
        </w:tc>
      </w:tr>
    </w:tbl>
    <w:p>
      <w:pPr>
        <w:jc w:val="center"/>
        <w:rPr>
          <w:rFonts w:ascii="宋体"/>
          <w:b/>
          <w:kern w:val="0"/>
          <w:sz w:val="24"/>
        </w:rPr>
      </w:pPr>
    </w:p>
    <w:p>
      <w:pPr>
        <w:jc w:val="left"/>
        <w:rPr>
          <w:rFonts w:ascii="宋体"/>
          <w:kern w:val="0"/>
          <w:sz w:val="24"/>
        </w:rPr>
      </w:pPr>
      <w:r>
        <w:rPr>
          <w:rFonts w:hint="eastAsia" w:ascii="宋体"/>
          <w:kern w:val="0"/>
          <w:sz w:val="24"/>
        </w:rPr>
        <w:t>只有通过了资格审查、完备性及符合性审查且投标人不少于3个方可进入详细评审。</w:t>
      </w:r>
    </w:p>
    <w:p>
      <w:pPr>
        <w:rPr>
          <w:rFonts w:ascii="宋体"/>
          <w:b/>
          <w:kern w:val="0"/>
          <w:sz w:val="24"/>
        </w:rPr>
      </w:pPr>
    </w:p>
    <w:p>
      <w:pPr>
        <w:jc w:val="center"/>
        <w:rPr>
          <w:rFonts w:ascii="宋体"/>
          <w:b/>
          <w:kern w:val="0"/>
          <w:sz w:val="24"/>
        </w:rPr>
      </w:pPr>
      <w:r>
        <w:rPr>
          <w:rFonts w:hint="eastAsia" w:ascii="宋体"/>
          <w:b/>
          <w:kern w:val="0"/>
          <w:sz w:val="24"/>
        </w:rPr>
        <w:t>《详细评审标准》</w:t>
      </w:r>
    </w:p>
    <w:p>
      <w:pPr>
        <w:snapToGrid w:val="0"/>
        <w:spacing w:line="360" w:lineRule="auto"/>
        <w:jc w:val="left"/>
        <w:rPr>
          <w:rFonts w:ascii="宋体" w:cs="宋体"/>
          <w:b/>
          <w:bCs/>
          <w:sz w:val="24"/>
        </w:rPr>
      </w:pPr>
      <w:r>
        <w:rPr>
          <w:rFonts w:hint="eastAsia" w:ascii="宋体" w:cs="宋体"/>
          <w:b/>
          <w:bCs/>
          <w:sz w:val="24"/>
        </w:rPr>
        <w:t>1、价格部分（满分30分）</w:t>
      </w:r>
    </w:p>
    <w:p>
      <w:pPr>
        <w:snapToGrid w:val="0"/>
        <w:spacing w:line="360" w:lineRule="auto"/>
        <w:ind w:firstLine="480" w:firstLineChars="200"/>
        <w:jc w:val="left"/>
        <w:rPr>
          <w:rFonts w:ascii="宋体" w:cs="宋体"/>
          <w:sz w:val="24"/>
        </w:rPr>
      </w:pPr>
      <w:r>
        <w:rPr>
          <w:rFonts w:hint="eastAsia" w:ascii="宋体" w:cs="宋体"/>
          <w:bCs/>
          <w:sz w:val="24"/>
        </w:rPr>
        <w:t>综合评分法中的价格分统一采用低价优先法计算，即满足投标文件要求且最后报价最低的供应商的价格为评标基准价，其价格分为满分</w:t>
      </w:r>
      <w:r>
        <w:rPr>
          <w:rFonts w:hint="eastAsia" w:ascii="宋体" w:cs="宋体"/>
          <w:sz w:val="24"/>
        </w:rPr>
        <w:t>。其他投标人的价格分统一按照下列公式计算：</w:t>
      </w:r>
    </w:p>
    <w:p>
      <w:pPr>
        <w:snapToGrid w:val="0"/>
        <w:spacing w:line="360" w:lineRule="auto"/>
        <w:ind w:firstLine="480" w:firstLineChars="200"/>
        <w:jc w:val="left"/>
        <w:rPr>
          <w:rFonts w:ascii="宋体" w:cs="宋体"/>
          <w:sz w:val="24"/>
        </w:rPr>
      </w:pPr>
      <w:r>
        <w:rPr>
          <w:rFonts w:hint="eastAsia" w:ascii="宋体" w:cs="宋体"/>
          <w:sz w:val="24"/>
        </w:rPr>
        <w:t>投标报价得分=(评标基准价／评标报价)×投标报价权重</w:t>
      </w:r>
    </w:p>
    <w:p>
      <w:pPr>
        <w:snapToGrid w:val="0"/>
        <w:spacing w:line="400" w:lineRule="exact"/>
        <w:ind w:firstLine="465"/>
        <w:rPr>
          <w:rFonts w:ascii="宋体" w:cs="宋体"/>
          <w:b/>
          <w:bCs/>
          <w:sz w:val="24"/>
        </w:rPr>
      </w:pPr>
      <w:r>
        <w:rPr>
          <w:rFonts w:hint="eastAsia" w:ascii="宋体" w:cs="宋体"/>
          <w:b/>
          <w:bCs/>
          <w:sz w:val="24"/>
        </w:rPr>
        <w:t>注：各投标供应商不得采取恶意</w:t>
      </w:r>
      <w:r>
        <w:rPr>
          <w:rFonts w:hint="eastAsia" w:ascii="宋体" w:cs="宋体"/>
          <w:b/>
          <w:bCs/>
          <w:color w:val="000000"/>
          <w:sz w:val="24"/>
        </w:rPr>
        <w:t>竞价</w:t>
      </w:r>
      <w:r>
        <w:rPr>
          <w:rFonts w:hint="eastAsia" w:ascii="宋体" w:cs="宋体"/>
          <w:b/>
          <w:bCs/>
          <w:sz w:val="24"/>
        </w:rPr>
        <w:t>方式投标，不得以低于成本的价格参与投标。如评标委员会一致认为供应商恶意报价，其投标文件将作无效投标处理。</w:t>
      </w:r>
    </w:p>
    <w:p>
      <w:pPr>
        <w:pStyle w:val="6"/>
      </w:pPr>
    </w:p>
    <w:p>
      <w:pPr>
        <w:pStyle w:val="17"/>
        <w:jc w:val="left"/>
        <w:rPr>
          <w:rFonts w:ascii="宋体" w:cs="宋体"/>
          <w:b/>
          <w:bCs/>
          <w:sz w:val="24"/>
        </w:rPr>
      </w:pPr>
      <w:r>
        <w:rPr>
          <w:rFonts w:hint="eastAsia" w:ascii="宋体" w:cs="宋体"/>
          <w:b/>
          <w:bCs/>
          <w:sz w:val="24"/>
        </w:rPr>
        <w:t>2、商务评分标准（</w:t>
      </w:r>
      <w:r>
        <w:rPr>
          <w:rFonts w:hint="eastAsia" w:ascii="宋体" w:cs="宋体"/>
          <w:b/>
          <w:bCs/>
          <w:sz w:val="24"/>
          <w:lang w:val="en-US" w:eastAsia="zh-CN"/>
        </w:rPr>
        <w:t>25</w:t>
      </w:r>
      <w:r>
        <w:rPr>
          <w:rFonts w:hint="eastAsia" w:ascii="宋体" w:cs="宋体"/>
          <w:b/>
          <w:bCs/>
          <w:sz w:val="24"/>
        </w:rPr>
        <w:t>分）</w:t>
      </w:r>
    </w:p>
    <w:tbl>
      <w:tblPr>
        <w:tblStyle w:val="23"/>
        <w:tblW w:w="8905" w:type="dxa"/>
        <w:tblInd w:w="0" w:type="dxa"/>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723"/>
        <w:gridCol w:w="1560"/>
        <w:gridCol w:w="5802"/>
        <w:gridCol w:w="820"/>
      </w:tblGrid>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trPr>
        <w:tc>
          <w:tcPr>
            <w:tcW w:w="723" w:type="dxa"/>
            <w:vAlign w:val="center"/>
          </w:tcPr>
          <w:p>
            <w:pPr>
              <w:pStyle w:val="17"/>
              <w:jc w:val="center"/>
              <w:rPr>
                <w:rFonts w:ascii="宋体" w:cs="宋体"/>
                <w:sz w:val="24"/>
              </w:rPr>
            </w:pPr>
            <w:r>
              <w:rPr>
                <w:rFonts w:hint="eastAsia" w:ascii="宋体" w:cs="宋体"/>
                <w:sz w:val="24"/>
              </w:rPr>
              <w:t>序号</w:t>
            </w:r>
          </w:p>
        </w:tc>
        <w:tc>
          <w:tcPr>
            <w:tcW w:w="1560" w:type="dxa"/>
            <w:vAlign w:val="center"/>
          </w:tcPr>
          <w:p>
            <w:pPr>
              <w:pStyle w:val="17"/>
              <w:jc w:val="center"/>
              <w:rPr>
                <w:rFonts w:ascii="宋体" w:cs="宋体"/>
                <w:sz w:val="24"/>
              </w:rPr>
            </w:pPr>
            <w:r>
              <w:rPr>
                <w:rFonts w:hint="eastAsia" w:ascii="宋体" w:cs="宋体"/>
                <w:sz w:val="24"/>
              </w:rPr>
              <w:t>评分因素</w:t>
            </w:r>
          </w:p>
        </w:tc>
        <w:tc>
          <w:tcPr>
            <w:tcW w:w="5802" w:type="dxa"/>
            <w:vAlign w:val="center"/>
          </w:tcPr>
          <w:p>
            <w:pPr>
              <w:pStyle w:val="17"/>
              <w:jc w:val="center"/>
              <w:rPr>
                <w:rFonts w:ascii="宋体" w:cs="宋体"/>
                <w:sz w:val="24"/>
              </w:rPr>
            </w:pPr>
            <w:r>
              <w:rPr>
                <w:rFonts w:hint="eastAsia" w:ascii="宋体" w:cs="宋体"/>
                <w:sz w:val="24"/>
              </w:rPr>
              <w:t>评分标准</w:t>
            </w:r>
          </w:p>
        </w:tc>
        <w:tc>
          <w:tcPr>
            <w:tcW w:w="820" w:type="dxa"/>
            <w:vAlign w:val="center"/>
          </w:tcPr>
          <w:p>
            <w:pPr>
              <w:pStyle w:val="17"/>
              <w:jc w:val="center"/>
              <w:rPr>
                <w:rFonts w:ascii="宋体" w:cs="宋体"/>
                <w:sz w:val="24"/>
              </w:rPr>
            </w:pPr>
            <w:r>
              <w:rPr>
                <w:rFonts w:hint="eastAsia" w:ascii="宋体" w:cs="宋体"/>
                <w:sz w:val="24"/>
              </w:rPr>
              <w:t>分值</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940" w:hRule="atLeast"/>
        </w:trPr>
        <w:tc>
          <w:tcPr>
            <w:tcW w:w="723" w:type="dxa"/>
            <w:vAlign w:val="center"/>
          </w:tcPr>
          <w:p>
            <w:pPr>
              <w:pStyle w:val="17"/>
              <w:jc w:val="center"/>
              <w:rPr>
                <w:rFonts w:ascii="宋体" w:cs="宋体"/>
                <w:sz w:val="24"/>
              </w:rPr>
            </w:pPr>
            <w:r>
              <w:rPr>
                <w:rFonts w:hint="eastAsia" w:ascii="宋体" w:cs="宋体"/>
                <w:sz w:val="24"/>
              </w:rPr>
              <w:t>1</w:t>
            </w:r>
          </w:p>
        </w:tc>
        <w:tc>
          <w:tcPr>
            <w:tcW w:w="1560" w:type="dxa"/>
            <w:vAlign w:val="center"/>
          </w:tcPr>
          <w:p>
            <w:pPr>
              <w:pStyle w:val="17"/>
              <w:jc w:val="center"/>
              <w:rPr>
                <w:rFonts w:ascii="宋体" w:cs="宋体"/>
                <w:color w:val="000000"/>
                <w:sz w:val="24"/>
              </w:rPr>
            </w:pPr>
            <w:r>
              <w:rPr>
                <w:rFonts w:hint="eastAsia" w:ascii="宋体" w:cs="宋体"/>
                <w:color w:val="000000"/>
                <w:sz w:val="24"/>
              </w:rPr>
              <w:t>投标人业绩</w:t>
            </w:r>
          </w:p>
        </w:tc>
        <w:tc>
          <w:tcPr>
            <w:tcW w:w="5802" w:type="dxa"/>
          </w:tcPr>
          <w:p>
            <w:pPr>
              <w:pStyle w:val="17"/>
              <w:pBdr>
                <w:bottom w:val="none" w:color="auto" w:sz="0" w:space="0"/>
              </w:pBdr>
              <w:jc w:val="left"/>
              <w:rPr>
                <w:rFonts w:hint="eastAsia" w:ascii="宋体" w:cs="宋体"/>
                <w:color w:val="000000"/>
                <w:sz w:val="24"/>
              </w:rPr>
            </w:pPr>
            <w:r>
              <w:rPr>
                <w:rFonts w:hint="eastAsia" w:ascii="宋体" w:cs="宋体"/>
                <w:color w:val="000000" w:themeColor="text1"/>
                <w:sz w:val="24"/>
                <w:lang w:eastAsia="zh-CN"/>
                <w14:textFill>
                  <w14:solidFill>
                    <w14:schemeClr w14:val="tx1"/>
                  </w14:solidFill>
                </w14:textFill>
              </w:rPr>
              <w:t>提供</w:t>
            </w:r>
            <w:r>
              <w:rPr>
                <w:rFonts w:hint="eastAsia" w:ascii="宋体" w:cs="宋体"/>
                <w:color w:val="000000" w:themeColor="text1"/>
                <w:sz w:val="24"/>
                <w:lang w:val="en-US" w:eastAsia="zh-CN"/>
                <w14:textFill>
                  <w14:solidFill>
                    <w14:schemeClr w14:val="tx1"/>
                  </w14:solidFill>
                </w14:textFill>
              </w:rPr>
              <w:t>自2019年6月1日至今政</w:t>
            </w:r>
            <w:r>
              <w:rPr>
                <w:rFonts w:hint="eastAsia" w:ascii="宋体" w:cs="宋体"/>
                <w:color w:val="auto"/>
                <w:sz w:val="24"/>
                <w:lang w:val="en-US" w:eastAsia="zh-CN"/>
              </w:rPr>
              <w:t>府采购类的同类项目业绩证明</w:t>
            </w:r>
            <w:r>
              <w:rPr>
                <w:rFonts w:hint="eastAsia" w:ascii="宋体" w:cs="宋体"/>
                <w:color w:val="auto"/>
                <w:sz w:val="24"/>
                <w:lang w:eastAsia="zh-CN"/>
              </w:rPr>
              <w:t>。</w:t>
            </w:r>
            <w:r>
              <w:rPr>
                <w:rFonts w:hint="eastAsia" w:ascii="宋体" w:cs="宋体"/>
                <w:color w:val="auto"/>
                <w:sz w:val="24"/>
              </w:rPr>
              <w:t>（提供合同</w:t>
            </w:r>
            <w:r>
              <w:rPr>
                <w:rFonts w:hint="eastAsia" w:ascii="宋体" w:cs="宋体"/>
                <w:color w:val="auto"/>
                <w:sz w:val="24"/>
                <w:lang w:eastAsia="zh-CN"/>
              </w:rPr>
              <w:t>或</w:t>
            </w:r>
            <w:r>
              <w:rPr>
                <w:rFonts w:hint="eastAsia" w:ascii="宋体" w:cs="宋体"/>
                <w:color w:val="auto"/>
                <w:sz w:val="24"/>
              </w:rPr>
              <w:t>中标通知书证明材</w:t>
            </w:r>
            <w:r>
              <w:rPr>
                <w:rFonts w:hint="eastAsia" w:ascii="宋体" w:cs="宋体"/>
                <w:color w:val="000000"/>
                <w:sz w:val="24"/>
              </w:rPr>
              <w:t>料）</w:t>
            </w:r>
            <w:r>
              <w:rPr>
                <w:rFonts w:hint="eastAsia" w:ascii="宋体" w:cs="宋体"/>
                <w:color w:val="000000"/>
                <w:sz w:val="24"/>
                <w:lang w:eastAsia="zh-CN"/>
              </w:rPr>
              <w:t>（</w:t>
            </w:r>
            <w:r>
              <w:rPr>
                <w:rFonts w:hint="eastAsia" w:ascii="宋体" w:cs="宋体"/>
                <w:color w:val="000000"/>
                <w:sz w:val="24"/>
              </w:rPr>
              <w:t>满分</w:t>
            </w:r>
            <w:r>
              <w:rPr>
                <w:rFonts w:hint="eastAsia" w:ascii="宋体" w:cs="宋体"/>
                <w:color w:val="000000"/>
                <w:sz w:val="24"/>
                <w:lang w:val="en-US" w:eastAsia="zh-CN"/>
              </w:rPr>
              <w:t>4</w:t>
            </w:r>
            <w:r>
              <w:rPr>
                <w:rFonts w:hint="eastAsia" w:ascii="宋体" w:cs="宋体"/>
                <w:color w:val="000000"/>
                <w:sz w:val="24"/>
              </w:rPr>
              <w:t>分</w:t>
            </w:r>
            <w:r>
              <w:rPr>
                <w:rFonts w:hint="eastAsia" w:ascii="宋体" w:cs="宋体"/>
                <w:color w:val="000000"/>
                <w:sz w:val="24"/>
                <w:lang w:eastAsia="zh-CN"/>
              </w:rPr>
              <w:t>）：</w:t>
            </w:r>
          </w:p>
          <w:p>
            <w:pPr>
              <w:pStyle w:val="17"/>
              <w:pBdr>
                <w:bottom w:val="none" w:color="auto" w:sz="0" w:space="0"/>
              </w:pBdr>
              <w:jc w:val="left"/>
              <w:rPr>
                <w:rFonts w:hint="eastAsia" w:ascii="宋体" w:eastAsia="宋体" w:cs="宋体"/>
                <w:color w:val="000000"/>
                <w:sz w:val="24"/>
                <w:lang w:eastAsia="zh-CN"/>
              </w:rPr>
            </w:pPr>
            <w:r>
              <w:rPr>
                <w:rFonts w:hint="eastAsia" w:ascii="宋体" w:eastAsia="宋体" w:cs="宋体"/>
                <w:color w:val="000000"/>
                <w:sz w:val="24"/>
              </w:rPr>
              <w:t>①</w:t>
            </w:r>
            <w:r>
              <w:rPr>
                <w:rFonts w:hint="eastAsia" w:ascii="宋体" w:cs="宋体"/>
                <w:color w:val="000000"/>
                <w:sz w:val="24"/>
              </w:rPr>
              <w:t>每</w:t>
            </w:r>
            <w:r>
              <w:rPr>
                <w:rFonts w:hint="eastAsia" w:ascii="宋体" w:cs="宋体"/>
                <w:color w:val="000000"/>
                <w:sz w:val="24"/>
                <w:lang w:eastAsia="zh-CN"/>
              </w:rPr>
              <w:t>提供</w:t>
            </w:r>
            <w:r>
              <w:rPr>
                <w:rFonts w:hint="eastAsia" w:ascii="宋体" w:cs="宋体"/>
                <w:color w:val="000000"/>
                <w:sz w:val="24"/>
                <w:lang w:val="en-US" w:eastAsia="zh-CN"/>
              </w:rPr>
              <w:t>1</w:t>
            </w:r>
            <w:r>
              <w:rPr>
                <w:rFonts w:hint="eastAsia" w:ascii="宋体" w:cs="宋体"/>
                <w:color w:val="000000"/>
                <w:sz w:val="24"/>
              </w:rPr>
              <w:t>个</w:t>
            </w:r>
            <w:r>
              <w:rPr>
                <w:rFonts w:hint="eastAsia" w:ascii="宋体" w:cs="宋体"/>
                <w:color w:val="000000"/>
                <w:sz w:val="24"/>
                <w:lang w:eastAsia="zh-CN"/>
              </w:rPr>
              <w:t>业绩</w:t>
            </w:r>
            <w:r>
              <w:rPr>
                <w:rFonts w:hint="eastAsia" w:ascii="宋体" w:cs="宋体"/>
                <w:color w:val="000000"/>
                <w:sz w:val="24"/>
              </w:rPr>
              <w:t>得</w:t>
            </w:r>
            <w:r>
              <w:rPr>
                <w:rFonts w:hint="eastAsia" w:ascii="宋体" w:cs="宋体"/>
                <w:color w:val="000000"/>
                <w:sz w:val="24"/>
                <w:lang w:val="en-US" w:eastAsia="zh-CN"/>
              </w:rPr>
              <w:t>0.5</w:t>
            </w:r>
            <w:r>
              <w:rPr>
                <w:rFonts w:hint="eastAsia" w:ascii="宋体" w:cs="宋体"/>
                <w:color w:val="000000"/>
                <w:sz w:val="24"/>
              </w:rPr>
              <w:t>分</w:t>
            </w:r>
            <w:r>
              <w:rPr>
                <w:rFonts w:hint="eastAsia" w:ascii="宋体" w:cs="宋体"/>
                <w:color w:val="000000"/>
                <w:sz w:val="24"/>
                <w:lang w:eastAsia="zh-CN"/>
              </w:rPr>
              <w:t>；</w:t>
            </w:r>
          </w:p>
          <w:p>
            <w:pPr>
              <w:pStyle w:val="17"/>
              <w:jc w:val="left"/>
              <w:rPr>
                <w:rFonts w:ascii="宋体" w:cs="宋体"/>
                <w:color w:val="000000"/>
                <w:sz w:val="24"/>
              </w:rPr>
            </w:pPr>
            <w:r>
              <w:rPr>
                <w:rFonts w:hint="eastAsia" w:ascii="宋体" w:eastAsia="宋体" w:cs="宋体"/>
                <w:color w:val="000000"/>
                <w:sz w:val="24"/>
              </w:rPr>
              <w:t>②</w:t>
            </w:r>
            <w:r>
              <w:rPr>
                <w:rFonts w:hint="eastAsia" w:ascii="宋体" w:cs="宋体"/>
                <w:color w:val="000000"/>
                <w:sz w:val="24"/>
              </w:rPr>
              <w:t>没有的不得分</w:t>
            </w:r>
            <w:r>
              <w:rPr>
                <w:rFonts w:hint="eastAsia" w:ascii="宋体" w:cs="宋体"/>
                <w:sz w:val="24"/>
              </w:rPr>
              <w:t>。</w:t>
            </w:r>
          </w:p>
        </w:tc>
        <w:tc>
          <w:tcPr>
            <w:tcW w:w="820" w:type="dxa"/>
            <w:vAlign w:val="center"/>
          </w:tcPr>
          <w:p>
            <w:pPr>
              <w:pStyle w:val="17"/>
              <w:jc w:val="center"/>
              <w:rPr>
                <w:rFonts w:hint="eastAsia" w:ascii="宋体" w:eastAsia="宋体" w:cs="宋体"/>
                <w:sz w:val="24"/>
                <w:highlight w:val="red"/>
                <w:lang w:eastAsia="zh-CN"/>
              </w:rPr>
            </w:pPr>
            <w:r>
              <w:rPr>
                <w:rFonts w:hint="eastAsia" w:ascii="宋体" w:cs="宋体"/>
                <w:color w:val="auto"/>
                <w:sz w:val="24"/>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trPr>
        <w:tc>
          <w:tcPr>
            <w:tcW w:w="723" w:type="dxa"/>
            <w:vAlign w:val="center"/>
          </w:tcPr>
          <w:p>
            <w:pPr>
              <w:pStyle w:val="17"/>
              <w:jc w:val="center"/>
              <w:rPr>
                <w:rFonts w:ascii="宋体" w:cs="宋体"/>
                <w:sz w:val="24"/>
              </w:rPr>
            </w:pPr>
            <w:r>
              <w:rPr>
                <w:rFonts w:hint="eastAsia" w:ascii="宋体" w:cs="宋体"/>
                <w:sz w:val="24"/>
              </w:rPr>
              <w:t>2</w:t>
            </w:r>
          </w:p>
        </w:tc>
        <w:tc>
          <w:tcPr>
            <w:tcW w:w="1560" w:type="dxa"/>
            <w:vAlign w:val="center"/>
          </w:tcPr>
          <w:p>
            <w:pPr>
              <w:pStyle w:val="17"/>
              <w:jc w:val="center"/>
              <w:rPr>
                <w:rFonts w:ascii="宋体" w:hAnsi="Calibri" w:eastAsia="宋体" w:cs="宋体"/>
                <w:color w:val="000000"/>
                <w:kern w:val="2"/>
                <w:sz w:val="24"/>
                <w:szCs w:val="24"/>
                <w:lang w:val="en-US" w:eastAsia="zh-CN" w:bidi="ar-SA"/>
              </w:rPr>
            </w:pPr>
            <w:r>
              <w:rPr>
                <w:rFonts w:hint="eastAsia" w:ascii="宋体" w:cs="宋体"/>
                <w:sz w:val="24"/>
              </w:rPr>
              <w:t>人员配备</w:t>
            </w:r>
          </w:p>
        </w:tc>
        <w:tc>
          <w:tcPr>
            <w:tcW w:w="5802" w:type="dxa"/>
            <w:vAlign w:val="top"/>
          </w:tcPr>
          <w:p>
            <w:pPr>
              <w:pStyle w:val="17"/>
              <w:jc w:val="left"/>
              <w:rPr>
                <w:rFonts w:ascii="宋体" w:cs="宋体"/>
                <w:color w:val="auto"/>
                <w:sz w:val="24"/>
              </w:rPr>
            </w:pPr>
            <w:r>
              <w:rPr>
                <w:rFonts w:hint="eastAsia" w:ascii="宋体" w:cs="宋体"/>
                <w:color w:val="auto"/>
                <w:sz w:val="24"/>
              </w:rPr>
              <w:t>科学合理配备人员（满分</w:t>
            </w:r>
            <w:r>
              <w:rPr>
                <w:rFonts w:hint="eastAsia" w:ascii="宋体" w:cs="宋体"/>
                <w:color w:val="auto"/>
                <w:sz w:val="24"/>
                <w:lang w:eastAsia="zh-CN"/>
              </w:rPr>
              <w:t>4</w:t>
            </w:r>
            <w:r>
              <w:rPr>
                <w:rFonts w:hint="eastAsia" w:ascii="宋体" w:cs="宋体"/>
                <w:color w:val="auto"/>
                <w:sz w:val="24"/>
              </w:rPr>
              <w:t>分）</w:t>
            </w:r>
          </w:p>
          <w:p>
            <w:pPr>
              <w:pStyle w:val="17"/>
              <w:jc w:val="left"/>
              <w:rPr>
                <w:rFonts w:hint="eastAsia" w:ascii="宋体" w:eastAsia="宋体" w:cs="宋体"/>
                <w:color w:val="auto"/>
                <w:sz w:val="24"/>
                <w:lang w:eastAsia="zh-CN"/>
              </w:rPr>
            </w:pPr>
            <w:r>
              <w:rPr>
                <w:rFonts w:hint="eastAsia" w:ascii="宋体" w:cs="宋体"/>
                <w:color w:val="auto"/>
                <w:sz w:val="24"/>
              </w:rPr>
              <w:t>①对岗位配置科学</w:t>
            </w:r>
            <w:r>
              <w:rPr>
                <w:rFonts w:hint="eastAsia" w:ascii="宋体" w:eastAsia="宋体" w:cs="宋体"/>
                <w:color w:val="auto"/>
                <w:sz w:val="24"/>
              </w:rPr>
              <w:t>合理，人员配备符合或优于本项目需求岗位的进行综合评价打分。配备专业技术服务人员</w:t>
            </w:r>
            <w:r>
              <w:rPr>
                <w:rFonts w:hint="eastAsia" w:ascii="宋体" w:eastAsia="宋体" w:cs="宋体"/>
                <w:color w:val="auto"/>
                <w:sz w:val="24"/>
                <w:lang w:eastAsia="zh-CN"/>
              </w:rPr>
              <w:t>不少于</w:t>
            </w:r>
            <w:r>
              <w:rPr>
                <w:rFonts w:hint="eastAsia" w:ascii="宋体" w:cs="宋体"/>
                <w:color w:val="auto"/>
                <w:sz w:val="24"/>
                <w:lang w:val="en-US" w:eastAsia="zh-CN"/>
              </w:rPr>
              <w:t>3</w:t>
            </w:r>
            <w:r>
              <w:rPr>
                <w:rFonts w:hint="eastAsia" w:ascii="宋体" w:eastAsia="宋体" w:cs="宋体"/>
                <w:color w:val="auto"/>
                <w:sz w:val="24"/>
                <w:lang w:eastAsia="zh-CN"/>
              </w:rPr>
              <w:t>人得</w:t>
            </w:r>
            <w:r>
              <w:rPr>
                <w:rFonts w:hint="eastAsia" w:ascii="宋体" w:cs="宋体"/>
                <w:color w:val="auto"/>
                <w:sz w:val="24"/>
                <w:lang w:val="en-US" w:eastAsia="zh-CN"/>
              </w:rPr>
              <w:t>2</w:t>
            </w:r>
            <w:r>
              <w:rPr>
                <w:rFonts w:hint="eastAsia" w:ascii="宋体" w:eastAsia="宋体" w:cs="宋体"/>
                <w:color w:val="auto"/>
                <w:sz w:val="24"/>
                <w:lang w:eastAsia="zh-CN"/>
              </w:rPr>
              <w:t>分，每增加1人，多得0.5分</w:t>
            </w:r>
            <w:r>
              <w:rPr>
                <w:rFonts w:hint="eastAsia" w:ascii="宋体" w:cs="宋体"/>
                <w:color w:val="auto"/>
                <w:sz w:val="24"/>
                <w:lang w:eastAsia="zh-CN"/>
              </w:rPr>
              <w:t>（</w:t>
            </w:r>
            <w:r>
              <w:rPr>
                <w:rFonts w:hint="eastAsia" w:ascii="宋体" w:cs="宋体"/>
                <w:color w:val="auto"/>
                <w:sz w:val="24"/>
                <w:lang w:val="en-US" w:eastAsia="zh-CN"/>
              </w:rPr>
              <w:t>提供相关近三个月社保证明材料）</w:t>
            </w:r>
            <w:r>
              <w:rPr>
                <w:rFonts w:hint="eastAsia" w:ascii="宋体" w:eastAsia="宋体" w:cs="宋体"/>
                <w:color w:val="auto"/>
                <w:sz w:val="24"/>
                <w:lang w:eastAsia="zh-CN"/>
              </w:rPr>
              <w:t>。</w:t>
            </w:r>
          </w:p>
          <w:p>
            <w:pPr>
              <w:pStyle w:val="17"/>
              <w:jc w:val="left"/>
              <w:rPr>
                <w:rFonts w:ascii="宋体" w:hAnsi="Calibri" w:eastAsia="宋体" w:cs="宋体"/>
                <w:color w:val="auto"/>
                <w:kern w:val="2"/>
                <w:sz w:val="24"/>
                <w:szCs w:val="24"/>
                <w:lang w:val="en-US" w:eastAsia="zh-CN" w:bidi="ar-SA"/>
              </w:rPr>
            </w:pPr>
            <w:r>
              <w:rPr>
                <w:rFonts w:hint="eastAsia" w:ascii="宋体" w:cs="宋体"/>
                <w:color w:val="auto"/>
                <w:sz w:val="24"/>
              </w:rPr>
              <w:t>②未提供则不得分。</w:t>
            </w:r>
          </w:p>
        </w:tc>
        <w:tc>
          <w:tcPr>
            <w:tcW w:w="820" w:type="dxa"/>
            <w:vAlign w:val="center"/>
          </w:tcPr>
          <w:p>
            <w:pPr>
              <w:pStyle w:val="17"/>
              <w:jc w:val="center"/>
              <w:rPr>
                <w:rFonts w:ascii="宋体" w:hAnsi="Calibri" w:eastAsia="宋体" w:cs="宋体"/>
                <w:kern w:val="2"/>
                <w:sz w:val="24"/>
                <w:szCs w:val="24"/>
                <w:lang w:val="en-US" w:eastAsia="zh-CN" w:bidi="ar-SA"/>
              </w:rPr>
            </w:pPr>
            <w:r>
              <w:rPr>
                <w:rFonts w:hint="eastAsia" w:ascii="宋体" w:cs="宋体"/>
                <w:sz w:val="24"/>
              </w:rPr>
              <w:t>4</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616" w:hRule="atLeast"/>
        </w:trPr>
        <w:tc>
          <w:tcPr>
            <w:tcW w:w="723" w:type="dxa"/>
            <w:vAlign w:val="center"/>
          </w:tcPr>
          <w:p>
            <w:pPr>
              <w:pStyle w:val="17"/>
              <w:jc w:val="center"/>
              <w:rPr>
                <w:rFonts w:ascii="宋体" w:cs="宋体"/>
                <w:sz w:val="24"/>
              </w:rPr>
            </w:pPr>
            <w:r>
              <w:rPr>
                <w:rFonts w:hint="eastAsia" w:ascii="宋体" w:cs="宋体"/>
                <w:sz w:val="24"/>
              </w:rPr>
              <w:t>3</w:t>
            </w:r>
          </w:p>
        </w:tc>
        <w:tc>
          <w:tcPr>
            <w:tcW w:w="1560" w:type="dxa"/>
            <w:vAlign w:val="center"/>
          </w:tcPr>
          <w:p>
            <w:pPr>
              <w:pStyle w:val="17"/>
              <w:jc w:val="center"/>
              <w:rPr>
                <w:rFonts w:ascii="宋体" w:hAnsi="Calibri" w:eastAsia="宋体" w:cs="宋体"/>
                <w:kern w:val="2"/>
                <w:sz w:val="24"/>
                <w:szCs w:val="24"/>
                <w:lang w:val="en-US" w:eastAsia="zh-CN" w:bidi="ar-SA"/>
              </w:rPr>
            </w:pPr>
            <w:r>
              <w:rPr>
                <w:rFonts w:hint="eastAsia" w:ascii="宋体" w:cs="宋体"/>
                <w:sz w:val="24"/>
              </w:rPr>
              <w:t>售后服务及质量保障措施</w:t>
            </w:r>
          </w:p>
        </w:tc>
        <w:tc>
          <w:tcPr>
            <w:tcW w:w="5802" w:type="dxa"/>
            <w:vAlign w:val="top"/>
          </w:tcPr>
          <w:p>
            <w:pPr>
              <w:pStyle w:val="17"/>
              <w:jc w:val="left"/>
              <w:rPr>
                <w:rFonts w:ascii="宋体" w:cs="宋体"/>
                <w:color w:val="auto"/>
                <w:sz w:val="24"/>
                <w:highlight w:val="none"/>
              </w:rPr>
            </w:pPr>
            <w:r>
              <w:rPr>
                <w:rFonts w:hint="eastAsia" w:ascii="宋体" w:cs="宋体"/>
                <w:sz w:val="24"/>
              </w:rPr>
              <w:t>售后服务</w:t>
            </w:r>
            <w:r>
              <w:rPr>
                <w:rFonts w:hint="eastAsia" w:ascii="宋体" w:cs="宋体"/>
                <w:color w:val="auto"/>
                <w:sz w:val="24"/>
                <w:highlight w:val="none"/>
              </w:rPr>
              <w:t>方案（满分</w:t>
            </w:r>
            <w:r>
              <w:rPr>
                <w:rFonts w:hint="eastAsia" w:ascii="宋体" w:cs="宋体"/>
                <w:color w:val="auto"/>
                <w:sz w:val="24"/>
                <w:highlight w:val="none"/>
                <w:lang w:val="en-US" w:eastAsia="zh-CN"/>
              </w:rPr>
              <w:t>15</w:t>
            </w:r>
            <w:r>
              <w:rPr>
                <w:rFonts w:hint="eastAsia" w:ascii="宋体" w:cs="宋体"/>
                <w:color w:val="auto"/>
                <w:sz w:val="24"/>
                <w:highlight w:val="none"/>
              </w:rPr>
              <w:t>分）：</w:t>
            </w:r>
          </w:p>
          <w:p>
            <w:pPr>
              <w:pStyle w:val="17"/>
              <w:jc w:val="left"/>
              <w:rPr>
                <w:rFonts w:hint="eastAsia" w:ascii="宋体" w:cs="宋体"/>
                <w:color w:val="auto"/>
                <w:sz w:val="24"/>
                <w:highlight w:val="none"/>
              </w:rPr>
            </w:pPr>
            <w:r>
              <w:rPr>
                <w:rFonts w:hint="eastAsia" w:ascii="宋体" w:cs="宋体"/>
                <w:color w:val="auto"/>
                <w:sz w:val="24"/>
                <w:highlight w:val="none"/>
              </w:rPr>
              <w:t>1.售后的响应时间，不得超过30分钟，否则不得分，基础得分</w:t>
            </w:r>
            <w:r>
              <w:rPr>
                <w:rFonts w:hint="eastAsia" w:ascii="宋体" w:cs="宋体"/>
                <w:color w:val="auto"/>
                <w:sz w:val="24"/>
                <w:highlight w:val="none"/>
                <w:lang w:val="en-US" w:eastAsia="zh-CN"/>
              </w:rPr>
              <w:t>1</w:t>
            </w:r>
            <w:r>
              <w:rPr>
                <w:rFonts w:hint="eastAsia" w:ascii="宋体" w:cs="宋体"/>
                <w:color w:val="auto"/>
                <w:sz w:val="24"/>
                <w:highlight w:val="none"/>
              </w:rPr>
              <w:t>分，可根据方案内容增加</w:t>
            </w:r>
            <w:r>
              <w:rPr>
                <w:rFonts w:hint="eastAsia" w:ascii="宋体" w:cs="宋体"/>
                <w:color w:val="auto"/>
                <w:sz w:val="24"/>
                <w:highlight w:val="none"/>
                <w:lang w:val="en-US" w:eastAsia="zh-CN"/>
              </w:rPr>
              <w:t>2</w:t>
            </w:r>
            <w:r>
              <w:rPr>
                <w:rFonts w:hint="eastAsia" w:ascii="宋体" w:cs="宋体"/>
                <w:color w:val="auto"/>
                <w:sz w:val="24"/>
                <w:highlight w:val="none"/>
              </w:rPr>
              <w:t>分（共</w:t>
            </w:r>
            <w:r>
              <w:rPr>
                <w:rFonts w:hint="eastAsia" w:ascii="宋体" w:cs="宋体"/>
                <w:color w:val="auto"/>
                <w:sz w:val="24"/>
                <w:highlight w:val="none"/>
                <w:lang w:val="en-US" w:eastAsia="zh-CN"/>
              </w:rPr>
              <w:t>2</w:t>
            </w:r>
            <w:r>
              <w:rPr>
                <w:rFonts w:hint="eastAsia" w:ascii="宋体" w:cs="宋体"/>
                <w:color w:val="auto"/>
                <w:sz w:val="24"/>
                <w:highlight w:val="none"/>
              </w:rPr>
              <w:t>分）；</w:t>
            </w:r>
          </w:p>
          <w:p>
            <w:pPr>
              <w:pStyle w:val="17"/>
              <w:jc w:val="left"/>
              <w:rPr>
                <w:rFonts w:hint="eastAsia" w:ascii="宋体" w:cs="宋体"/>
                <w:color w:val="auto"/>
                <w:sz w:val="24"/>
                <w:highlight w:val="none"/>
              </w:rPr>
            </w:pPr>
            <w:r>
              <w:rPr>
                <w:rFonts w:hint="eastAsia" w:ascii="宋体" w:cs="宋体"/>
                <w:color w:val="auto"/>
                <w:sz w:val="24"/>
                <w:highlight w:val="none"/>
              </w:rPr>
              <w:t>2.出现问题后的处理方案，基础得分</w:t>
            </w:r>
            <w:r>
              <w:rPr>
                <w:rFonts w:hint="eastAsia" w:ascii="宋体" w:cs="宋体"/>
                <w:color w:val="auto"/>
                <w:sz w:val="24"/>
                <w:highlight w:val="none"/>
                <w:lang w:val="en-US" w:eastAsia="zh-CN"/>
              </w:rPr>
              <w:t>1</w:t>
            </w:r>
            <w:r>
              <w:rPr>
                <w:rFonts w:hint="eastAsia" w:ascii="宋体" w:cs="宋体"/>
                <w:color w:val="auto"/>
                <w:sz w:val="24"/>
                <w:highlight w:val="none"/>
              </w:rPr>
              <w:t>分，可根据方案内容增加</w:t>
            </w:r>
            <w:r>
              <w:rPr>
                <w:rFonts w:hint="eastAsia" w:ascii="宋体" w:cs="宋体"/>
                <w:color w:val="auto"/>
                <w:sz w:val="24"/>
                <w:highlight w:val="none"/>
                <w:lang w:val="en-US" w:eastAsia="zh-CN"/>
              </w:rPr>
              <w:t>1</w:t>
            </w:r>
            <w:r>
              <w:rPr>
                <w:rFonts w:hint="eastAsia" w:ascii="宋体" w:cs="宋体"/>
                <w:color w:val="auto"/>
                <w:sz w:val="24"/>
                <w:highlight w:val="none"/>
              </w:rPr>
              <w:t>分（共</w:t>
            </w:r>
            <w:r>
              <w:rPr>
                <w:rFonts w:hint="eastAsia" w:ascii="宋体" w:cs="宋体"/>
                <w:color w:val="auto"/>
                <w:sz w:val="24"/>
                <w:highlight w:val="none"/>
                <w:lang w:val="en-US" w:eastAsia="zh-CN"/>
              </w:rPr>
              <w:t>2</w:t>
            </w:r>
            <w:r>
              <w:rPr>
                <w:rFonts w:hint="eastAsia" w:ascii="宋体" w:cs="宋体"/>
                <w:color w:val="auto"/>
                <w:sz w:val="24"/>
                <w:highlight w:val="none"/>
              </w:rPr>
              <w:t>分）；</w:t>
            </w:r>
          </w:p>
          <w:p>
            <w:pPr>
              <w:pStyle w:val="17"/>
              <w:jc w:val="left"/>
              <w:rPr>
                <w:rFonts w:hint="eastAsia" w:ascii="宋体" w:cs="宋体"/>
                <w:color w:val="auto"/>
                <w:sz w:val="24"/>
                <w:highlight w:val="none"/>
              </w:rPr>
            </w:pPr>
            <w:r>
              <w:rPr>
                <w:rFonts w:hint="eastAsia" w:ascii="宋体" w:cs="宋体"/>
                <w:color w:val="auto"/>
                <w:sz w:val="24"/>
                <w:highlight w:val="none"/>
              </w:rPr>
              <w:t>3.退换货计划，需含有“</w:t>
            </w:r>
            <w:r>
              <w:rPr>
                <w:rFonts w:hint="eastAsia" w:ascii="宋体" w:cs="宋体"/>
                <w:color w:val="auto"/>
                <w:sz w:val="24"/>
                <w:highlight w:val="none"/>
                <w:lang w:val="en-US" w:eastAsia="zh-CN"/>
              </w:rPr>
              <w:t>退货、换货</w:t>
            </w:r>
            <w:r>
              <w:rPr>
                <w:rFonts w:hint="eastAsia" w:ascii="宋体" w:cs="宋体"/>
                <w:color w:val="auto"/>
                <w:sz w:val="24"/>
                <w:highlight w:val="none"/>
              </w:rPr>
              <w:t>”内容，否则不得分，基础得分</w:t>
            </w:r>
            <w:r>
              <w:rPr>
                <w:rFonts w:hint="eastAsia" w:ascii="宋体" w:cs="宋体"/>
                <w:color w:val="auto"/>
                <w:sz w:val="24"/>
                <w:highlight w:val="none"/>
                <w:lang w:val="en-US" w:eastAsia="zh-CN"/>
              </w:rPr>
              <w:t>1</w:t>
            </w:r>
            <w:r>
              <w:rPr>
                <w:rFonts w:hint="eastAsia" w:ascii="宋体" w:cs="宋体"/>
                <w:color w:val="auto"/>
                <w:sz w:val="24"/>
                <w:highlight w:val="none"/>
              </w:rPr>
              <w:t>分，可根据方案内容增加</w:t>
            </w:r>
            <w:r>
              <w:rPr>
                <w:rFonts w:hint="eastAsia" w:ascii="宋体" w:cs="宋体"/>
                <w:color w:val="auto"/>
                <w:sz w:val="24"/>
                <w:highlight w:val="none"/>
                <w:lang w:val="en-US" w:eastAsia="zh-CN"/>
              </w:rPr>
              <w:t>1</w:t>
            </w:r>
            <w:r>
              <w:rPr>
                <w:rFonts w:hint="eastAsia" w:ascii="宋体" w:cs="宋体"/>
                <w:color w:val="auto"/>
                <w:sz w:val="24"/>
                <w:highlight w:val="none"/>
              </w:rPr>
              <w:t>分（共</w:t>
            </w:r>
            <w:r>
              <w:rPr>
                <w:rFonts w:hint="eastAsia" w:ascii="宋体" w:cs="宋体"/>
                <w:color w:val="auto"/>
                <w:sz w:val="24"/>
                <w:highlight w:val="none"/>
                <w:lang w:val="en-US" w:eastAsia="zh-CN"/>
              </w:rPr>
              <w:t>2</w:t>
            </w:r>
            <w:r>
              <w:rPr>
                <w:rFonts w:hint="eastAsia" w:ascii="宋体" w:cs="宋体"/>
                <w:color w:val="auto"/>
                <w:sz w:val="24"/>
                <w:highlight w:val="none"/>
              </w:rPr>
              <w:t>分）；</w:t>
            </w:r>
          </w:p>
          <w:p>
            <w:pPr>
              <w:pStyle w:val="17"/>
              <w:jc w:val="left"/>
              <w:rPr>
                <w:rFonts w:hint="eastAsia" w:ascii="宋体" w:cs="宋体"/>
                <w:color w:val="auto"/>
                <w:sz w:val="24"/>
                <w:highlight w:val="none"/>
              </w:rPr>
            </w:pPr>
            <w:r>
              <w:rPr>
                <w:rFonts w:hint="eastAsia" w:ascii="宋体" w:cs="宋体"/>
                <w:color w:val="auto"/>
                <w:sz w:val="24"/>
                <w:highlight w:val="none"/>
              </w:rPr>
              <w:t>4.售后服务方案，产品保修期内，每年不少于4次技术维保，否则不得分，基础得分</w:t>
            </w:r>
            <w:r>
              <w:rPr>
                <w:rFonts w:hint="eastAsia" w:ascii="宋体" w:cs="宋体"/>
                <w:color w:val="auto"/>
                <w:sz w:val="24"/>
                <w:highlight w:val="none"/>
                <w:lang w:val="en-US" w:eastAsia="zh-CN"/>
              </w:rPr>
              <w:t>2</w:t>
            </w:r>
            <w:r>
              <w:rPr>
                <w:rFonts w:hint="eastAsia" w:ascii="宋体" w:cs="宋体"/>
                <w:color w:val="auto"/>
                <w:sz w:val="24"/>
                <w:highlight w:val="none"/>
              </w:rPr>
              <w:t>分，可根据方案内容增加0.5-</w:t>
            </w:r>
            <w:r>
              <w:rPr>
                <w:rFonts w:hint="eastAsia" w:ascii="宋体" w:cs="宋体"/>
                <w:color w:val="auto"/>
                <w:sz w:val="24"/>
                <w:highlight w:val="none"/>
                <w:lang w:val="en-US" w:eastAsia="zh-CN"/>
              </w:rPr>
              <w:t>3</w:t>
            </w:r>
            <w:r>
              <w:rPr>
                <w:rFonts w:hint="eastAsia" w:ascii="宋体" w:cs="宋体"/>
                <w:color w:val="auto"/>
                <w:sz w:val="24"/>
                <w:highlight w:val="none"/>
              </w:rPr>
              <w:t>分（共</w:t>
            </w:r>
            <w:r>
              <w:rPr>
                <w:rFonts w:hint="eastAsia" w:ascii="宋体" w:cs="宋体"/>
                <w:color w:val="auto"/>
                <w:sz w:val="24"/>
                <w:highlight w:val="none"/>
                <w:lang w:val="en-US" w:eastAsia="zh-CN"/>
              </w:rPr>
              <w:t>5</w:t>
            </w:r>
            <w:r>
              <w:rPr>
                <w:rFonts w:hint="eastAsia" w:ascii="宋体" w:cs="宋体"/>
                <w:color w:val="auto"/>
                <w:sz w:val="24"/>
                <w:highlight w:val="none"/>
              </w:rPr>
              <w:t>分）；</w:t>
            </w:r>
          </w:p>
          <w:p>
            <w:pPr>
              <w:pStyle w:val="17"/>
              <w:jc w:val="left"/>
              <w:rPr>
                <w:rFonts w:ascii="宋体" w:hAnsi="Calibri" w:eastAsia="宋体" w:cs="宋体"/>
                <w:kern w:val="2"/>
                <w:sz w:val="24"/>
                <w:szCs w:val="24"/>
                <w:lang w:val="en-US" w:eastAsia="zh-CN" w:bidi="ar-SA"/>
              </w:rPr>
            </w:pPr>
            <w:r>
              <w:rPr>
                <w:rFonts w:hint="eastAsia" w:ascii="宋体" w:cs="宋体"/>
                <w:sz w:val="24"/>
              </w:rPr>
              <w:t>5.技术培训方案，每年不少于两次的技术培训，否则不得</w:t>
            </w:r>
            <w:r>
              <w:rPr>
                <w:rFonts w:hint="eastAsia" w:ascii="宋体" w:cs="宋体"/>
                <w:sz w:val="24"/>
                <w:highlight w:val="none"/>
              </w:rPr>
              <w:t>分，基础得分</w:t>
            </w:r>
            <w:r>
              <w:rPr>
                <w:rFonts w:hint="eastAsia" w:ascii="宋体" w:cs="宋体"/>
                <w:sz w:val="24"/>
                <w:highlight w:val="none"/>
                <w:lang w:val="en-US" w:eastAsia="zh-CN"/>
              </w:rPr>
              <w:t>2</w:t>
            </w:r>
            <w:r>
              <w:rPr>
                <w:rFonts w:hint="eastAsia" w:ascii="宋体" w:cs="宋体"/>
                <w:sz w:val="24"/>
                <w:highlight w:val="none"/>
              </w:rPr>
              <w:t>分，可根据方案内容增加0.5-2分（共</w:t>
            </w:r>
            <w:r>
              <w:rPr>
                <w:rFonts w:hint="eastAsia" w:ascii="宋体" w:cs="宋体"/>
                <w:sz w:val="24"/>
                <w:highlight w:val="none"/>
                <w:lang w:val="en-US" w:eastAsia="zh-CN"/>
              </w:rPr>
              <w:t>4</w:t>
            </w:r>
            <w:r>
              <w:rPr>
                <w:rFonts w:hint="eastAsia" w:ascii="宋体" w:cs="宋体"/>
                <w:sz w:val="24"/>
                <w:highlight w:val="none"/>
              </w:rPr>
              <w:t>分）。</w:t>
            </w:r>
          </w:p>
        </w:tc>
        <w:tc>
          <w:tcPr>
            <w:tcW w:w="820" w:type="dxa"/>
            <w:vAlign w:val="center"/>
          </w:tcPr>
          <w:p>
            <w:pPr>
              <w:pStyle w:val="17"/>
              <w:jc w:val="center"/>
              <w:rPr>
                <w:rFonts w:hint="default" w:ascii="宋体" w:hAnsi="Calibri" w:eastAsia="宋体" w:cs="宋体"/>
                <w:kern w:val="2"/>
                <w:sz w:val="24"/>
                <w:szCs w:val="24"/>
                <w:lang w:val="en-US" w:eastAsia="zh-CN" w:bidi="ar-SA"/>
              </w:rPr>
            </w:pPr>
            <w:r>
              <w:rPr>
                <w:rFonts w:hint="eastAsia" w:ascii="宋体" w:cs="宋体"/>
                <w:color w:val="000000"/>
                <w:sz w:val="24"/>
                <w:highlight w:val="none"/>
                <w:lang w:val="en-US" w:eastAsia="zh-CN"/>
              </w:rPr>
              <w:t>15</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473" w:hRule="atLeast"/>
        </w:trPr>
        <w:tc>
          <w:tcPr>
            <w:tcW w:w="723" w:type="dxa"/>
            <w:vAlign w:val="center"/>
          </w:tcPr>
          <w:p>
            <w:pPr>
              <w:pStyle w:val="17"/>
              <w:jc w:val="center"/>
              <w:rPr>
                <w:rFonts w:ascii="宋体" w:cs="宋体"/>
                <w:sz w:val="24"/>
              </w:rPr>
            </w:pPr>
            <w:r>
              <w:rPr>
                <w:rFonts w:hint="eastAsia" w:ascii="宋体" w:cs="宋体"/>
                <w:sz w:val="24"/>
              </w:rPr>
              <w:t>4</w:t>
            </w:r>
          </w:p>
        </w:tc>
        <w:tc>
          <w:tcPr>
            <w:tcW w:w="1560" w:type="dxa"/>
            <w:vAlign w:val="center"/>
          </w:tcPr>
          <w:p>
            <w:pPr>
              <w:pStyle w:val="17"/>
              <w:jc w:val="center"/>
              <w:rPr>
                <w:rFonts w:ascii="宋体" w:hAnsi="Calibri" w:eastAsia="宋体" w:cs="宋体"/>
                <w:kern w:val="2"/>
                <w:sz w:val="24"/>
                <w:szCs w:val="24"/>
                <w:lang w:val="en-US" w:eastAsia="zh-CN" w:bidi="ar-SA"/>
              </w:rPr>
            </w:pPr>
            <w:r>
              <w:rPr>
                <w:rFonts w:hint="eastAsia" w:ascii="宋体" w:cs="宋体"/>
                <w:sz w:val="24"/>
              </w:rPr>
              <w:t>文件质量</w:t>
            </w:r>
          </w:p>
        </w:tc>
        <w:tc>
          <w:tcPr>
            <w:tcW w:w="5802" w:type="dxa"/>
            <w:vAlign w:val="top"/>
          </w:tcPr>
          <w:p>
            <w:pPr>
              <w:pStyle w:val="17"/>
              <w:jc w:val="left"/>
              <w:rPr>
                <w:rFonts w:ascii="宋体" w:cs="宋体"/>
                <w:sz w:val="24"/>
              </w:rPr>
            </w:pPr>
            <w:r>
              <w:rPr>
                <w:rFonts w:hint="eastAsia" w:ascii="宋体" w:cs="宋体"/>
                <w:sz w:val="24"/>
              </w:rPr>
              <w:t>文件响应程度（满分2分）</w:t>
            </w:r>
          </w:p>
          <w:p>
            <w:pPr>
              <w:pStyle w:val="17"/>
              <w:jc w:val="left"/>
              <w:rPr>
                <w:rFonts w:ascii="宋体" w:hAnsi="Calibri" w:eastAsia="宋体" w:cs="宋体"/>
                <w:color w:val="FF0000"/>
                <w:kern w:val="2"/>
                <w:sz w:val="24"/>
                <w:szCs w:val="24"/>
                <w:lang w:val="en-US" w:eastAsia="zh-CN" w:bidi="ar-SA"/>
              </w:rPr>
            </w:pPr>
            <w:r>
              <w:rPr>
                <w:rFonts w:hint="eastAsia" w:ascii="宋体" w:cs="宋体"/>
                <w:sz w:val="24"/>
              </w:rPr>
              <w:t>根据文件</w:t>
            </w:r>
            <w:r>
              <w:rPr>
                <w:rFonts w:hint="eastAsia" w:ascii="宋体" w:cs="宋体"/>
                <w:sz w:val="24"/>
                <w:highlight w:val="none"/>
              </w:rPr>
              <w:t>的响应程度评分，投标文件按招标文件规定的格式、顺序编制，有目录、编页码，装订成册，书面整洁无涂改，没有缺漏项等</w:t>
            </w:r>
            <w:r>
              <w:rPr>
                <w:rFonts w:hint="eastAsia" w:ascii="宋体"/>
                <w:sz w:val="24"/>
                <w:highlight w:val="none"/>
              </w:rPr>
              <w:t>进行综合评价打分</w:t>
            </w:r>
            <w:r>
              <w:rPr>
                <w:rFonts w:hint="eastAsia" w:ascii="宋体" w:cs="宋体"/>
                <w:sz w:val="24"/>
                <w:highlight w:val="none"/>
              </w:rPr>
              <w:t>。（目录页码与实际</w:t>
            </w:r>
            <w:r>
              <w:rPr>
                <w:rFonts w:hint="eastAsia" w:ascii="宋体" w:cs="宋体"/>
                <w:sz w:val="24"/>
                <w:highlight w:val="none"/>
                <w:lang w:val="en-US" w:eastAsia="zh-CN"/>
              </w:rPr>
              <w:t>内容</w:t>
            </w:r>
            <w:r>
              <w:rPr>
                <w:rFonts w:hint="eastAsia" w:ascii="宋体" w:cs="宋体"/>
                <w:sz w:val="24"/>
                <w:highlight w:val="none"/>
              </w:rPr>
              <w:t>不符的扣1分）</w:t>
            </w:r>
          </w:p>
        </w:tc>
        <w:tc>
          <w:tcPr>
            <w:tcW w:w="820" w:type="dxa"/>
            <w:vAlign w:val="center"/>
          </w:tcPr>
          <w:p>
            <w:pPr>
              <w:pStyle w:val="17"/>
              <w:jc w:val="center"/>
              <w:rPr>
                <w:rFonts w:hint="default" w:ascii="宋体" w:hAnsi="Calibri" w:eastAsia="宋体" w:cs="宋体"/>
                <w:kern w:val="2"/>
                <w:sz w:val="24"/>
                <w:szCs w:val="24"/>
                <w:lang w:val="en-US" w:eastAsia="zh-CN" w:bidi="ar-SA"/>
              </w:rPr>
            </w:pPr>
            <w:r>
              <w:rPr>
                <w:rFonts w:hint="eastAsia" w:ascii="宋体" w:cs="宋体"/>
                <w:sz w:val="24"/>
              </w:rPr>
              <w:t>2</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349" w:hRule="atLeast"/>
        </w:trPr>
        <w:tc>
          <w:tcPr>
            <w:tcW w:w="723" w:type="dxa"/>
            <w:vAlign w:val="center"/>
          </w:tcPr>
          <w:p>
            <w:pPr>
              <w:pStyle w:val="17"/>
              <w:jc w:val="center"/>
              <w:rPr>
                <w:rFonts w:ascii="宋体" w:cs="宋体"/>
                <w:sz w:val="24"/>
              </w:rPr>
            </w:pPr>
          </w:p>
        </w:tc>
        <w:tc>
          <w:tcPr>
            <w:tcW w:w="1560" w:type="dxa"/>
            <w:vAlign w:val="center"/>
          </w:tcPr>
          <w:p>
            <w:pPr>
              <w:pStyle w:val="17"/>
              <w:jc w:val="center"/>
              <w:rPr>
                <w:rFonts w:ascii="宋体" w:cs="宋体"/>
                <w:sz w:val="24"/>
              </w:rPr>
            </w:pPr>
            <w:r>
              <w:rPr>
                <w:rFonts w:hint="eastAsia" w:ascii="宋体" w:cs="宋体"/>
                <w:sz w:val="24"/>
              </w:rPr>
              <w:t>合计</w:t>
            </w:r>
          </w:p>
        </w:tc>
        <w:tc>
          <w:tcPr>
            <w:tcW w:w="5802" w:type="dxa"/>
          </w:tcPr>
          <w:p>
            <w:pPr>
              <w:pStyle w:val="17"/>
              <w:jc w:val="left"/>
              <w:rPr>
                <w:rFonts w:ascii="宋体" w:cs="宋体"/>
                <w:sz w:val="24"/>
              </w:rPr>
            </w:pPr>
          </w:p>
        </w:tc>
        <w:tc>
          <w:tcPr>
            <w:tcW w:w="820" w:type="dxa"/>
            <w:vAlign w:val="center"/>
          </w:tcPr>
          <w:p>
            <w:pPr>
              <w:pStyle w:val="17"/>
              <w:jc w:val="center"/>
              <w:rPr>
                <w:rFonts w:hint="default" w:ascii="宋体" w:eastAsia="宋体" w:cs="宋体"/>
                <w:sz w:val="24"/>
                <w:lang w:val="en-US" w:eastAsia="zh-CN"/>
              </w:rPr>
            </w:pPr>
            <w:r>
              <w:rPr>
                <w:rFonts w:hint="eastAsia" w:ascii="宋体" w:cs="宋体"/>
                <w:sz w:val="24"/>
                <w:lang w:val="en-US" w:eastAsia="zh-CN"/>
              </w:rPr>
              <w:t>25</w:t>
            </w:r>
          </w:p>
        </w:tc>
      </w:tr>
    </w:tbl>
    <w:p>
      <w:pPr>
        <w:pStyle w:val="6"/>
      </w:pPr>
    </w:p>
    <w:p>
      <w:pPr>
        <w:rPr>
          <w:rFonts w:ascii="宋体" w:cs="宋体"/>
          <w:b/>
          <w:bCs/>
          <w:color w:val="000000"/>
          <w:sz w:val="24"/>
        </w:rPr>
      </w:pPr>
      <w:r>
        <w:rPr>
          <w:rFonts w:hint="eastAsia" w:ascii="宋体" w:cs="宋体"/>
          <w:b/>
          <w:bCs/>
          <w:color w:val="000000"/>
          <w:sz w:val="24"/>
        </w:rPr>
        <w:t>3</w:t>
      </w:r>
      <w:r>
        <w:rPr>
          <w:rFonts w:hint="eastAsia" w:ascii="宋体" w:cs="宋体"/>
          <w:b/>
          <w:bCs/>
          <w:sz w:val="24"/>
        </w:rPr>
        <w:t>、</w:t>
      </w:r>
      <w:r>
        <w:rPr>
          <w:rFonts w:hint="eastAsia" w:ascii="宋体" w:cs="宋体"/>
          <w:b/>
          <w:bCs/>
          <w:color w:val="000000"/>
          <w:sz w:val="24"/>
        </w:rPr>
        <w:t>技术评分标准（4</w:t>
      </w:r>
      <w:r>
        <w:rPr>
          <w:rFonts w:hint="eastAsia" w:ascii="宋体" w:cs="宋体"/>
          <w:b/>
          <w:bCs/>
          <w:color w:val="000000"/>
          <w:sz w:val="24"/>
          <w:lang w:val="en-US" w:eastAsia="zh-CN"/>
        </w:rPr>
        <w:t>5</w:t>
      </w:r>
      <w:r>
        <w:rPr>
          <w:rFonts w:hint="eastAsia" w:ascii="宋体" w:cs="宋体"/>
          <w:b/>
          <w:bCs/>
          <w:color w:val="000000"/>
          <w:sz w:val="24"/>
        </w:rPr>
        <w:t>分）</w:t>
      </w:r>
    </w:p>
    <w:p>
      <w:pPr>
        <w:pStyle w:val="9"/>
        <w:numPr>
          <w:ilvl w:val="0"/>
          <w:numId w:val="0"/>
        </w:numPr>
        <w:rPr>
          <w:rFonts w:ascii="宋体" w:eastAsia="宋体" w:cs="宋体"/>
          <w:b/>
          <w:bCs/>
          <w:sz w:val="21"/>
          <w:szCs w:val="21"/>
        </w:rPr>
      </w:pPr>
    </w:p>
    <w:tbl>
      <w:tblPr>
        <w:tblStyle w:val="23"/>
        <w:tblW w:w="8717" w:type="dxa"/>
        <w:tblInd w:w="0" w:type="dxa"/>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557"/>
        <w:gridCol w:w="1233"/>
        <w:gridCol w:w="6255"/>
        <w:gridCol w:w="672"/>
      </w:tblGrid>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652" w:hRule="atLeast"/>
        </w:trPr>
        <w:tc>
          <w:tcPr>
            <w:tcW w:w="557" w:type="dxa"/>
            <w:vAlign w:val="center"/>
          </w:tcPr>
          <w:p>
            <w:pPr>
              <w:pStyle w:val="17"/>
              <w:jc w:val="left"/>
              <w:rPr>
                <w:rFonts w:ascii="宋体"/>
                <w:sz w:val="24"/>
              </w:rPr>
            </w:pPr>
            <w:r>
              <w:rPr>
                <w:rFonts w:hint="eastAsia" w:ascii="宋体"/>
                <w:sz w:val="24"/>
              </w:rPr>
              <w:t>序号</w:t>
            </w:r>
          </w:p>
        </w:tc>
        <w:tc>
          <w:tcPr>
            <w:tcW w:w="1233" w:type="dxa"/>
            <w:vAlign w:val="center"/>
          </w:tcPr>
          <w:p>
            <w:pPr>
              <w:pStyle w:val="17"/>
              <w:jc w:val="left"/>
              <w:rPr>
                <w:rFonts w:ascii="宋体"/>
                <w:sz w:val="24"/>
              </w:rPr>
            </w:pPr>
            <w:r>
              <w:rPr>
                <w:rFonts w:hint="eastAsia" w:ascii="宋体"/>
                <w:sz w:val="24"/>
              </w:rPr>
              <w:t>评分因素</w:t>
            </w:r>
          </w:p>
        </w:tc>
        <w:tc>
          <w:tcPr>
            <w:tcW w:w="6255" w:type="dxa"/>
            <w:vAlign w:val="center"/>
          </w:tcPr>
          <w:p>
            <w:pPr>
              <w:pStyle w:val="17"/>
              <w:jc w:val="center"/>
              <w:rPr>
                <w:rFonts w:ascii="宋体"/>
                <w:sz w:val="24"/>
              </w:rPr>
            </w:pPr>
            <w:r>
              <w:rPr>
                <w:rFonts w:hint="eastAsia" w:ascii="宋体"/>
                <w:sz w:val="24"/>
              </w:rPr>
              <w:t>评分标准</w:t>
            </w:r>
          </w:p>
        </w:tc>
        <w:tc>
          <w:tcPr>
            <w:tcW w:w="672" w:type="dxa"/>
            <w:vAlign w:val="center"/>
          </w:tcPr>
          <w:p>
            <w:pPr>
              <w:pStyle w:val="17"/>
              <w:jc w:val="left"/>
              <w:rPr>
                <w:rFonts w:ascii="宋体"/>
                <w:sz w:val="24"/>
              </w:rPr>
            </w:pPr>
            <w:r>
              <w:rPr>
                <w:rFonts w:hint="eastAsia" w:ascii="宋体"/>
                <w:sz w:val="24"/>
              </w:rPr>
              <w:t>分值</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1568" w:hRule="atLeast"/>
        </w:trPr>
        <w:tc>
          <w:tcPr>
            <w:tcW w:w="557" w:type="dxa"/>
            <w:vMerge w:val="restart"/>
            <w:vAlign w:val="center"/>
          </w:tcPr>
          <w:p>
            <w:pPr>
              <w:pStyle w:val="17"/>
              <w:jc w:val="left"/>
              <w:rPr>
                <w:rFonts w:ascii="宋体"/>
                <w:sz w:val="24"/>
              </w:rPr>
            </w:pPr>
            <w:r>
              <w:rPr>
                <w:rFonts w:hint="eastAsia" w:ascii="宋体"/>
                <w:sz w:val="24"/>
              </w:rPr>
              <w:t>1</w:t>
            </w:r>
          </w:p>
        </w:tc>
        <w:tc>
          <w:tcPr>
            <w:tcW w:w="1233" w:type="dxa"/>
            <w:vMerge w:val="restart"/>
            <w:vAlign w:val="center"/>
          </w:tcPr>
          <w:p>
            <w:pPr>
              <w:pStyle w:val="17"/>
              <w:jc w:val="left"/>
              <w:rPr>
                <w:rFonts w:ascii="宋体"/>
                <w:sz w:val="24"/>
              </w:rPr>
            </w:pPr>
            <w:r>
              <w:rPr>
                <w:rFonts w:hint="eastAsia" w:ascii="宋体"/>
                <w:sz w:val="24"/>
              </w:rPr>
              <w:t>产品技术指标及生产能力技术部分</w:t>
            </w:r>
          </w:p>
        </w:tc>
        <w:tc>
          <w:tcPr>
            <w:tcW w:w="6255" w:type="dxa"/>
          </w:tcPr>
          <w:p>
            <w:pPr>
              <w:pStyle w:val="17"/>
              <w:jc w:val="left"/>
              <w:rPr>
                <w:rFonts w:ascii="宋体"/>
                <w:sz w:val="24"/>
                <w:highlight w:val="none"/>
              </w:rPr>
            </w:pPr>
            <w:r>
              <w:rPr>
                <w:rFonts w:hint="eastAsia" w:ascii="宋体"/>
                <w:sz w:val="24"/>
                <w:highlight w:val="none"/>
              </w:rPr>
              <w:t>1、参数响应（满分26分）</w:t>
            </w:r>
          </w:p>
          <w:p>
            <w:pPr>
              <w:pStyle w:val="17"/>
              <w:jc w:val="left"/>
              <w:rPr>
                <w:rFonts w:hint="eastAsia" w:ascii="宋体"/>
                <w:sz w:val="24"/>
                <w:highlight w:val="none"/>
                <w:lang w:eastAsia="zh-CN"/>
              </w:rPr>
            </w:pPr>
            <w:r>
              <w:rPr>
                <w:rFonts w:hint="eastAsia" w:ascii="宋体"/>
                <w:sz w:val="24"/>
                <w:highlight w:val="none"/>
              </w:rPr>
              <w:t>①技术参数指标关键项，每负偏离一项扣3分</w:t>
            </w:r>
            <w:r>
              <w:rPr>
                <w:rFonts w:hint="eastAsia" w:ascii="宋体"/>
                <w:sz w:val="24"/>
                <w:highlight w:val="none"/>
                <w:lang w:eastAsia="zh-CN"/>
              </w:rPr>
              <w:t>。</w:t>
            </w:r>
          </w:p>
          <w:p>
            <w:pPr>
              <w:pStyle w:val="17"/>
              <w:jc w:val="left"/>
              <w:rPr>
                <w:rFonts w:hint="eastAsia" w:ascii="宋体" w:eastAsia="宋体"/>
                <w:sz w:val="24"/>
                <w:highlight w:val="none"/>
                <w:lang w:eastAsia="zh-CN"/>
              </w:rPr>
            </w:pPr>
            <w:r>
              <w:rPr>
                <w:rFonts w:hint="eastAsia" w:ascii="宋体"/>
                <w:sz w:val="24"/>
                <w:highlight w:val="none"/>
              </w:rPr>
              <w:t>②非关键项，每负偏离一项扣1分</w:t>
            </w:r>
            <w:r>
              <w:rPr>
                <w:rFonts w:hint="eastAsia" w:ascii="宋体"/>
                <w:sz w:val="24"/>
                <w:highlight w:val="none"/>
                <w:lang w:eastAsia="zh-CN"/>
              </w:rPr>
              <w:t>。</w:t>
            </w:r>
          </w:p>
          <w:p>
            <w:pPr>
              <w:pStyle w:val="17"/>
              <w:jc w:val="left"/>
              <w:rPr>
                <w:rFonts w:hint="eastAsia" w:ascii="宋体"/>
                <w:sz w:val="24"/>
                <w:highlight w:val="none"/>
              </w:rPr>
            </w:pPr>
            <w:r>
              <w:rPr>
                <w:rFonts w:hint="eastAsia" w:ascii="宋体"/>
                <w:sz w:val="24"/>
                <w:highlight w:val="none"/>
              </w:rPr>
              <w:t>③所投产品有负偏离项，但在偏离表中未诚信注明的</w:t>
            </w:r>
            <w:r>
              <w:rPr>
                <w:rFonts w:hint="eastAsia" w:ascii="宋体"/>
                <w:sz w:val="24"/>
                <w:highlight w:val="none"/>
                <w:lang w:eastAsia="zh-CN"/>
              </w:rPr>
              <w:t>，该产品单独</w:t>
            </w:r>
            <w:r>
              <w:rPr>
                <w:rFonts w:hint="eastAsia" w:ascii="宋体"/>
                <w:sz w:val="24"/>
                <w:highlight w:val="none"/>
              </w:rPr>
              <w:t>扣</w:t>
            </w:r>
            <w:r>
              <w:rPr>
                <w:rFonts w:hint="eastAsia" w:ascii="宋体"/>
                <w:sz w:val="24"/>
                <w:highlight w:val="none"/>
                <w:lang w:val="en-US" w:eastAsia="zh-CN"/>
              </w:rPr>
              <w:t>3</w:t>
            </w:r>
            <w:r>
              <w:rPr>
                <w:rFonts w:hint="eastAsia" w:ascii="宋体"/>
                <w:sz w:val="24"/>
                <w:highlight w:val="none"/>
              </w:rPr>
              <w:t>分。</w:t>
            </w:r>
          </w:p>
          <w:p>
            <w:pPr>
              <w:pStyle w:val="17"/>
              <w:jc w:val="left"/>
              <w:rPr>
                <w:rFonts w:hint="eastAsia" w:ascii="宋体"/>
                <w:sz w:val="24"/>
                <w:highlight w:val="none"/>
              </w:rPr>
            </w:pPr>
            <w:r>
              <w:rPr>
                <w:rFonts w:hint="eastAsia" w:ascii="宋体"/>
                <w:sz w:val="24"/>
                <w:highlight w:val="none"/>
              </w:rPr>
              <w:t>①</w:t>
            </w:r>
            <w:r>
              <w:rPr>
                <w:rFonts w:hint="eastAsia" w:ascii="宋体"/>
                <w:sz w:val="24"/>
                <w:highlight w:val="none"/>
                <w:lang w:eastAsia="zh-CN"/>
              </w:rPr>
              <w:t>、</w:t>
            </w:r>
            <w:r>
              <w:rPr>
                <w:rFonts w:hint="eastAsia" w:ascii="宋体"/>
                <w:sz w:val="24"/>
                <w:highlight w:val="none"/>
              </w:rPr>
              <w:t>②</w:t>
            </w:r>
            <w:r>
              <w:rPr>
                <w:rFonts w:hint="eastAsia" w:ascii="宋体"/>
                <w:sz w:val="24"/>
                <w:highlight w:val="none"/>
                <w:lang w:eastAsia="zh-CN"/>
              </w:rPr>
              <w:t>、</w:t>
            </w:r>
            <w:r>
              <w:rPr>
                <w:rFonts w:hint="eastAsia" w:ascii="宋体"/>
                <w:sz w:val="24"/>
                <w:highlight w:val="none"/>
              </w:rPr>
              <w:t>③</w:t>
            </w:r>
            <w:r>
              <w:rPr>
                <w:rFonts w:hint="eastAsia" w:ascii="宋体"/>
                <w:sz w:val="24"/>
                <w:highlight w:val="none"/>
                <w:lang w:eastAsia="zh-CN"/>
              </w:rPr>
              <w:t>项累计扣分，</w:t>
            </w:r>
            <w:r>
              <w:rPr>
                <w:rFonts w:hint="eastAsia" w:ascii="宋体"/>
                <w:sz w:val="24"/>
                <w:highlight w:val="none"/>
              </w:rPr>
              <w:t>每个产品最多扣6分，扣完为止。</w:t>
            </w:r>
          </w:p>
        </w:tc>
        <w:tc>
          <w:tcPr>
            <w:tcW w:w="672" w:type="dxa"/>
            <w:vAlign w:val="center"/>
          </w:tcPr>
          <w:p>
            <w:pPr>
              <w:pStyle w:val="17"/>
              <w:jc w:val="center"/>
              <w:rPr>
                <w:rFonts w:ascii="宋体"/>
                <w:sz w:val="24"/>
                <w:highlight w:val="none"/>
              </w:rPr>
            </w:pPr>
            <w:r>
              <w:rPr>
                <w:rFonts w:hint="eastAsia" w:ascii="宋体"/>
                <w:sz w:val="24"/>
                <w:highlight w:val="none"/>
              </w:rPr>
              <w:t>26</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320" w:hRule="atLeast"/>
        </w:trPr>
        <w:tc>
          <w:tcPr>
            <w:tcW w:w="557" w:type="dxa"/>
            <w:vMerge w:val="continue"/>
            <w:vAlign w:val="center"/>
          </w:tcPr>
          <w:p/>
        </w:tc>
        <w:tc>
          <w:tcPr>
            <w:tcW w:w="1233" w:type="dxa"/>
            <w:vMerge w:val="continue"/>
            <w:vAlign w:val="center"/>
          </w:tcPr>
          <w:p/>
        </w:tc>
        <w:tc>
          <w:tcPr>
            <w:tcW w:w="6255" w:type="dxa"/>
          </w:tcPr>
          <w:p>
            <w:pPr>
              <w:pStyle w:val="17"/>
              <w:jc w:val="left"/>
              <w:rPr>
                <w:rFonts w:ascii="宋体"/>
                <w:sz w:val="24"/>
                <w:highlight w:val="none"/>
              </w:rPr>
            </w:pPr>
            <w:r>
              <w:rPr>
                <w:rFonts w:hint="eastAsia" w:ascii="宋体"/>
                <w:sz w:val="24"/>
                <w:highlight w:val="none"/>
              </w:rPr>
              <w:t>2、产品功能：（满分8.5分）：</w:t>
            </w:r>
          </w:p>
          <w:p>
            <w:pPr>
              <w:pStyle w:val="17"/>
              <w:jc w:val="left"/>
              <w:rPr>
                <w:rFonts w:ascii="宋体"/>
                <w:sz w:val="24"/>
                <w:highlight w:val="none"/>
              </w:rPr>
            </w:pPr>
            <w:r>
              <w:rPr>
                <w:rFonts w:hint="eastAsia" w:ascii="宋体"/>
                <w:sz w:val="24"/>
                <w:highlight w:val="none"/>
              </w:rPr>
              <w:t>①所投产品具有完整的产品技术白</w:t>
            </w:r>
            <w:r>
              <w:rPr>
                <w:rFonts w:hint="eastAsia" w:ascii="宋体"/>
                <w:color w:val="000000" w:themeColor="text1"/>
                <w:sz w:val="24"/>
                <w:highlight w:val="none"/>
                <w14:textFill>
                  <w14:solidFill>
                    <w14:schemeClr w14:val="tx1"/>
                  </w14:solidFill>
                </w14:textFill>
              </w:rPr>
              <w:t>皮书或产品说明书</w:t>
            </w:r>
            <w:r>
              <w:rPr>
                <w:rFonts w:hint="eastAsia" w:ascii="宋体"/>
                <w:color w:val="000000" w:themeColor="text1"/>
                <w:sz w:val="24"/>
                <w:highlight w:val="none"/>
                <w:lang w:val="en-US" w:eastAsia="zh-CN"/>
                <w14:textFill>
                  <w14:solidFill>
                    <w14:schemeClr w14:val="tx1"/>
                  </w14:solidFill>
                </w14:textFill>
              </w:rPr>
              <w:t>及相关检测报告、证书等证明材料</w:t>
            </w:r>
            <w:r>
              <w:rPr>
                <w:rFonts w:hint="eastAsia" w:ascii="宋体"/>
                <w:color w:val="000000" w:themeColor="text1"/>
                <w:sz w:val="24"/>
                <w:highlight w:val="none"/>
                <w14:textFill>
                  <w14:solidFill>
                    <w14:schemeClr w14:val="tx1"/>
                  </w14:solidFill>
                </w14:textFill>
              </w:rPr>
              <w:t>；</w:t>
            </w:r>
            <w:r>
              <w:rPr>
                <w:rFonts w:hint="eastAsia" w:ascii="宋体"/>
                <w:sz w:val="24"/>
                <w:highlight w:val="none"/>
              </w:rPr>
              <w:t>每个产品0.5分</w:t>
            </w:r>
          </w:p>
          <w:p>
            <w:pPr>
              <w:pStyle w:val="17"/>
              <w:jc w:val="left"/>
              <w:rPr>
                <w:rFonts w:ascii="宋体"/>
                <w:sz w:val="24"/>
                <w:highlight w:val="none"/>
              </w:rPr>
            </w:pPr>
            <w:r>
              <w:rPr>
                <w:rFonts w:hint="eastAsia" w:ascii="宋体"/>
                <w:sz w:val="24"/>
                <w:highlight w:val="none"/>
              </w:rPr>
              <w:t>②未提供或无法直观体现产品外观信息的不得分。</w:t>
            </w:r>
          </w:p>
        </w:tc>
        <w:tc>
          <w:tcPr>
            <w:tcW w:w="672" w:type="dxa"/>
            <w:vAlign w:val="center"/>
          </w:tcPr>
          <w:p>
            <w:pPr>
              <w:pStyle w:val="17"/>
              <w:jc w:val="center"/>
              <w:rPr>
                <w:rFonts w:ascii="宋体"/>
                <w:sz w:val="24"/>
                <w:highlight w:val="none"/>
              </w:rPr>
            </w:pPr>
            <w:r>
              <w:rPr>
                <w:rFonts w:hint="eastAsia" w:ascii="宋体"/>
                <w:sz w:val="24"/>
                <w:highlight w:val="none"/>
              </w:rPr>
              <w:t>8.5</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713" w:hRule="atLeast"/>
        </w:trPr>
        <w:tc>
          <w:tcPr>
            <w:tcW w:w="557" w:type="dxa"/>
            <w:vMerge w:val="continue"/>
            <w:vAlign w:val="center"/>
          </w:tcPr>
          <w:p/>
        </w:tc>
        <w:tc>
          <w:tcPr>
            <w:tcW w:w="1233" w:type="dxa"/>
            <w:vMerge w:val="continue"/>
            <w:vAlign w:val="center"/>
          </w:tcPr>
          <w:p/>
        </w:tc>
        <w:tc>
          <w:tcPr>
            <w:tcW w:w="6255" w:type="dxa"/>
          </w:tcPr>
          <w:p>
            <w:pPr>
              <w:pStyle w:val="17"/>
              <w:jc w:val="left"/>
              <w:rPr>
                <w:rFonts w:ascii="宋体" w:cs="宋体"/>
                <w:color w:val="000000"/>
                <w:sz w:val="24"/>
              </w:rPr>
            </w:pPr>
            <w:r>
              <w:rPr>
                <w:rFonts w:hint="eastAsia" w:ascii="宋体"/>
                <w:sz w:val="24"/>
              </w:rPr>
              <w:t>3、包装、</w:t>
            </w:r>
            <w:r>
              <w:rPr>
                <w:rFonts w:hint="eastAsia" w:ascii="宋体" w:cs="宋体"/>
                <w:color w:val="000000"/>
                <w:sz w:val="24"/>
              </w:rPr>
              <w:t>运输（满分2分）</w:t>
            </w:r>
          </w:p>
          <w:p>
            <w:pPr>
              <w:pStyle w:val="17"/>
              <w:jc w:val="left"/>
              <w:rPr>
                <w:rFonts w:ascii="宋体"/>
                <w:sz w:val="24"/>
              </w:rPr>
            </w:pPr>
            <w:r>
              <w:rPr>
                <w:rFonts w:hint="eastAsia" w:ascii="宋体" w:cs="宋体"/>
                <w:color w:val="000000"/>
                <w:sz w:val="24"/>
              </w:rPr>
              <w:t>根据供应商投标文件中对运输、包装方案的描述，全面、合理、具体得2分，一般得1分，不够全面、合理、具体的或者没有提供方案的不得分。</w:t>
            </w:r>
          </w:p>
        </w:tc>
        <w:tc>
          <w:tcPr>
            <w:tcW w:w="672" w:type="dxa"/>
            <w:vAlign w:val="center"/>
          </w:tcPr>
          <w:p>
            <w:pPr>
              <w:pStyle w:val="17"/>
              <w:jc w:val="center"/>
              <w:rPr>
                <w:rFonts w:ascii="宋体"/>
                <w:sz w:val="24"/>
              </w:rPr>
            </w:pPr>
            <w:r>
              <w:rPr>
                <w:rFonts w:hint="eastAsia" w:ascii="宋体"/>
                <w:sz w:val="24"/>
              </w:rPr>
              <w:t>2</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330" w:hRule="atLeast"/>
        </w:trPr>
        <w:tc>
          <w:tcPr>
            <w:tcW w:w="557" w:type="dxa"/>
            <w:vMerge w:val="continue"/>
            <w:vAlign w:val="center"/>
          </w:tcPr>
          <w:p/>
        </w:tc>
        <w:tc>
          <w:tcPr>
            <w:tcW w:w="1233" w:type="dxa"/>
            <w:vMerge w:val="continue"/>
            <w:vAlign w:val="center"/>
          </w:tcPr>
          <w:p/>
        </w:tc>
        <w:tc>
          <w:tcPr>
            <w:tcW w:w="6255" w:type="dxa"/>
          </w:tcPr>
          <w:p>
            <w:pPr>
              <w:pStyle w:val="17"/>
              <w:jc w:val="left"/>
              <w:rPr>
                <w:rFonts w:ascii="宋体" w:cs="宋体"/>
                <w:sz w:val="24"/>
                <w:highlight w:val="none"/>
              </w:rPr>
            </w:pPr>
            <w:r>
              <w:rPr>
                <w:rFonts w:hint="eastAsia" w:ascii="宋体" w:cs="宋体"/>
                <w:sz w:val="24"/>
                <w:highlight w:val="none"/>
              </w:rPr>
              <w:t>4、质量保障措施</w:t>
            </w:r>
            <w:r>
              <w:rPr>
                <w:rFonts w:hint="eastAsia" w:ascii="宋体"/>
                <w:sz w:val="24"/>
                <w:highlight w:val="none"/>
              </w:rPr>
              <w:t>（满分</w:t>
            </w:r>
            <w:r>
              <w:rPr>
                <w:rFonts w:hint="eastAsia" w:ascii="宋体"/>
                <w:sz w:val="24"/>
                <w:highlight w:val="none"/>
                <w:lang w:val="en-US" w:eastAsia="zh-CN"/>
              </w:rPr>
              <w:t>4</w:t>
            </w:r>
            <w:r>
              <w:rPr>
                <w:rFonts w:hint="eastAsia" w:ascii="宋体"/>
                <w:sz w:val="24"/>
                <w:highlight w:val="none"/>
              </w:rPr>
              <w:t>分）</w:t>
            </w:r>
          </w:p>
          <w:p>
            <w:pPr>
              <w:pStyle w:val="17"/>
              <w:jc w:val="left"/>
              <w:rPr>
                <w:rFonts w:ascii="宋体" w:cs="宋体"/>
                <w:sz w:val="24"/>
                <w:highlight w:val="none"/>
              </w:rPr>
            </w:pPr>
            <w:r>
              <w:rPr>
                <w:rFonts w:hint="eastAsia" w:ascii="宋体"/>
                <w:sz w:val="24"/>
                <w:highlight w:val="none"/>
              </w:rPr>
              <w:t>①</w:t>
            </w:r>
            <w:r>
              <w:rPr>
                <w:rFonts w:hint="eastAsia" w:ascii="宋体" w:cs="宋体"/>
                <w:sz w:val="24"/>
                <w:highlight w:val="none"/>
              </w:rPr>
              <w:t>所投产品供应企业能够提供售后保障服务网点，配备专业技术服务人员的（包括委托相关有资质机</w:t>
            </w:r>
            <w:bookmarkStart w:id="39" w:name="_GoBack"/>
            <w:bookmarkEnd w:id="39"/>
            <w:r>
              <w:rPr>
                <w:rFonts w:hint="eastAsia" w:ascii="宋体" w:cs="宋体"/>
                <w:sz w:val="24"/>
                <w:highlight w:val="none"/>
              </w:rPr>
              <w:t>构，如有委托，以委托文件为准），</w:t>
            </w:r>
            <w:r>
              <w:rPr>
                <w:rFonts w:hint="eastAsia" w:ascii="宋体"/>
                <w:sz w:val="24"/>
                <w:highlight w:val="none"/>
              </w:rPr>
              <w:t>进行综合评价打分</w:t>
            </w:r>
            <w:r>
              <w:rPr>
                <w:rFonts w:hint="eastAsia" w:ascii="宋体" w:cs="宋体"/>
                <w:sz w:val="24"/>
                <w:highlight w:val="none"/>
              </w:rPr>
              <w:t>；</w:t>
            </w:r>
          </w:p>
          <w:p>
            <w:pPr>
              <w:pStyle w:val="17"/>
              <w:jc w:val="left"/>
              <w:rPr>
                <w:rFonts w:ascii="宋体" w:cs="宋体"/>
                <w:sz w:val="24"/>
                <w:highlight w:val="none"/>
              </w:rPr>
            </w:pPr>
            <w:r>
              <w:rPr>
                <w:rFonts w:hint="eastAsia" w:ascii="宋体"/>
                <w:sz w:val="24"/>
                <w:highlight w:val="none"/>
              </w:rPr>
              <w:t>②</w:t>
            </w:r>
            <w:r>
              <w:rPr>
                <w:rFonts w:hint="eastAsia" w:ascii="宋体" w:cs="宋体"/>
                <w:color w:val="000000"/>
                <w:sz w:val="24"/>
                <w:highlight w:val="none"/>
              </w:rPr>
              <w:t>否则不得分</w:t>
            </w:r>
            <w:r>
              <w:rPr>
                <w:rFonts w:hint="eastAsia" w:ascii="宋体" w:cs="宋体"/>
                <w:sz w:val="24"/>
                <w:highlight w:val="none"/>
              </w:rPr>
              <w:t>。</w:t>
            </w:r>
          </w:p>
        </w:tc>
        <w:tc>
          <w:tcPr>
            <w:tcW w:w="672" w:type="dxa"/>
            <w:vAlign w:val="center"/>
          </w:tcPr>
          <w:p>
            <w:pPr>
              <w:pStyle w:val="17"/>
              <w:jc w:val="center"/>
              <w:rPr>
                <w:rFonts w:hint="eastAsia" w:ascii="宋体" w:eastAsia="宋体" w:cs="宋体"/>
                <w:sz w:val="24"/>
                <w:highlight w:val="none"/>
                <w:lang w:eastAsia="zh-CN"/>
              </w:rPr>
            </w:pPr>
            <w:r>
              <w:rPr>
                <w:rFonts w:hint="eastAsia" w:ascii="宋体" w:cs="宋体"/>
                <w:sz w:val="24"/>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330" w:hRule="atLeast"/>
        </w:trPr>
        <w:tc>
          <w:tcPr>
            <w:tcW w:w="557" w:type="dxa"/>
            <w:vMerge w:val="continue"/>
            <w:vAlign w:val="center"/>
          </w:tcPr>
          <w:p/>
        </w:tc>
        <w:tc>
          <w:tcPr>
            <w:tcW w:w="1233" w:type="dxa"/>
            <w:vMerge w:val="continue"/>
            <w:vAlign w:val="center"/>
          </w:tcPr>
          <w:p/>
        </w:tc>
        <w:tc>
          <w:tcPr>
            <w:tcW w:w="6255" w:type="dxa"/>
          </w:tcPr>
          <w:p>
            <w:pPr>
              <w:pStyle w:val="17"/>
              <w:rPr>
                <w:rFonts w:ascii="宋体"/>
                <w:sz w:val="24"/>
                <w:highlight w:val="none"/>
              </w:rPr>
            </w:pPr>
            <w:r>
              <w:rPr>
                <w:rFonts w:hint="eastAsia" w:ascii="宋体" w:cs="宋体"/>
                <w:sz w:val="24"/>
                <w:highlight w:val="none"/>
              </w:rPr>
              <w:t>5、应急预案</w:t>
            </w:r>
            <w:r>
              <w:rPr>
                <w:rFonts w:hint="eastAsia" w:ascii="宋体"/>
                <w:sz w:val="24"/>
                <w:highlight w:val="none"/>
              </w:rPr>
              <w:t>（满分</w:t>
            </w:r>
            <w:r>
              <w:rPr>
                <w:rFonts w:hint="eastAsia" w:ascii="宋体"/>
                <w:sz w:val="24"/>
                <w:highlight w:val="none"/>
                <w:lang w:val="en-US" w:eastAsia="zh-CN"/>
              </w:rPr>
              <w:t>4</w:t>
            </w:r>
            <w:r>
              <w:rPr>
                <w:rFonts w:hint="eastAsia" w:ascii="宋体"/>
                <w:sz w:val="24"/>
                <w:highlight w:val="none"/>
              </w:rPr>
              <w:t>.5分）</w:t>
            </w:r>
          </w:p>
          <w:p>
            <w:pPr>
              <w:pStyle w:val="17"/>
              <w:jc w:val="left"/>
              <w:rPr>
                <w:rFonts w:ascii="宋体" w:cs="宋体"/>
                <w:sz w:val="24"/>
                <w:highlight w:val="none"/>
              </w:rPr>
            </w:pPr>
            <w:r>
              <w:rPr>
                <w:rFonts w:hint="eastAsia" w:ascii="宋体"/>
                <w:sz w:val="24"/>
                <w:highlight w:val="none"/>
              </w:rPr>
              <w:t>①</w:t>
            </w:r>
            <w:r>
              <w:rPr>
                <w:rFonts w:hint="eastAsia" w:ascii="宋体" w:cs="宋体"/>
                <w:sz w:val="24"/>
                <w:highlight w:val="none"/>
              </w:rPr>
              <w:t>在紧急情况下，应急预案保证措施完善可行，交货期短且满足招标要求，保障性强，</w:t>
            </w:r>
            <w:r>
              <w:rPr>
                <w:rFonts w:hint="eastAsia" w:ascii="宋体"/>
                <w:sz w:val="24"/>
                <w:highlight w:val="none"/>
              </w:rPr>
              <w:t>进行综合评价打分</w:t>
            </w:r>
            <w:r>
              <w:rPr>
                <w:rFonts w:hint="eastAsia" w:ascii="宋体" w:cs="宋体"/>
                <w:sz w:val="24"/>
                <w:highlight w:val="none"/>
              </w:rPr>
              <w:t>；</w:t>
            </w:r>
          </w:p>
          <w:p>
            <w:pPr>
              <w:pStyle w:val="17"/>
              <w:jc w:val="left"/>
              <w:rPr>
                <w:rFonts w:ascii="宋体" w:cs="宋体"/>
                <w:sz w:val="24"/>
                <w:highlight w:val="none"/>
              </w:rPr>
            </w:pPr>
            <w:r>
              <w:rPr>
                <w:rFonts w:hint="eastAsia" w:ascii="宋体"/>
                <w:sz w:val="24"/>
                <w:highlight w:val="none"/>
              </w:rPr>
              <w:t>②</w:t>
            </w:r>
            <w:r>
              <w:rPr>
                <w:rFonts w:hint="eastAsia" w:ascii="宋体" w:cs="宋体"/>
                <w:color w:val="000000"/>
                <w:sz w:val="24"/>
                <w:highlight w:val="none"/>
              </w:rPr>
              <w:t>否则不得分</w:t>
            </w:r>
            <w:r>
              <w:rPr>
                <w:rFonts w:hint="eastAsia" w:ascii="宋体" w:cs="宋体"/>
                <w:sz w:val="24"/>
                <w:highlight w:val="none"/>
              </w:rPr>
              <w:t>。</w:t>
            </w:r>
          </w:p>
        </w:tc>
        <w:tc>
          <w:tcPr>
            <w:tcW w:w="672" w:type="dxa"/>
            <w:vAlign w:val="center"/>
          </w:tcPr>
          <w:p>
            <w:pPr>
              <w:pStyle w:val="17"/>
              <w:jc w:val="center"/>
              <w:rPr>
                <w:rFonts w:ascii="宋体" w:cs="宋体"/>
                <w:sz w:val="24"/>
                <w:highlight w:val="none"/>
              </w:rPr>
            </w:pPr>
            <w:r>
              <w:rPr>
                <w:rFonts w:hint="eastAsia" w:ascii="宋体" w:cs="宋体"/>
                <w:sz w:val="24"/>
                <w:highlight w:val="none"/>
                <w:lang w:val="en-US" w:eastAsia="zh-CN"/>
              </w:rPr>
              <w:t>4</w:t>
            </w:r>
            <w:r>
              <w:rPr>
                <w:rFonts w:hint="eastAsia" w:ascii="宋体" w:cs="宋体"/>
                <w:sz w:val="24"/>
                <w:highlight w:val="none"/>
              </w:rPr>
              <w:t>.5</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330" w:hRule="atLeast"/>
        </w:trPr>
        <w:tc>
          <w:tcPr>
            <w:tcW w:w="557" w:type="dxa"/>
            <w:vAlign w:val="center"/>
          </w:tcPr>
          <w:p>
            <w:pPr>
              <w:pStyle w:val="17"/>
              <w:jc w:val="center"/>
              <w:rPr>
                <w:rFonts w:ascii="宋体" w:cs="宋体"/>
                <w:sz w:val="24"/>
              </w:rPr>
            </w:pPr>
          </w:p>
        </w:tc>
        <w:tc>
          <w:tcPr>
            <w:tcW w:w="1233" w:type="dxa"/>
            <w:vAlign w:val="center"/>
          </w:tcPr>
          <w:p>
            <w:pPr>
              <w:pStyle w:val="17"/>
              <w:jc w:val="center"/>
              <w:rPr>
                <w:rFonts w:ascii="宋体" w:cs="宋体"/>
                <w:sz w:val="24"/>
              </w:rPr>
            </w:pPr>
            <w:r>
              <w:rPr>
                <w:rFonts w:hint="eastAsia" w:ascii="宋体" w:cs="宋体"/>
                <w:color w:val="000000"/>
                <w:sz w:val="21"/>
                <w:szCs w:val="21"/>
              </w:rPr>
              <w:t>合计</w:t>
            </w:r>
          </w:p>
        </w:tc>
        <w:tc>
          <w:tcPr>
            <w:tcW w:w="6255" w:type="dxa"/>
          </w:tcPr>
          <w:p>
            <w:pPr>
              <w:pStyle w:val="17"/>
              <w:ind w:firstLine="420" w:firstLineChars="200"/>
              <w:jc w:val="left"/>
              <w:rPr>
                <w:rFonts w:ascii="宋体" w:cs="宋体"/>
                <w:color w:val="000000"/>
                <w:sz w:val="21"/>
                <w:szCs w:val="21"/>
              </w:rPr>
            </w:pPr>
          </w:p>
        </w:tc>
        <w:tc>
          <w:tcPr>
            <w:tcW w:w="672" w:type="dxa"/>
            <w:vAlign w:val="center"/>
          </w:tcPr>
          <w:p>
            <w:pPr>
              <w:pStyle w:val="17"/>
              <w:jc w:val="center"/>
              <w:rPr>
                <w:rFonts w:hint="eastAsia" w:ascii="宋体" w:eastAsia="宋体" w:cs="宋体"/>
                <w:sz w:val="24"/>
                <w:lang w:eastAsia="zh-CN"/>
              </w:rPr>
            </w:pPr>
            <w:r>
              <w:rPr>
                <w:rFonts w:hint="eastAsia" w:ascii="宋体" w:cs="宋体"/>
                <w:sz w:val="24"/>
              </w:rPr>
              <w:t>4</w:t>
            </w:r>
            <w:r>
              <w:rPr>
                <w:rFonts w:hint="eastAsia" w:ascii="宋体" w:cs="宋体"/>
                <w:sz w:val="24"/>
                <w:lang w:val="en-US" w:eastAsia="zh-CN"/>
              </w:rPr>
              <w:t>5</w:t>
            </w:r>
          </w:p>
        </w:tc>
      </w:tr>
    </w:tbl>
    <w:p>
      <w:pPr>
        <w:pStyle w:val="3"/>
        <w:jc w:val="center"/>
        <w:rPr>
          <w:rFonts w:ascii="黑体" w:eastAsia="黑体" w:cs="黑体"/>
          <w:color w:val="000000"/>
          <w:sz w:val="24"/>
        </w:rPr>
      </w:pPr>
      <w:r>
        <w:rPr>
          <w:rFonts w:hint="eastAsia"/>
        </w:rPr>
        <w:t xml:space="preserve">   </w:t>
      </w:r>
      <w:bookmarkStart w:id="23" w:name="_Toc9858"/>
      <w:r>
        <w:rPr>
          <w:rFonts w:hint="eastAsia" w:ascii="黑体" w:eastAsia="黑体" w:cs="黑体"/>
          <w:sz w:val="24"/>
        </w:rPr>
        <w:t xml:space="preserve">第四章 </w:t>
      </w:r>
      <w:r>
        <w:rPr>
          <w:rFonts w:hint="eastAsia" w:ascii="黑体" w:eastAsia="黑体" w:cs="黑体"/>
          <w:color w:val="000000"/>
          <w:sz w:val="24"/>
        </w:rPr>
        <w:t xml:space="preserve"> 合同条款及格式</w:t>
      </w:r>
      <w:bookmarkEnd w:id="23"/>
    </w:p>
    <w:p>
      <w:pPr>
        <w:pStyle w:val="4"/>
        <w:jc w:val="center"/>
        <w:rPr>
          <w:rFonts w:cs="宋体"/>
          <w:sz w:val="24"/>
          <w:szCs w:val="24"/>
        </w:rPr>
      </w:pPr>
      <w:bookmarkStart w:id="24" w:name="_Toc3422"/>
      <w:bookmarkStart w:id="25" w:name="_Toc6091"/>
      <w:r>
        <w:rPr>
          <w:rFonts w:ascii="Times New Roman" w:hAnsi="Times New Roman"/>
          <w:sz w:val="24"/>
          <w:szCs w:val="24"/>
        </w:rPr>
        <w:t>第</w:t>
      </w:r>
      <w:r>
        <w:rPr>
          <w:rFonts w:hint="eastAsia" w:ascii="Times New Roman" w:hAnsi="Times New Roman"/>
          <w:sz w:val="24"/>
          <w:szCs w:val="24"/>
        </w:rPr>
        <w:t>一</w:t>
      </w:r>
      <w:r>
        <w:rPr>
          <w:rFonts w:ascii="Times New Roman" w:hAnsi="Times New Roman"/>
          <w:sz w:val="24"/>
          <w:szCs w:val="24"/>
        </w:rPr>
        <w:t>节</w:t>
      </w:r>
      <w:r>
        <w:rPr>
          <w:rFonts w:hint="eastAsia" w:ascii="Times New Roman" w:hAnsi="Times New Roman"/>
          <w:sz w:val="24"/>
          <w:szCs w:val="24"/>
        </w:rPr>
        <w:t xml:space="preserve"> </w:t>
      </w:r>
      <w:bookmarkEnd w:id="24"/>
      <w:r>
        <w:rPr>
          <w:rFonts w:hint="eastAsia" w:cs="宋体"/>
          <w:bCs/>
          <w:color w:val="000000"/>
          <w:sz w:val="24"/>
          <w:szCs w:val="24"/>
        </w:rPr>
        <w:t>通用合同条款</w:t>
      </w:r>
      <w:bookmarkEnd w:id="25"/>
    </w:p>
    <w:p>
      <w:pPr>
        <w:spacing w:line="360" w:lineRule="auto"/>
        <w:jc w:val="center"/>
        <w:rPr>
          <w:rFonts w:ascii="宋体" w:cs="宋体"/>
          <w:b/>
          <w:bCs/>
          <w:color w:val="000000"/>
          <w:sz w:val="32"/>
          <w:szCs w:val="32"/>
        </w:rPr>
      </w:pPr>
      <w:r>
        <w:rPr>
          <w:rFonts w:hint="eastAsia" w:ascii="宋体" w:cs="宋体"/>
          <w:b/>
          <w:bCs/>
          <w:color w:val="000000"/>
          <w:sz w:val="32"/>
          <w:szCs w:val="32"/>
        </w:rPr>
        <w:t>通用条款</w:t>
      </w:r>
    </w:p>
    <w:p>
      <w:pPr>
        <w:spacing w:line="360" w:lineRule="auto"/>
        <w:ind w:firstLine="480" w:firstLineChars="200"/>
        <w:rPr>
          <w:rFonts w:ascii="宋体" w:cs="宋体"/>
          <w:color w:val="000000"/>
          <w:sz w:val="24"/>
        </w:rPr>
      </w:pPr>
    </w:p>
    <w:p>
      <w:pPr>
        <w:spacing w:line="360" w:lineRule="auto"/>
        <w:ind w:firstLine="480" w:firstLineChars="200"/>
        <w:rPr>
          <w:rFonts w:ascii="宋体" w:cs="宋体"/>
          <w:color w:val="000000"/>
          <w:sz w:val="24"/>
        </w:rPr>
      </w:pPr>
      <w:r>
        <w:rPr>
          <w:rFonts w:hint="eastAsia" w:ascii="宋体" w:cs="宋体"/>
          <w:color w:val="000000"/>
          <w:sz w:val="24"/>
        </w:rPr>
        <w:t>为更好地维护合同缔约各方的权益，确保缔约的慎重、具体和严密，合同各</w:t>
      </w:r>
    </w:p>
    <w:p>
      <w:pPr>
        <w:spacing w:line="360" w:lineRule="auto"/>
        <w:rPr>
          <w:rFonts w:ascii="宋体" w:cs="宋体"/>
          <w:color w:val="000000"/>
          <w:sz w:val="24"/>
        </w:rPr>
      </w:pPr>
      <w:r>
        <w:rPr>
          <w:rFonts w:hint="eastAsia" w:ascii="宋体" w:cs="宋体"/>
          <w:color w:val="000000"/>
          <w:sz w:val="24"/>
        </w:rPr>
        <w:t>方特此同意下列条款，作为合同整体之不可分割的约定。如合同正文约定条款与</w:t>
      </w:r>
    </w:p>
    <w:p>
      <w:pPr>
        <w:spacing w:line="360" w:lineRule="auto"/>
        <w:rPr>
          <w:rFonts w:ascii="宋体" w:cs="宋体"/>
          <w:color w:val="000000"/>
          <w:sz w:val="24"/>
        </w:rPr>
      </w:pPr>
      <w:r>
        <w:rPr>
          <w:rFonts w:hint="eastAsia" w:ascii="宋体" w:cs="宋体"/>
          <w:color w:val="000000"/>
          <w:sz w:val="24"/>
        </w:rPr>
        <w:t>本通用条款有冲突的，以正文约定为准。</w:t>
      </w:r>
    </w:p>
    <w:p>
      <w:pPr>
        <w:spacing w:line="360" w:lineRule="auto"/>
        <w:rPr>
          <w:rFonts w:ascii="宋体" w:cs="宋体"/>
          <w:b/>
          <w:bCs/>
          <w:color w:val="000000"/>
          <w:sz w:val="24"/>
        </w:rPr>
      </w:pPr>
      <w:r>
        <w:rPr>
          <w:rFonts w:hint="eastAsia" w:ascii="宋体" w:cs="宋体"/>
          <w:b/>
          <w:bCs/>
          <w:color w:val="000000"/>
          <w:sz w:val="24"/>
        </w:rPr>
        <w:t>1．定义及解释</w:t>
      </w:r>
    </w:p>
    <w:p>
      <w:pPr>
        <w:spacing w:line="360" w:lineRule="auto"/>
        <w:ind w:firstLine="480" w:firstLineChars="200"/>
        <w:rPr>
          <w:rFonts w:ascii="宋体" w:cs="宋体"/>
          <w:color w:val="000000"/>
          <w:sz w:val="24"/>
        </w:rPr>
      </w:pPr>
      <w:r>
        <w:rPr>
          <w:rFonts w:hint="eastAsia" w:ascii="宋体" w:cs="宋体"/>
          <w:color w:val="000000"/>
          <w:sz w:val="24"/>
        </w:rPr>
        <w:t>1.1在本合同中，除非文义另有所指，否则下列词语有以下含义：</w:t>
      </w:r>
    </w:p>
    <w:p>
      <w:pPr>
        <w:spacing w:line="360" w:lineRule="auto"/>
        <w:ind w:firstLine="480" w:firstLineChars="200"/>
        <w:rPr>
          <w:rFonts w:ascii="宋体" w:cs="宋体"/>
          <w:color w:val="000000"/>
          <w:sz w:val="24"/>
        </w:rPr>
      </w:pPr>
      <w:r>
        <w:rPr>
          <w:rFonts w:hint="eastAsia" w:ascii="宋体" w:cs="宋体"/>
          <w:color w:val="000000"/>
          <w:sz w:val="24"/>
        </w:rPr>
        <w:t>1.1.1“书面”除本合同另有明确所指，包括书写、打印、电传信息、传真及任何其它清晰可辩的文字或图案复制方式。本合同项下或与本合同有关的所有通知、请求、要求或其它联络和所有需要送达的文件或以英文书就或附有经核实的英文译文。如果英文文本与其他语言的文本存在冲突，中文文本优先。</w:t>
      </w:r>
    </w:p>
    <w:p>
      <w:pPr>
        <w:spacing w:line="360" w:lineRule="auto"/>
        <w:ind w:firstLine="480" w:firstLineChars="200"/>
        <w:rPr>
          <w:rFonts w:ascii="宋体" w:cs="宋体"/>
          <w:color w:val="000000"/>
          <w:sz w:val="24"/>
        </w:rPr>
      </w:pPr>
      <w:r>
        <w:rPr>
          <w:rFonts w:hint="eastAsia" w:ascii="宋体" w:cs="宋体"/>
          <w:color w:val="000000"/>
          <w:sz w:val="24"/>
        </w:rPr>
        <w:t>1.1.2“信息提供者”指提供资料、消息、研究、表格、图纸、文本及／或其它包含但不限于提供信息的第三方。</w:t>
      </w:r>
    </w:p>
    <w:p>
      <w:pPr>
        <w:spacing w:line="360" w:lineRule="auto"/>
        <w:ind w:firstLine="480" w:firstLineChars="200"/>
        <w:rPr>
          <w:rFonts w:ascii="宋体" w:cs="宋体"/>
          <w:color w:val="000000"/>
          <w:sz w:val="24"/>
        </w:rPr>
      </w:pPr>
      <w:r>
        <w:rPr>
          <w:rFonts w:hint="eastAsia" w:ascii="宋体" w:cs="宋体"/>
          <w:color w:val="000000"/>
          <w:sz w:val="24"/>
        </w:rPr>
        <w:t>1.1.3“工作日”是指除星期六、星期日以外的并且在中国通常开门营业之日。</w:t>
      </w:r>
    </w:p>
    <w:p>
      <w:pPr>
        <w:spacing w:line="360" w:lineRule="auto"/>
        <w:ind w:firstLine="480" w:firstLineChars="200"/>
        <w:rPr>
          <w:rFonts w:ascii="宋体" w:cs="宋体"/>
          <w:color w:val="000000"/>
          <w:sz w:val="24"/>
        </w:rPr>
      </w:pPr>
      <w:r>
        <w:rPr>
          <w:rFonts w:hint="eastAsia" w:ascii="宋体" w:cs="宋体"/>
          <w:color w:val="000000"/>
          <w:sz w:val="24"/>
        </w:rPr>
        <w:t>1.1.4“适用法律”包括与本合同和担保文件的签署、提交、履行、有效性和可执行性相关的中华人民共和国的任何宪法、条约、法令、各级立法、普通法、惯例法及司法判例；</w:t>
      </w:r>
    </w:p>
    <w:p>
      <w:pPr>
        <w:spacing w:line="360" w:lineRule="auto"/>
        <w:ind w:firstLine="480" w:firstLineChars="200"/>
        <w:rPr>
          <w:rFonts w:ascii="宋体" w:cs="宋体"/>
          <w:color w:val="000000"/>
          <w:sz w:val="24"/>
        </w:rPr>
      </w:pPr>
      <w:r>
        <w:rPr>
          <w:rFonts w:hint="eastAsia" w:ascii="宋体" w:cs="宋体"/>
          <w:color w:val="000000"/>
          <w:sz w:val="24"/>
        </w:rPr>
        <w:t>1．2 “中国”即是中华人民共和国的法域。</w:t>
      </w:r>
    </w:p>
    <w:p>
      <w:pPr>
        <w:spacing w:line="360" w:lineRule="auto"/>
        <w:ind w:firstLine="480" w:firstLineChars="200"/>
        <w:rPr>
          <w:rFonts w:ascii="宋体" w:cs="宋体"/>
          <w:color w:val="000000"/>
          <w:sz w:val="24"/>
        </w:rPr>
      </w:pPr>
      <w:r>
        <w:rPr>
          <w:rFonts w:hint="eastAsia" w:ascii="宋体" w:cs="宋体"/>
          <w:color w:val="000000"/>
          <w:sz w:val="24"/>
        </w:rPr>
        <w:t>1．3 各标题只为方便查阅而设，不应妨碍本合同的解释。</w:t>
      </w:r>
    </w:p>
    <w:p>
      <w:pPr>
        <w:spacing w:line="360" w:lineRule="auto"/>
        <w:ind w:firstLine="480" w:firstLineChars="200"/>
        <w:rPr>
          <w:rFonts w:ascii="宋体" w:cs="宋体"/>
          <w:color w:val="000000"/>
          <w:sz w:val="24"/>
        </w:rPr>
      </w:pPr>
      <w:r>
        <w:rPr>
          <w:rFonts w:hint="eastAsia" w:ascii="宋体" w:cs="宋体"/>
          <w:color w:val="000000"/>
          <w:sz w:val="24"/>
        </w:rPr>
        <w:t>本合同中的条目编号和标题只为参考方便而设，在解释本合同时并无效力。</w:t>
      </w:r>
    </w:p>
    <w:p>
      <w:pPr>
        <w:spacing w:line="360" w:lineRule="auto"/>
        <w:ind w:firstLine="480" w:firstLineChars="200"/>
        <w:rPr>
          <w:rFonts w:ascii="宋体" w:cs="宋体"/>
          <w:color w:val="000000"/>
          <w:sz w:val="24"/>
        </w:rPr>
      </w:pPr>
      <w:r>
        <w:rPr>
          <w:rFonts w:hint="eastAsia" w:ascii="宋体" w:cs="宋体"/>
          <w:color w:val="000000"/>
          <w:sz w:val="24"/>
        </w:rPr>
        <w:t>1．4 除非另有规定，本合同提及的“条”、“段落”和“附件”应被解释为本合同的条、段落和附件。</w:t>
      </w:r>
    </w:p>
    <w:p>
      <w:pPr>
        <w:spacing w:line="360" w:lineRule="auto"/>
        <w:ind w:firstLine="480" w:firstLineChars="200"/>
        <w:rPr>
          <w:rFonts w:ascii="宋体" w:cs="宋体"/>
          <w:color w:val="000000"/>
          <w:sz w:val="24"/>
        </w:rPr>
      </w:pPr>
      <w:r>
        <w:rPr>
          <w:rFonts w:hint="eastAsia" w:ascii="宋体" w:cs="宋体"/>
          <w:color w:val="000000"/>
          <w:sz w:val="24"/>
        </w:rPr>
        <w:t>1．5 在提到法律规定时应被解释为是包括不时经过修改、重新制定之法律</w:t>
      </w:r>
    </w:p>
    <w:p>
      <w:pPr>
        <w:spacing w:line="360" w:lineRule="auto"/>
        <w:rPr>
          <w:rFonts w:ascii="宋体" w:cs="宋体"/>
          <w:color w:val="000000"/>
          <w:sz w:val="24"/>
        </w:rPr>
      </w:pPr>
      <w:r>
        <w:rPr>
          <w:rFonts w:hint="eastAsia" w:ascii="宋体" w:cs="宋体"/>
          <w:color w:val="000000"/>
          <w:sz w:val="24"/>
        </w:rPr>
        <w:t>的规定。</w:t>
      </w:r>
    </w:p>
    <w:p>
      <w:pPr>
        <w:spacing w:line="360" w:lineRule="auto"/>
        <w:ind w:firstLine="480" w:firstLineChars="200"/>
        <w:rPr>
          <w:rFonts w:ascii="宋体" w:cs="宋体"/>
          <w:color w:val="000000"/>
          <w:sz w:val="24"/>
        </w:rPr>
      </w:pPr>
      <w:r>
        <w:rPr>
          <w:rFonts w:hint="eastAsia" w:ascii="宋体" w:cs="宋体"/>
          <w:color w:val="000000"/>
          <w:sz w:val="24"/>
        </w:rPr>
        <w:t>1．6 除非本合同另有规定，所有提及的时间都应该是指中国北京时间。</w:t>
      </w:r>
    </w:p>
    <w:p>
      <w:pPr>
        <w:spacing w:line="360" w:lineRule="auto"/>
        <w:ind w:firstLine="480" w:firstLineChars="200"/>
        <w:rPr>
          <w:rFonts w:ascii="宋体" w:cs="宋体"/>
          <w:color w:val="000000"/>
          <w:sz w:val="24"/>
        </w:rPr>
      </w:pPr>
      <w:r>
        <w:rPr>
          <w:rFonts w:hint="eastAsia" w:ascii="宋体" w:cs="宋体"/>
          <w:color w:val="000000"/>
          <w:sz w:val="24"/>
        </w:rPr>
        <w:t>1．7 除非另有规定，在提到本合同、担保文件或其它任何文件时应被解释</w:t>
      </w:r>
    </w:p>
    <w:p>
      <w:pPr>
        <w:spacing w:line="360" w:lineRule="auto"/>
        <w:rPr>
          <w:rFonts w:ascii="宋体" w:cs="宋体"/>
          <w:color w:val="000000"/>
          <w:sz w:val="24"/>
        </w:rPr>
      </w:pPr>
      <w:r>
        <w:rPr>
          <w:rFonts w:hint="eastAsia" w:ascii="宋体" w:cs="宋体"/>
          <w:color w:val="000000"/>
          <w:sz w:val="24"/>
        </w:rPr>
        <w:t>为是包括经过修改，变更、更新或补充并于该时有效的版本。</w:t>
      </w:r>
    </w:p>
    <w:p>
      <w:pPr>
        <w:spacing w:line="360" w:lineRule="auto"/>
        <w:ind w:firstLine="480" w:firstLineChars="200"/>
        <w:rPr>
          <w:rFonts w:ascii="宋体" w:cs="宋体"/>
          <w:color w:val="000000"/>
          <w:sz w:val="24"/>
        </w:rPr>
      </w:pPr>
      <w:r>
        <w:rPr>
          <w:rFonts w:hint="eastAsia" w:ascii="宋体" w:cs="宋体"/>
          <w:color w:val="000000"/>
          <w:sz w:val="24"/>
        </w:rPr>
        <w:t>1．8 本合同所称的“以上”、“以下”、“以内”、“届满”，包括本数；所称的“不满”、“以外”，不包括本数。</w:t>
      </w:r>
    </w:p>
    <w:p>
      <w:pPr>
        <w:spacing w:line="360" w:lineRule="auto"/>
        <w:rPr>
          <w:rFonts w:ascii="宋体" w:cs="宋体"/>
          <w:b/>
          <w:bCs/>
          <w:color w:val="000000"/>
          <w:sz w:val="24"/>
        </w:rPr>
      </w:pPr>
      <w:r>
        <w:rPr>
          <w:rFonts w:hint="eastAsia" w:ascii="宋体" w:cs="宋体"/>
          <w:b/>
          <w:bCs/>
          <w:color w:val="000000"/>
          <w:sz w:val="24"/>
        </w:rPr>
        <w:t>2．保证及声明</w:t>
      </w:r>
    </w:p>
    <w:p>
      <w:pPr>
        <w:spacing w:line="360" w:lineRule="auto"/>
        <w:ind w:firstLine="480" w:firstLineChars="200"/>
        <w:rPr>
          <w:rFonts w:ascii="宋体" w:cs="宋体"/>
          <w:color w:val="000000"/>
          <w:sz w:val="24"/>
        </w:rPr>
      </w:pPr>
      <w:r>
        <w:rPr>
          <w:rFonts w:hint="eastAsia" w:ascii="宋体" w:cs="宋体"/>
          <w:color w:val="000000"/>
          <w:sz w:val="24"/>
        </w:rPr>
        <w:t>2.1合同各方特此做出如下保证和声明：</w:t>
      </w:r>
    </w:p>
    <w:p>
      <w:pPr>
        <w:spacing w:line="360" w:lineRule="auto"/>
        <w:ind w:firstLine="480" w:firstLineChars="200"/>
        <w:rPr>
          <w:rFonts w:ascii="宋体" w:cs="宋体"/>
          <w:color w:val="000000"/>
          <w:sz w:val="24"/>
        </w:rPr>
      </w:pPr>
      <w:r>
        <w:rPr>
          <w:rFonts w:hint="eastAsia" w:ascii="宋体" w:cs="宋体"/>
          <w:color w:val="000000"/>
          <w:sz w:val="24"/>
        </w:rPr>
        <w:t>如果合同缔结方是商号或公司，则其为根据注册成立国法律适当组建并有效存续一个商号或公司；其有权签订本合同及与本合同有关的一切合同和／或根据本合同已制定或将制定的一切合同。并且，在任何情况下，本合同及所有上述合同均构成对该客户具有约束力并可强制执行的义务；</w:t>
      </w:r>
    </w:p>
    <w:p>
      <w:pPr>
        <w:spacing w:line="360" w:lineRule="auto"/>
        <w:ind w:firstLine="480" w:firstLineChars="200"/>
        <w:rPr>
          <w:rFonts w:ascii="宋体" w:cs="宋体"/>
          <w:color w:val="000000"/>
          <w:sz w:val="24"/>
        </w:rPr>
      </w:pPr>
      <w:r>
        <w:rPr>
          <w:rFonts w:hint="eastAsia" w:ascii="宋体" w:cs="宋体"/>
          <w:color w:val="000000"/>
          <w:sz w:val="24"/>
        </w:rPr>
        <w:t>2.1合同缔结方银行帐号或通讯地址如有变更，应在变更后五个工作日内，以书面形式通知合同他方，由于未及时通知此类变更而造成的任何延迟收费及通知不达等后果，合同他方均不承担违约责任。</w:t>
      </w:r>
    </w:p>
    <w:p>
      <w:pPr>
        <w:spacing w:line="360" w:lineRule="auto"/>
        <w:rPr>
          <w:rFonts w:ascii="宋体" w:cs="宋体"/>
          <w:b/>
          <w:bCs/>
          <w:color w:val="000000"/>
          <w:sz w:val="24"/>
        </w:rPr>
      </w:pPr>
      <w:r>
        <w:rPr>
          <w:rFonts w:hint="eastAsia" w:ascii="宋体" w:cs="宋体"/>
          <w:b/>
          <w:bCs/>
          <w:color w:val="000000"/>
          <w:sz w:val="24"/>
        </w:rPr>
        <w:t>3．合同责任</w:t>
      </w:r>
    </w:p>
    <w:p>
      <w:pPr>
        <w:spacing w:line="360" w:lineRule="auto"/>
        <w:ind w:firstLine="480" w:firstLineChars="200"/>
        <w:rPr>
          <w:rFonts w:ascii="宋体" w:cs="宋体"/>
          <w:color w:val="000000"/>
          <w:sz w:val="24"/>
        </w:rPr>
      </w:pPr>
      <w:r>
        <w:rPr>
          <w:rFonts w:hint="eastAsia" w:ascii="宋体" w:cs="宋体"/>
          <w:color w:val="000000"/>
          <w:sz w:val="24"/>
        </w:rPr>
        <w:t>3.1由于一方的过失，造成本合同及其附件不能履行或不能完全履行时，由过失的一方承担违约责任；如属双方的过失，根据实际情况，由双方分别承担各自应负的违约责任。</w:t>
      </w:r>
    </w:p>
    <w:p>
      <w:pPr>
        <w:spacing w:line="360" w:lineRule="auto"/>
        <w:ind w:firstLine="480" w:firstLineChars="200"/>
        <w:rPr>
          <w:rFonts w:ascii="宋体" w:cs="宋体"/>
          <w:color w:val="000000"/>
          <w:sz w:val="24"/>
        </w:rPr>
      </w:pPr>
      <w:r>
        <w:rPr>
          <w:rFonts w:hint="eastAsia" w:ascii="宋体" w:cs="宋体"/>
          <w:color w:val="000000"/>
          <w:sz w:val="24"/>
        </w:rPr>
        <w:t>3.2任何一方将独立承担违约责任，一方未按合同约定履行约定及法定义务，将不作为另一方迟延或拒绝履行义务的理由。但依法书面主张合同中止履行权利的除外。</w:t>
      </w:r>
    </w:p>
    <w:p>
      <w:pPr>
        <w:spacing w:line="360" w:lineRule="auto"/>
        <w:ind w:firstLine="480" w:firstLineChars="200"/>
        <w:rPr>
          <w:rFonts w:ascii="宋体" w:cs="宋体"/>
          <w:color w:val="000000"/>
          <w:sz w:val="24"/>
        </w:rPr>
      </w:pPr>
      <w:r>
        <w:rPr>
          <w:rFonts w:hint="eastAsia" w:ascii="宋体" w:cs="宋体"/>
          <w:color w:val="000000"/>
          <w:sz w:val="24"/>
        </w:rPr>
        <w:t>3.3在履行合同过程中，一方当事人因第三人的原因造成违约的，应当向对方当事人承担违约责任。一方当事人和第三人之间的纠纷，依照法律规定或者按照约定解决。</w:t>
      </w:r>
    </w:p>
    <w:p>
      <w:pPr>
        <w:spacing w:line="360" w:lineRule="auto"/>
        <w:ind w:firstLine="480" w:firstLineChars="200"/>
        <w:rPr>
          <w:rFonts w:ascii="宋体" w:cs="宋体"/>
          <w:color w:val="000000"/>
          <w:sz w:val="24"/>
        </w:rPr>
      </w:pPr>
      <w:r>
        <w:rPr>
          <w:rFonts w:hint="eastAsia" w:ascii="宋体" w:cs="宋体"/>
          <w:color w:val="000000"/>
          <w:sz w:val="24"/>
        </w:rPr>
        <w:t>3.4除合同另有约定外，未经对方当事人同意，一方当事人不得将合同权利全部或部分转让给第三人，也不得全部或部分转移合同义务。</w:t>
      </w:r>
    </w:p>
    <w:p>
      <w:pPr>
        <w:spacing w:line="360" w:lineRule="auto"/>
        <w:ind w:firstLine="480" w:firstLineChars="200"/>
        <w:rPr>
          <w:rFonts w:ascii="宋体" w:cs="宋体"/>
          <w:color w:val="000000"/>
          <w:sz w:val="24"/>
        </w:rPr>
      </w:pPr>
      <w:r>
        <w:rPr>
          <w:rFonts w:hint="eastAsia" w:ascii="宋体" w:cs="宋体"/>
          <w:color w:val="000000"/>
          <w:sz w:val="24"/>
        </w:rPr>
        <w:t>3.5合同双方当事人不得以贿赂或变相贿赂的方式，谋取不当利益或损害对方权益。因贿赂造成对方损失的，行为人应赔偿损失，并承担相应的法律责任。</w:t>
      </w:r>
    </w:p>
    <w:p>
      <w:pPr>
        <w:spacing w:line="360" w:lineRule="auto"/>
        <w:ind w:firstLine="480" w:firstLineChars="200"/>
        <w:rPr>
          <w:rFonts w:ascii="宋体" w:cs="宋体"/>
          <w:color w:val="000000"/>
          <w:sz w:val="24"/>
        </w:rPr>
      </w:pPr>
      <w:r>
        <w:rPr>
          <w:rFonts w:hint="eastAsia" w:ascii="宋体" w:cs="宋体"/>
          <w:color w:val="000000"/>
          <w:sz w:val="24"/>
        </w:rPr>
        <w:t>3.6异议期的确定</w:t>
      </w:r>
    </w:p>
    <w:p>
      <w:pPr>
        <w:spacing w:line="360" w:lineRule="auto"/>
        <w:ind w:firstLine="480" w:firstLineChars="200"/>
        <w:rPr>
          <w:rFonts w:ascii="宋体" w:cs="宋体"/>
          <w:color w:val="000000"/>
          <w:sz w:val="24"/>
        </w:rPr>
      </w:pPr>
      <w:r>
        <w:rPr>
          <w:rFonts w:hint="eastAsia" w:ascii="宋体" w:cs="宋体"/>
          <w:color w:val="000000"/>
          <w:sz w:val="24"/>
        </w:rPr>
        <w:t>合同一方对他方的合同义务履行存有异议的，应书面提出。除本合同另有约定外，一方提出异议的期限为相对方的合同义务履行且异议方知道或者应当知道之日起10日内。</w:t>
      </w:r>
    </w:p>
    <w:p>
      <w:pPr>
        <w:spacing w:line="360" w:lineRule="auto"/>
        <w:ind w:firstLine="480" w:firstLineChars="200"/>
        <w:rPr>
          <w:rFonts w:ascii="宋体" w:cs="宋体"/>
          <w:color w:val="000000"/>
          <w:sz w:val="24"/>
        </w:rPr>
      </w:pPr>
      <w:r>
        <w:rPr>
          <w:rFonts w:hint="eastAsia" w:ascii="宋体" w:cs="宋体"/>
          <w:color w:val="000000"/>
          <w:sz w:val="24"/>
        </w:rPr>
        <w:t>3.7保质期的确定</w:t>
      </w:r>
    </w:p>
    <w:p>
      <w:pPr>
        <w:spacing w:line="360" w:lineRule="auto"/>
        <w:ind w:firstLine="480" w:firstLineChars="200"/>
        <w:rPr>
          <w:rFonts w:ascii="宋体" w:cs="宋体"/>
          <w:color w:val="000000"/>
          <w:sz w:val="24"/>
        </w:rPr>
      </w:pPr>
      <w:r>
        <w:rPr>
          <w:rFonts w:hint="eastAsia" w:ascii="宋体" w:cs="宋体"/>
          <w:color w:val="000000"/>
          <w:sz w:val="24"/>
        </w:rPr>
        <w:t>合同义务方应当对其所履行的合同义务确保完全符合合同之约定，并应确保</w:t>
      </w:r>
    </w:p>
    <w:p>
      <w:pPr>
        <w:spacing w:line="360" w:lineRule="auto"/>
        <w:rPr>
          <w:rFonts w:ascii="宋体" w:cs="宋体"/>
          <w:color w:val="000000"/>
          <w:sz w:val="24"/>
        </w:rPr>
      </w:pPr>
      <w:r>
        <w:rPr>
          <w:rFonts w:hint="eastAsia" w:ascii="宋体" w:cs="宋体"/>
          <w:color w:val="000000"/>
          <w:sz w:val="24"/>
        </w:rPr>
        <w:t>其合同义务的履行在保质期内仍符合本合同之约定。除本合同另有约定外，合同</w:t>
      </w:r>
    </w:p>
    <w:p>
      <w:pPr>
        <w:spacing w:line="360" w:lineRule="auto"/>
        <w:rPr>
          <w:rFonts w:ascii="宋体" w:cs="宋体"/>
          <w:color w:val="000000"/>
          <w:sz w:val="24"/>
        </w:rPr>
      </w:pPr>
      <w:r>
        <w:rPr>
          <w:rFonts w:hint="eastAsia" w:ascii="宋体" w:cs="宋体"/>
          <w:color w:val="000000"/>
          <w:sz w:val="24"/>
        </w:rPr>
        <w:t>义务方的保质期为合同义务完全履行完毕之日起60天内。</w:t>
      </w:r>
    </w:p>
    <w:p>
      <w:pPr>
        <w:spacing w:line="360" w:lineRule="auto"/>
        <w:rPr>
          <w:rFonts w:ascii="宋体" w:cs="宋体"/>
          <w:b/>
          <w:bCs/>
          <w:color w:val="000000"/>
          <w:sz w:val="24"/>
        </w:rPr>
      </w:pPr>
      <w:r>
        <w:rPr>
          <w:rFonts w:hint="eastAsia" w:ascii="宋体" w:cs="宋体"/>
          <w:b/>
          <w:bCs/>
          <w:color w:val="000000"/>
          <w:sz w:val="24"/>
        </w:rPr>
        <w:t>4 保密规定</w:t>
      </w:r>
    </w:p>
    <w:p>
      <w:pPr>
        <w:spacing w:line="360" w:lineRule="auto"/>
        <w:ind w:firstLine="480" w:firstLineChars="200"/>
        <w:rPr>
          <w:rFonts w:ascii="宋体" w:cs="宋体"/>
          <w:color w:val="000000"/>
          <w:sz w:val="24"/>
        </w:rPr>
      </w:pPr>
      <w:r>
        <w:rPr>
          <w:rFonts w:hint="eastAsia" w:ascii="宋体" w:cs="宋体"/>
          <w:color w:val="000000"/>
          <w:sz w:val="24"/>
        </w:rPr>
        <w:t>4.1任何一方在依据本合同履行相应的义务时，可能会获得对方及其关联实体的机密或专有信息（“保密信息”）。各方均确认保密信息的专有性、敏感性以及保持信心的秘密性的重要性。上述信息包括但不限于：（1）本合同本身及其条款和内容；（2）在协议履行过程中所涉及的各类资讯（包括但不限于技术信息、客户信息、价格信息、操作工艺等）。除非根据法律或司法程序要求披露外，在没有对方事先书面同意的情况下，合同各方及/或各方之所雇人员均不得向任何其他方以任何形式透露上述信息。</w:t>
      </w:r>
    </w:p>
    <w:p>
      <w:pPr>
        <w:spacing w:line="360" w:lineRule="auto"/>
        <w:ind w:firstLine="480" w:firstLineChars="200"/>
        <w:rPr>
          <w:rFonts w:ascii="宋体" w:cs="宋体"/>
          <w:color w:val="000000"/>
          <w:sz w:val="24"/>
        </w:rPr>
      </w:pPr>
      <w:r>
        <w:rPr>
          <w:rFonts w:hint="eastAsia" w:ascii="宋体" w:cs="宋体"/>
          <w:color w:val="000000"/>
          <w:sz w:val="24"/>
        </w:rPr>
        <w:t>4.2各方均承诺，在签署及履行本合同过程中，任何一方的员工、服务人员、代理人和承包商对文件和交易信息的接触仅限于为了履行本合同约定的必要职能而必须得知该等信息的人员，并且该等信息的披露仅限于履行本合同约定事项之目的。任何一方均承诺促使其所有员工、服务人员、代理人和承包商遵守上述保密条款，防止秘密信息的披露。任何一方将许可对方审查保密程序。</w:t>
      </w:r>
    </w:p>
    <w:p>
      <w:pPr>
        <w:spacing w:line="360" w:lineRule="auto"/>
        <w:ind w:firstLine="480" w:firstLineChars="200"/>
        <w:rPr>
          <w:rFonts w:ascii="宋体" w:cs="宋体"/>
          <w:color w:val="000000"/>
          <w:sz w:val="24"/>
        </w:rPr>
      </w:pPr>
      <w:r>
        <w:rPr>
          <w:rFonts w:hint="eastAsia" w:ascii="宋体" w:cs="宋体"/>
          <w:color w:val="000000"/>
          <w:sz w:val="24"/>
        </w:rPr>
        <w:t>4.3如果一方受法院指令、传票或其他法律、管理机构或类似司法程序的要求而披露任何信息，则该接受通知或指令方均应在收到上述通知或指令后立即通知对方，以便对方申请相应的保护。</w:t>
      </w:r>
    </w:p>
    <w:p>
      <w:pPr>
        <w:spacing w:line="360" w:lineRule="auto"/>
        <w:ind w:firstLine="480" w:firstLineChars="200"/>
        <w:rPr>
          <w:rFonts w:ascii="宋体" w:cs="宋体"/>
          <w:color w:val="000000"/>
          <w:sz w:val="24"/>
        </w:rPr>
      </w:pPr>
      <w:r>
        <w:rPr>
          <w:rFonts w:hint="eastAsia" w:ascii="宋体" w:cs="宋体"/>
          <w:color w:val="000000"/>
          <w:sz w:val="24"/>
        </w:rPr>
        <w:t>4.4本条约定在本合同无论何种原因终止后应仍然有效。</w:t>
      </w:r>
    </w:p>
    <w:p>
      <w:pPr>
        <w:spacing w:line="360" w:lineRule="auto"/>
        <w:rPr>
          <w:rFonts w:ascii="宋体" w:cs="宋体"/>
          <w:b/>
          <w:bCs/>
          <w:color w:val="000000"/>
          <w:sz w:val="24"/>
        </w:rPr>
      </w:pPr>
      <w:r>
        <w:rPr>
          <w:rFonts w:hint="eastAsia" w:ascii="宋体" w:cs="宋体"/>
          <w:b/>
          <w:bCs/>
          <w:color w:val="000000"/>
          <w:sz w:val="24"/>
        </w:rPr>
        <w:t>5.免责条款</w:t>
      </w:r>
    </w:p>
    <w:p>
      <w:pPr>
        <w:spacing w:line="360" w:lineRule="auto"/>
        <w:ind w:firstLine="480" w:firstLineChars="200"/>
        <w:rPr>
          <w:rFonts w:ascii="宋体" w:cs="宋体"/>
          <w:color w:val="000000"/>
          <w:sz w:val="24"/>
        </w:rPr>
      </w:pPr>
      <w:r>
        <w:rPr>
          <w:rFonts w:hint="eastAsia" w:ascii="宋体" w:cs="宋体"/>
          <w:color w:val="000000"/>
          <w:sz w:val="24"/>
        </w:rPr>
        <w:t>5.1本合同下任何一方无须为因不受其合理控制且其没有故意或过失的行为而造成的迟延履行或未履行承担责任。该等可原谅的迟延或未履行可能由以下事项引起，包括但不限于暴动、恐怖活动、叛乱、意外爆炸、水灾、暴雨、自然灾害及类似事件。主张该等不可抗力情况的一方应在其了解到该等不可抗力情况的发生后尽快通知另一方。如发生任何该等延迟，则完成该方在本合同下义务的期限应根据该等延迟的期限自动延长。尽管有上述规定，如因该等可原谅的延迟履行一方不能根据本合同履行其义务且该等情况持续了三十（30）天，对方可终止本合同。尽管有本规定，主张可原谅的迟延的一方应采取所有合理的行动以弥补该等迟延或未履行的影响。</w:t>
      </w:r>
    </w:p>
    <w:p>
      <w:pPr>
        <w:spacing w:line="360" w:lineRule="auto"/>
        <w:ind w:firstLine="480" w:firstLineChars="200"/>
        <w:rPr>
          <w:rFonts w:ascii="宋体" w:cs="宋体"/>
          <w:color w:val="000000"/>
          <w:sz w:val="24"/>
        </w:rPr>
      </w:pPr>
      <w:r>
        <w:rPr>
          <w:rFonts w:hint="eastAsia" w:ascii="宋体" w:cs="宋体"/>
          <w:color w:val="000000"/>
          <w:sz w:val="24"/>
        </w:rPr>
        <w:t>5.2任何一方由于不可抗力且自身无过错造成的不能履行或部分不能履行本合同的义务将不视为违约，但应在条件允许下采取必要的补救措施，以减少不可抗力造成的损失。遇有不可抗力的一方，应在五个工作日内将事件的情况以书面形式通知对方，并在事件发生后无个工作日内，提交不能履行或者部分不能履行本合同以及需要延期履行的理由的证明。</w:t>
      </w:r>
    </w:p>
    <w:p>
      <w:pPr>
        <w:spacing w:line="360" w:lineRule="auto"/>
        <w:rPr>
          <w:rFonts w:ascii="宋体" w:cs="宋体"/>
          <w:b/>
          <w:bCs/>
          <w:color w:val="000000"/>
          <w:sz w:val="24"/>
        </w:rPr>
      </w:pPr>
      <w:r>
        <w:rPr>
          <w:rFonts w:hint="eastAsia" w:ascii="宋体" w:cs="宋体"/>
          <w:b/>
          <w:bCs/>
          <w:color w:val="000000"/>
          <w:sz w:val="24"/>
        </w:rPr>
        <w:t>6. 争议的解决</w:t>
      </w:r>
    </w:p>
    <w:p>
      <w:pPr>
        <w:spacing w:line="360" w:lineRule="auto"/>
        <w:ind w:firstLine="480" w:firstLineChars="200"/>
        <w:rPr>
          <w:rFonts w:ascii="宋体" w:cs="宋体"/>
          <w:color w:val="000000"/>
          <w:sz w:val="24"/>
        </w:rPr>
      </w:pPr>
      <w:r>
        <w:rPr>
          <w:rFonts w:hint="eastAsia" w:ascii="宋体" w:cs="宋体"/>
          <w:color w:val="000000"/>
          <w:sz w:val="24"/>
        </w:rPr>
        <w:t>6.1凡与本合同有关而引起的一切争议，各方应首先通过友好协商解决，如经协商后仍不能达成协议时，可提交被告所在地法院起诉解决。本合同另有约定的，从其约定。</w:t>
      </w:r>
    </w:p>
    <w:p>
      <w:pPr>
        <w:spacing w:line="360" w:lineRule="auto"/>
        <w:rPr>
          <w:rFonts w:ascii="宋体" w:cs="宋体"/>
          <w:color w:val="000000"/>
          <w:sz w:val="24"/>
        </w:rPr>
      </w:pPr>
      <w:r>
        <w:rPr>
          <w:rFonts w:hint="eastAsia" w:ascii="宋体" w:cs="宋体"/>
          <w:color w:val="000000"/>
          <w:sz w:val="24"/>
        </w:rPr>
        <w:t>6.2由上述过程发生的费用（包括律师费等费用）除上述法院判决另有规定外，皆由败诉方承担。</w:t>
      </w:r>
    </w:p>
    <w:p>
      <w:pPr>
        <w:spacing w:line="360" w:lineRule="auto"/>
        <w:rPr>
          <w:rFonts w:ascii="宋体" w:cs="宋体"/>
          <w:color w:val="000000"/>
          <w:sz w:val="24"/>
        </w:rPr>
      </w:pPr>
      <w:r>
        <w:rPr>
          <w:rFonts w:hint="eastAsia" w:ascii="宋体" w:cs="宋体"/>
          <w:color w:val="000000"/>
          <w:sz w:val="24"/>
        </w:rPr>
        <w:t>6.3在进行法院审理期间，除提交法院审理的事项外，合同仍应继续履行，各方发生的争议不影响本合同其他约定的履行。</w:t>
      </w:r>
    </w:p>
    <w:p>
      <w:pPr>
        <w:spacing w:line="360" w:lineRule="auto"/>
        <w:ind w:firstLine="480" w:firstLineChars="200"/>
        <w:rPr>
          <w:rFonts w:ascii="宋体" w:cs="宋体"/>
          <w:color w:val="000000"/>
          <w:sz w:val="24"/>
        </w:rPr>
      </w:pPr>
      <w:r>
        <w:rPr>
          <w:rFonts w:hint="eastAsia" w:ascii="宋体" w:cs="宋体"/>
          <w:color w:val="000000"/>
          <w:sz w:val="24"/>
        </w:rPr>
        <w:t>6.4在提请争议评审、仲裁或者诉讼前，以及在争议评审、仲裁或诉讼过程中，双方均可共同努力友好协商解决争议。</w:t>
      </w:r>
    </w:p>
    <w:p>
      <w:pPr>
        <w:spacing w:line="360" w:lineRule="auto"/>
        <w:ind w:firstLine="480" w:firstLineChars="200"/>
        <w:rPr>
          <w:rFonts w:ascii="宋体" w:cs="宋体"/>
          <w:color w:val="000000"/>
          <w:sz w:val="24"/>
        </w:rPr>
      </w:pPr>
      <w:r>
        <w:rPr>
          <w:rFonts w:hint="eastAsia" w:ascii="宋体" w:cs="宋体"/>
          <w:color w:val="000000"/>
          <w:sz w:val="24"/>
        </w:rPr>
        <w:t>6.5通过仲裁解决的争议。仲裁委员会的裁决是终局裁决，对双方均有约束力。仲裁费用应由败诉方承担。除进行仲裁的那部分外，在仲裁进行的同时，双方将继续执行合同的其余部分。</w:t>
      </w:r>
    </w:p>
    <w:p>
      <w:pPr>
        <w:spacing w:line="360" w:lineRule="auto"/>
        <w:rPr>
          <w:rFonts w:ascii="宋体" w:cs="宋体"/>
          <w:b/>
          <w:bCs/>
          <w:color w:val="000000"/>
          <w:sz w:val="24"/>
        </w:rPr>
      </w:pPr>
      <w:r>
        <w:rPr>
          <w:rFonts w:hint="eastAsia" w:ascii="宋体" w:cs="宋体"/>
          <w:b/>
          <w:bCs/>
          <w:color w:val="000000"/>
          <w:sz w:val="24"/>
        </w:rPr>
        <w:t>7. 协议的可分割性</w:t>
      </w:r>
    </w:p>
    <w:p>
      <w:pPr>
        <w:spacing w:line="360" w:lineRule="auto"/>
        <w:ind w:firstLine="480" w:firstLineChars="200"/>
        <w:rPr>
          <w:rFonts w:ascii="宋体" w:cs="宋体"/>
          <w:color w:val="000000"/>
          <w:sz w:val="24"/>
        </w:rPr>
      </w:pPr>
      <w:r>
        <w:rPr>
          <w:rFonts w:hint="eastAsia" w:ascii="宋体" w:cs="宋体"/>
          <w:color w:val="000000"/>
          <w:sz w:val="24"/>
        </w:rPr>
        <w:t>7.1如果本合同的任何条款或规定无效或不能履行，本合同其余的内容不应受此影响，而且本合同其余各项条款与规定在法律允许的最大限度内应继续有效并予以执行。</w:t>
      </w:r>
    </w:p>
    <w:p>
      <w:pPr>
        <w:spacing w:line="360" w:lineRule="auto"/>
        <w:ind w:firstLine="480" w:firstLineChars="200"/>
        <w:rPr>
          <w:rFonts w:ascii="宋体" w:cs="宋体"/>
          <w:color w:val="000000"/>
          <w:sz w:val="24"/>
        </w:rPr>
      </w:pPr>
      <w:r>
        <w:rPr>
          <w:rFonts w:hint="eastAsia" w:ascii="宋体" w:cs="宋体"/>
          <w:color w:val="000000"/>
          <w:sz w:val="24"/>
        </w:rPr>
        <w:t>7.2本合同未尽事宜由双方协商解决，并根据需要可签订补充协议，补充协议与本合同具有同等法律效力。</w:t>
      </w:r>
    </w:p>
    <w:p>
      <w:pPr>
        <w:spacing w:line="360" w:lineRule="auto"/>
        <w:rPr>
          <w:rFonts w:ascii="宋体" w:cs="宋体"/>
          <w:b/>
          <w:bCs/>
          <w:color w:val="000000"/>
          <w:sz w:val="24"/>
        </w:rPr>
      </w:pPr>
      <w:r>
        <w:rPr>
          <w:rFonts w:hint="eastAsia" w:ascii="宋体" w:cs="宋体"/>
          <w:b/>
          <w:bCs/>
          <w:color w:val="000000"/>
          <w:sz w:val="24"/>
        </w:rPr>
        <w:t>8.适用法律</w:t>
      </w:r>
    </w:p>
    <w:p>
      <w:pPr>
        <w:spacing w:line="360" w:lineRule="auto"/>
        <w:ind w:firstLine="480" w:firstLineChars="200"/>
        <w:rPr>
          <w:rFonts w:ascii="宋体" w:cs="宋体"/>
          <w:color w:val="000000"/>
          <w:sz w:val="24"/>
        </w:rPr>
      </w:pPr>
      <w:r>
        <w:rPr>
          <w:rFonts w:hint="eastAsia" w:ascii="宋体" w:cs="宋体"/>
          <w:color w:val="000000"/>
          <w:sz w:val="24"/>
        </w:rPr>
        <w:t>适用于合同的法律包括中华人民共和国法律、行政法规、部门规章，以及协议履行地的地方法规、自治条例、单行条例和地方政府规章。</w:t>
      </w:r>
    </w:p>
    <w:p>
      <w:pPr>
        <w:spacing w:line="360" w:lineRule="auto"/>
        <w:rPr>
          <w:rFonts w:ascii="宋体" w:cs="宋体"/>
          <w:color w:val="000000"/>
          <w:sz w:val="24"/>
        </w:rPr>
      </w:pPr>
      <w:r>
        <w:rPr>
          <w:rFonts w:hint="eastAsia" w:ascii="宋体" w:cs="宋体"/>
          <w:b/>
          <w:bCs/>
          <w:color w:val="000000"/>
          <w:sz w:val="24"/>
        </w:rPr>
        <w:t>9.送达与通知</w:t>
      </w:r>
    </w:p>
    <w:p>
      <w:pPr>
        <w:spacing w:line="360" w:lineRule="auto"/>
        <w:ind w:firstLine="480" w:firstLineChars="200"/>
        <w:rPr>
          <w:rFonts w:ascii="宋体" w:cs="宋体"/>
          <w:color w:val="000000"/>
          <w:sz w:val="24"/>
        </w:rPr>
      </w:pPr>
      <w:r>
        <w:rPr>
          <w:rFonts w:hint="eastAsia" w:ascii="宋体" w:cs="宋体"/>
          <w:color w:val="000000"/>
          <w:sz w:val="24"/>
        </w:rPr>
        <w:t>9.1一方当事人可采用直接、邮寄、传真、电子邮件或者其他合法方式通知对方当事人。除本合同对有关通知事项已有约定外，本合同当事人任何一方发生法定代表人、名称、住所、企业组织形式等的变更，或发生合并、分立、并购、破产，或发生标的房屋抵押、转让、查封、扣押、监管、变卖、拍卖及其他可能影响本通知履行的任何事项，均应本着诚实信用的原则及时书面通知对方，履行通知义务。因上述变更未通报而导致送达不能或送达错误的，由变更通报义务方自行承担法律责任。</w:t>
      </w:r>
    </w:p>
    <w:p>
      <w:pPr>
        <w:spacing w:line="360" w:lineRule="auto"/>
        <w:ind w:firstLine="480" w:firstLineChars="200"/>
        <w:rPr>
          <w:rFonts w:ascii="宋体" w:cs="宋体"/>
          <w:color w:val="000000"/>
          <w:sz w:val="24"/>
        </w:rPr>
      </w:pPr>
      <w:r>
        <w:rPr>
          <w:rFonts w:hint="eastAsia" w:ascii="宋体" w:cs="宋体"/>
          <w:color w:val="000000"/>
          <w:sz w:val="24"/>
        </w:rPr>
        <w:t>9.2通知直接送交的，由对方当事人签收。当事人是自然人的，本人不在时可以由其同住的成年家属签收；当事人是法人或其他组织的，可以由法定代表人、主要负责人、负责收发的工作人员（包括但不限于门卫及物业管理人员）或者其他人员签收。当事人已委托其他人代收的，可以由代收人代收。</w:t>
      </w:r>
    </w:p>
    <w:p>
      <w:pPr>
        <w:spacing w:line="360" w:lineRule="auto"/>
        <w:ind w:firstLine="480" w:firstLineChars="200"/>
        <w:rPr>
          <w:rFonts w:ascii="宋体" w:cs="宋体"/>
          <w:color w:val="000000"/>
          <w:sz w:val="24"/>
        </w:rPr>
      </w:pPr>
      <w:r>
        <w:rPr>
          <w:rFonts w:hint="eastAsia" w:ascii="宋体" w:cs="宋体"/>
          <w:color w:val="000000"/>
          <w:sz w:val="24"/>
        </w:rPr>
        <w:t>9.3邮寄送达的，自然人以户籍所在地或者经常居住地为送达地址；法人或者其他组织以工商登记或者其他依法登记备案的住所地或者营业地为送达地址。当事人书面确认送达地址的，以确认的地址为送达地址，送达日期以回执或者特快专递查询单上注明的收件日期为送达日期。邮寄送达的签收，遵照9.2之约定履行。</w:t>
      </w:r>
    </w:p>
    <w:p>
      <w:pPr>
        <w:spacing w:line="360" w:lineRule="auto"/>
        <w:ind w:firstLine="480" w:firstLineChars="200"/>
        <w:rPr>
          <w:rFonts w:ascii="宋体" w:cs="宋体"/>
          <w:color w:val="000000"/>
          <w:sz w:val="24"/>
        </w:rPr>
      </w:pPr>
      <w:r>
        <w:rPr>
          <w:rFonts w:hint="eastAsia" w:ascii="宋体" w:cs="宋体"/>
          <w:color w:val="000000"/>
          <w:sz w:val="24"/>
        </w:rPr>
        <w:t>9.4因当事人提供或者确认的送达地址不准确、拒不提供送达地址、送达地址变更未及时通知对方当事人或者指定的代收人拒绝签收的，通知被退回之日视为送达日。</w:t>
      </w:r>
    </w:p>
    <w:p>
      <w:pPr>
        <w:spacing w:line="360" w:lineRule="auto"/>
        <w:ind w:firstLine="480" w:firstLineChars="200"/>
        <w:rPr>
          <w:rFonts w:ascii="宋体" w:cs="宋体"/>
          <w:color w:val="000000"/>
          <w:sz w:val="24"/>
        </w:rPr>
      </w:pPr>
      <w:r>
        <w:rPr>
          <w:rFonts w:hint="eastAsia" w:ascii="宋体" w:cs="宋体"/>
          <w:color w:val="000000"/>
          <w:sz w:val="24"/>
        </w:rPr>
        <w:t>9.5合同有关的通知、批准、证明、证书、指示、要求、请求、同意、意见、确定和决定等，均应采用书面形式。</w:t>
      </w:r>
    </w:p>
    <w:p>
      <w:pPr>
        <w:spacing w:line="360" w:lineRule="auto"/>
        <w:ind w:firstLine="480" w:firstLineChars="200"/>
        <w:rPr>
          <w:rFonts w:ascii="宋体" w:cs="宋体"/>
          <w:color w:val="000000"/>
          <w:sz w:val="24"/>
        </w:rPr>
      </w:pPr>
      <w:r>
        <w:rPr>
          <w:rFonts w:hint="eastAsia" w:ascii="宋体" w:cs="宋体"/>
          <w:color w:val="000000"/>
          <w:sz w:val="24"/>
        </w:rPr>
        <w:t>9.6本合同及其附件凡涉及日期的，按收件人签收日期和邮局戳记日期为准。时间期限的计算均包括本数在内。</w:t>
      </w:r>
    </w:p>
    <w:p>
      <w:pPr>
        <w:spacing w:line="360" w:lineRule="auto"/>
        <w:ind w:firstLine="480" w:firstLineChars="200"/>
        <w:rPr>
          <w:rFonts w:ascii="宋体" w:cs="宋体"/>
          <w:color w:val="000000"/>
          <w:sz w:val="24"/>
        </w:rPr>
      </w:pPr>
      <w:r>
        <w:rPr>
          <w:rFonts w:hint="eastAsia" w:ascii="宋体" w:cs="宋体"/>
          <w:color w:val="000000"/>
          <w:sz w:val="24"/>
        </w:rPr>
        <w:t>9.7来往函件均应按合同约定的期限及时发出和答复，不得无故扣压和拖延，亦不得拒收。否则，由此造成的后果由责任方负责。</w:t>
      </w:r>
    </w:p>
    <w:p>
      <w:pPr>
        <w:spacing w:line="360" w:lineRule="auto"/>
        <w:ind w:firstLine="480" w:firstLineChars="200"/>
        <w:rPr>
          <w:rFonts w:ascii="宋体" w:cs="宋体"/>
          <w:color w:val="000000"/>
          <w:sz w:val="24"/>
        </w:rPr>
      </w:pPr>
      <w:r>
        <w:rPr>
          <w:rFonts w:hint="eastAsia" w:ascii="宋体" w:cs="宋体"/>
          <w:color w:val="000000"/>
          <w:sz w:val="24"/>
        </w:rPr>
        <w:t>9.8本合同中规定按小时计算时间的，从时间有效开始时候计算（不扣除休息时间），规定按天计算时间的，开始当天不计入，从次日开始计算，时限的最后一天是休息日或其他法定节假日的，以节假日的次日为期限的最后一天。时限的最后一天的截至时间是24时。</w:t>
      </w:r>
    </w:p>
    <w:p>
      <w:pPr>
        <w:spacing w:line="360" w:lineRule="auto"/>
        <w:rPr>
          <w:rFonts w:ascii="宋体" w:cs="宋体"/>
          <w:b/>
          <w:bCs/>
          <w:color w:val="000000"/>
          <w:sz w:val="24"/>
        </w:rPr>
      </w:pPr>
      <w:r>
        <w:rPr>
          <w:rFonts w:hint="eastAsia" w:ascii="宋体" w:cs="宋体"/>
          <w:b/>
          <w:bCs/>
          <w:color w:val="000000"/>
          <w:sz w:val="24"/>
        </w:rPr>
        <w:t>10.合同的生效</w:t>
      </w:r>
    </w:p>
    <w:p>
      <w:pPr>
        <w:spacing w:line="360" w:lineRule="auto"/>
        <w:ind w:firstLine="480" w:firstLineChars="200"/>
        <w:rPr>
          <w:rFonts w:ascii="宋体" w:cs="宋体"/>
          <w:color w:val="000000"/>
          <w:sz w:val="24"/>
        </w:rPr>
      </w:pPr>
      <w:r>
        <w:rPr>
          <w:rFonts w:hint="eastAsia" w:ascii="宋体" w:cs="宋体"/>
          <w:color w:val="000000"/>
          <w:sz w:val="24"/>
        </w:rPr>
        <w:t>10.1本合同自甲乙双方及/或其经纪机构的授权代表签字或盖章之日起生效（法律、行政法规规定应当办理批准、登记等手续生效的除外）。本合同生效后，双方对本合同内容的变更或补充应采用书面形式订立，并作为本合同的附件。附件与本合同具有同等的法律效力。</w:t>
      </w:r>
    </w:p>
    <w:p>
      <w:pPr>
        <w:spacing w:line="360" w:lineRule="auto"/>
        <w:rPr>
          <w:rFonts w:ascii="宋体" w:cs="宋体"/>
          <w:color w:val="000000"/>
          <w:sz w:val="24"/>
        </w:rPr>
      </w:pPr>
      <w:r>
        <w:rPr>
          <w:rFonts w:hint="eastAsia" w:ascii="宋体" w:cs="宋体"/>
          <w:color w:val="000000"/>
          <w:sz w:val="24"/>
        </w:rPr>
        <w:t xml:space="preserve">   10.2本合同连同本通用条款、附件及所签署的备忘录、补充协议等书面文件，均具有同等法律效力。</w:t>
      </w:r>
    </w:p>
    <w:p>
      <w:pPr>
        <w:spacing w:line="360" w:lineRule="auto"/>
        <w:ind w:firstLine="480" w:firstLineChars="200"/>
        <w:rPr>
          <w:rFonts w:ascii="宋体" w:cs="宋体"/>
          <w:color w:val="000000"/>
          <w:sz w:val="24"/>
        </w:rPr>
      </w:pPr>
      <w:r>
        <w:rPr>
          <w:rFonts w:hint="eastAsia" w:ascii="宋体" w:cs="宋体"/>
          <w:color w:val="000000"/>
          <w:sz w:val="24"/>
        </w:rPr>
        <w:t>10.3本合同条款如与国家法律、法规禁止性规定相抵触时，以国家法律、法规为准。</w:t>
      </w:r>
    </w:p>
    <w:p>
      <w:pPr>
        <w:spacing w:line="360" w:lineRule="auto"/>
        <w:rPr>
          <w:rFonts w:ascii="宋体" w:cs="宋体"/>
          <w:b/>
          <w:bCs/>
          <w:color w:val="000000"/>
          <w:sz w:val="24"/>
        </w:rPr>
      </w:pPr>
      <w:r>
        <w:rPr>
          <w:rFonts w:hint="eastAsia" w:ascii="宋体" w:cs="宋体"/>
          <w:b/>
          <w:bCs/>
          <w:color w:val="000000"/>
          <w:sz w:val="24"/>
        </w:rPr>
        <w:t>11.合同的期满和终止</w:t>
      </w:r>
    </w:p>
    <w:p>
      <w:pPr>
        <w:spacing w:line="360" w:lineRule="auto"/>
        <w:ind w:firstLine="480" w:firstLineChars="200"/>
        <w:rPr>
          <w:rFonts w:ascii="宋体" w:cs="宋体"/>
          <w:color w:val="000000"/>
          <w:sz w:val="24"/>
        </w:rPr>
      </w:pPr>
      <w:r>
        <w:rPr>
          <w:rFonts w:hint="eastAsia" w:ascii="宋体" w:cs="宋体"/>
          <w:color w:val="000000"/>
          <w:sz w:val="24"/>
        </w:rPr>
        <w:t>11.1本合同从生效日期起开始生效，直至合同义务履行完毕为止，届时本合同也同时终止。但合同另有约定的，从其约定。</w:t>
      </w:r>
    </w:p>
    <w:p>
      <w:pPr>
        <w:spacing w:line="360" w:lineRule="auto"/>
        <w:ind w:firstLine="480" w:firstLineChars="200"/>
        <w:rPr>
          <w:rFonts w:ascii="宋体" w:cs="宋体"/>
          <w:color w:val="000000"/>
          <w:sz w:val="24"/>
        </w:rPr>
      </w:pPr>
      <w:r>
        <w:rPr>
          <w:rFonts w:hint="eastAsia" w:ascii="宋体" w:cs="宋体"/>
          <w:color w:val="000000"/>
          <w:sz w:val="24"/>
        </w:rPr>
        <w:t>11.2本合同因期满或解除而终止。</w:t>
      </w:r>
    </w:p>
    <w:p>
      <w:pPr>
        <w:spacing w:line="360" w:lineRule="auto"/>
        <w:ind w:firstLine="480" w:firstLineChars="200"/>
        <w:rPr>
          <w:rFonts w:ascii="宋体" w:cs="宋体"/>
          <w:color w:val="000000"/>
          <w:sz w:val="24"/>
        </w:rPr>
      </w:pPr>
      <w:r>
        <w:rPr>
          <w:rFonts w:hint="eastAsia" w:ascii="宋体" w:cs="宋体"/>
          <w:color w:val="000000"/>
          <w:sz w:val="24"/>
        </w:rPr>
        <w:t>11.3本合同的一般解除：</w:t>
      </w:r>
    </w:p>
    <w:p>
      <w:pPr>
        <w:spacing w:line="360" w:lineRule="auto"/>
        <w:ind w:firstLine="480" w:firstLineChars="200"/>
        <w:rPr>
          <w:rFonts w:ascii="宋体" w:cs="宋体"/>
          <w:color w:val="000000"/>
          <w:sz w:val="24"/>
        </w:rPr>
      </w:pPr>
      <w:r>
        <w:rPr>
          <w:rFonts w:hint="eastAsia" w:ascii="宋体" w:cs="宋体"/>
          <w:color w:val="000000"/>
          <w:sz w:val="24"/>
        </w:rPr>
        <w:t>本合同任何一方违约，经相对方书面通知要求限期改正后仍未按时改正的，相对方有权要求违约方承担违约赔偿责任，并可要求随时解除本合同。</w:t>
      </w:r>
    </w:p>
    <w:p>
      <w:pPr>
        <w:spacing w:line="360" w:lineRule="auto"/>
        <w:ind w:firstLine="480" w:firstLineChars="200"/>
        <w:rPr>
          <w:rFonts w:ascii="宋体" w:cs="宋体"/>
          <w:color w:val="000000"/>
          <w:sz w:val="24"/>
        </w:rPr>
      </w:pPr>
      <w:r>
        <w:rPr>
          <w:rFonts w:hint="eastAsia" w:ascii="宋体" w:cs="宋体"/>
          <w:color w:val="000000"/>
          <w:sz w:val="24"/>
        </w:rPr>
        <w:t>11.4本合同终止时，合同各方的所有权利均应停止。</w:t>
      </w:r>
    </w:p>
    <w:p>
      <w:pPr>
        <w:spacing w:line="360" w:lineRule="auto"/>
        <w:ind w:firstLine="480" w:firstLineChars="200"/>
        <w:rPr>
          <w:rFonts w:ascii="宋体" w:cs="宋体"/>
          <w:color w:val="000000"/>
          <w:sz w:val="24"/>
        </w:rPr>
      </w:pPr>
      <w:r>
        <w:rPr>
          <w:rFonts w:hint="eastAsia" w:ascii="宋体" w:cs="宋体"/>
          <w:color w:val="000000"/>
          <w:sz w:val="24"/>
        </w:rPr>
        <w:t>11.5无论本合同期满或因其他原因终止，合同各方均：</w:t>
      </w:r>
    </w:p>
    <w:p>
      <w:pPr>
        <w:spacing w:line="360" w:lineRule="auto"/>
        <w:ind w:firstLine="480" w:firstLineChars="200"/>
        <w:rPr>
          <w:rFonts w:ascii="宋体" w:cs="宋体"/>
          <w:color w:val="000000"/>
          <w:sz w:val="24"/>
        </w:rPr>
      </w:pPr>
      <w:r>
        <w:rPr>
          <w:rFonts w:hint="eastAsia" w:ascii="宋体" w:cs="宋体"/>
          <w:color w:val="000000"/>
          <w:sz w:val="24"/>
        </w:rPr>
        <w:t>11.5.1不应解除在合同期满或终止之前应有的任何责任；</w:t>
      </w:r>
    </w:p>
    <w:p>
      <w:pPr>
        <w:spacing w:line="360" w:lineRule="auto"/>
        <w:ind w:firstLine="480" w:firstLineChars="200"/>
        <w:rPr>
          <w:rFonts w:ascii="宋体" w:cs="宋体"/>
          <w:color w:val="000000"/>
          <w:sz w:val="24"/>
        </w:rPr>
      </w:pPr>
      <w:r>
        <w:rPr>
          <w:rFonts w:hint="eastAsia" w:ascii="宋体" w:cs="宋体"/>
          <w:color w:val="000000"/>
          <w:sz w:val="24"/>
        </w:rPr>
        <w:t>11.5.2对本合同已明确规定合同期满或中止后，仍应承担责任的条款，各方应继续受此条款约束。</w:t>
      </w:r>
    </w:p>
    <w:p>
      <w:pPr>
        <w:spacing w:line="360" w:lineRule="auto"/>
        <w:rPr>
          <w:rFonts w:ascii="宋体" w:cs="宋体"/>
          <w:b/>
          <w:bCs/>
          <w:color w:val="000000"/>
          <w:sz w:val="24"/>
        </w:rPr>
      </w:pPr>
      <w:r>
        <w:rPr>
          <w:rFonts w:hint="eastAsia" w:ascii="宋体" w:cs="宋体"/>
          <w:b/>
          <w:bCs/>
          <w:color w:val="000000"/>
          <w:sz w:val="24"/>
        </w:rPr>
        <w:t>12. 通用条款数量的确定</w:t>
      </w:r>
    </w:p>
    <w:p>
      <w:pPr>
        <w:spacing w:line="360" w:lineRule="auto"/>
        <w:ind w:firstLine="480" w:firstLineChars="200"/>
        <w:rPr>
          <w:rFonts w:ascii="宋体"/>
          <w:kern w:val="0"/>
          <w:sz w:val="24"/>
        </w:rPr>
      </w:pPr>
      <w:r>
        <w:rPr>
          <w:rFonts w:hint="eastAsia" w:ascii="宋体" w:cs="宋体"/>
          <w:color w:val="000000"/>
          <w:sz w:val="24"/>
        </w:rPr>
        <w:t>本合同通用条款共计12条，截止至本条为限。</w:t>
      </w:r>
    </w:p>
    <w:p/>
    <w:p>
      <w:pPr>
        <w:rPr>
          <w:rFonts w:ascii="Times New Roman" w:hAnsi="Times New Roman"/>
          <w:sz w:val="24"/>
        </w:rPr>
      </w:pPr>
      <w:r>
        <w:rPr>
          <w:rFonts w:ascii="Times New Roman" w:hAnsi="Times New Roman"/>
          <w:sz w:val="24"/>
        </w:rPr>
        <w:br w:type="page"/>
      </w:r>
    </w:p>
    <w:p>
      <w:pPr>
        <w:pStyle w:val="4"/>
        <w:jc w:val="center"/>
        <w:rPr>
          <w:rFonts w:cs="宋体"/>
          <w:sz w:val="24"/>
          <w:szCs w:val="24"/>
        </w:rPr>
      </w:pPr>
      <w:bookmarkStart w:id="26" w:name="_Toc28038"/>
      <w:r>
        <w:rPr>
          <w:rFonts w:ascii="Times New Roman" w:hAnsi="Times New Roman"/>
          <w:sz w:val="24"/>
          <w:szCs w:val="24"/>
        </w:rPr>
        <w:t>第二节</w:t>
      </w:r>
      <w:r>
        <w:rPr>
          <w:rFonts w:hint="eastAsia" w:ascii="Times New Roman" w:hAnsi="Times New Roman"/>
          <w:sz w:val="24"/>
          <w:szCs w:val="24"/>
        </w:rPr>
        <w:t xml:space="preserve"> </w:t>
      </w:r>
      <w:r>
        <w:rPr>
          <w:rFonts w:hint="eastAsia" w:cs="宋体"/>
          <w:bCs/>
          <w:color w:val="000000"/>
          <w:sz w:val="24"/>
          <w:szCs w:val="24"/>
        </w:rPr>
        <w:t>专用合同条款</w:t>
      </w:r>
      <w:bookmarkEnd w:id="26"/>
    </w:p>
    <w:p>
      <w:pPr>
        <w:jc w:val="center"/>
        <w:rPr>
          <w:rFonts w:ascii="宋体" w:cs="宋体"/>
          <w:b/>
          <w:bCs/>
          <w:sz w:val="32"/>
          <w:szCs w:val="32"/>
        </w:rPr>
      </w:pPr>
      <w:r>
        <w:rPr>
          <w:rFonts w:hint="eastAsia" w:ascii="宋体" w:cs="宋体"/>
          <w:b/>
          <w:bCs/>
          <w:sz w:val="32"/>
          <w:szCs w:val="32"/>
        </w:rPr>
        <w:t>采购供应合同（供参考）</w:t>
      </w:r>
    </w:p>
    <w:p>
      <w:pPr>
        <w:widowControl/>
        <w:spacing w:line="360" w:lineRule="auto"/>
        <w:jc w:val="left"/>
        <w:rPr>
          <w:rFonts w:ascii="宋体" w:cs="宋体"/>
          <w:color w:val="333333"/>
          <w:kern w:val="0"/>
          <w:sz w:val="24"/>
        </w:rPr>
      </w:pPr>
    </w:p>
    <w:p>
      <w:pPr>
        <w:widowControl/>
        <w:spacing w:line="360" w:lineRule="auto"/>
        <w:jc w:val="left"/>
        <w:rPr>
          <w:rFonts w:ascii="宋体" w:cs="宋体"/>
          <w:color w:val="333333"/>
          <w:kern w:val="0"/>
          <w:sz w:val="24"/>
        </w:rPr>
      </w:pPr>
      <w:r>
        <w:rPr>
          <w:rFonts w:hint="eastAsia" w:ascii="宋体" w:cs="宋体"/>
          <w:color w:val="333333"/>
          <w:kern w:val="0"/>
          <w:sz w:val="24"/>
        </w:rPr>
        <w:t>采购方：（以下简称甲方）</w:t>
      </w:r>
    </w:p>
    <w:p>
      <w:pPr>
        <w:widowControl/>
        <w:spacing w:line="360" w:lineRule="auto"/>
        <w:jc w:val="left"/>
        <w:rPr>
          <w:rFonts w:ascii="宋体" w:cs="宋体"/>
          <w:color w:val="333333"/>
          <w:kern w:val="0"/>
          <w:sz w:val="24"/>
        </w:rPr>
      </w:pPr>
      <w:r>
        <w:rPr>
          <w:rFonts w:hint="eastAsia" w:ascii="宋体" w:cs="宋体"/>
          <w:color w:val="333333"/>
          <w:kern w:val="0"/>
          <w:sz w:val="24"/>
        </w:rPr>
        <w:t>供货方：（以下简称乙方）</w:t>
      </w:r>
    </w:p>
    <w:p>
      <w:pPr>
        <w:adjustRightInd w:val="0"/>
        <w:snapToGrid w:val="0"/>
        <w:spacing w:line="360" w:lineRule="auto"/>
        <w:ind w:firstLine="480" w:firstLineChars="200"/>
        <w:rPr>
          <w:rFonts w:ascii="宋体" w:cs="宋体"/>
          <w:sz w:val="24"/>
        </w:rPr>
      </w:pPr>
      <w:r>
        <w:rPr>
          <w:rFonts w:hint="eastAsia" w:ascii="宋体" w:cs="宋体"/>
          <w:sz w:val="24"/>
        </w:rPr>
        <w:t>根据</w:t>
      </w:r>
      <w:r>
        <w:rPr>
          <w:rFonts w:hint="eastAsia" w:ascii="宋体" w:cs="宋体"/>
          <w:sz w:val="24"/>
          <w:u w:val="single"/>
        </w:rPr>
        <w:t xml:space="preserve">        </w:t>
      </w:r>
      <w:r>
        <w:rPr>
          <w:rFonts w:hint="eastAsia" w:ascii="宋体" w:cs="宋体"/>
          <w:sz w:val="24"/>
        </w:rPr>
        <w:t xml:space="preserve">（项目名称、项目编号)及相关结果，甲、乙双方经协商一致，签订本合同。   </w:t>
      </w:r>
    </w:p>
    <w:p>
      <w:pPr>
        <w:adjustRightInd w:val="0"/>
        <w:snapToGrid w:val="0"/>
        <w:spacing w:line="360" w:lineRule="auto"/>
        <w:rPr>
          <w:rFonts w:ascii="宋体" w:cs="宋体"/>
          <w:b/>
          <w:sz w:val="24"/>
        </w:rPr>
      </w:pPr>
      <w:r>
        <w:rPr>
          <w:rFonts w:hint="eastAsia" w:ascii="宋体" w:cs="宋体"/>
          <w:b/>
          <w:sz w:val="24"/>
        </w:rPr>
        <w:t>一、合同编号：</w:t>
      </w:r>
    </w:p>
    <w:p>
      <w:pPr>
        <w:adjustRightInd w:val="0"/>
        <w:snapToGrid w:val="0"/>
        <w:spacing w:line="360" w:lineRule="auto"/>
        <w:ind w:firstLine="480" w:firstLineChars="200"/>
        <w:rPr>
          <w:rFonts w:ascii="宋体" w:cs="宋体"/>
          <w:sz w:val="24"/>
        </w:rPr>
      </w:pPr>
    </w:p>
    <w:p>
      <w:pPr>
        <w:adjustRightInd w:val="0"/>
        <w:snapToGrid w:val="0"/>
        <w:spacing w:line="360" w:lineRule="auto"/>
        <w:rPr>
          <w:rFonts w:ascii="宋体" w:cs="宋体"/>
          <w:b/>
          <w:sz w:val="24"/>
        </w:rPr>
      </w:pPr>
      <w:r>
        <w:rPr>
          <w:rFonts w:hint="eastAsia" w:ascii="宋体" w:cs="宋体"/>
          <w:b/>
          <w:sz w:val="24"/>
        </w:rPr>
        <w:t>二、签订地点：</w:t>
      </w:r>
    </w:p>
    <w:p>
      <w:pPr>
        <w:adjustRightInd w:val="0"/>
        <w:snapToGrid w:val="0"/>
        <w:spacing w:line="360" w:lineRule="auto"/>
        <w:rPr>
          <w:rFonts w:ascii="宋体" w:cs="宋体"/>
          <w:sz w:val="24"/>
        </w:rPr>
      </w:pPr>
    </w:p>
    <w:p>
      <w:pPr>
        <w:adjustRightInd w:val="0"/>
        <w:snapToGrid w:val="0"/>
        <w:spacing w:line="360" w:lineRule="auto"/>
        <w:rPr>
          <w:rFonts w:ascii="宋体" w:cs="宋体"/>
          <w:b/>
          <w:sz w:val="24"/>
        </w:rPr>
      </w:pPr>
      <w:r>
        <w:rPr>
          <w:rFonts w:hint="eastAsia" w:ascii="宋体" w:cs="宋体"/>
          <w:b/>
          <w:sz w:val="24"/>
        </w:rPr>
        <w:t>三、签订时间：</w:t>
      </w:r>
    </w:p>
    <w:p>
      <w:pPr>
        <w:adjustRightInd w:val="0"/>
        <w:snapToGrid w:val="0"/>
        <w:spacing w:line="360" w:lineRule="auto"/>
        <w:ind w:firstLine="480" w:firstLineChars="200"/>
        <w:rPr>
          <w:rFonts w:ascii="宋体" w:cs="宋体"/>
          <w:sz w:val="24"/>
        </w:rPr>
      </w:pPr>
      <w:r>
        <w:rPr>
          <w:rFonts w:hint="eastAsia" w:ascii="宋体" w:cs="宋体"/>
          <w:sz w:val="24"/>
          <w:u w:val="single"/>
        </w:rPr>
        <w:t xml:space="preserve">     年   月   日</w:t>
      </w:r>
    </w:p>
    <w:p>
      <w:pPr>
        <w:adjustRightInd w:val="0"/>
        <w:snapToGrid w:val="0"/>
        <w:spacing w:line="360" w:lineRule="auto"/>
        <w:rPr>
          <w:rFonts w:ascii="宋体" w:cs="宋体"/>
          <w:b/>
          <w:sz w:val="24"/>
        </w:rPr>
      </w:pPr>
      <w:r>
        <w:rPr>
          <w:rFonts w:hint="eastAsia" w:ascii="宋体" w:cs="宋体"/>
          <w:b/>
          <w:sz w:val="24"/>
        </w:rPr>
        <w:t>四、合同内容：</w:t>
      </w:r>
    </w:p>
    <w:p>
      <w:pPr>
        <w:tabs>
          <w:tab w:val="left" w:pos="840"/>
        </w:tabs>
        <w:adjustRightInd w:val="0"/>
        <w:snapToGrid w:val="0"/>
        <w:spacing w:line="360" w:lineRule="auto"/>
        <w:ind w:firstLine="480" w:firstLineChars="200"/>
        <w:rPr>
          <w:rFonts w:ascii="宋体" w:cs="宋体"/>
          <w:sz w:val="24"/>
        </w:rPr>
      </w:pPr>
      <w:r>
        <w:rPr>
          <w:rFonts w:hint="eastAsia" w:ascii="宋体" w:cs="宋体"/>
          <w:sz w:val="24"/>
        </w:rPr>
        <w:t>甲方向乙方采购的货物及服务如下：</w:t>
      </w:r>
    </w:p>
    <w:p>
      <w:pPr>
        <w:tabs>
          <w:tab w:val="left" w:pos="840"/>
        </w:tabs>
        <w:adjustRightInd w:val="0"/>
        <w:snapToGrid w:val="0"/>
        <w:spacing w:line="360" w:lineRule="auto"/>
        <w:ind w:firstLine="480" w:firstLineChars="200"/>
        <w:rPr>
          <w:rFonts w:ascii="宋体" w:cs="宋体"/>
          <w:sz w:val="24"/>
        </w:rPr>
      </w:pPr>
      <w:r>
        <w:rPr>
          <w:rFonts w:hint="eastAsia" w:ascii="宋体" w:cs="宋体"/>
          <w:sz w:val="24"/>
        </w:rPr>
        <w:t xml:space="preserve">1、品名、生产厂商、规格、数量等信息详见供货一览表。 </w:t>
      </w:r>
    </w:p>
    <w:p>
      <w:pPr>
        <w:pStyle w:val="9"/>
        <w:numPr>
          <w:ilvl w:val="0"/>
          <w:numId w:val="0"/>
        </w:numPr>
      </w:pPr>
    </w:p>
    <w:p>
      <w:pPr>
        <w:tabs>
          <w:tab w:val="left" w:pos="840"/>
        </w:tabs>
        <w:adjustRightInd w:val="0"/>
        <w:snapToGrid w:val="0"/>
        <w:spacing w:line="360" w:lineRule="auto"/>
        <w:ind w:firstLine="480" w:firstLineChars="200"/>
        <w:jc w:val="center"/>
        <w:rPr>
          <w:rFonts w:ascii="宋体" w:cs="宋体"/>
          <w:sz w:val="24"/>
        </w:rPr>
      </w:pPr>
      <w:r>
        <w:rPr>
          <w:rFonts w:hint="eastAsia" w:ascii="宋体" w:cs="宋体"/>
          <w:sz w:val="24"/>
        </w:rPr>
        <w:t>货物信息一览表</w:t>
      </w:r>
    </w:p>
    <w:p>
      <w:pPr>
        <w:pStyle w:val="9"/>
        <w:numPr>
          <w:ilvl w:val="0"/>
          <w:numId w:val="0"/>
        </w:numPr>
      </w:pPr>
    </w:p>
    <w:tbl>
      <w:tblPr>
        <w:tblStyle w:val="23"/>
        <w:tblW w:w="7959"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45"/>
        <w:gridCol w:w="1882"/>
        <w:gridCol w:w="1392"/>
        <w:gridCol w:w="1086"/>
        <w:gridCol w:w="1327"/>
        <w:gridCol w:w="13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45" w:type="dxa"/>
            <w:vAlign w:val="center"/>
          </w:tcPr>
          <w:p>
            <w:pPr>
              <w:pStyle w:val="9"/>
              <w:numPr>
                <w:ilvl w:val="0"/>
                <w:numId w:val="0"/>
              </w:numPr>
              <w:jc w:val="center"/>
            </w:pPr>
            <w:r>
              <w:rPr>
                <w:rFonts w:hint="eastAsia"/>
              </w:rPr>
              <w:t>序号</w:t>
            </w:r>
          </w:p>
        </w:tc>
        <w:tc>
          <w:tcPr>
            <w:tcW w:w="1882" w:type="dxa"/>
            <w:vAlign w:val="center"/>
          </w:tcPr>
          <w:p>
            <w:pPr>
              <w:pStyle w:val="9"/>
              <w:numPr>
                <w:ilvl w:val="0"/>
                <w:numId w:val="0"/>
              </w:numPr>
              <w:jc w:val="center"/>
            </w:pPr>
            <w:r>
              <w:rPr>
                <w:rFonts w:hint="eastAsia"/>
              </w:rPr>
              <w:t>品名型号</w:t>
            </w:r>
          </w:p>
        </w:tc>
        <w:tc>
          <w:tcPr>
            <w:tcW w:w="1392" w:type="dxa"/>
            <w:vAlign w:val="center"/>
          </w:tcPr>
          <w:p>
            <w:pPr>
              <w:pStyle w:val="9"/>
              <w:numPr>
                <w:ilvl w:val="0"/>
                <w:numId w:val="0"/>
              </w:numPr>
              <w:jc w:val="center"/>
            </w:pPr>
            <w:r>
              <w:rPr>
                <w:rFonts w:hint="eastAsia"/>
              </w:rPr>
              <w:t>规格参数</w:t>
            </w:r>
          </w:p>
        </w:tc>
        <w:tc>
          <w:tcPr>
            <w:tcW w:w="1086" w:type="dxa"/>
            <w:vAlign w:val="center"/>
          </w:tcPr>
          <w:p>
            <w:pPr>
              <w:pStyle w:val="9"/>
              <w:numPr>
                <w:ilvl w:val="0"/>
                <w:numId w:val="0"/>
              </w:numPr>
              <w:jc w:val="center"/>
            </w:pPr>
            <w:r>
              <w:rPr>
                <w:rFonts w:hint="eastAsia"/>
              </w:rPr>
              <w:t>数量</w:t>
            </w:r>
          </w:p>
        </w:tc>
        <w:tc>
          <w:tcPr>
            <w:tcW w:w="1327" w:type="dxa"/>
            <w:vAlign w:val="center"/>
          </w:tcPr>
          <w:p>
            <w:pPr>
              <w:pStyle w:val="9"/>
              <w:numPr>
                <w:ilvl w:val="0"/>
                <w:numId w:val="0"/>
              </w:numPr>
              <w:jc w:val="center"/>
            </w:pPr>
            <w:r>
              <w:rPr>
                <w:rFonts w:hint="eastAsia"/>
              </w:rPr>
              <w:t>单价</w:t>
            </w:r>
          </w:p>
        </w:tc>
        <w:tc>
          <w:tcPr>
            <w:tcW w:w="1327" w:type="dxa"/>
            <w:vAlign w:val="center"/>
          </w:tcPr>
          <w:p>
            <w:pPr>
              <w:pStyle w:val="9"/>
              <w:numPr>
                <w:ilvl w:val="0"/>
                <w:numId w:val="0"/>
              </w:numPr>
              <w:jc w:val="center"/>
            </w:pPr>
            <w:r>
              <w:rPr>
                <w:rFonts w:hint="eastAsia"/>
              </w:rPr>
              <w:t>小计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1" w:hRule="atLeast"/>
          <w:jc w:val="center"/>
        </w:trPr>
        <w:tc>
          <w:tcPr>
            <w:tcW w:w="945" w:type="dxa"/>
            <w:vAlign w:val="center"/>
          </w:tcPr>
          <w:p>
            <w:pPr>
              <w:pStyle w:val="9"/>
              <w:numPr>
                <w:ilvl w:val="0"/>
                <w:numId w:val="0"/>
              </w:numPr>
              <w:jc w:val="center"/>
            </w:pPr>
            <w:r>
              <w:rPr>
                <w:rFonts w:hint="eastAsia"/>
              </w:rPr>
              <w:t>1</w:t>
            </w:r>
          </w:p>
        </w:tc>
        <w:tc>
          <w:tcPr>
            <w:tcW w:w="1882" w:type="dxa"/>
            <w:vAlign w:val="center"/>
          </w:tcPr>
          <w:p>
            <w:pPr>
              <w:pStyle w:val="9"/>
              <w:numPr>
                <w:ilvl w:val="0"/>
                <w:numId w:val="0"/>
              </w:numPr>
              <w:jc w:val="center"/>
            </w:pPr>
          </w:p>
        </w:tc>
        <w:tc>
          <w:tcPr>
            <w:tcW w:w="1392" w:type="dxa"/>
            <w:vAlign w:val="center"/>
          </w:tcPr>
          <w:p>
            <w:pPr>
              <w:pStyle w:val="9"/>
              <w:numPr>
                <w:ilvl w:val="0"/>
                <w:numId w:val="0"/>
              </w:numPr>
              <w:jc w:val="center"/>
            </w:pPr>
          </w:p>
        </w:tc>
        <w:tc>
          <w:tcPr>
            <w:tcW w:w="1086" w:type="dxa"/>
            <w:vAlign w:val="center"/>
          </w:tcPr>
          <w:p>
            <w:pPr>
              <w:pStyle w:val="9"/>
              <w:numPr>
                <w:ilvl w:val="0"/>
                <w:numId w:val="0"/>
              </w:numPr>
              <w:jc w:val="center"/>
            </w:pPr>
          </w:p>
        </w:tc>
        <w:tc>
          <w:tcPr>
            <w:tcW w:w="1327" w:type="dxa"/>
            <w:vAlign w:val="center"/>
          </w:tcPr>
          <w:p>
            <w:pPr>
              <w:pStyle w:val="9"/>
              <w:numPr>
                <w:ilvl w:val="0"/>
                <w:numId w:val="0"/>
              </w:numPr>
              <w:jc w:val="center"/>
            </w:pPr>
          </w:p>
        </w:tc>
        <w:tc>
          <w:tcPr>
            <w:tcW w:w="1327" w:type="dxa"/>
            <w:vAlign w:val="center"/>
          </w:tcPr>
          <w:p>
            <w:pPr>
              <w:pStyle w:val="9"/>
              <w:numPr>
                <w:ilvl w:val="0"/>
                <w:numId w:val="0"/>
              </w:num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1" w:hRule="atLeast"/>
          <w:jc w:val="center"/>
        </w:trPr>
        <w:tc>
          <w:tcPr>
            <w:tcW w:w="945" w:type="dxa"/>
            <w:vAlign w:val="center"/>
          </w:tcPr>
          <w:p>
            <w:pPr>
              <w:pStyle w:val="9"/>
              <w:numPr>
                <w:ilvl w:val="0"/>
                <w:numId w:val="0"/>
              </w:numPr>
              <w:jc w:val="center"/>
            </w:pPr>
            <w:r>
              <w:rPr>
                <w:rFonts w:hint="eastAsia"/>
              </w:rPr>
              <w:t>2</w:t>
            </w:r>
          </w:p>
        </w:tc>
        <w:tc>
          <w:tcPr>
            <w:tcW w:w="1882" w:type="dxa"/>
            <w:vAlign w:val="center"/>
          </w:tcPr>
          <w:p>
            <w:pPr>
              <w:pStyle w:val="9"/>
              <w:numPr>
                <w:ilvl w:val="0"/>
                <w:numId w:val="0"/>
              </w:numPr>
              <w:jc w:val="center"/>
            </w:pPr>
          </w:p>
        </w:tc>
        <w:tc>
          <w:tcPr>
            <w:tcW w:w="1392" w:type="dxa"/>
            <w:vAlign w:val="center"/>
          </w:tcPr>
          <w:p>
            <w:pPr>
              <w:pStyle w:val="9"/>
              <w:numPr>
                <w:ilvl w:val="0"/>
                <w:numId w:val="0"/>
              </w:numPr>
              <w:jc w:val="center"/>
            </w:pPr>
          </w:p>
        </w:tc>
        <w:tc>
          <w:tcPr>
            <w:tcW w:w="1086" w:type="dxa"/>
            <w:vAlign w:val="center"/>
          </w:tcPr>
          <w:p>
            <w:pPr>
              <w:pStyle w:val="9"/>
              <w:numPr>
                <w:ilvl w:val="0"/>
                <w:numId w:val="0"/>
              </w:numPr>
              <w:jc w:val="center"/>
            </w:pPr>
          </w:p>
        </w:tc>
        <w:tc>
          <w:tcPr>
            <w:tcW w:w="1327" w:type="dxa"/>
            <w:vAlign w:val="center"/>
          </w:tcPr>
          <w:p>
            <w:pPr>
              <w:pStyle w:val="9"/>
              <w:numPr>
                <w:ilvl w:val="0"/>
                <w:numId w:val="0"/>
              </w:numPr>
              <w:jc w:val="center"/>
            </w:pPr>
          </w:p>
        </w:tc>
        <w:tc>
          <w:tcPr>
            <w:tcW w:w="1327" w:type="dxa"/>
            <w:vAlign w:val="center"/>
          </w:tcPr>
          <w:p>
            <w:pPr>
              <w:pStyle w:val="9"/>
              <w:numPr>
                <w:ilvl w:val="0"/>
                <w:numId w:val="0"/>
              </w:num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1" w:hRule="atLeast"/>
          <w:jc w:val="center"/>
        </w:trPr>
        <w:tc>
          <w:tcPr>
            <w:tcW w:w="945" w:type="dxa"/>
            <w:vAlign w:val="center"/>
          </w:tcPr>
          <w:p>
            <w:pPr>
              <w:pStyle w:val="9"/>
              <w:numPr>
                <w:ilvl w:val="0"/>
                <w:numId w:val="0"/>
              </w:numPr>
              <w:jc w:val="center"/>
            </w:pPr>
            <w:r>
              <w:rPr>
                <w:rFonts w:hint="eastAsia" w:ascii="宋体" w:eastAsia="宋体" w:cs="宋体"/>
              </w:rPr>
              <w:t>……</w:t>
            </w:r>
          </w:p>
        </w:tc>
        <w:tc>
          <w:tcPr>
            <w:tcW w:w="1882" w:type="dxa"/>
            <w:vAlign w:val="center"/>
          </w:tcPr>
          <w:p>
            <w:pPr>
              <w:pStyle w:val="9"/>
              <w:numPr>
                <w:ilvl w:val="0"/>
                <w:numId w:val="0"/>
              </w:numPr>
              <w:jc w:val="center"/>
            </w:pPr>
          </w:p>
        </w:tc>
        <w:tc>
          <w:tcPr>
            <w:tcW w:w="1392" w:type="dxa"/>
            <w:vAlign w:val="center"/>
          </w:tcPr>
          <w:p>
            <w:pPr>
              <w:pStyle w:val="9"/>
              <w:numPr>
                <w:ilvl w:val="0"/>
                <w:numId w:val="0"/>
              </w:numPr>
              <w:jc w:val="center"/>
            </w:pPr>
          </w:p>
        </w:tc>
        <w:tc>
          <w:tcPr>
            <w:tcW w:w="1086" w:type="dxa"/>
            <w:vAlign w:val="center"/>
          </w:tcPr>
          <w:p>
            <w:pPr>
              <w:pStyle w:val="9"/>
              <w:numPr>
                <w:ilvl w:val="0"/>
                <w:numId w:val="0"/>
              </w:numPr>
              <w:jc w:val="center"/>
            </w:pPr>
          </w:p>
        </w:tc>
        <w:tc>
          <w:tcPr>
            <w:tcW w:w="1327" w:type="dxa"/>
            <w:vAlign w:val="center"/>
          </w:tcPr>
          <w:p>
            <w:pPr>
              <w:pStyle w:val="9"/>
              <w:numPr>
                <w:ilvl w:val="0"/>
                <w:numId w:val="0"/>
              </w:numPr>
              <w:jc w:val="center"/>
            </w:pPr>
          </w:p>
        </w:tc>
        <w:tc>
          <w:tcPr>
            <w:tcW w:w="1327" w:type="dxa"/>
            <w:vAlign w:val="center"/>
          </w:tcPr>
          <w:p>
            <w:pPr>
              <w:pStyle w:val="9"/>
              <w:numPr>
                <w:ilvl w:val="0"/>
                <w:numId w:val="0"/>
              </w:num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1" w:hRule="atLeast"/>
          <w:jc w:val="center"/>
        </w:trPr>
        <w:tc>
          <w:tcPr>
            <w:tcW w:w="945" w:type="dxa"/>
            <w:vAlign w:val="center"/>
          </w:tcPr>
          <w:p>
            <w:pPr>
              <w:pStyle w:val="9"/>
              <w:numPr>
                <w:ilvl w:val="0"/>
                <w:numId w:val="0"/>
              </w:numPr>
              <w:jc w:val="center"/>
            </w:pPr>
            <w:r>
              <w:rPr>
                <w:rFonts w:hint="eastAsia"/>
              </w:rPr>
              <w:t>总金额</w:t>
            </w:r>
          </w:p>
        </w:tc>
        <w:tc>
          <w:tcPr>
            <w:tcW w:w="5687" w:type="dxa"/>
            <w:gridSpan w:val="4"/>
            <w:vAlign w:val="center"/>
          </w:tcPr>
          <w:p>
            <w:pPr>
              <w:pStyle w:val="9"/>
              <w:numPr>
                <w:ilvl w:val="0"/>
                <w:numId w:val="0"/>
              </w:numPr>
              <w:jc w:val="center"/>
            </w:pPr>
          </w:p>
        </w:tc>
        <w:tc>
          <w:tcPr>
            <w:tcW w:w="1327" w:type="dxa"/>
            <w:vAlign w:val="center"/>
          </w:tcPr>
          <w:p>
            <w:pPr>
              <w:pStyle w:val="9"/>
              <w:numPr>
                <w:ilvl w:val="0"/>
                <w:numId w:val="0"/>
              </w:numPr>
              <w:jc w:val="center"/>
            </w:pPr>
          </w:p>
        </w:tc>
      </w:tr>
    </w:tbl>
    <w:p>
      <w:pPr>
        <w:pStyle w:val="9"/>
        <w:numPr>
          <w:ilvl w:val="0"/>
          <w:numId w:val="0"/>
        </w:numPr>
      </w:pPr>
    </w:p>
    <w:p>
      <w:pPr>
        <w:tabs>
          <w:tab w:val="left" w:pos="840"/>
        </w:tabs>
        <w:adjustRightInd w:val="0"/>
        <w:snapToGrid w:val="0"/>
        <w:spacing w:line="360" w:lineRule="auto"/>
        <w:ind w:firstLine="480" w:firstLineChars="200"/>
        <w:rPr>
          <w:rFonts w:ascii="宋体" w:cs="宋体"/>
          <w:sz w:val="24"/>
        </w:rPr>
      </w:pPr>
      <w:r>
        <w:rPr>
          <w:rFonts w:hint="eastAsia" w:ascii="宋体" w:cs="宋体"/>
          <w:sz w:val="24"/>
        </w:rPr>
        <w:t>2、价格解释：合同价格包括成本、税款、包装、运费、售后服务等全部费用，价格一次确定不再变更。</w:t>
      </w:r>
    </w:p>
    <w:p>
      <w:pPr>
        <w:tabs>
          <w:tab w:val="left" w:pos="840"/>
        </w:tabs>
        <w:adjustRightInd w:val="0"/>
        <w:snapToGrid w:val="0"/>
        <w:spacing w:line="360" w:lineRule="auto"/>
        <w:ind w:firstLine="482" w:firstLineChars="200"/>
        <w:rPr>
          <w:rFonts w:ascii="宋体" w:cs="宋体"/>
          <w:sz w:val="24"/>
        </w:rPr>
      </w:pPr>
      <w:r>
        <w:rPr>
          <w:rFonts w:hint="eastAsia" w:ascii="宋体" w:cs="宋体"/>
          <w:b/>
          <w:sz w:val="24"/>
        </w:rPr>
        <w:t>3、包装要求：</w:t>
      </w:r>
      <w:r>
        <w:rPr>
          <w:rFonts w:hint="eastAsia" w:ascii="宋体" w:cs="宋体"/>
          <w:sz w:val="24"/>
        </w:rPr>
        <w:t>不论采取何种包装形式，卖方均需确保货品无破损，无污染，且方便二次运输。产品包装按照大小包装分配成一定比例，而且标识清楚，以方便使用，避免浪费。因包装不当造成的损失由卖方负责，包退包换。</w:t>
      </w:r>
    </w:p>
    <w:p>
      <w:pPr>
        <w:pStyle w:val="9"/>
        <w:numPr>
          <w:ilvl w:val="0"/>
          <w:numId w:val="0"/>
        </w:numPr>
      </w:pPr>
    </w:p>
    <w:p>
      <w:pPr>
        <w:adjustRightInd w:val="0"/>
        <w:snapToGrid w:val="0"/>
        <w:spacing w:line="360" w:lineRule="auto"/>
        <w:rPr>
          <w:rFonts w:ascii="宋体" w:cs="宋体"/>
          <w:b/>
          <w:sz w:val="24"/>
        </w:rPr>
      </w:pPr>
      <w:r>
        <w:rPr>
          <w:rFonts w:hint="eastAsia" w:ascii="宋体" w:cs="宋体"/>
          <w:b/>
          <w:sz w:val="24"/>
        </w:rPr>
        <w:t>五、招标文件、投标文件，中标人在评标过程中的承诺文件，合同所附供货一览表均为本合同不可分割的一部分。如果供货一览表的内容与招、投标文件和评标结果表不一致时，以招、投标文件和评标结果表为准。</w:t>
      </w:r>
    </w:p>
    <w:p>
      <w:pPr>
        <w:adjustRightInd w:val="0"/>
        <w:snapToGrid w:val="0"/>
        <w:spacing w:line="360" w:lineRule="auto"/>
        <w:rPr>
          <w:rFonts w:ascii="宋体" w:cs="宋体"/>
          <w:b/>
          <w:sz w:val="24"/>
        </w:rPr>
      </w:pPr>
      <w:r>
        <w:rPr>
          <w:rFonts w:hint="eastAsia" w:ascii="宋体" w:cs="宋体"/>
          <w:b/>
          <w:sz w:val="24"/>
        </w:rPr>
        <w:t>六、合同金额：</w:t>
      </w:r>
    </w:p>
    <w:p>
      <w:pPr>
        <w:adjustRightInd w:val="0"/>
        <w:snapToGrid w:val="0"/>
        <w:spacing w:line="360" w:lineRule="auto"/>
        <w:ind w:firstLine="480" w:firstLineChars="200"/>
        <w:rPr>
          <w:rFonts w:ascii="宋体" w:cs="宋体"/>
          <w:sz w:val="24"/>
          <w:u w:val="single"/>
        </w:rPr>
      </w:pPr>
      <w:r>
        <w:rPr>
          <w:rFonts w:hint="eastAsia" w:ascii="宋体" w:cs="宋体"/>
          <w:sz w:val="24"/>
        </w:rPr>
        <w:t>小写：</w:t>
      </w:r>
      <w:r>
        <w:rPr>
          <w:rFonts w:hint="eastAsia" w:ascii="宋体" w:cs="宋体"/>
          <w:sz w:val="24"/>
          <w:u w:val="single"/>
        </w:rPr>
        <w:t xml:space="preserve">¥   ，   ，   .00 </w:t>
      </w:r>
    </w:p>
    <w:p>
      <w:pPr>
        <w:adjustRightInd w:val="0"/>
        <w:snapToGrid w:val="0"/>
        <w:spacing w:line="360" w:lineRule="auto"/>
        <w:ind w:firstLine="480" w:firstLineChars="200"/>
        <w:rPr>
          <w:rFonts w:ascii="宋体" w:cs="宋体"/>
          <w:sz w:val="24"/>
          <w:u w:val="single"/>
        </w:rPr>
      </w:pPr>
      <w:r>
        <w:rPr>
          <w:rFonts w:hint="eastAsia" w:ascii="宋体" w:cs="宋体"/>
          <w:sz w:val="24"/>
        </w:rPr>
        <w:t>大写：</w:t>
      </w:r>
      <w:r>
        <w:rPr>
          <w:rFonts w:hint="eastAsia" w:ascii="宋体" w:cs="宋体"/>
          <w:sz w:val="24"/>
          <w:u w:val="single"/>
        </w:rPr>
        <w:t xml:space="preserve">                  </w:t>
      </w:r>
    </w:p>
    <w:p>
      <w:pPr>
        <w:adjustRightInd w:val="0"/>
        <w:snapToGrid w:val="0"/>
        <w:spacing w:line="360" w:lineRule="auto"/>
        <w:ind w:firstLine="480" w:firstLineChars="200"/>
        <w:rPr>
          <w:rFonts w:ascii="宋体" w:cs="宋体"/>
          <w:sz w:val="24"/>
        </w:rPr>
      </w:pPr>
      <w:r>
        <w:rPr>
          <w:rFonts w:hint="eastAsia" w:ascii="宋体" w:cs="宋体"/>
          <w:sz w:val="24"/>
        </w:rPr>
        <w:t>数量：</w:t>
      </w:r>
      <w:r>
        <w:rPr>
          <w:rFonts w:hint="eastAsia" w:ascii="宋体" w:cs="宋体"/>
          <w:sz w:val="24"/>
          <w:u w:val="single"/>
        </w:rPr>
        <w:t xml:space="preserve">                  </w:t>
      </w:r>
    </w:p>
    <w:p>
      <w:pPr>
        <w:adjustRightInd w:val="0"/>
        <w:snapToGrid w:val="0"/>
        <w:spacing w:line="360" w:lineRule="auto"/>
        <w:rPr>
          <w:rFonts w:ascii="宋体" w:cs="宋体"/>
          <w:b/>
          <w:sz w:val="24"/>
        </w:rPr>
      </w:pPr>
      <w:r>
        <w:rPr>
          <w:rFonts w:hint="eastAsia" w:ascii="宋体" w:cs="宋体"/>
          <w:b/>
          <w:sz w:val="24"/>
        </w:rPr>
        <w:t>七、一般条款：</w:t>
      </w:r>
    </w:p>
    <w:p>
      <w:pPr>
        <w:adjustRightInd w:val="0"/>
        <w:snapToGrid w:val="0"/>
        <w:spacing w:line="360" w:lineRule="auto"/>
        <w:ind w:firstLine="480" w:firstLineChars="200"/>
        <w:rPr>
          <w:rFonts w:ascii="宋体" w:cs="宋体"/>
          <w:sz w:val="24"/>
        </w:rPr>
      </w:pPr>
      <w:r>
        <w:rPr>
          <w:rFonts w:hint="eastAsia" w:ascii="宋体" w:cs="宋体"/>
          <w:sz w:val="24"/>
        </w:rPr>
        <w:t>1、卖方所提供的货物符合国家现行有效标准，因质量问题而发生的任何故障由卖方负责。</w:t>
      </w:r>
    </w:p>
    <w:p>
      <w:pPr>
        <w:adjustRightInd w:val="0"/>
        <w:snapToGrid w:val="0"/>
        <w:spacing w:line="360" w:lineRule="auto"/>
        <w:ind w:firstLine="480" w:firstLineChars="200"/>
        <w:rPr>
          <w:rFonts w:ascii="宋体" w:cs="宋体"/>
          <w:sz w:val="24"/>
        </w:rPr>
      </w:pPr>
      <w:r>
        <w:rPr>
          <w:rFonts w:hint="eastAsia" w:ascii="宋体" w:cs="宋体"/>
          <w:sz w:val="24"/>
        </w:rPr>
        <w:t>2、卖方承担交货前的一切责任和费用。</w:t>
      </w:r>
    </w:p>
    <w:p>
      <w:pPr>
        <w:adjustRightInd w:val="0"/>
        <w:snapToGrid w:val="0"/>
        <w:spacing w:line="360" w:lineRule="auto"/>
        <w:ind w:firstLine="480" w:firstLineChars="200"/>
        <w:rPr>
          <w:rFonts w:ascii="宋体" w:cs="宋体"/>
          <w:sz w:val="24"/>
        </w:rPr>
      </w:pPr>
      <w:r>
        <w:rPr>
          <w:rFonts w:hint="eastAsia" w:ascii="宋体" w:cs="宋体"/>
          <w:sz w:val="24"/>
        </w:rPr>
        <w:t>3、买方委托各市（州）兽医主管部门或动物防疫机构和新疆动物疫病预防控制中心在交货地点验收，如发现损坏、缺件等问题，由卖方负责。</w:t>
      </w:r>
    </w:p>
    <w:p>
      <w:pPr>
        <w:adjustRightInd w:val="0"/>
        <w:snapToGrid w:val="0"/>
        <w:spacing w:line="360" w:lineRule="auto"/>
        <w:ind w:firstLine="480" w:firstLineChars="200"/>
        <w:rPr>
          <w:rFonts w:ascii="宋体" w:cs="宋体"/>
          <w:sz w:val="24"/>
        </w:rPr>
      </w:pPr>
      <w:r>
        <w:rPr>
          <w:rFonts w:hint="eastAsia" w:ascii="宋体" w:cs="宋体"/>
          <w:sz w:val="24"/>
        </w:rPr>
        <w:t>4、卖方在发运货物时需提供相应的技术文件，包括使用说明等。</w:t>
      </w:r>
    </w:p>
    <w:p>
      <w:pPr>
        <w:adjustRightInd w:val="0"/>
        <w:snapToGrid w:val="0"/>
        <w:spacing w:line="360" w:lineRule="auto"/>
        <w:ind w:firstLine="480" w:firstLineChars="200"/>
        <w:rPr>
          <w:rFonts w:ascii="宋体" w:cs="宋体"/>
          <w:sz w:val="24"/>
        </w:rPr>
      </w:pPr>
      <w:r>
        <w:rPr>
          <w:rFonts w:hint="eastAsia" w:ascii="宋体" w:cs="宋体"/>
          <w:sz w:val="24"/>
        </w:rPr>
        <w:t>5、卖方对所供产品保质期应按生产厂商的承诺执行(附生产厂家承诺)。</w:t>
      </w:r>
    </w:p>
    <w:p>
      <w:pPr>
        <w:adjustRightInd w:val="0"/>
        <w:snapToGrid w:val="0"/>
        <w:spacing w:line="360" w:lineRule="auto"/>
        <w:ind w:firstLine="480" w:firstLineChars="200"/>
        <w:rPr>
          <w:rFonts w:ascii="宋体" w:cs="宋体"/>
          <w:color w:val="4F81BD"/>
          <w:sz w:val="24"/>
        </w:rPr>
      </w:pPr>
      <w:r>
        <w:rPr>
          <w:rFonts w:hint="eastAsia" w:ascii="宋体" w:cs="宋体"/>
          <w:sz w:val="24"/>
        </w:rPr>
        <w:t>6、</w:t>
      </w:r>
      <w:r>
        <w:rPr>
          <w:rFonts w:hint="eastAsia" w:ascii="宋体" w:cs="宋体"/>
          <w:color w:val="000000"/>
          <w:sz w:val="24"/>
        </w:rPr>
        <w:t>付款方式：</w:t>
      </w:r>
      <w:r>
        <w:rPr>
          <w:rFonts w:hint="eastAsia" w:ascii="宋体" w:cs="宋体"/>
          <w:color w:val="000000" w:themeColor="text1"/>
          <w:sz w:val="24"/>
          <w14:textFill>
            <w14:solidFill>
              <w14:schemeClr w14:val="tx1"/>
            </w14:solidFill>
          </w14:textFill>
        </w:rPr>
        <w:t xml:space="preserve"> </w:t>
      </w:r>
      <w:r>
        <w:rPr>
          <w:rFonts w:ascii="宋体" w:cs="宋体"/>
          <w:color w:val="000000" w:themeColor="text1"/>
          <w:sz w:val="24"/>
          <w14:textFill>
            <w14:solidFill>
              <w14:schemeClr w14:val="tx1"/>
            </w14:solidFill>
          </w14:textFill>
        </w:rPr>
        <w:t>最终以与甲方签订的《采购供应合同》的具体约定为准</w:t>
      </w:r>
      <w:r>
        <w:rPr>
          <w:rFonts w:hint="eastAsia" w:ascii="宋体" w:cs="宋体"/>
          <w:color w:val="000000" w:themeColor="text1"/>
          <w:sz w:val="24"/>
          <w14:textFill>
            <w14:solidFill>
              <w14:schemeClr w14:val="tx1"/>
            </w14:solidFill>
          </w14:textFill>
        </w:rPr>
        <w:t xml:space="preserve"> 。</w:t>
      </w:r>
    </w:p>
    <w:p>
      <w:pPr>
        <w:adjustRightInd w:val="0"/>
        <w:snapToGrid w:val="0"/>
        <w:spacing w:line="360" w:lineRule="auto"/>
        <w:ind w:firstLine="480" w:firstLineChars="200"/>
        <w:rPr>
          <w:rFonts w:ascii="宋体" w:cs="宋体"/>
          <w:sz w:val="24"/>
          <w:u w:val="single"/>
        </w:rPr>
      </w:pPr>
      <w:r>
        <w:rPr>
          <w:rFonts w:hint="eastAsia" w:ascii="宋体" w:cs="宋体"/>
          <w:sz w:val="24"/>
        </w:rPr>
        <w:t>7、合同所签定货物数量仅为参考数量，买方可根据资金到位情况适当增减产品数量。</w:t>
      </w:r>
    </w:p>
    <w:p>
      <w:pPr>
        <w:adjustRightInd w:val="0"/>
        <w:snapToGrid w:val="0"/>
        <w:spacing w:line="360" w:lineRule="auto"/>
        <w:ind w:firstLine="480" w:firstLineChars="200"/>
        <w:rPr>
          <w:rFonts w:ascii="宋体" w:cs="宋体"/>
          <w:sz w:val="24"/>
        </w:rPr>
      </w:pPr>
      <w:r>
        <w:rPr>
          <w:rFonts w:hint="eastAsia" w:ascii="宋体" w:cs="宋体"/>
          <w:sz w:val="24"/>
        </w:rPr>
        <w:t>8、凡货款由财政国库或采购人支付的,卖方凭合同向买方供货,未见合同供货而造成的一切后果由卖方负责。</w:t>
      </w:r>
    </w:p>
    <w:p>
      <w:pPr>
        <w:adjustRightInd w:val="0"/>
        <w:snapToGrid w:val="0"/>
        <w:spacing w:line="360" w:lineRule="auto"/>
        <w:ind w:firstLine="480" w:firstLineChars="200"/>
        <w:rPr>
          <w:rFonts w:ascii="宋体" w:cs="宋体"/>
          <w:sz w:val="24"/>
        </w:rPr>
      </w:pPr>
      <w:r>
        <w:rPr>
          <w:rFonts w:hint="eastAsia" w:ascii="宋体" w:cs="宋体"/>
          <w:sz w:val="24"/>
        </w:rPr>
        <w:t>9、买卖双方签订的合同，应在相关部门的监督下认真履行。</w:t>
      </w:r>
    </w:p>
    <w:p>
      <w:pPr>
        <w:adjustRightInd w:val="0"/>
        <w:snapToGrid w:val="0"/>
        <w:spacing w:line="360" w:lineRule="auto"/>
        <w:ind w:firstLine="480" w:firstLineChars="200"/>
        <w:rPr>
          <w:rFonts w:ascii="宋体" w:cs="宋体"/>
          <w:sz w:val="24"/>
        </w:rPr>
      </w:pPr>
      <w:r>
        <w:rPr>
          <w:rFonts w:hint="eastAsia" w:ascii="宋体" w:cs="宋体"/>
          <w:sz w:val="24"/>
        </w:rPr>
        <w:t>10、违约责任：卖方应依据合同规定时间按时交货，如不能，由此给买方带来的损失由卖方负责，将没收履约保证金，并上报财政部门依法处理。</w:t>
      </w:r>
    </w:p>
    <w:p>
      <w:pPr>
        <w:adjustRightInd w:val="0"/>
        <w:snapToGrid w:val="0"/>
        <w:spacing w:line="360" w:lineRule="auto"/>
        <w:ind w:firstLine="480" w:firstLineChars="200"/>
        <w:rPr>
          <w:rFonts w:ascii="宋体" w:cs="宋体"/>
          <w:sz w:val="24"/>
        </w:rPr>
      </w:pPr>
      <w:r>
        <w:rPr>
          <w:rFonts w:hint="eastAsia" w:ascii="宋体" w:cs="宋体"/>
          <w:sz w:val="24"/>
        </w:rPr>
        <w:t xml:space="preserve">11、质量验收： </w:t>
      </w:r>
    </w:p>
    <w:p>
      <w:pPr>
        <w:adjustRightInd w:val="0"/>
        <w:snapToGrid w:val="0"/>
        <w:spacing w:line="360" w:lineRule="auto"/>
        <w:ind w:firstLine="480" w:firstLineChars="200"/>
        <w:rPr>
          <w:rFonts w:ascii="宋体" w:cs="宋体"/>
          <w:sz w:val="24"/>
        </w:rPr>
      </w:pPr>
      <w:r>
        <w:rPr>
          <w:rFonts w:hint="eastAsia" w:ascii="宋体" w:cs="宋体"/>
          <w:sz w:val="24"/>
        </w:rPr>
        <w:t>（1）买方应当在10个工作日内完成到货验收工作，验收合格后在验收单上签署 “验收合格”字样，逾期验收视为验收合格。</w:t>
      </w:r>
    </w:p>
    <w:p>
      <w:pPr>
        <w:adjustRightInd w:val="0"/>
        <w:snapToGrid w:val="0"/>
        <w:spacing w:line="360" w:lineRule="auto"/>
        <w:ind w:firstLine="480" w:firstLineChars="200"/>
        <w:jc w:val="left"/>
        <w:rPr>
          <w:rFonts w:ascii="宋体" w:cs="宋体"/>
          <w:sz w:val="24"/>
        </w:rPr>
      </w:pPr>
      <w:r>
        <w:rPr>
          <w:rFonts w:hint="eastAsia" w:ascii="宋体" w:cs="宋体"/>
          <w:sz w:val="24"/>
        </w:rPr>
        <w:t>（2）买方委托的验收人在货物验收中发现不符合合同要求和验收标准或有异议时，应由买方及时通知卖方，卖方应在接到通知后三天内给予答复，并负责处理，若需送法定质检部门检验，检验费用由卖方承担。如发现货物质量严重不符合质量要求的，买方可通知卖方停止供货，解除合同。</w:t>
      </w:r>
    </w:p>
    <w:p>
      <w:pPr>
        <w:adjustRightInd w:val="0"/>
        <w:snapToGrid w:val="0"/>
        <w:spacing w:line="360" w:lineRule="auto"/>
        <w:rPr>
          <w:rFonts w:ascii="宋体" w:cs="宋体"/>
          <w:b/>
          <w:sz w:val="24"/>
        </w:rPr>
      </w:pPr>
      <w:r>
        <w:rPr>
          <w:rFonts w:hint="eastAsia" w:ascii="宋体" w:cs="宋体"/>
          <w:b/>
          <w:sz w:val="24"/>
        </w:rPr>
        <w:t>八、交货时间、交货地点和验收单位：</w:t>
      </w:r>
    </w:p>
    <w:p>
      <w:pPr>
        <w:adjustRightInd w:val="0"/>
        <w:snapToGrid w:val="0"/>
        <w:spacing w:line="360" w:lineRule="auto"/>
        <w:ind w:firstLine="480" w:firstLineChars="200"/>
        <w:rPr>
          <w:rFonts w:ascii="宋体" w:cs="宋体"/>
          <w:sz w:val="24"/>
        </w:rPr>
      </w:pPr>
      <w:r>
        <w:rPr>
          <w:rFonts w:hint="eastAsia" w:ascii="宋体" w:cs="宋体"/>
          <w:sz w:val="24"/>
        </w:rPr>
        <w:t>（1）交货地点：</w:t>
      </w:r>
      <w:r>
        <w:rPr>
          <w:rFonts w:hint="eastAsia" w:ascii="宋体" w:cs="宋体"/>
          <w:color w:val="000000" w:themeColor="text1"/>
          <w:sz w:val="24"/>
          <w14:textFill>
            <w14:solidFill>
              <w14:schemeClr w14:val="tx1"/>
            </w14:solidFill>
          </w14:textFill>
        </w:rPr>
        <w:t>乌鲁木齐市高新技术开发区蓝天路268号新疆维吾尔自治区动物卫生监督所办公场所</w:t>
      </w:r>
    </w:p>
    <w:p>
      <w:pPr>
        <w:adjustRightInd w:val="0"/>
        <w:snapToGrid w:val="0"/>
        <w:spacing w:line="360" w:lineRule="auto"/>
        <w:ind w:firstLine="480" w:firstLineChars="200"/>
      </w:pPr>
      <w:r>
        <w:rPr>
          <w:rFonts w:hint="eastAsia" w:ascii="宋体" w:cs="宋体"/>
          <w:sz w:val="24"/>
        </w:rPr>
        <w:t>（2）验收单位：新疆维吾尔自治区动物</w:t>
      </w:r>
      <w:r>
        <w:rPr>
          <w:rFonts w:hint="eastAsia" w:ascii="宋体" w:cs="宋体"/>
          <w:color w:val="000000" w:themeColor="text1"/>
          <w:sz w:val="24"/>
          <w14:textFill>
            <w14:solidFill>
              <w14:schemeClr w14:val="tx1"/>
            </w14:solidFill>
          </w14:textFill>
        </w:rPr>
        <w:t>卫生监督所</w:t>
      </w:r>
    </w:p>
    <w:p>
      <w:pPr>
        <w:adjustRightInd w:val="0"/>
        <w:snapToGrid w:val="0"/>
        <w:spacing w:line="360" w:lineRule="auto"/>
        <w:rPr>
          <w:rFonts w:ascii="宋体" w:cs="宋体"/>
          <w:b/>
          <w:sz w:val="24"/>
        </w:rPr>
      </w:pPr>
      <w:r>
        <w:rPr>
          <w:rFonts w:hint="eastAsia" w:ascii="宋体" w:cs="宋体"/>
          <w:b/>
          <w:sz w:val="24"/>
        </w:rPr>
        <w:t>九、经济责任：</w:t>
      </w:r>
    </w:p>
    <w:p>
      <w:pPr>
        <w:adjustRightInd w:val="0"/>
        <w:snapToGrid w:val="0"/>
        <w:spacing w:line="360" w:lineRule="auto"/>
        <w:ind w:firstLine="480" w:firstLineChars="200"/>
        <w:rPr>
          <w:rFonts w:ascii="宋体" w:cs="宋体"/>
          <w:sz w:val="24"/>
        </w:rPr>
      </w:pPr>
      <w:r>
        <w:rPr>
          <w:rFonts w:hint="eastAsia" w:ascii="宋体" w:cs="宋体"/>
          <w:sz w:val="24"/>
        </w:rPr>
        <w:t>卖方责任：</w:t>
      </w:r>
    </w:p>
    <w:p>
      <w:pPr>
        <w:adjustRightInd w:val="0"/>
        <w:snapToGrid w:val="0"/>
        <w:spacing w:line="360" w:lineRule="auto"/>
        <w:ind w:firstLine="480" w:firstLineChars="200"/>
        <w:rPr>
          <w:rFonts w:ascii="宋体" w:cs="宋体"/>
          <w:sz w:val="24"/>
        </w:rPr>
      </w:pPr>
      <w:r>
        <w:rPr>
          <w:rFonts w:hint="eastAsia" w:ascii="宋体" w:cs="宋体"/>
          <w:sz w:val="24"/>
        </w:rPr>
        <w:t>（1）卖方不履行合同或交付的货物全部或部分不符合合同要求的，买方或买方委托验收人有权拒收不符合质量要求的全部或部分货物，卖方须向买方支付拒收货物价款总额10%的违约金。</w:t>
      </w:r>
    </w:p>
    <w:p>
      <w:pPr>
        <w:adjustRightInd w:val="0"/>
        <w:snapToGrid w:val="0"/>
        <w:spacing w:line="360" w:lineRule="auto"/>
        <w:ind w:firstLine="480" w:firstLineChars="200"/>
        <w:rPr>
          <w:rFonts w:ascii="宋体" w:cs="宋体"/>
          <w:sz w:val="24"/>
        </w:rPr>
      </w:pPr>
      <w:r>
        <w:rPr>
          <w:rFonts w:hint="eastAsia" w:ascii="宋体" w:cs="宋体"/>
          <w:sz w:val="24"/>
        </w:rPr>
        <w:t>（2）货物质量不符合合同规定时，卖方负责包退包换。由于上述原因导致延误交货时间的，每延误一日，供应方应按逾期交货部分价款总值的5‰向买方偿付违约金。</w:t>
      </w:r>
    </w:p>
    <w:p>
      <w:pPr>
        <w:adjustRightInd w:val="0"/>
        <w:snapToGrid w:val="0"/>
        <w:spacing w:line="360" w:lineRule="auto"/>
        <w:ind w:firstLine="480" w:firstLineChars="200"/>
        <w:rPr>
          <w:rFonts w:ascii="宋体" w:cs="宋体"/>
          <w:sz w:val="24"/>
        </w:rPr>
      </w:pPr>
      <w:r>
        <w:rPr>
          <w:rFonts w:hint="eastAsia" w:ascii="宋体" w:cs="宋体"/>
          <w:sz w:val="24"/>
        </w:rPr>
        <w:t>（3）卖方必须按合同规定的日期交货，每逾期一日，卖方必须向买方支付逾期交货总额5‰的违约金。逾期交货超过10日，买方有权解除合同，履约保证金不予退还。</w:t>
      </w:r>
    </w:p>
    <w:p>
      <w:pPr>
        <w:adjustRightInd w:val="0"/>
        <w:snapToGrid w:val="0"/>
        <w:spacing w:line="360" w:lineRule="auto"/>
        <w:rPr>
          <w:rFonts w:ascii="宋体" w:cs="宋体"/>
          <w:b/>
          <w:sz w:val="24"/>
        </w:rPr>
      </w:pPr>
      <w:r>
        <w:rPr>
          <w:rFonts w:hint="eastAsia" w:ascii="宋体" w:cs="宋体"/>
          <w:b/>
          <w:sz w:val="24"/>
        </w:rPr>
        <w:t xml:space="preserve">十、特殊条款 </w:t>
      </w:r>
    </w:p>
    <w:p>
      <w:pPr>
        <w:adjustRightInd w:val="0"/>
        <w:snapToGrid w:val="0"/>
        <w:spacing w:line="360" w:lineRule="auto"/>
        <w:ind w:firstLine="480" w:firstLineChars="200"/>
        <w:rPr>
          <w:rFonts w:ascii="宋体" w:cs="宋体"/>
          <w:sz w:val="24"/>
        </w:rPr>
      </w:pPr>
      <w:r>
        <w:rPr>
          <w:rFonts w:hint="eastAsia" w:ascii="宋体" w:cs="宋体"/>
          <w:sz w:val="24"/>
        </w:rPr>
        <w:t>(1)卖方应根据销售计划无偿为买方提供相关知识的培训，买方可以提出培训计划，培训费用由卖方承担，培训对象为买方确定的相关兽医技术人员。</w:t>
      </w:r>
    </w:p>
    <w:p>
      <w:pPr>
        <w:adjustRightInd w:val="0"/>
        <w:snapToGrid w:val="0"/>
        <w:spacing w:line="360" w:lineRule="auto"/>
        <w:ind w:firstLine="480" w:firstLineChars="200"/>
        <w:rPr>
          <w:rFonts w:ascii="宋体" w:cs="宋体"/>
          <w:sz w:val="24"/>
        </w:rPr>
      </w:pPr>
      <w:r>
        <w:rPr>
          <w:rFonts w:hint="eastAsia" w:ascii="宋体" w:cs="宋体"/>
          <w:sz w:val="24"/>
        </w:rPr>
        <w:t>(2)因货物造成经济损失的，供货厂家48小时内派人现场调查解决或由供需双方组成联合调查组认定，确认是由于货物质量引起的损失，将由供货厂家赔偿。</w:t>
      </w:r>
    </w:p>
    <w:p>
      <w:pPr>
        <w:adjustRightInd w:val="0"/>
        <w:snapToGrid w:val="0"/>
        <w:spacing w:line="360" w:lineRule="auto"/>
        <w:ind w:firstLine="480" w:firstLineChars="200"/>
        <w:rPr>
          <w:rFonts w:ascii="宋体" w:cs="宋体"/>
          <w:sz w:val="24"/>
        </w:rPr>
      </w:pPr>
      <w:r>
        <w:rPr>
          <w:rFonts w:hint="eastAsia" w:ascii="宋体" w:cs="宋体"/>
          <w:sz w:val="24"/>
        </w:rPr>
        <w:t>(3)如因货物引起的损失，买方与供货厂家应会同有关部门组成调查小组查清原因，确认是由产品质量原因造成，供货厂家应承担经费，并赔偿相应的经济损失。</w:t>
      </w:r>
    </w:p>
    <w:p>
      <w:pPr>
        <w:adjustRightInd w:val="0"/>
        <w:snapToGrid w:val="0"/>
        <w:spacing w:line="360" w:lineRule="auto"/>
        <w:ind w:firstLine="480" w:firstLineChars="200"/>
        <w:rPr>
          <w:rFonts w:ascii="宋体" w:cs="宋体"/>
          <w:sz w:val="24"/>
        </w:rPr>
      </w:pPr>
      <w:r>
        <w:rPr>
          <w:rFonts w:hint="eastAsia" w:ascii="宋体" w:cs="宋体"/>
          <w:sz w:val="24"/>
        </w:rPr>
        <w:t>(4)如果中标人提供的货物出现严重质量问题，卖方应在24小时内派专业技术人员到达现场，进行采样、分析和解决问题，并承担不良反应所造成的一切损失。</w:t>
      </w:r>
    </w:p>
    <w:p>
      <w:pPr>
        <w:adjustRightInd w:val="0"/>
        <w:snapToGrid w:val="0"/>
        <w:spacing w:line="360" w:lineRule="auto"/>
        <w:ind w:firstLine="480" w:firstLineChars="200"/>
        <w:rPr>
          <w:rFonts w:ascii="宋体" w:cs="宋体"/>
          <w:bCs/>
          <w:sz w:val="24"/>
        </w:rPr>
      </w:pPr>
      <w:r>
        <w:rPr>
          <w:rFonts w:hint="eastAsia" w:ascii="宋体" w:cs="宋体"/>
          <w:sz w:val="24"/>
        </w:rPr>
        <w:t>(5)</w:t>
      </w:r>
      <w:r>
        <w:rPr>
          <w:rFonts w:hint="eastAsia" w:ascii="宋体" w:cs="宋体"/>
          <w:bCs/>
          <w:sz w:val="24"/>
        </w:rPr>
        <w:t>经买方组织对</w:t>
      </w:r>
      <w:r>
        <w:rPr>
          <w:rFonts w:hint="eastAsia" w:ascii="宋体" w:cs="宋体"/>
          <w:sz w:val="24"/>
        </w:rPr>
        <w:t>货物检查</w:t>
      </w:r>
      <w:r>
        <w:rPr>
          <w:rFonts w:hint="eastAsia" w:ascii="宋体" w:cs="宋体"/>
          <w:bCs/>
          <w:sz w:val="24"/>
        </w:rPr>
        <w:t>，达不到国家要求的，停止继续使用，中止合同，必要时要对造成的损失进行赔偿。</w:t>
      </w:r>
    </w:p>
    <w:p>
      <w:pPr>
        <w:adjustRightInd w:val="0"/>
        <w:snapToGrid w:val="0"/>
        <w:spacing w:line="360" w:lineRule="auto"/>
        <w:ind w:firstLine="480" w:firstLineChars="200"/>
        <w:rPr>
          <w:rFonts w:ascii="宋体" w:cs="宋体"/>
          <w:sz w:val="24"/>
        </w:rPr>
      </w:pPr>
      <w:r>
        <w:rPr>
          <w:rFonts w:hint="eastAsia" w:ascii="宋体" w:cs="宋体"/>
          <w:sz w:val="24"/>
        </w:rPr>
        <w:t>（6）供货方的其他售后服务承诺。</w:t>
      </w:r>
    </w:p>
    <w:p>
      <w:pPr>
        <w:adjustRightInd w:val="0"/>
        <w:snapToGrid w:val="0"/>
        <w:spacing w:line="360" w:lineRule="auto"/>
        <w:rPr>
          <w:rFonts w:ascii="宋体" w:cs="宋体"/>
          <w:b/>
          <w:sz w:val="24"/>
        </w:rPr>
      </w:pPr>
      <w:r>
        <w:rPr>
          <w:rFonts w:hint="eastAsia" w:ascii="宋体" w:cs="宋体"/>
          <w:b/>
          <w:sz w:val="24"/>
        </w:rPr>
        <w:t>十一、合同解释：</w:t>
      </w:r>
    </w:p>
    <w:p>
      <w:pPr>
        <w:adjustRightInd w:val="0"/>
        <w:snapToGrid w:val="0"/>
        <w:spacing w:line="360" w:lineRule="auto"/>
        <w:ind w:firstLine="480" w:firstLineChars="200"/>
        <w:rPr>
          <w:rFonts w:ascii="宋体" w:cs="宋体"/>
          <w:sz w:val="24"/>
        </w:rPr>
      </w:pPr>
      <w:r>
        <w:rPr>
          <w:rFonts w:hint="eastAsia" w:ascii="宋体" w:cs="宋体"/>
          <w:sz w:val="24"/>
        </w:rPr>
        <w:t xml:space="preserve">如合同条文存在歧义，《民法典》又无明文规定，依照交易习惯和采购当事人订立合同的目的做合理并且善意的解释，以维护交易安全和社会的公序良俗。 </w:t>
      </w:r>
    </w:p>
    <w:p>
      <w:pPr>
        <w:adjustRightInd w:val="0"/>
        <w:snapToGrid w:val="0"/>
        <w:spacing w:line="360" w:lineRule="auto"/>
        <w:rPr>
          <w:rFonts w:ascii="宋体" w:cs="宋体"/>
          <w:b/>
          <w:sz w:val="24"/>
        </w:rPr>
      </w:pPr>
      <w:r>
        <w:rPr>
          <w:rFonts w:hint="eastAsia" w:ascii="宋体" w:cs="宋体"/>
          <w:b/>
          <w:sz w:val="24"/>
        </w:rPr>
        <w:t>十二、争议解决</w:t>
      </w:r>
    </w:p>
    <w:p>
      <w:pPr>
        <w:adjustRightInd w:val="0"/>
        <w:snapToGrid w:val="0"/>
        <w:spacing w:line="360" w:lineRule="auto"/>
        <w:ind w:firstLine="480" w:firstLineChars="200"/>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合同执行过程中发生的一切争议，双方应通过友好协商解决，如协商不能解决，提交甲方所在地人民法院诉讼解决。</w:t>
      </w:r>
    </w:p>
    <w:p>
      <w:pPr>
        <w:adjustRightInd w:val="0"/>
        <w:snapToGrid w:val="0"/>
        <w:spacing w:line="360" w:lineRule="auto"/>
        <w:rPr>
          <w:rFonts w:ascii="宋体" w:cs="宋体"/>
          <w:b/>
          <w:color w:val="000000" w:themeColor="text1"/>
          <w:sz w:val="24"/>
          <w14:textFill>
            <w14:solidFill>
              <w14:schemeClr w14:val="tx1"/>
            </w14:solidFill>
          </w14:textFill>
        </w:rPr>
      </w:pPr>
      <w:r>
        <w:rPr>
          <w:rFonts w:hint="eastAsia" w:ascii="宋体" w:cs="宋体"/>
          <w:b/>
          <w:color w:val="000000" w:themeColor="text1"/>
          <w:sz w:val="24"/>
          <w14:textFill>
            <w14:solidFill>
              <w14:schemeClr w14:val="tx1"/>
            </w14:solidFill>
          </w14:textFill>
        </w:rPr>
        <w:t>十三、合同生效</w:t>
      </w:r>
    </w:p>
    <w:p>
      <w:pPr>
        <w:adjustRightInd w:val="0"/>
        <w:snapToGrid w:val="0"/>
        <w:spacing w:line="360" w:lineRule="auto"/>
        <w:ind w:firstLine="480" w:firstLineChars="200"/>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本合同经买卖双方及招标单位授权代表签字盖章后生效且买方收到卖方缴纳的全部履约保证金后生效。本合同具有法律效力，受国家法律保护。</w:t>
      </w:r>
    </w:p>
    <w:p>
      <w:pPr>
        <w:adjustRightInd w:val="0"/>
        <w:snapToGrid w:val="0"/>
        <w:spacing w:line="360" w:lineRule="auto"/>
        <w:rPr>
          <w:rFonts w:ascii="宋体" w:cs="宋体"/>
          <w:b/>
          <w:color w:val="000000" w:themeColor="text1"/>
          <w:sz w:val="24"/>
          <w14:textFill>
            <w14:solidFill>
              <w14:schemeClr w14:val="tx1"/>
            </w14:solidFill>
          </w14:textFill>
        </w:rPr>
      </w:pPr>
      <w:r>
        <w:rPr>
          <w:rFonts w:hint="eastAsia" w:ascii="宋体" w:cs="宋体"/>
          <w:b/>
          <w:color w:val="000000" w:themeColor="text1"/>
          <w:sz w:val="24"/>
          <w14:textFill>
            <w14:solidFill>
              <w14:schemeClr w14:val="tx1"/>
            </w14:solidFill>
          </w14:textFill>
        </w:rPr>
        <w:t>十四、合同份数</w:t>
      </w:r>
    </w:p>
    <w:p>
      <w:pPr>
        <w:adjustRightInd w:val="0"/>
        <w:snapToGrid w:val="0"/>
        <w:spacing w:line="360" w:lineRule="auto"/>
        <w:ind w:firstLine="480" w:firstLineChars="200"/>
        <w:rPr>
          <w:rFonts w:ascii="宋体" w:cs="宋体"/>
          <w:sz w:val="24"/>
        </w:rPr>
      </w:pPr>
      <w:r>
        <w:rPr>
          <w:rFonts w:hint="eastAsia" w:ascii="宋体" w:cs="宋体"/>
          <w:sz w:val="24"/>
        </w:rPr>
        <w:t>本合同一式五份，甲乙双方各执一份，招标代理机构三份（监管部门一份、甲方资料一份，留档一份）。</w:t>
      </w:r>
    </w:p>
    <w:p>
      <w:pPr>
        <w:adjustRightInd w:val="0"/>
        <w:snapToGrid w:val="0"/>
        <w:spacing w:line="360" w:lineRule="auto"/>
        <w:rPr>
          <w:rFonts w:ascii="宋体" w:cs="宋体"/>
          <w:b/>
          <w:sz w:val="24"/>
        </w:rPr>
      </w:pPr>
      <w:r>
        <w:rPr>
          <w:rFonts w:hint="eastAsia" w:ascii="宋体" w:cs="宋体"/>
          <w:b/>
          <w:sz w:val="24"/>
        </w:rPr>
        <w:t>十五、其他</w:t>
      </w:r>
    </w:p>
    <w:p>
      <w:pPr>
        <w:adjustRightInd w:val="0"/>
        <w:snapToGrid w:val="0"/>
        <w:spacing w:line="360" w:lineRule="auto"/>
        <w:ind w:firstLine="480" w:firstLineChars="200"/>
        <w:rPr>
          <w:rFonts w:ascii="宋体" w:cs="宋体"/>
          <w:sz w:val="24"/>
        </w:rPr>
      </w:pPr>
      <w:r>
        <w:rPr>
          <w:rFonts w:hint="eastAsia" w:ascii="宋体" w:cs="宋体"/>
          <w:sz w:val="24"/>
        </w:rPr>
        <w:t>其它未尽事宜由买卖双方协商约定。另定补充协议，补充协议与本协议具有同等法律效力。</w:t>
      </w:r>
    </w:p>
    <w:p>
      <w:pPr>
        <w:widowControl/>
        <w:spacing w:line="360" w:lineRule="auto"/>
        <w:jc w:val="left"/>
        <w:rPr>
          <w:rFonts w:ascii="宋体" w:cs="宋体"/>
          <w:b/>
          <w:color w:val="333333"/>
          <w:kern w:val="0"/>
          <w:sz w:val="24"/>
        </w:rPr>
      </w:pPr>
    </w:p>
    <w:p>
      <w:pPr>
        <w:widowControl/>
        <w:spacing w:line="360" w:lineRule="auto"/>
        <w:jc w:val="left"/>
        <w:rPr>
          <w:rFonts w:ascii="宋体" w:cs="宋体"/>
          <w:b/>
          <w:color w:val="333333"/>
          <w:kern w:val="0"/>
          <w:sz w:val="24"/>
        </w:rPr>
      </w:pPr>
    </w:p>
    <w:p>
      <w:pPr>
        <w:widowControl/>
        <w:spacing w:line="360" w:lineRule="auto"/>
        <w:jc w:val="left"/>
        <w:rPr>
          <w:rFonts w:ascii="宋体" w:cs="宋体"/>
          <w:b/>
          <w:color w:val="333333"/>
          <w:kern w:val="0"/>
          <w:sz w:val="24"/>
        </w:rPr>
      </w:pPr>
      <w:r>
        <w:rPr>
          <w:rFonts w:hint="eastAsia" w:ascii="宋体" w:cs="宋体"/>
          <w:b/>
          <w:color w:val="333333"/>
          <w:kern w:val="0"/>
          <w:sz w:val="24"/>
        </w:rPr>
        <w:t>甲方采购方：（盖章）              乙方供货服务方：（盖章）</w:t>
      </w:r>
    </w:p>
    <w:p>
      <w:pPr>
        <w:widowControl/>
        <w:spacing w:line="360" w:lineRule="auto"/>
        <w:jc w:val="left"/>
        <w:rPr>
          <w:rFonts w:ascii="宋体" w:cs="宋体"/>
          <w:color w:val="333333"/>
          <w:kern w:val="0"/>
          <w:sz w:val="24"/>
        </w:rPr>
      </w:pPr>
      <w:r>
        <w:rPr>
          <w:rFonts w:hint="eastAsia" w:ascii="宋体" w:cs="宋体"/>
          <w:color w:val="333333"/>
          <w:kern w:val="0"/>
          <w:sz w:val="24"/>
        </w:rPr>
        <w:t>法人代表：                        法人代表：</w:t>
      </w:r>
    </w:p>
    <w:p>
      <w:pPr>
        <w:widowControl/>
        <w:spacing w:line="360" w:lineRule="auto"/>
        <w:jc w:val="left"/>
        <w:rPr>
          <w:rFonts w:ascii="宋体" w:cs="宋体"/>
          <w:color w:val="333333"/>
          <w:sz w:val="24"/>
        </w:rPr>
      </w:pPr>
      <w:r>
        <w:rPr>
          <w:rFonts w:hint="eastAsia" w:ascii="宋体" w:cs="宋体"/>
          <w:color w:val="333333"/>
          <w:kern w:val="0"/>
          <w:sz w:val="24"/>
        </w:rPr>
        <w:t>委托人：                          委托人：</w:t>
      </w:r>
    </w:p>
    <w:p>
      <w:pPr>
        <w:widowControl/>
        <w:spacing w:line="360" w:lineRule="auto"/>
        <w:jc w:val="left"/>
        <w:rPr>
          <w:rFonts w:ascii="仿宋" w:eastAsia="仿宋"/>
          <w:sz w:val="30"/>
          <w:szCs w:val="30"/>
        </w:rPr>
      </w:pPr>
      <w:r>
        <w:rPr>
          <w:rFonts w:hint="eastAsia" w:ascii="宋体" w:cs="宋体"/>
          <w:color w:val="333333"/>
          <w:kern w:val="0"/>
          <w:sz w:val="24"/>
        </w:rPr>
        <w:t>日 期：                           日期：</w:t>
      </w:r>
    </w:p>
    <w:p>
      <w:pPr>
        <w:pStyle w:val="9"/>
        <w:numPr>
          <w:ilvl w:val="0"/>
          <w:numId w:val="0"/>
        </w:numPr>
      </w:pPr>
    </w:p>
    <w:p>
      <w:pPr>
        <w:pStyle w:val="9"/>
        <w:numPr>
          <w:ilvl w:val="0"/>
          <w:numId w:val="0"/>
        </w:numPr>
      </w:pPr>
    </w:p>
    <w:p>
      <w:pPr>
        <w:spacing w:line="360" w:lineRule="auto"/>
        <w:rPr>
          <w:rFonts w:ascii="宋体" w:cs="宋体"/>
          <w:szCs w:val="21"/>
        </w:rPr>
      </w:pPr>
    </w:p>
    <w:p>
      <w:pPr>
        <w:spacing w:line="360" w:lineRule="auto"/>
        <w:rPr>
          <w:rFonts w:ascii="宋体" w:cs="宋体"/>
          <w:szCs w:val="21"/>
        </w:rPr>
      </w:pPr>
    </w:p>
    <w:p>
      <w:pPr>
        <w:rPr>
          <w:rFonts w:ascii="黑体" w:eastAsia="黑体" w:cs="黑体"/>
          <w:sz w:val="24"/>
        </w:rPr>
      </w:pPr>
      <w:r>
        <w:rPr>
          <w:rFonts w:hint="eastAsia" w:ascii="黑体" w:eastAsia="黑体" w:cs="黑体"/>
          <w:sz w:val="24"/>
        </w:rPr>
        <w:br w:type="page"/>
      </w:r>
    </w:p>
    <w:p>
      <w:pPr>
        <w:pStyle w:val="3"/>
        <w:jc w:val="center"/>
        <w:rPr>
          <w:rFonts w:ascii="黑体" w:eastAsia="黑体" w:cs="黑体"/>
          <w:sz w:val="24"/>
        </w:rPr>
      </w:pPr>
      <w:bookmarkStart w:id="27" w:name="_Toc14979"/>
      <w:r>
        <w:rPr>
          <w:rFonts w:hint="eastAsia" w:ascii="黑体" w:eastAsia="黑体" w:cs="黑体"/>
          <w:sz w:val="24"/>
        </w:rPr>
        <w:t>第五章 技术标准和要求</w:t>
      </w:r>
      <w:bookmarkEnd w:id="27"/>
    </w:p>
    <w:p>
      <w:pPr>
        <w:spacing w:line="360" w:lineRule="auto"/>
        <w:ind w:firstLine="420"/>
      </w:pPr>
      <w:r>
        <w:rPr>
          <w:rFonts w:hint="eastAsia" w:asciiTheme="minorEastAsia" w:hAnsiTheme="minorEastAsia" w:eastAsiaTheme="minorEastAsia" w:cstheme="minorEastAsia"/>
          <w:sz w:val="24"/>
        </w:rPr>
        <w:t>本次招标采购的产品和服务主要用于</w:t>
      </w:r>
      <w:r>
        <w:rPr>
          <w:rFonts w:hint="eastAsia" w:asciiTheme="minorEastAsia" w:hAnsiTheme="minorEastAsia" w:eastAsiaTheme="minorEastAsia" w:cstheme="minorEastAsia"/>
          <w:color w:val="000000"/>
          <w:kern w:val="0"/>
          <w:sz w:val="24"/>
        </w:rPr>
        <w:t>新疆维吾尔自治区动物卫生监督所使用。投标人提供的所有产品必须通过合法渠道获得，具有在中国境内的合法使用权和用户保护权且为全新原装品牌货物或服务。产品技术参数必须符合或优于国家及行业相关标准。</w:t>
      </w:r>
    </w:p>
    <w:tbl>
      <w:tblPr>
        <w:tblStyle w:val="23"/>
        <w:tblpPr w:leftFromText="180" w:rightFromText="180" w:vertAnchor="text" w:horzAnchor="page" w:tblpX="1831" w:tblpY="581"/>
        <w:tblOverlap w:val="never"/>
        <w:tblW w:w="8703" w:type="dxa"/>
        <w:tblInd w:w="0" w:type="dxa"/>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669"/>
        <w:gridCol w:w="1021"/>
        <w:gridCol w:w="6367"/>
        <w:gridCol w:w="646"/>
      </w:tblGrid>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c>
          <w:tcPr>
            <w:tcW w:w="669" w:type="dxa"/>
          </w:tcPr>
          <w:p>
            <w:pPr>
              <w:spacing w:line="360" w:lineRule="auto"/>
              <w:jc w:val="center"/>
              <w:rPr>
                <w:rFonts w:ascii="宋体" w:cs="宋体"/>
                <w:szCs w:val="21"/>
              </w:rPr>
            </w:pPr>
            <w:r>
              <w:rPr>
                <w:rFonts w:hint="eastAsia" w:ascii="宋体" w:cs="宋体"/>
                <w:szCs w:val="21"/>
              </w:rPr>
              <w:t>序号</w:t>
            </w:r>
            <w:r>
              <w:rPr>
                <w:rFonts w:hint="eastAsia" w:ascii="宋体" w:cs="宋体"/>
                <w:szCs w:val="21"/>
              </w:rPr>
              <w:br w:type="page"/>
            </w:r>
          </w:p>
        </w:tc>
        <w:tc>
          <w:tcPr>
            <w:tcW w:w="1021" w:type="dxa"/>
          </w:tcPr>
          <w:p>
            <w:pPr>
              <w:spacing w:line="360" w:lineRule="auto"/>
              <w:jc w:val="center"/>
              <w:rPr>
                <w:rFonts w:ascii="宋体" w:cs="宋体"/>
                <w:szCs w:val="21"/>
              </w:rPr>
            </w:pPr>
            <w:r>
              <w:rPr>
                <w:rFonts w:hint="eastAsia" w:ascii="宋体" w:cs="宋体"/>
                <w:color w:val="000000"/>
                <w:kern w:val="0"/>
                <w:szCs w:val="21"/>
              </w:rPr>
              <w:t>名称</w:t>
            </w:r>
          </w:p>
        </w:tc>
        <w:tc>
          <w:tcPr>
            <w:tcW w:w="6367" w:type="dxa"/>
          </w:tcPr>
          <w:p>
            <w:pPr>
              <w:spacing w:line="360" w:lineRule="auto"/>
              <w:jc w:val="center"/>
              <w:rPr>
                <w:rFonts w:ascii="宋体" w:cs="宋体"/>
                <w:szCs w:val="21"/>
              </w:rPr>
            </w:pPr>
            <w:r>
              <w:rPr>
                <w:rFonts w:hint="eastAsia" w:ascii="宋体" w:cs="宋体"/>
                <w:color w:val="000000"/>
                <w:kern w:val="0"/>
                <w:szCs w:val="21"/>
              </w:rPr>
              <w:t>主要技术参数</w:t>
            </w:r>
          </w:p>
        </w:tc>
        <w:tc>
          <w:tcPr>
            <w:tcW w:w="646" w:type="dxa"/>
          </w:tcPr>
          <w:p>
            <w:pPr>
              <w:spacing w:line="360" w:lineRule="auto"/>
              <w:jc w:val="center"/>
              <w:rPr>
                <w:rFonts w:ascii="宋体" w:cs="宋体"/>
                <w:szCs w:val="21"/>
              </w:rPr>
            </w:pPr>
            <w:r>
              <w:rPr>
                <w:rFonts w:hint="eastAsia" w:ascii="宋体" w:cs="宋体"/>
                <w:szCs w:val="21"/>
              </w:rPr>
              <w:t>数量</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c>
          <w:tcPr>
            <w:tcW w:w="669" w:type="dxa"/>
            <w:vAlign w:val="center"/>
          </w:tcPr>
          <w:p>
            <w:pPr>
              <w:spacing w:line="360" w:lineRule="auto"/>
              <w:jc w:val="center"/>
              <w:rPr>
                <w:rFonts w:ascii="宋体" w:cs="宋体"/>
                <w:szCs w:val="21"/>
              </w:rPr>
            </w:pPr>
            <w:r>
              <w:rPr>
                <w:rFonts w:hint="eastAsia" w:ascii="宋体" w:cs="宋体"/>
                <w:szCs w:val="21"/>
              </w:rPr>
              <w:t>1</w:t>
            </w:r>
          </w:p>
        </w:tc>
        <w:tc>
          <w:tcPr>
            <w:tcW w:w="1021" w:type="dxa"/>
            <w:vAlign w:val="center"/>
          </w:tcPr>
          <w:p>
            <w:pPr>
              <w:keepNext/>
              <w:widowControl/>
              <w:jc w:val="center"/>
              <w:rPr>
                <w:rFonts w:ascii="宋体" w:cs="宋体"/>
                <w:szCs w:val="21"/>
              </w:rPr>
            </w:pPr>
            <w:r>
              <w:rPr>
                <w:rFonts w:hint="eastAsia" w:ascii="宋体" w:cs="宋体"/>
                <w:color w:val="000000"/>
                <w:kern w:val="0"/>
                <w:sz w:val="22"/>
                <w:szCs w:val="22"/>
              </w:rPr>
              <w:t>荧光定量PCR仪</w:t>
            </w:r>
          </w:p>
        </w:tc>
        <w:tc>
          <w:tcPr>
            <w:tcW w:w="6367" w:type="dxa"/>
          </w:tcPr>
          <w:p>
            <w:pPr>
              <w:keepNext/>
              <w:widowControl/>
              <w:jc w:val="left"/>
              <w:rPr>
                <w:rFonts w:ascii="宋体" w:cs="宋体"/>
                <w:color w:val="000000"/>
                <w:kern w:val="0"/>
                <w:sz w:val="22"/>
                <w:szCs w:val="22"/>
              </w:rPr>
            </w:pPr>
            <w:r>
              <w:rPr>
                <w:rFonts w:hint="eastAsia" w:ascii="宋体" w:cs="宋体"/>
                <w:color w:val="000000"/>
                <w:kern w:val="0"/>
                <w:sz w:val="22"/>
                <w:szCs w:val="22"/>
              </w:rPr>
              <w:t>工作条件</w:t>
            </w:r>
          </w:p>
          <w:p>
            <w:pPr>
              <w:keepNext/>
              <w:widowControl/>
              <w:jc w:val="left"/>
              <w:rPr>
                <w:rFonts w:ascii="宋体" w:cs="宋体"/>
                <w:color w:val="000000"/>
                <w:kern w:val="0"/>
                <w:sz w:val="22"/>
                <w:szCs w:val="22"/>
              </w:rPr>
            </w:pPr>
            <w:r>
              <w:rPr>
                <w:rFonts w:hint="eastAsia" w:ascii="宋体" w:cs="宋体"/>
                <w:color w:val="000000"/>
                <w:kern w:val="0"/>
                <w:sz w:val="22"/>
                <w:szCs w:val="22"/>
              </w:rPr>
              <w:t>环境温度： 10℃～30℃、相对湿度： ≤70％</w:t>
            </w:r>
          </w:p>
          <w:p>
            <w:pPr>
              <w:keepNext/>
              <w:widowControl/>
              <w:jc w:val="left"/>
              <w:rPr>
                <w:rFonts w:ascii="宋体" w:cs="宋体"/>
                <w:color w:val="000000"/>
                <w:kern w:val="0"/>
                <w:sz w:val="22"/>
                <w:szCs w:val="22"/>
                <w:highlight w:val="none"/>
              </w:rPr>
            </w:pPr>
            <w:r>
              <w:rPr>
                <w:rFonts w:hint="eastAsia" w:ascii="宋体" w:cs="宋体"/>
                <w:color w:val="000000"/>
                <w:kern w:val="0"/>
                <w:sz w:val="22"/>
                <w:szCs w:val="22"/>
              </w:rPr>
              <w:t>技术性能指标 2022/2/28采用先进的热电制冷技术与长寿命多孔半导体加热制冷器，全球宽压恒流电源和多点控温方式，独具快速变温，精确控制，低能耗的卓越性能</w:t>
            </w:r>
            <w:r>
              <w:rPr>
                <w:rFonts w:hint="eastAsia" w:ascii="宋体" w:cs="宋体"/>
                <w:color w:val="000000"/>
                <w:kern w:val="0"/>
                <w:sz w:val="22"/>
                <w:szCs w:val="22"/>
                <w:highlight w:val="none"/>
              </w:rPr>
              <w:t>；需要有自动断电保护、智能故障排查功能。</w:t>
            </w:r>
          </w:p>
          <w:p>
            <w:pPr>
              <w:keepNext/>
              <w:widowControl/>
              <w:jc w:val="left"/>
              <w:rPr>
                <w:rFonts w:ascii="宋体" w:cs="宋体"/>
                <w:color w:val="000000"/>
                <w:kern w:val="0"/>
                <w:sz w:val="22"/>
                <w:szCs w:val="22"/>
                <w:highlight w:val="none"/>
              </w:rPr>
            </w:pPr>
            <w:r>
              <w:rPr>
                <w:rFonts w:hint="eastAsia" w:ascii="宋体" w:cs="宋体"/>
                <w:b/>
                <w:bCs/>
                <w:color w:val="000000"/>
                <w:kern w:val="0"/>
                <w:sz w:val="22"/>
                <w:szCs w:val="22"/>
                <w:highlight w:val="none"/>
              </w:rPr>
              <w:t>基本性能</w:t>
            </w:r>
            <w:r>
              <w:rPr>
                <w:rFonts w:hint="eastAsia" w:ascii="宋体" w:cs="宋体"/>
                <w:color w:val="000000"/>
                <w:kern w:val="0"/>
                <w:sz w:val="22"/>
                <w:szCs w:val="22"/>
                <w:highlight w:val="none"/>
              </w:rPr>
              <w:t>：</w:t>
            </w:r>
          </w:p>
          <w:p>
            <w:pPr>
              <w:keepNext/>
              <w:widowControl/>
              <w:numPr>
                <w:ilvl w:val="0"/>
                <w:numId w:val="2"/>
              </w:numPr>
              <w:jc w:val="left"/>
              <w:rPr>
                <w:rFonts w:ascii="宋体" w:cs="宋体"/>
                <w:color w:val="000000"/>
                <w:kern w:val="0"/>
                <w:sz w:val="22"/>
                <w:szCs w:val="22"/>
              </w:rPr>
            </w:pPr>
            <w:r>
              <w:rPr>
                <w:rFonts w:hint="eastAsia" w:ascii="宋体" w:cs="宋体"/>
                <w:color w:val="000000"/>
                <w:kern w:val="0"/>
                <w:sz w:val="22"/>
                <w:szCs w:val="22"/>
              </w:rPr>
              <w:t>适用耗材：样本容量96×0.2mL，可用12×8联管，96孔板(半裙板、无裙板)；</w:t>
            </w:r>
          </w:p>
          <w:p>
            <w:pPr>
              <w:keepNext/>
              <w:widowControl/>
              <w:numPr>
                <w:ilvl w:val="0"/>
                <w:numId w:val="2"/>
              </w:numPr>
              <w:jc w:val="left"/>
              <w:rPr>
                <w:rFonts w:ascii="宋体" w:cs="宋体"/>
                <w:color w:val="000000"/>
                <w:kern w:val="0"/>
                <w:sz w:val="22"/>
                <w:szCs w:val="22"/>
              </w:rPr>
            </w:pPr>
            <w:r>
              <w:rPr>
                <w:rFonts w:hint="eastAsia" w:ascii="宋体" w:cs="宋体"/>
                <w:color w:val="000000"/>
                <w:kern w:val="0"/>
                <w:sz w:val="22"/>
                <w:szCs w:val="22"/>
              </w:rPr>
              <w:t>样本通量：96孔；</w:t>
            </w:r>
          </w:p>
          <w:p>
            <w:pPr>
              <w:keepNext/>
              <w:widowControl/>
              <w:numPr>
                <w:ilvl w:val="0"/>
                <w:numId w:val="2"/>
              </w:numPr>
              <w:jc w:val="left"/>
              <w:rPr>
                <w:rFonts w:ascii="宋体" w:cs="宋体"/>
                <w:color w:val="000000"/>
                <w:kern w:val="0"/>
                <w:sz w:val="22"/>
                <w:szCs w:val="22"/>
              </w:rPr>
            </w:pPr>
            <w:r>
              <w:rPr>
                <w:rFonts w:hint="eastAsia" w:ascii="宋体" w:cs="宋体"/>
                <w:color w:val="000000"/>
                <w:kern w:val="0"/>
                <w:sz w:val="22"/>
                <w:szCs w:val="22"/>
              </w:rPr>
              <w:t>反应体系：5-100L；，4.线性范围：1～1010copies；</w:t>
            </w:r>
          </w:p>
          <w:p>
            <w:pPr>
              <w:keepNext/>
              <w:widowControl/>
              <w:jc w:val="left"/>
              <w:rPr>
                <w:rFonts w:ascii="宋体" w:cs="宋体"/>
                <w:color w:val="000000"/>
                <w:kern w:val="0"/>
                <w:sz w:val="22"/>
                <w:szCs w:val="22"/>
              </w:rPr>
            </w:pPr>
            <w:r>
              <w:rPr>
                <w:rFonts w:hint="eastAsia" w:ascii="宋体" w:cs="宋体"/>
                <w:b/>
                <w:bCs/>
                <w:color w:val="000000"/>
                <w:kern w:val="0"/>
                <w:sz w:val="22"/>
                <w:szCs w:val="22"/>
              </w:rPr>
              <w:t>温控系统</w:t>
            </w:r>
            <w:r>
              <w:rPr>
                <w:rFonts w:hint="eastAsia" w:ascii="宋体" w:cs="宋体"/>
                <w:color w:val="000000"/>
                <w:kern w:val="0"/>
                <w:sz w:val="22"/>
                <w:szCs w:val="22"/>
              </w:rPr>
              <w:t>：</w:t>
            </w:r>
          </w:p>
          <w:p>
            <w:pPr>
              <w:keepNext/>
              <w:widowControl/>
              <w:numPr>
                <w:ilvl w:val="0"/>
                <w:numId w:val="3"/>
              </w:numPr>
              <w:jc w:val="left"/>
              <w:rPr>
                <w:rFonts w:ascii="宋体" w:cs="宋体"/>
                <w:color w:val="000000"/>
                <w:kern w:val="0"/>
                <w:sz w:val="22"/>
                <w:szCs w:val="22"/>
              </w:rPr>
            </w:pPr>
            <w:r>
              <w:rPr>
                <w:rFonts w:hint="eastAsia" w:ascii="宋体" w:cs="宋体"/>
                <w:color w:val="000000"/>
                <w:kern w:val="0"/>
                <w:sz w:val="22"/>
                <w:szCs w:val="22"/>
              </w:rPr>
              <w:t>控温技术：半导体制冷片加热制冷技术；</w:t>
            </w:r>
          </w:p>
          <w:p>
            <w:pPr>
              <w:keepNext/>
              <w:widowControl/>
              <w:jc w:val="left"/>
              <w:rPr>
                <w:rFonts w:ascii="宋体" w:cs="宋体"/>
                <w:color w:val="000000"/>
                <w:kern w:val="0"/>
                <w:sz w:val="22"/>
                <w:szCs w:val="22"/>
              </w:rPr>
            </w:pPr>
            <w:r>
              <w:rPr>
                <w:rFonts w:hint="eastAsia" w:ascii="宋体" w:cs="宋体"/>
                <w:color w:val="000000"/>
                <w:kern w:val="0"/>
                <w:sz w:val="22"/>
                <w:szCs w:val="22"/>
              </w:rPr>
              <w:t>2. 控温模式：依据加液量自动选择BLOCK和模拟TUBE两种控温模式；</w:t>
            </w:r>
          </w:p>
          <w:p>
            <w:pPr>
              <w:keepNext/>
              <w:widowControl/>
              <w:jc w:val="left"/>
              <w:rPr>
                <w:rFonts w:ascii="宋体" w:cs="宋体"/>
                <w:color w:val="000000"/>
                <w:kern w:val="0"/>
                <w:sz w:val="22"/>
                <w:szCs w:val="22"/>
              </w:rPr>
            </w:pPr>
            <w:r>
              <w:rPr>
                <w:rFonts w:hint="eastAsia" w:ascii="宋体" w:cs="宋体"/>
                <w:color w:val="000000"/>
                <w:kern w:val="0"/>
                <w:sz w:val="22"/>
                <w:szCs w:val="22"/>
              </w:rPr>
              <w:t>3. 控温范围：4.0～105.0℃；</w:t>
            </w:r>
          </w:p>
          <w:p>
            <w:pPr>
              <w:keepNext/>
              <w:widowControl/>
              <w:jc w:val="left"/>
              <w:rPr>
                <w:rFonts w:ascii="宋体" w:cs="宋体"/>
                <w:color w:val="000000"/>
                <w:kern w:val="0"/>
                <w:sz w:val="22"/>
                <w:szCs w:val="22"/>
              </w:rPr>
            </w:pPr>
            <w:r>
              <w:rPr>
                <w:rFonts w:hint="eastAsia" w:ascii="宋体" w:cs="宋体"/>
                <w:color w:val="000000"/>
                <w:kern w:val="0"/>
                <w:sz w:val="22"/>
                <w:szCs w:val="22"/>
              </w:rPr>
              <w:t xml:space="preserve">4. 最大升降温速度：≥5℃/s </w:t>
            </w:r>
          </w:p>
          <w:p>
            <w:pPr>
              <w:keepNext/>
              <w:widowControl/>
              <w:jc w:val="left"/>
              <w:rPr>
                <w:rFonts w:ascii="宋体" w:cs="宋体"/>
                <w:color w:val="000000"/>
                <w:kern w:val="0"/>
                <w:sz w:val="22"/>
                <w:szCs w:val="22"/>
              </w:rPr>
            </w:pPr>
            <w:r>
              <w:rPr>
                <w:rFonts w:hint="eastAsia" w:ascii="宋体" w:cs="宋体"/>
                <w:color w:val="000000"/>
                <w:kern w:val="0"/>
                <w:sz w:val="22"/>
                <w:szCs w:val="22"/>
              </w:rPr>
              <w:t>5. 控温精确度：≤±0.1℃；</w:t>
            </w:r>
          </w:p>
          <w:p>
            <w:pPr>
              <w:keepNext/>
              <w:widowControl/>
              <w:jc w:val="left"/>
              <w:rPr>
                <w:rFonts w:ascii="宋体" w:cs="宋体"/>
                <w:color w:val="000000"/>
                <w:kern w:val="0"/>
                <w:sz w:val="22"/>
                <w:szCs w:val="22"/>
              </w:rPr>
            </w:pPr>
            <w:r>
              <w:rPr>
                <w:rFonts w:hint="eastAsia" w:ascii="宋体" w:cs="宋体"/>
                <w:color w:val="000000"/>
                <w:kern w:val="0"/>
                <w:sz w:val="22"/>
                <w:szCs w:val="22"/>
              </w:rPr>
              <w:t>6. 温度波动范围：≤±0.1℃；</w:t>
            </w:r>
          </w:p>
          <w:p>
            <w:pPr>
              <w:keepNext/>
              <w:widowControl/>
              <w:jc w:val="left"/>
              <w:rPr>
                <w:rFonts w:ascii="宋体" w:cs="宋体"/>
                <w:color w:val="000000"/>
                <w:kern w:val="0"/>
                <w:sz w:val="22"/>
                <w:szCs w:val="22"/>
              </w:rPr>
            </w:pPr>
            <w:r>
              <w:rPr>
                <w:rFonts w:hint="eastAsia" w:ascii="宋体" w:cs="宋体"/>
                <w:color w:val="000000"/>
                <w:kern w:val="0"/>
                <w:sz w:val="22"/>
                <w:szCs w:val="22"/>
              </w:rPr>
              <w:t>7. 温度均匀性：≤±0.3℃ ；</w:t>
            </w:r>
          </w:p>
          <w:p>
            <w:pPr>
              <w:keepNext/>
              <w:widowControl/>
              <w:jc w:val="left"/>
              <w:rPr>
                <w:rFonts w:ascii="宋体" w:cs="宋体"/>
                <w:color w:val="000000"/>
                <w:kern w:val="0"/>
                <w:sz w:val="22"/>
                <w:szCs w:val="22"/>
              </w:rPr>
            </w:pPr>
            <w:r>
              <w:rPr>
                <w:rFonts w:hint="eastAsia" w:ascii="宋体" w:cs="宋体"/>
                <w:color w:val="000000"/>
                <w:kern w:val="0"/>
                <w:sz w:val="22"/>
                <w:szCs w:val="22"/>
              </w:rPr>
              <w:t>8. 梯度温度：12列梯度温度，模块梯度范围为1～36℃；</w:t>
            </w:r>
          </w:p>
          <w:p>
            <w:pPr>
              <w:keepNext/>
              <w:widowControl/>
              <w:jc w:val="left"/>
              <w:rPr>
                <w:rFonts w:ascii="宋体" w:cs="宋体"/>
                <w:color w:val="000000"/>
                <w:kern w:val="0"/>
                <w:sz w:val="22"/>
                <w:szCs w:val="22"/>
              </w:rPr>
            </w:pPr>
            <w:r>
              <w:rPr>
                <w:rFonts w:hint="eastAsia" w:ascii="宋体" w:cs="宋体"/>
                <w:color w:val="000000"/>
                <w:kern w:val="0"/>
                <w:sz w:val="22"/>
                <w:szCs w:val="22"/>
              </w:rPr>
              <w:t>9. 热盖温度范围：30℃～110℃，全封闭3D电动热盖，可以实现试管压力恒定，自动升降，有效防止试剂蒸发，确保实验稳定可靠，操作简便；</w:t>
            </w:r>
          </w:p>
          <w:p>
            <w:pPr>
              <w:keepNext/>
              <w:widowControl/>
              <w:jc w:val="left"/>
              <w:rPr>
                <w:rFonts w:ascii="宋体" w:cs="宋体"/>
                <w:color w:val="000000"/>
                <w:kern w:val="0"/>
                <w:sz w:val="22"/>
                <w:szCs w:val="22"/>
              </w:rPr>
            </w:pPr>
            <w:r>
              <w:rPr>
                <w:rFonts w:hint="eastAsia" w:ascii="宋体" w:cs="宋体"/>
                <w:color w:val="000000"/>
                <w:kern w:val="0"/>
                <w:sz w:val="22"/>
                <w:szCs w:val="22"/>
              </w:rPr>
              <w:t>10.TAS技术：仪器采用TAS技术，极大提高模块的控温精度及温度均一性；</w:t>
            </w:r>
          </w:p>
          <w:p>
            <w:pPr>
              <w:keepNext/>
              <w:widowControl/>
              <w:jc w:val="left"/>
              <w:rPr>
                <w:rFonts w:ascii="宋体" w:cs="宋体"/>
                <w:color w:val="000000"/>
                <w:kern w:val="0"/>
                <w:sz w:val="22"/>
                <w:szCs w:val="22"/>
              </w:rPr>
            </w:pPr>
            <w:r>
              <w:rPr>
                <w:rFonts w:hint="eastAsia" w:ascii="宋体" w:cs="宋体"/>
                <w:color w:val="000000"/>
                <w:kern w:val="0"/>
                <w:sz w:val="22"/>
                <w:szCs w:val="22"/>
              </w:rPr>
              <w:t>11.低温保存功能：具有SOAK低温保存功能；</w:t>
            </w:r>
          </w:p>
          <w:p>
            <w:pPr>
              <w:keepNext/>
              <w:widowControl/>
              <w:jc w:val="left"/>
              <w:rPr>
                <w:rFonts w:ascii="宋体" w:cs="宋体"/>
                <w:color w:val="000000"/>
                <w:kern w:val="0"/>
                <w:sz w:val="22"/>
                <w:szCs w:val="22"/>
              </w:rPr>
            </w:pPr>
            <w:r>
              <w:rPr>
                <w:rFonts w:hint="eastAsia" w:ascii="宋体" w:cs="宋体"/>
                <w:b/>
                <w:bCs/>
                <w:color w:val="000000"/>
                <w:kern w:val="0"/>
                <w:sz w:val="22"/>
                <w:szCs w:val="22"/>
              </w:rPr>
              <w:t>荧光检测系统</w:t>
            </w:r>
            <w:r>
              <w:rPr>
                <w:rFonts w:hint="eastAsia" w:ascii="宋体" w:cs="宋体"/>
                <w:color w:val="000000"/>
                <w:kern w:val="0"/>
                <w:sz w:val="22"/>
                <w:szCs w:val="22"/>
              </w:rPr>
              <w:t>：</w:t>
            </w:r>
          </w:p>
          <w:p>
            <w:pPr>
              <w:keepNext/>
              <w:widowControl/>
              <w:numPr>
                <w:ilvl w:val="0"/>
                <w:numId w:val="4"/>
              </w:numPr>
              <w:jc w:val="left"/>
              <w:rPr>
                <w:rFonts w:ascii="宋体" w:cs="宋体"/>
                <w:color w:val="000000"/>
                <w:kern w:val="0"/>
                <w:sz w:val="22"/>
                <w:szCs w:val="22"/>
              </w:rPr>
            </w:pPr>
            <w:r>
              <w:rPr>
                <w:rFonts w:hint="eastAsia" w:ascii="宋体" w:cs="宋体"/>
                <w:color w:val="000000"/>
                <w:kern w:val="0"/>
                <w:sz w:val="22"/>
                <w:szCs w:val="22"/>
              </w:rPr>
              <w:t>激发光源：长寿命LED光源，免维护；</w:t>
            </w:r>
          </w:p>
          <w:p>
            <w:pPr>
              <w:keepNext/>
              <w:widowControl/>
              <w:jc w:val="left"/>
              <w:rPr>
                <w:rFonts w:ascii="宋体" w:cs="宋体"/>
                <w:color w:val="000000"/>
                <w:kern w:val="0"/>
                <w:sz w:val="22"/>
                <w:szCs w:val="22"/>
              </w:rPr>
            </w:pPr>
            <w:r>
              <w:rPr>
                <w:rFonts w:hint="eastAsia" w:ascii="宋体" w:cs="宋体"/>
                <w:color w:val="000000"/>
                <w:kern w:val="0"/>
                <w:sz w:val="22"/>
                <w:szCs w:val="22"/>
              </w:rPr>
              <w:t>2. 检测器：光电二极管PD（管底检测、耗材开放、适用广、成本低），避免边缘效应，免于进行ROX校正，检测灵敏度高；</w:t>
            </w:r>
          </w:p>
          <w:p>
            <w:pPr>
              <w:keepNext/>
              <w:widowControl/>
              <w:jc w:val="left"/>
              <w:rPr>
                <w:rFonts w:ascii="宋体" w:cs="宋体"/>
                <w:color w:val="000000"/>
                <w:kern w:val="0"/>
                <w:sz w:val="22"/>
                <w:szCs w:val="22"/>
              </w:rPr>
            </w:pPr>
            <w:r>
              <w:rPr>
                <w:rFonts w:hint="eastAsia" w:ascii="宋体" w:cs="宋体"/>
                <w:color w:val="000000"/>
                <w:kern w:val="0"/>
                <w:sz w:val="22"/>
                <w:szCs w:val="22"/>
              </w:rPr>
              <w:t>3. 部分荧光染料：F1:FAM、SYBR Green I等； F2:VIC、HEX、TET、JOE 、CY3、NED、TAMRA等；F3:ROX、TEXAS-RED等；F4:CY5、Quasar-670等；</w:t>
            </w:r>
          </w:p>
          <w:p>
            <w:pPr>
              <w:keepNext/>
              <w:widowControl/>
              <w:jc w:val="left"/>
              <w:rPr>
                <w:rFonts w:ascii="宋体" w:cs="宋体"/>
                <w:color w:val="000000"/>
                <w:kern w:val="0"/>
                <w:sz w:val="22"/>
                <w:szCs w:val="22"/>
              </w:rPr>
            </w:pPr>
            <w:r>
              <w:rPr>
                <w:rFonts w:hint="eastAsia" w:ascii="宋体" w:cs="宋体"/>
                <w:color w:val="000000"/>
                <w:kern w:val="0"/>
                <w:sz w:val="22"/>
                <w:szCs w:val="22"/>
              </w:rPr>
              <w:t>4. 荧光检测波长：500-800nm；</w:t>
            </w:r>
          </w:p>
          <w:p>
            <w:pPr>
              <w:keepNext/>
              <w:widowControl/>
              <w:jc w:val="left"/>
              <w:rPr>
                <w:rFonts w:ascii="宋体" w:cs="宋体"/>
                <w:color w:val="000000"/>
                <w:kern w:val="0"/>
                <w:sz w:val="22"/>
                <w:szCs w:val="22"/>
              </w:rPr>
            </w:pPr>
            <w:r>
              <w:rPr>
                <w:rFonts w:hint="eastAsia" w:ascii="宋体" w:cs="宋体"/>
                <w:color w:val="000000"/>
                <w:kern w:val="0"/>
                <w:sz w:val="22"/>
                <w:szCs w:val="22"/>
              </w:rPr>
              <w:t>5.激发光波长：300-800nm；</w:t>
            </w:r>
          </w:p>
          <w:p>
            <w:pPr>
              <w:keepNext/>
              <w:widowControl/>
              <w:jc w:val="left"/>
              <w:rPr>
                <w:rFonts w:ascii="宋体" w:cs="宋体"/>
                <w:color w:val="000000"/>
                <w:kern w:val="0"/>
                <w:sz w:val="22"/>
                <w:szCs w:val="22"/>
              </w:rPr>
            </w:pPr>
            <w:r>
              <w:rPr>
                <w:rFonts w:hint="eastAsia" w:ascii="宋体" w:cs="宋体"/>
                <w:color w:val="000000"/>
                <w:kern w:val="0"/>
                <w:sz w:val="22"/>
                <w:szCs w:val="22"/>
              </w:rPr>
              <w:t>6. 检测通道：4个；</w:t>
            </w:r>
          </w:p>
          <w:p>
            <w:pPr>
              <w:keepNext/>
              <w:widowControl/>
              <w:jc w:val="left"/>
              <w:rPr>
                <w:rFonts w:ascii="宋体" w:cs="宋体"/>
                <w:color w:val="000000"/>
                <w:kern w:val="0"/>
                <w:sz w:val="22"/>
                <w:szCs w:val="22"/>
              </w:rPr>
            </w:pPr>
            <w:r>
              <w:rPr>
                <w:rFonts w:hint="eastAsia" w:ascii="宋体" w:cs="宋体"/>
                <w:color w:val="000000"/>
                <w:kern w:val="0"/>
                <w:sz w:val="22"/>
                <w:szCs w:val="22"/>
              </w:rPr>
              <w:t>7. 扫描方式：底部荧光扫描方式（全板扫描或指定行扫描），光程短、准确度及重复性高；</w:t>
            </w:r>
          </w:p>
          <w:p>
            <w:pPr>
              <w:keepNext/>
              <w:widowControl/>
              <w:jc w:val="left"/>
              <w:rPr>
                <w:rFonts w:ascii="宋体" w:cs="宋体"/>
                <w:color w:val="000000"/>
                <w:kern w:val="0"/>
                <w:sz w:val="22"/>
                <w:szCs w:val="22"/>
              </w:rPr>
            </w:pPr>
            <w:r>
              <w:rPr>
                <w:rFonts w:hint="eastAsia" w:ascii="宋体" w:cs="宋体"/>
                <w:b/>
                <w:bCs/>
                <w:color w:val="000000"/>
                <w:kern w:val="0"/>
                <w:sz w:val="22"/>
                <w:szCs w:val="22"/>
              </w:rPr>
              <w:t>软件系统</w:t>
            </w:r>
            <w:r>
              <w:rPr>
                <w:rFonts w:hint="eastAsia" w:ascii="宋体" w:cs="宋体"/>
                <w:color w:val="000000"/>
                <w:kern w:val="0"/>
                <w:sz w:val="22"/>
                <w:szCs w:val="22"/>
              </w:rPr>
              <w:t>：</w:t>
            </w:r>
          </w:p>
          <w:p>
            <w:pPr>
              <w:keepNext/>
              <w:widowControl/>
              <w:numPr>
                <w:ilvl w:val="0"/>
                <w:numId w:val="5"/>
              </w:numPr>
              <w:jc w:val="left"/>
              <w:rPr>
                <w:rFonts w:ascii="宋体" w:cs="宋体"/>
                <w:color w:val="000000"/>
                <w:kern w:val="0"/>
                <w:sz w:val="22"/>
                <w:szCs w:val="22"/>
              </w:rPr>
            </w:pPr>
            <w:r>
              <w:rPr>
                <w:rFonts w:hint="eastAsia" w:ascii="宋体" w:cs="宋体"/>
                <w:color w:val="000000"/>
                <w:kern w:val="0"/>
                <w:sz w:val="22"/>
                <w:szCs w:val="22"/>
              </w:rPr>
              <w:t>操作界面：全中文操作界面，程序设定灵活，分析和报告功能全面，参数可储存。</w:t>
            </w:r>
          </w:p>
          <w:p>
            <w:pPr>
              <w:keepNext/>
              <w:widowControl/>
              <w:jc w:val="left"/>
              <w:rPr>
                <w:rFonts w:ascii="宋体" w:cs="宋体"/>
                <w:color w:val="000000"/>
                <w:kern w:val="0"/>
                <w:sz w:val="22"/>
                <w:szCs w:val="22"/>
              </w:rPr>
            </w:pPr>
            <w:r>
              <w:rPr>
                <w:rFonts w:hint="eastAsia" w:ascii="宋体" w:cs="宋体"/>
                <w:color w:val="000000"/>
                <w:kern w:val="0"/>
                <w:sz w:val="22"/>
                <w:szCs w:val="22"/>
              </w:rPr>
              <w:t>2. 软件功能：具有定性判断、绝对定量、相对定量、SNP分析系统功能、熔解度曲线分析功能、HRM分析功能、梯度功能、自动增益调节等；</w:t>
            </w:r>
          </w:p>
          <w:p>
            <w:pPr>
              <w:keepNext/>
              <w:widowControl/>
              <w:jc w:val="left"/>
              <w:rPr>
                <w:rFonts w:ascii="宋体" w:cs="宋体"/>
                <w:color w:val="000000"/>
                <w:kern w:val="0"/>
                <w:sz w:val="22"/>
                <w:szCs w:val="22"/>
              </w:rPr>
            </w:pPr>
            <w:r>
              <w:rPr>
                <w:rFonts w:hint="eastAsia" w:ascii="宋体" w:cs="宋体"/>
                <w:color w:val="000000"/>
                <w:kern w:val="0"/>
                <w:sz w:val="22"/>
                <w:szCs w:val="22"/>
              </w:rPr>
              <w:t>3. 模板功能：可自定义实验报告格式，预存多种行业实验报告模板；</w:t>
            </w:r>
          </w:p>
          <w:p>
            <w:pPr>
              <w:keepNext/>
              <w:widowControl/>
              <w:jc w:val="left"/>
              <w:rPr>
                <w:rFonts w:ascii="宋体" w:cs="宋体"/>
                <w:color w:val="000000"/>
                <w:kern w:val="0"/>
                <w:sz w:val="22"/>
                <w:szCs w:val="22"/>
              </w:rPr>
            </w:pPr>
            <w:r>
              <w:rPr>
                <w:rFonts w:hint="eastAsia" w:ascii="宋体" w:cs="宋体"/>
                <w:color w:val="000000"/>
                <w:kern w:val="0"/>
                <w:sz w:val="22"/>
                <w:szCs w:val="22"/>
              </w:rPr>
              <w:t>4. 特色功能：文件内容备注功能、样本资料记录功能、文件运行显示功能、检测数据分析功能、分析结果输出功能、故障保护和报警功能、阴阳性分色显示等功能；</w:t>
            </w:r>
          </w:p>
          <w:p>
            <w:pPr>
              <w:keepNext/>
              <w:widowControl/>
              <w:jc w:val="left"/>
              <w:rPr>
                <w:rFonts w:ascii="宋体" w:cs="宋体"/>
                <w:color w:val="000000"/>
                <w:kern w:val="0"/>
                <w:sz w:val="22"/>
                <w:szCs w:val="22"/>
              </w:rPr>
            </w:pPr>
            <w:r>
              <w:rPr>
                <w:rFonts w:hint="eastAsia" w:ascii="宋体" w:cs="宋体"/>
                <w:color w:val="000000"/>
                <w:kern w:val="0"/>
                <w:sz w:val="22"/>
                <w:szCs w:val="22"/>
              </w:rPr>
              <w:t>5. 支持：Microsoft: Windows 7/Windows 8.1/Windows10；</w:t>
            </w:r>
          </w:p>
          <w:p>
            <w:pPr>
              <w:keepNext/>
              <w:widowControl/>
              <w:jc w:val="left"/>
              <w:rPr>
                <w:rFonts w:ascii="宋体" w:cs="宋体"/>
                <w:color w:val="000000"/>
                <w:kern w:val="0"/>
                <w:sz w:val="22"/>
                <w:szCs w:val="22"/>
              </w:rPr>
            </w:pPr>
            <w:r>
              <w:rPr>
                <w:rFonts w:hint="eastAsia" w:ascii="宋体" w:cs="宋体"/>
                <w:color w:val="000000"/>
                <w:kern w:val="0"/>
                <w:sz w:val="22"/>
                <w:szCs w:val="22"/>
              </w:rPr>
              <w:t>6. 数据导出：导出CSV、Excel、txt等格式的实验数据；</w:t>
            </w:r>
          </w:p>
          <w:p>
            <w:pPr>
              <w:keepNext/>
              <w:widowControl/>
              <w:jc w:val="left"/>
              <w:rPr>
                <w:rFonts w:ascii="宋体" w:cs="宋体"/>
                <w:color w:val="000000"/>
                <w:kern w:val="0"/>
                <w:sz w:val="22"/>
                <w:szCs w:val="22"/>
              </w:rPr>
            </w:pPr>
            <w:r>
              <w:rPr>
                <w:rFonts w:hint="eastAsia" w:ascii="宋体" w:cs="宋体"/>
                <w:b/>
                <w:bCs/>
                <w:color w:val="000000"/>
                <w:kern w:val="0"/>
                <w:sz w:val="22"/>
                <w:szCs w:val="22"/>
              </w:rPr>
              <w:t>其它性能</w:t>
            </w:r>
            <w:r>
              <w:rPr>
                <w:rFonts w:hint="eastAsia" w:ascii="宋体" w:cs="宋体"/>
                <w:color w:val="000000"/>
                <w:kern w:val="0"/>
                <w:sz w:val="22"/>
                <w:szCs w:val="22"/>
              </w:rPr>
              <w:t>：</w:t>
            </w:r>
          </w:p>
          <w:p>
            <w:pPr>
              <w:keepNext/>
              <w:widowControl/>
              <w:numPr>
                <w:ilvl w:val="0"/>
                <w:numId w:val="6"/>
              </w:numPr>
              <w:jc w:val="left"/>
              <w:rPr>
                <w:rFonts w:ascii="宋体" w:cs="宋体"/>
                <w:color w:val="000000"/>
                <w:kern w:val="0"/>
                <w:sz w:val="22"/>
                <w:szCs w:val="22"/>
              </w:rPr>
            </w:pPr>
            <w:r>
              <w:rPr>
                <w:rFonts w:hint="eastAsia" w:ascii="宋体" w:cs="宋体"/>
                <w:color w:val="000000"/>
                <w:kern w:val="0"/>
                <w:sz w:val="22"/>
                <w:szCs w:val="22"/>
              </w:rPr>
              <w:t>外部电源要求：100-240V～50/60Hz，600W；</w:t>
            </w:r>
          </w:p>
          <w:p>
            <w:pPr>
              <w:keepNext/>
              <w:widowControl/>
              <w:jc w:val="left"/>
              <w:rPr>
                <w:rFonts w:ascii="宋体" w:cs="宋体"/>
                <w:szCs w:val="21"/>
              </w:rPr>
            </w:pPr>
            <w:r>
              <w:rPr>
                <w:rFonts w:hint="eastAsia" w:ascii="宋体" w:cs="宋体"/>
                <w:color w:val="000000"/>
                <w:kern w:val="0"/>
                <w:sz w:val="22"/>
                <w:szCs w:val="22"/>
              </w:rPr>
              <w:t>2. 多种接口供选：与计算机接口可供选用的有RS232、USB、蓝牙；工作站要求：品牌电脑和激光打印机。电脑配置不低于：处理器i5以上、硬盘不低于500G、内存不低于4G、USB接口为高速3.0</w:t>
            </w:r>
          </w:p>
        </w:tc>
        <w:tc>
          <w:tcPr>
            <w:tcW w:w="646" w:type="dxa"/>
            <w:vAlign w:val="center"/>
          </w:tcPr>
          <w:p>
            <w:pPr>
              <w:spacing w:line="360" w:lineRule="auto"/>
              <w:jc w:val="center"/>
              <w:rPr>
                <w:rFonts w:ascii="宋体" w:cs="宋体"/>
                <w:szCs w:val="21"/>
              </w:rPr>
            </w:pPr>
            <w:r>
              <w:rPr>
                <w:rFonts w:hint="eastAsia" w:ascii="宋体" w:cs="宋体"/>
                <w:szCs w:val="21"/>
              </w:rPr>
              <w:t>1</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c>
          <w:tcPr>
            <w:tcW w:w="669" w:type="dxa"/>
            <w:vAlign w:val="center"/>
          </w:tcPr>
          <w:p>
            <w:pPr>
              <w:spacing w:line="360" w:lineRule="auto"/>
              <w:jc w:val="center"/>
              <w:rPr>
                <w:rFonts w:ascii="宋体" w:cs="宋体"/>
                <w:szCs w:val="21"/>
              </w:rPr>
            </w:pPr>
            <w:r>
              <w:rPr>
                <w:rFonts w:hint="eastAsia" w:ascii="宋体" w:cs="宋体"/>
                <w:szCs w:val="21"/>
              </w:rPr>
              <w:t>2</w:t>
            </w:r>
          </w:p>
        </w:tc>
        <w:tc>
          <w:tcPr>
            <w:tcW w:w="1021" w:type="dxa"/>
            <w:vAlign w:val="center"/>
          </w:tcPr>
          <w:p>
            <w:pPr>
              <w:keepNext/>
              <w:widowControl/>
              <w:jc w:val="center"/>
              <w:rPr>
                <w:rFonts w:ascii="宋体" w:cs="宋体"/>
                <w:szCs w:val="21"/>
              </w:rPr>
            </w:pPr>
            <w:r>
              <w:rPr>
                <w:rFonts w:hint="eastAsia" w:ascii="宋体" w:cs="宋体"/>
                <w:color w:val="000000"/>
                <w:kern w:val="0"/>
                <w:sz w:val="22"/>
                <w:szCs w:val="22"/>
              </w:rPr>
              <w:t>96孔核酸提取仪</w:t>
            </w:r>
          </w:p>
        </w:tc>
        <w:tc>
          <w:tcPr>
            <w:tcW w:w="6367" w:type="dxa"/>
          </w:tcPr>
          <w:p>
            <w:pPr>
              <w:keepNext/>
              <w:widowControl/>
              <w:numPr>
                <w:ilvl w:val="0"/>
                <w:numId w:val="7"/>
              </w:numPr>
              <w:jc w:val="left"/>
              <w:rPr>
                <w:rFonts w:ascii="宋体" w:cs="宋体"/>
                <w:color w:val="000000"/>
                <w:kern w:val="0"/>
                <w:sz w:val="22"/>
                <w:szCs w:val="22"/>
              </w:rPr>
            </w:pPr>
            <w:r>
              <w:rPr>
                <w:rFonts w:hint="eastAsia" w:ascii="宋体" w:cs="宋体"/>
                <w:color w:val="000000"/>
                <w:kern w:val="0"/>
                <w:sz w:val="22"/>
                <w:szCs w:val="22"/>
              </w:rPr>
              <w:t>产品应用：可从拭子、血清、血浆、全血、动植物组织、干血斑，污水，土壤等多种类型的样本中实现自动、快速提取核酸；原理：利用磁珠法提取原理，利用仪器磁棒磁性吸附技术吸附转移磁珠，无需液体转移完成提取；</w:t>
            </w:r>
          </w:p>
          <w:p>
            <w:pPr>
              <w:keepNext/>
              <w:widowControl/>
              <w:jc w:val="left"/>
              <w:rPr>
                <w:rFonts w:ascii="宋体" w:cs="宋体"/>
                <w:color w:val="000000"/>
                <w:kern w:val="0"/>
                <w:sz w:val="22"/>
                <w:szCs w:val="22"/>
              </w:rPr>
            </w:pPr>
            <w:r>
              <w:rPr>
                <w:rFonts w:hint="eastAsia" w:ascii="宋体" w:cs="宋体"/>
                <w:color w:val="000000"/>
                <w:kern w:val="0"/>
                <w:sz w:val="22"/>
                <w:szCs w:val="22"/>
              </w:rPr>
              <w:t>2. 样本通量：1-96（病毒提取最多可同时上样192个），可选24通量大体积样本核酸提取模块,可应对大量样本或突发大量检测情况,一次最大上样192个,减少操作,减少人为操作失误</w:t>
            </w:r>
          </w:p>
          <w:p>
            <w:pPr>
              <w:keepNext/>
              <w:widowControl/>
              <w:jc w:val="left"/>
              <w:rPr>
                <w:rFonts w:ascii="宋体" w:cs="宋体"/>
                <w:color w:val="000000"/>
                <w:kern w:val="0"/>
                <w:sz w:val="22"/>
                <w:szCs w:val="22"/>
              </w:rPr>
            </w:pPr>
            <w:r>
              <w:rPr>
                <w:rFonts w:hint="eastAsia" w:ascii="宋体" w:cs="宋体"/>
                <w:color w:val="000000"/>
                <w:kern w:val="0"/>
                <w:sz w:val="22"/>
                <w:szCs w:val="22"/>
              </w:rPr>
              <w:t>3. 样本处理体积：20-1000μl(标准96通量模块)，100-5000μl(大体积24通量模块)</w:t>
            </w:r>
          </w:p>
          <w:p>
            <w:pPr>
              <w:keepNext/>
              <w:widowControl/>
              <w:jc w:val="left"/>
              <w:rPr>
                <w:rFonts w:ascii="宋体" w:cs="宋体"/>
                <w:color w:val="000000"/>
                <w:kern w:val="0"/>
                <w:sz w:val="22"/>
                <w:szCs w:val="22"/>
              </w:rPr>
            </w:pPr>
            <w:r>
              <w:rPr>
                <w:rFonts w:hint="eastAsia" w:ascii="宋体" w:cs="宋体"/>
                <w:color w:val="000000"/>
                <w:kern w:val="0"/>
                <w:sz w:val="22"/>
                <w:szCs w:val="22"/>
              </w:rPr>
              <w:t>4. 提取时间：15-50min，根据样本不同提取方案差异，时间不等。</w:t>
            </w:r>
          </w:p>
          <w:p>
            <w:pPr>
              <w:keepNext/>
              <w:widowControl/>
              <w:jc w:val="left"/>
              <w:rPr>
                <w:rFonts w:ascii="宋体" w:cs="宋体"/>
                <w:color w:val="000000"/>
                <w:kern w:val="0"/>
                <w:sz w:val="22"/>
                <w:szCs w:val="22"/>
              </w:rPr>
            </w:pPr>
            <w:r>
              <w:rPr>
                <w:rFonts w:hint="eastAsia" w:ascii="宋体" w:cs="宋体"/>
                <w:color w:val="000000"/>
                <w:kern w:val="0"/>
                <w:sz w:val="22"/>
                <w:szCs w:val="22"/>
              </w:rPr>
              <w:t>5. 磁珠回收效率：＞98%，核酸提取纯化孔间差异：＜1%</w:t>
            </w:r>
          </w:p>
          <w:p>
            <w:pPr>
              <w:keepNext/>
              <w:widowControl/>
              <w:jc w:val="left"/>
              <w:rPr>
                <w:rFonts w:ascii="宋体" w:cs="宋体"/>
                <w:color w:val="000000"/>
                <w:kern w:val="0"/>
                <w:sz w:val="22"/>
                <w:szCs w:val="22"/>
              </w:rPr>
            </w:pPr>
            <w:r>
              <w:rPr>
                <w:rFonts w:hint="eastAsia" w:ascii="宋体" w:cs="宋体"/>
                <w:color w:val="000000"/>
                <w:kern w:val="0"/>
                <w:sz w:val="22"/>
                <w:szCs w:val="22"/>
              </w:rPr>
              <w:t>6. 板位设计：8位平板矩阵式(非转盘式)板位排布，2个包裹式设计加热板位</w:t>
            </w:r>
          </w:p>
          <w:p>
            <w:pPr>
              <w:keepNext/>
              <w:widowControl/>
              <w:jc w:val="left"/>
              <w:rPr>
                <w:rFonts w:ascii="宋体" w:cs="宋体"/>
                <w:color w:val="000000"/>
                <w:kern w:val="0"/>
                <w:sz w:val="22"/>
                <w:szCs w:val="22"/>
              </w:rPr>
            </w:pPr>
            <w:r>
              <w:rPr>
                <w:rFonts w:hint="eastAsia" w:ascii="宋体" w:cs="宋体"/>
                <w:color w:val="000000"/>
                <w:kern w:val="0"/>
                <w:sz w:val="22"/>
                <w:szCs w:val="22"/>
              </w:rPr>
              <w:t>7. 运动控制：整体运动模块X/Y/Z-前后/左右/上下运动和混匀组件上下振动四维一体运动模式,高精度机械臂精准定位各个样本板位，四维运动，保证移动精准快速</w:t>
            </w:r>
          </w:p>
          <w:p>
            <w:pPr>
              <w:keepNext/>
              <w:widowControl/>
              <w:jc w:val="left"/>
              <w:rPr>
                <w:rFonts w:ascii="宋体" w:cs="宋体"/>
                <w:color w:val="000000"/>
                <w:kern w:val="0"/>
                <w:sz w:val="22"/>
                <w:szCs w:val="22"/>
              </w:rPr>
            </w:pPr>
            <w:r>
              <w:rPr>
                <w:rFonts w:hint="eastAsia" w:ascii="宋体" w:cs="宋体"/>
                <w:color w:val="000000"/>
                <w:kern w:val="0"/>
                <w:sz w:val="22"/>
                <w:szCs w:val="22"/>
              </w:rPr>
              <w:t>8. 振动混合模式：多档可调振动速度，溶液体积自适应振动幅度，振动幅度根据溶液体积自动调整。</w:t>
            </w:r>
          </w:p>
          <w:p>
            <w:pPr>
              <w:keepNext/>
              <w:widowControl/>
              <w:jc w:val="left"/>
              <w:rPr>
                <w:rFonts w:ascii="宋体" w:cs="宋体"/>
                <w:color w:val="000000"/>
                <w:kern w:val="0"/>
                <w:sz w:val="22"/>
                <w:szCs w:val="22"/>
              </w:rPr>
            </w:pPr>
            <w:r>
              <w:rPr>
                <w:rFonts w:hint="eastAsia" w:ascii="宋体" w:cs="宋体"/>
                <w:color w:val="000000"/>
                <w:kern w:val="0"/>
                <w:sz w:val="22"/>
                <w:szCs w:val="22"/>
              </w:rPr>
              <w:t>9. 仪器装配磁棒套自动抓取装置，可在任意板位抓取或释放磁棒套，避免手动插入造成的耗材污染风险.</w:t>
            </w:r>
          </w:p>
          <w:p>
            <w:pPr>
              <w:keepNext/>
              <w:widowControl/>
              <w:jc w:val="left"/>
              <w:rPr>
                <w:rFonts w:ascii="宋体" w:cs="宋体"/>
                <w:color w:val="000000"/>
                <w:kern w:val="0"/>
                <w:sz w:val="22"/>
                <w:szCs w:val="22"/>
              </w:rPr>
            </w:pPr>
            <w:r>
              <w:rPr>
                <w:rFonts w:hint="eastAsia" w:ascii="宋体" w:cs="宋体"/>
                <w:color w:val="000000"/>
                <w:kern w:val="0"/>
                <w:sz w:val="22"/>
                <w:szCs w:val="22"/>
              </w:rPr>
              <w:t>10. 程序管理：内置优化实验程序，智能程序设置向导，自由灵活新建、编辑、删除实验程序。windows程序更贴近日常办公使用习惯，同时程序编辑不设任何密码限制，完全开放，不采用异形耗材，可兼容众多提取试剂.</w:t>
            </w:r>
          </w:p>
          <w:p>
            <w:pPr>
              <w:keepNext/>
              <w:widowControl/>
              <w:jc w:val="left"/>
              <w:rPr>
                <w:rFonts w:ascii="宋体" w:cs="宋体"/>
                <w:color w:val="000000"/>
                <w:kern w:val="0"/>
                <w:sz w:val="22"/>
                <w:szCs w:val="22"/>
              </w:rPr>
            </w:pPr>
            <w:r>
              <w:rPr>
                <w:rFonts w:hint="eastAsia" w:ascii="宋体" w:cs="宋体"/>
                <w:color w:val="000000"/>
                <w:kern w:val="0"/>
                <w:sz w:val="22"/>
                <w:szCs w:val="22"/>
              </w:rPr>
              <w:t>11. 仪器操控：机载10.1寸Windows操作系统，触控屏幕操作和鼠标操作双模式。产品最大屏幕，方便操作，中文操作界面，方便客户自己设计编辑实验方案。搭载于Windows系统的中文操作软件，学习成本低；鼠标操控模式避免手套沾有液体导致触屏不准等情况。</w:t>
            </w:r>
          </w:p>
          <w:p>
            <w:pPr>
              <w:keepNext/>
              <w:widowControl/>
              <w:jc w:val="left"/>
              <w:rPr>
                <w:rFonts w:ascii="宋体" w:cs="宋体"/>
                <w:color w:val="000000"/>
                <w:kern w:val="0"/>
                <w:sz w:val="22"/>
                <w:szCs w:val="22"/>
              </w:rPr>
            </w:pPr>
            <w:r>
              <w:rPr>
                <w:rFonts w:hint="eastAsia" w:ascii="宋体" w:cs="宋体"/>
                <w:color w:val="000000"/>
                <w:kern w:val="0"/>
                <w:sz w:val="22"/>
                <w:szCs w:val="22"/>
              </w:rPr>
              <w:t>12. 试剂盒可开放。配备USB外置接口，可导入导出数据；系统维护、升级内部操作程序；拓展连接外部设备。</w:t>
            </w:r>
          </w:p>
          <w:p>
            <w:pPr>
              <w:keepNext/>
              <w:widowControl/>
              <w:jc w:val="left"/>
              <w:rPr>
                <w:rFonts w:ascii="宋体" w:cs="宋体"/>
                <w:color w:val="000000"/>
                <w:kern w:val="0"/>
                <w:sz w:val="22"/>
                <w:szCs w:val="22"/>
              </w:rPr>
            </w:pPr>
            <w:r>
              <w:rPr>
                <w:rFonts w:hint="eastAsia" w:ascii="宋体" w:cs="宋体"/>
                <w:color w:val="000000"/>
                <w:kern w:val="0"/>
                <w:sz w:val="22"/>
                <w:szCs w:val="22"/>
              </w:rPr>
              <w:t>13. 污染控制：内置紫外灭菌模块、液体防滴落托盘、防气溶胶污染风扇(优点:三重污染防控措施，有效控制孔间及板间交叉污染,比常见同类品牌产品多一重保护措施)</w:t>
            </w:r>
          </w:p>
          <w:p>
            <w:pPr>
              <w:keepNext/>
              <w:widowControl/>
              <w:jc w:val="left"/>
              <w:rPr>
                <w:rFonts w:ascii="宋体" w:cs="宋体"/>
                <w:color w:val="000000" w:themeColor="text1"/>
                <w:kern w:val="0"/>
                <w:sz w:val="22"/>
                <w:szCs w:val="22"/>
                <w14:textFill>
                  <w14:solidFill>
                    <w14:schemeClr w14:val="tx1"/>
                  </w14:solidFill>
                </w14:textFill>
              </w:rPr>
            </w:pPr>
            <w:r>
              <w:rPr>
                <w:rFonts w:hint="eastAsia" w:ascii="宋体" w:cs="宋体"/>
                <w:color w:val="000000"/>
                <w:kern w:val="0"/>
                <w:sz w:val="22"/>
                <w:szCs w:val="22"/>
              </w:rPr>
              <w:t xml:space="preserve">14. </w:t>
            </w:r>
            <w:r>
              <w:rPr>
                <w:rFonts w:hint="eastAsia" w:ascii="宋体" w:cs="宋体"/>
                <w:color w:val="000000" w:themeColor="text1"/>
                <w:kern w:val="0"/>
                <w:sz w:val="22"/>
                <w:szCs w:val="22"/>
                <w14:textFill>
                  <w14:solidFill>
                    <w14:schemeClr w14:val="tx1"/>
                  </w14:solidFill>
                </w14:textFill>
              </w:rPr>
              <w:t>试剂耗材开放，不含扫码设备绑定指定配套试剂耗材。</w:t>
            </w:r>
          </w:p>
          <w:p>
            <w:pPr>
              <w:keepNext/>
              <w:widowControl/>
              <w:jc w:val="left"/>
              <w:rPr>
                <w:rFonts w:ascii="宋体" w:cs="宋体"/>
                <w:color w:val="000000" w:themeColor="text1"/>
                <w:kern w:val="0"/>
                <w:sz w:val="22"/>
                <w:szCs w:val="22"/>
                <w14:textFill>
                  <w14:solidFill>
                    <w14:schemeClr w14:val="tx1"/>
                  </w14:solidFill>
                </w14:textFill>
              </w:rPr>
            </w:pPr>
            <w:r>
              <w:rPr>
                <w:rFonts w:hint="eastAsia" w:ascii="宋体" w:cs="宋体"/>
                <w:color w:val="000000" w:themeColor="text1"/>
                <w:kern w:val="0"/>
                <w:sz w:val="22"/>
                <w:szCs w:val="22"/>
                <w14:textFill>
                  <w14:solidFill>
                    <w14:schemeClr w14:val="tx1"/>
                  </w14:solidFill>
                </w14:textFill>
              </w:rPr>
              <w:t>15. 通过第一类医疗器械备案</w:t>
            </w:r>
          </w:p>
          <w:p>
            <w:pPr>
              <w:keepNext/>
              <w:widowControl/>
              <w:jc w:val="left"/>
              <w:rPr>
                <w:rFonts w:ascii="宋体" w:cs="宋体"/>
                <w:color w:val="000000"/>
                <w:kern w:val="0"/>
                <w:sz w:val="22"/>
                <w:szCs w:val="22"/>
              </w:rPr>
            </w:pPr>
            <w:r>
              <w:rPr>
                <w:rFonts w:hint="eastAsia" w:ascii="宋体" w:cs="宋体"/>
                <w:color w:val="000000"/>
                <w:kern w:val="0"/>
                <w:sz w:val="22"/>
                <w:szCs w:val="22"/>
              </w:rPr>
              <w:t>16. 售后服务与培训：</w:t>
            </w:r>
          </w:p>
          <w:p>
            <w:pPr>
              <w:keepNext/>
              <w:widowControl/>
              <w:ind w:firstLine="220" w:firstLineChars="100"/>
              <w:jc w:val="left"/>
              <w:rPr>
                <w:rFonts w:ascii="宋体" w:cs="宋体"/>
                <w:color w:val="000000"/>
                <w:kern w:val="0"/>
                <w:sz w:val="22"/>
                <w:szCs w:val="22"/>
              </w:rPr>
            </w:pPr>
            <w:r>
              <w:rPr>
                <w:rFonts w:hint="eastAsia" w:ascii="宋体" w:cs="宋体"/>
                <w:color w:val="000000"/>
                <w:kern w:val="0"/>
                <w:sz w:val="22"/>
                <w:szCs w:val="22"/>
              </w:rPr>
              <w:t>⑴制造商将负责在用户单位安装与调试，并进行操作演示、数据处理等培训。</w:t>
            </w:r>
          </w:p>
          <w:p>
            <w:pPr>
              <w:keepNext/>
              <w:widowControl/>
              <w:ind w:firstLine="220" w:firstLineChars="100"/>
              <w:jc w:val="left"/>
              <w:rPr>
                <w:rFonts w:ascii="宋体" w:cs="宋体"/>
                <w:color w:val="000000"/>
                <w:kern w:val="0"/>
                <w:sz w:val="22"/>
                <w:szCs w:val="22"/>
              </w:rPr>
            </w:pPr>
            <w:r>
              <w:rPr>
                <w:rFonts w:hint="eastAsia" w:ascii="宋体" w:cs="宋体"/>
                <w:color w:val="000000"/>
                <w:kern w:val="0"/>
                <w:sz w:val="22"/>
                <w:szCs w:val="22"/>
              </w:rPr>
              <w:t>⑵安装调试经用户验收合格当天起，整机质量保证期1年，质量保证期内全维修免费。</w:t>
            </w:r>
          </w:p>
          <w:p>
            <w:pPr>
              <w:keepNext/>
              <w:widowControl/>
              <w:ind w:firstLine="220" w:firstLineChars="100"/>
              <w:jc w:val="left"/>
              <w:rPr>
                <w:rFonts w:ascii="宋体" w:cs="宋体"/>
                <w:color w:val="000000"/>
                <w:kern w:val="0"/>
                <w:sz w:val="22"/>
                <w:szCs w:val="22"/>
              </w:rPr>
            </w:pPr>
            <w:r>
              <w:rPr>
                <w:rFonts w:hint="eastAsia" w:ascii="宋体" w:cs="宋体"/>
                <w:color w:val="000000"/>
                <w:kern w:val="0"/>
                <w:sz w:val="22"/>
                <w:szCs w:val="22"/>
              </w:rPr>
              <w:t>⑶保修期后，厂家提供终身维修，并保证提供不短于6年的零配件供应。</w:t>
            </w:r>
          </w:p>
          <w:p>
            <w:pPr>
              <w:keepNext/>
              <w:widowControl/>
              <w:ind w:firstLine="220" w:firstLineChars="100"/>
              <w:jc w:val="left"/>
              <w:rPr>
                <w:rFonts w:ascii="宋体" w:cs="宋体"/>
                <w:color w:val="000000"/>
                <w:kern w:val="0"/>
                <w:sz w:val="22"/>
                <w:szCs w:val="22"/>
              </w:rPr>
            </w:pPr>
            <w:r>
              <w:rPr>
                <w:rFonts w:hint="eastAsia" w:ascii="宋体" w:cs="宋体"/>
                <w:color w:val="000000"/>
                <w:kern w:val="0"/>
                <w:sz w:val="22"/>
                <w:szCs w:val="22"/>
              </w:rPr>
              <w:t>⑷维修响应时间一般情况≤8小时，72小时内赶赴现场维修。</w:t>
            </w:r>
          </w:p>
          <w:p>
            <w:pPr>
              <w:keepNext/>
              <w:widowControl/>
              <w:ind w:firstLine="220" w:firstLineChars="100"/>
              <w:jc w:val="left"/>
              <w:rPr>
                <w:rFonts w:hint="eastAsia" w:ascii="宋体" w:cs="宋体"/>
                <w:color w:val="000000"/>
                <w:kern w:val="0"/>
                <w:sz w:val="22"/>
                <w:szCs w:val="22"/>
              </w:rPr>
            </w:pPr>
            <w:r>
              <w:rPr>
                <w:rFonts w:hint="eastAsia" w:ascii="宋体" w:cs="宋体"/>
                <w:color w:val="000000"/>
                <w:kern w:val="0"/>
                <w:sz w:val="22"/>
                <w:szCs w:val="22"/>
              </w:rPr>
              <w:t>⑸仪器安装结束后，工程师进行现场培训，确保需方的操作人员能够独立的、正确的使用该设备。培训内容主要为仪器原理、维护、日常操作及各种软件的应用。任何使用以及维护方面问题，终身免费远程指导</w:t>
            </w:r>
          </w:p>
          <w:p>
            <w:pPr>
              <w:keepNext/>
              <w:widowControl/>
              <w:ind w:firstLine="220" w:firstLineChars="100"/>
              <w:jc w:val="left"/>
              <w:rPr>
                <w:rFonts w:hint="eastAsia" w:ascii="宋体" w:cs="宋体"/>
                <w:color w:val="000000"/>
                <w:kern w:val="0"/>
                <w:sz w:val="22"/>
                <w:szCs w:val="22"/>
              </w:rPr>
            </w:pPr>
            <w:r>
              <w:rPr>
                <w:rFonts w:hint="eastAsia" w:ascii="宋体" w:cs="宋体"/>
                <w:color w:val="000000"/>
                <w:kern w:val="0"/>
                <w:sz w:val="22"/>
                <w:szCs w:val="22"/>
              </w:rPr>
              <w:t>17.验收与交货地点</w:t>
            </w:r>
          </w:p>
          <w:p>
            <w:pPr>
              <w:keepNext/>
              <w:widowControl/>
              <w:ind w:firstLine="220" w:firstLineChars="100"/>
              <w:jc w:val="left"/>
              <w:rPr>
                <w:rFonts w:ascii="宋体" w:cs="宋体"/>
                <w:szCs w:val="21"/>
              </w:rPr>
            </w:pPr>
            <w:r>
              <w:rPr>
                <w:rFonts w:hint="eastAsia" w:ascii="宋体" w:cs="宋体"/>
                <w:color w:val="000000"/>
                <w:kern w:val="0"/>
                <w:sz w:val="22"/>
                <w:szCs w:val="22"/>
              </w:rPr>
              <w:t>用户指定实验室</w:t>
            </w:r>
          </w:p>
        </w:tc>
        <w:tc>
          <w:tcPr>
            <w:tcW w:w="646" w:type="dxa"/>
            <w:vAlign w:val="center"/>
          </w:tcPr>
          <w:p>
            <w:pPr>
              <w:spacing w:line="360" w:lineRule="auto"/>
              <w:jc w:val="center"/>
              <w:rPr>
                <w:rFonts w:hint="eastAsia" w:ascii="宋体" w:eastAsia="宋体" w:cs="宋体"/>
                <w:szCs w:val="21"/>
                <w:lang w:eastAsia="zh-CN"/>
              </w:rPr>
            </w:pPr>
            <w:r>
              <w:rPr>
                <w:rFonts w:hint="eastAsia" w:ascii="宋体" w:cs="宋体"/>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c>
          <w:tcPr>
            <w:tcW w:w="669" w:type="dxa"/>
            <w:vAlign w:val="center"/>
          </w:tcPr>
          <w:p>
            <w:pPr>
              <w:spacing w:line="360" w:lineRule="auto"/>
              <w:jc w:val="center"/>
              <w:rPr>
                <w:rFonts w:ascii="宋体" w:cs="宋体"/>
                <w:szCs w:val="21"/>
              </w:rPr>
            </w:pPr>
            <w:r>
              <w:rPr>
                <w:rFonts w:hint="eastAsia" w:ascii="宋体" w:cs="宋体"/>
                <w:szCs w:val="21"/>
              </w:rPr>
              <w:t>3</w:t>
            </w:r>
          </w:p>
        </w:tc>
        <w:tc>
          <w:tcPr>
            <w:tcW w:w="1021" w:type="dxa"/>
            <w:vAlign w:val="center"/>
          </w:tcPr>
          <w:p>
            <w:pPr>
              <w:keepNext/>
              <w:widowControl/>
              <w:jc w:val="center"/>
              <w:rPr>
                <w:rFonts w:ascii="宋体" w:cs="宋体"/>
                <w:szCs w:val="21"/>
              </w:rPr>
            </w:pPr>
            <w:r>
              <w:rPr>
                <w:rFonts w:hint="eastAsia" w:ascii="宋体" w:cs="宋体"/>
                <w:color w:val="000000"/>
                <w:kern w:val="0"/>
                <w:sz w:val="22"/>
                <w:szCs w:val="22"/>
              </w:rPr>
              <w:t>32孔核酸提取仪</w:t>
            </w:r>
          </w:p>
        </w:tc>
        <w:tc>
          <w:tcPr>
            <w:tcW w:w="6367" w:type="dxa"/>
          </w:tcPr>
          <w:p>
            <w:pPr>
              <w:keepNext/>
              <w:widowControl/>
              <w:jc w:val="left"/>
              <w:rPr>
                <w:rFonts w:ascii="宋体" w:cs="宋体"/>
                <w:color w:val="000000"/>
                <w:kern w:val="0"/>
                <w:sz w:val="22"/>
                <w:szCs w:val="22"/>
              </w:rPr>
            </w:pPr>
            <w:r>
              <w:rPr>
                <w:rFonts w:hint="eastAsia" w:ascii="宋体" w:cs="宋体"/>
                <w:color w:val="000000"/>
                <w:kern w:val="0"/>
                <w:sz w:val="22"/>
                <w:szCs w:val="22"/>
              </w:rPr>
              <w:t>技术指标：</w:t>
            </w:r>
          </w:p>
          <w:p>
            <w:pPr>
              <w:keepNext/>
              <w:widowControl/>
              <w:jc w:val="left"/>
              <w:rPr>
                <w:rFonts w:ascii="宋体" w:cs="宋体"/>
                <w:color w:val="000000"/>
                <w:kern w:val="0"/>
                <w:sz w:val="22"/>
                <w:szCs w:val="22"/>
              </w:rPr>
            </w:pPr>
            <w:r>
              <w:rPr>
                <w:rFonts w:hint="eastAsia" w:ascii="宋体" w:cs="宋体"/>
                <w:color w:val="000000"/>
                <w:kern w:val="0"/>
                <w:sz w:val="22"/>
                <w:szCs w:val="22"/>
              </w:rPr>
              <w:t>1. 样本通量：1-32</w:t>
            </w:r>
          </w:p>
          <w:p>
            <w:pPr>
              <w:keepNext/>
              <w:widowControl/>
              <w:jc w:val="left"/>
              <w:rPr>
                <w:rFonts w:ascii="宋体" w:cs="宋体"/>
                <w:color w:val="000000"/>
                <w:kern w:val="0"/>
                <w:sz w:val="22"/>
                <w:szCs w:val="22"/>
              </w:rPr>
            </w:pPr>
            <w:r>
              <w:rPr>
                <w:rFonts w:hint="eastAsia" w:ascii="宋体" w:cs="宋体"/>
                <w:color w:val="000000"/>
                <w:kern w:val="0"/>
                <w:sz w:val="22"/>
                <w:szCs w:val="22"/>
              </w:rPr>
              <w:t>2. 液体处理体积：20-1000μl</w:t>
            </w:r>
          </w:p>
          <w:p>
            <w:pPr>
              <w:keepNext/>
              <w:widowControl/>
              <w:jc w:val="left"/>
              <w:rPr>
                <w:rFonts w:ascii="宋体" w:cs="宋体"/>
                <w:color w:val="000000"/>
                <w:kern w:val="0"/>
                <w:sz w:val="22"/>
                <w:szCs w:val="22"/>
              </w:rPr>
            </w:pPr>
            <w:r>
              <w:rPr>
                <w:rFonts w:hint="eastAsia" w:ascii="宋体" w:cs="宋体"/>
                <w:color w:val="000000"/>
                <w:kern w:val="0"/>
                <w:sz w:val="22"/>
                <w:szCs w:val="22"/>
              </w:rPr>
              <w:t>3. 提取时间：病毒提取最快8分钟。（可提供多种提取方案，快速8min，高效15min，高灵敏度35min等）</w:t>
            </w:r>
          </w:p>
          <w:p>
            <w:pPr>
              <w:keepNext/>
              <w:widowControl/>
              <w:jc w:val="left"/>
              <w:rPr>
                <w:rFonts w:ascii="宋体" w:cs="宋体"/>
                <w:color w:val="000000"/>
                <w:kern w:val="0"/>
                <w:sz w:val="22"/>
                <w:szCs w:val="22"/>
              </w:rPr>
            </w:pPr>
            <w:r>
              <w:rPr>
                <w:rFonts w:hint="eastAsia" w:ascii="宋体" w:cs="宋体"/>
                <w:color w:val="000000"/>
                <w:kern w:val="0"/>
                <w:sz w:val="22"/>
                <w:szCs w:val="22"/>
              </w:rPr>
              <w:t>4. 磁珠回收效率：≥9</w:t>
            </w:r>
            <w:r>
              <w:rPr>
                <w:rFonts w:hint="eastAsia" w:ascii="宋体" w:cs="宋体"/>
                <w:color w:val="000000"/>
                <w:kern w:val="0"/>
                <w:sz w:val="22"/>
                <w:szCs w:val="22"/>
                <w:lang w:val="en-US" w:eastAsia="zh-CN"/>
              </w:rPr>
              <w:t>5</w:t>
            </w:r>
            <w:r>
              <w:rPr>
                <w:rFonts w:hint="eastAsia" w:ascii="宋体" w:cs="宋体"/>
                <w:color w:val="000000"/>
                <w:kern w:val="0"/>
                <w:sz w:val="22"/>
                <w:szCs w:val="22"/>
              </w:rPr>
              <w:t>%</w:t>
            </w:r>
          </w:p>
          <w:p>
            <w:pPr>
              <w:keepNext/>
              <w:widowControl/>
              <w:jc w:val="left"/>
              <w:rPr>
                <w:rFonts w:ascii="宋体" w:cs="宋体"/>
                <w:color w:val="000000"/>
                <w:kern w:val="0"/>
                <w:sz w:val="22"/>
                <w:szCs w:val="22"/>
              </w:rPr>
            </w:pPr>
            <w:r>
              <w:rPr>
                <w:rFonts w:hint="eastAsia" w:ascii="宋体" w:cs="宋体"/>
                <w:color w:val="000000"/>
                <w:kern w:val="0"/>
                <w:sz w:val="22"/>
                <w:szCs w:val="22"/>
              </w:rPr>
              <w:t>5. 温度控制：室温+5-120℃</w:t>
            </w:r>
          </w:p>
          <w:p>
            <w:pPr>
              <w:keepNext/>
              <w:widowControl/>
              <w:numPr>
                <w:ilvl w:val="0"/>
                <w:numId w:val="8"/>
              </w:numPr>
              <w:jc w:val="left"/>
              <w:rPr>
                <w:rFonts w:ascii="宋体" w:cs="宋体"/>
                <w:color w:val="000000"/>
                <w:kern w:val="0"/>
                <w:sz w:val="22"/>
                <w:szCs w:val="22"/>
              </w:rPr>
            </w:pPr>
            <w:r>
              <w:rPr>
                <w:rFonts w:hint="eastAsia" w:ascii="宋体" w:cs="宋体"/>
                <w:color w:val="000000"/>
                <w:kern w:val="0"/>
                <w:sz w:val="22"/>
                <w:szCs w:val="22"/>
              </w:rPr>
              <w:t>裂解/洗脱加热槽位：1/5列裂解/洗脱，（加热槽间隔设计防止洗脱液蒸发减少。）</w:t>
            </w:r>
          </w:p>
          <w:p>
            <w:pPr>
              <w:keepNext/>
              <w:widowControl/>
              <w:jc w:val="left"/>
              <w:rPr>
                <w:rFonts w:ascii="宋体" w:cs="宋体"/>
                <w:color w:val="000000"/>
                <w:kern w:val="0"/>
                <w:sz w:val="22"/>
                <w:szCs w:val="22"/>
              </w:rPr>
            </w:pPr>
            <w:r>
              <w:rPr>
                <w:rFonts w:hint="eastAsia" w:ascii="宋体" w:cs="宋体"/>
                <w:color w:val="000000"/>
                <w:kern w:val="0"/>
                <w:sz w:val="22"/>
                <w:szCs w:val="22"/>
              </w:rPr>
              <w:t>7. 运动控制：驱动装置：步进电机，传动装置：滚珠丝杠，配置极限位置保护</w:t>
            </w:r>
          </w:p>
          <w:p>
            <w:pPr>
              <w:keepNext/>
              <w:widowControl/>
              <w:jc w:val="left"/>
              <w:rPr>
                <w:rFonts w:ascii="宋体" w:cs="宋体"/>
                <w:color w:val="000000"/>
                <w:kern w:val="0"/>
                <w:sz w:val="22"/>
                <w:szCs w:val="22"/>
              </w:rPr>
            </w:pPr>
            <w:r>
              <w:rPr>
                <w:rFonts w:hint="eastAsia" w:ascii="宋体" w:cs="宋体"/>
                <w:color w:val="000000"/>
                <w:kern w:val="0"/>
                <w:sz w:val="22"/>
                <w:szCs w:val="22"/>
              </w:rPr>
              <w:t>8. 振动混合模式：多档可调振动速度，溶液体积自适应振动幅度</w:t>
            </w:r>
          </w:p>
          <w:p>
            <w:pPr>
              <w:keepNext/>
              <w:widowControl/>
              <w:numPr>
                <w:ilvl w:val="0"/>
                <w:numId w:val="9"/>
              </w:numPr>
              <w:jc w:val="left"/>
              <w:rPr>
                <w:rFonts w:ascii="宋体" w:cs="宋体"/>
                <w:color w:val="000000"/>
                <w:kern w:val="0"/>
                <w:sz w:val="22"/>
                <w:szCs w:val="22"/>
              </w:rPr>
            </w:pPr>
            <w:r>
              <w:rPr>
                <w:rFonts w:hint="eastAsia" w:ascii="宋体" w:cs="宋体"/>
                <w:color w:val="000000"/>
                <w:kern w:val="0"/>
                <w:sz w:val="22"/>
                <w:szCs w:val="22"/>
              </w:rPr>
              <w:t>磁珠吸附模式：普通/强力吸附模式</w:t>
            </w:r>
          </w:p>
          <w:p>
            <w:pPr>
              <w:keepNext/>
              <w:widowControl/>
              <w:jc w:val="left"/>
              <w:rPr>
                <w:rFonts w:ascii="宋体" w:cs="宋体"/>
                <w:color w:val="000000"/>
                <w:kern w:val="0"/>
                <w:sz w:val="22"/>
                <w:szCs w:val="22"/>
              </w:rPr>
            </w:pPr>
            <w:r>
              <w:rPr>
                <w:rFonts w:hint="eastAsia" w:ascii="宋体" w:cs="宋体"/>
                <w:color w:val="000000"/>
                <w:kern w:val="0"/>
                <w:sz w:val="22"/>
                <w:szCs w:val="22"/>
              </w:rPr>
              <w:t>10. 仪器操控：Windows Pad和机屏按键双操控模式，标配Windows10操作系统Pad。</w:t>
            </w:r>
          </w:p>
          <w:p>
            <w:pPr>
              <w:keepNext/>
              <w:widowControl/>
              <w:jc w:val="left"/>
              <w:rPr>
                <w:rFonts w:ascii="宋体" w:cs="宋体"/>
                <w:color w:val="000000"/>
                <w:kern w:val="0"/>
                <w:sz w:val="22"/>
                <w:szCs w:val="22"/>
              </w:rPr>
            </w:pPr>
            <w:r>
              <w:rPr>
                <w:rFonts w:hint="eastAsia" w:ascii="宋体" w:cs="宋体"/>
                <w:color w:val="000000"/>
                <w:kern w:val="0"/>
                <w:sz w:val="22"/>
                <w:szCs w:val="22"/>
              </w:rPr>
              <w:t>11. 程序管理： Windows灵活新建、编辑、删除程序。可储存&gt;10万程序。</w:t>
            </w:r>
          </w:p>
          <w:p>
            <w:pPr>
              <w:keepNext/>
              <w:widowControl/>
              <w:jc w:val="left"/>
              <w:rPr>
                <w:rFonts w:ascii="宋体" w:cs="宋体"/>
                <w:color w:val="000000"/>
                <w:kern w:val="0"/>
                <w:sz w:val="22"/>
                <w:szCs w:val="22"/>
              </w:rPr>
            </w:pPr>
            <w:r>
              <w:rPr>
                <w:rFonts w:hint="eastAsia" w:ascii="宋体" w:cs="宋体"/>
                <w:color w:val="000000"/>
                <w:kern w:val="0"/>
                <w:sz w:val="22"/>
                <w:szCs w:val="22"/>
              </w:rPr>
              <w:t>12. 污染控制、安全防护：紫外灭菌，封闭反应仓，配套预装密封试剂和一次性耗材</w:t>
            </w:r>
          </w:p>
          <w:p>
            <w:pPr>
              <w:keepNext/>
              <w:widowControl/>
              <w:jc w:val="left"/>
              <w:rPr>
                <w:rFonts w:ascii="宋体" w:cs="宋体"/>
                <w:color w:val="000000"/>
                <w:kern w:val="0"/>
                <w:sz w:val="22"/>
                <w:szCs w:val="22"/>
              </w:rPr>
            </w:pPr>
            <w:r>
              <w:rPr>
                <w:rFonts w:hint="eastAsia" w:ascii="宋体" w:cs="宋体"/>
                <w:color w:val="000000"/>
                <w:kern w:val="0"/>
                <w:sz w:val="22"/>
                <w:szCs w:val="22"/>
              </w:rPr>
              <w:t>13. 仪器通过第一类医疗器械备案，规格尺寸：430mm×372mm×450mm(宽×深×高)，体积小巧，可置于生物安全柜使用。</w:t>
            </w:r>
          </w:p>
          <w:p>
            <w:pPr>
              <w:keepNext/>
              <w:widowControl/>
              <w:jc w:val="left"/>
              <w:rPr>
                <w:rFonts w:ascii="宋体" w:cs="宋体"/>
                <w:color w:val="000000"/>
                <w:kern w:val="0"/>
                <w:sz w:val="22"/>
                <w:szCs w:val="22"/>
              </w:rPr>
            </w:pPr>
            <w:r>
              <w:rPr>
                <w:rFonts w:hint="eastAsia" w:ascii="宋体" w:cs="宋体"/>
                <w:color w:val="000000"/>
                <w:kern w:val="0"/>
                <w:sz w:val="22"/>
                <w:szCs w:val="22"/>
              </w:rPr>
              <w:t>14.试剂盒可开放，试剂规格灵活，可提供单条预分装试剂，样本量少的情况减少试剂浪费。</w:t>
            </w:r>
          </w:p>
          <w:p>
            <w:pPr>
              <w:keepNext/>
              <w:widowControl/>
              <w:jc w:val="left"/>
              <w:rPr>
                <w:rFonts w:ascii="宋体" w:cs="宋体"/>
                <w:color w:val="000000"/>
                <w:kern w:val="0"/>
                <w:sz w:val="22"/>
                <w:szCs w:val="22"/>
              </w:rPr>
            </w:pPr>
            <w:r>
              <w:rPr>
                <w:rFonts w:hint="eastAsia" w:ascii="宋体" w:cs="宋体"/>
                <w:color w:val="000000"/>
                <w:kern w:val="0"/>
                <w:sz w:val="22"/>
                <w:szCs w:val="22"/>
              </w:rPr>
              <w:t>使用环境条件：</w:t>
            </w:r>
          </w:p>
          <w:p>
            <w:pPr>
              <w:keepNext/>
              <w:widowControl/>
              <w:numPr>
                <w:ilvl w:val="0"/>
                <w:numId w:val="10"/>
              </w:numPr>
              <w:jc w:val="left"/>
              <w:rPr>
                <w:rFonts w:ascii="宋体" w:cs="宋体"/>
                <w:color w:val="000000"/>
                <w:kern w:val="0"/>
                <w:sz w:val="22"/>
                <w:szCs w:val="22"/>
              </w:rPr>
            </w:pPr>
            <w:r>
              <w:rPr>
                <w:rFonts w:hint="eastAsia" w:ascii="宋体" w:cs="宋体"/>
                <w:color w:val="000000"/>
                <w:kern w:val="0"/>
                <w:sz w:val="22"/>
                <w:szCs w:val="22"/>
              </w:rPr>
              <w:t>工作温度 10-40℃</w:t>
            </w:r>
          </w:p>
          <w:p>
            <w:pPr>
              <w:keepNext/>
              <w:widowControl/>
              <w:numPr>
                <w:ilvl w:val="0"/>
                <w:numId w:val="10"/>
              </w:numPr>
              <w:jc w:val="left"/>
              <w:rPr>
                <w:rFonts w:ascii="宋体" w:cs="宋体"/>
                <w:color w:val="000000"/>
                <w:kern w:val="0"/>
                <w:sz w:val="22"/>
                <w:szCs w:val="22"/>
              </w:rPr>
            </w:pPr>
            <w:r>
              <w:rPr>
                <w:rFonts w:hint="eastAsia" w:ascii="宋体" w:cs="宋体"/>
                <w:color w:val="000000"/>
                <w:kern w:val="0"/>
                <w:sz w:val="22"/>
                <w:szCs w:val="22"/>
              </w:rPr>
              <w:t>工作环境湿度：10-90%</w:t>
            </w:r>
          </w:p>
          <w:p>
            <w:pPr>
              <w:keepNext/>
              <w:widowControl/>
              <w:numPr>
                <w:ilvl w:val="0"/>
                <w:numId w:val="10"/>
              </w:numPr>
              <w:jc w:val="left"/>
              <w:rPr>
                <w:rFonts w:ascii="宋体" w:cs="宋体"/>
                <w:szCs w:val="21"/>
              </w:rPr>
            </w:pPr>
            <w:r>
              <w:rPr>
                <w:rFonts w:hint="eastAsia" w:ascii="宋体" w:cs="宋体"/>
                <w:color w:val="000000"/>
                <w:kern w:val="0"/>
                <w:sz w:val="22"/>
                <w:szCs w:val="22"/>
              </w:rPr>
              <w:t>工作电源: 100-240VAC，50Hz/60Hz，450W</w:t>
            </w:r>
          </w:p>
        </w:tc>
        <w:tc>
          <w:tcPr>
            <w:tcW w:w="646" w:type="dxa"/>
            <w:vAlign w:val="center"/>
          </w:tcPr>
          <w:p>
            <w:pPr>
              <w:spacing w:line="360" w:lineRule="auto"/>
              <w:jc w:val="center"/>
              <w:rPr>
                <w:rFonts w:ascii="宋体" w:cs="宋体"/>
                <w:szCs w:val="21"/>
              </w:rPr>
            </w:pPr>
            <w:r>
              <w:rPr>
                <w:rFonts w:hint="eastAsia" w:ascii="宋体" w:cs="宋体"/>
                <w:szCs w:val="21"/>
              </w:rPr>
              <w:t>2</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c>
          <w:tcPr>
            <w:tcW w:w="669" w:type="dxa"/>
            <w:vAlign w:val="center"/>
          </w:tcPr>
          <w:p>
            <w:pPr>
              <w:spacing w:line="360" w:lineRule="auto"/>
              <w:jc w:val="center"/>
              <w:rPr>
                <w:rFonts w:ascii="宋体" w:cs="宋体"/>
                <w:szCs w:val="21"/>
              </w:rPr>
            </w:pPr>
            <w:r>
              <w:rPr>
                <w:rFonts w:hint="eastAsia" w:ascii="宋体" w:cs="宋体"/>
                <w:szCs w:val="21"/>
              </w:rPr>
              <w:t>4</w:t>
            </w:r>
          </w:p>
        </w:tc>
        <w:tc>
          <w:tcPr>
            <w:tcW w:w="1021" w:type="dxa"/>
            <w:vAlign w:val="center"/>
          </w:tcPr>
          <w:p>
            <w:pPr>
              <w:keepNext/>
              <w:widowControl/>
              <w:jc w:val="center"/>
              <w:rPr>
                <w:rFonts w:ascii="宋体" w:cs="宋体"/>
                <w:szCs w:val="21"/>
              </w:rPr>
            </w:pPr>
            <w:r>
              <w:rPr>
                <w:rFonts w:hint="eastAsia" w:ascii="宋体" w:cs="宋体"/>
                <w:color w:val="000000"/>
                <w:kern w:val="0"/>
                <w:sz w:val="22"/>
                <w:szCs w:val="22"/>
              </w:rPr>
              <w:t>医用低温冰箱</w:t>
            </w:r>
          </w:p>
        </w:tc>
        <w:tc>
          <w:tcPr>
            <w:tcW w:w="6367" w:type="dxa"/>
          </w:tcPr>
          <w:p>
            <w:pPr>
              <w:keepNext/>
              <w:widowControl/>
              <w:jc w:val="left"/>
              <w:rPr>
                <w:rFonts w:ascii="宋体" w:cs="宋体"/>
                <w:color w:val="000000"/>
                <w:kern w:val="0"/>
                <w:sz w:val="22"/>
                <w:szCs w:val="22"/>
              </w:rPr>
            </w:pPr>
            <w:r>
              <w:rPr>
                <w:rFonts w:hint="eastAsia" w:ascii="宋体" w:cs="宋体"/>
                <w:color w:val="000000"/>
                <w:kern w:val="0"/>
                <w:sz w:val="22"/>
                <w:szCs w:val="22"/>
              </w:rPr>
              <w:t>一、应用范围</w:t>
            </w:r>
          </w:p>
          <w:p>
            <w:pPr>
              <w:keepNext/>
              <w:widowControl/>
              <w:jc w:val="left"/>
              <w:rPr>
                <w:rFonts w:ascii="宋体" w:cs="宋体"/>
                <w:color w:val="000000"/>
                <w:kern w:val="0"/>
                <w:sz w:val="22"/>
                <w:szCs w:val="22"/>
              </w:rPr>
            </w:pPr>
            <w:r>
              <w:rPr>
                <w:rFonts w:hint="eastAsia" w:ascii="宋体" w:cs="宋体"/>
                <w:color w:val="000000"/>
                <w:kern w:val="0"/>
                <w:sz w:val="22"/>
                <w:szCs w:val="22"/>
              </w:rPr>
              <w:t>用于保存新鲜冻结血浆、疫苗、遗传研究用的酶、培养基、试剂以及生物标本等。</w:t>
            </w:r>
          </w:p>
          <w:p>
            <w:pPr>
              <w:keepNext/>
              <w:widowControl/>
              <w:jc w:val="left"/>
              <w:rPr>
                <w:rFonts w:ascii="宋体" w:cs="宋体"/>
                <w:color w:val="000000"/>
                <w:kern w:val="0"/>
                <w:sz w:val="22"/>
                <w:szCs w:val="22"/>
              </w:rPr>
            </w:pPr>
            <w:r>
              <w:rPr>
                <w:rFonts w:hint="eastAsia" w:ascii="宋体" w:cs="宋体"/>
                <w:color w:val="000000"/>
                <w:kern w:val="0"/>
                <w:sz w:val="22"/>
                <w:szCs w:val="22"/>
              </w:rPr>
              <w:t>二、主要指标</w:t>
            </w:r>
          </w:p>
          <w:p>
            <w:pPr>
              <w:keepNext/>
              <w:widowControl/>
              <w:jc w:val="left"/>
              <w:rPr>
                <w:rFonts w:ascii="宋体" w:cs="宋体"/>
                <w:color w:val="000000"/>
                <w:kern w:val="0"/>
                <w:sz w:val="22"/>
                <w:szCs w:val="22"/>
              </w:rPr>
            </w:pPr>
            <w:r>
              <w:rPr>
                <w:rFonts w:hint="eastAsia" w:ascii="宋体" w:cs="宋体"/>
                <w:color w:val="000000"/>
                <w:kern w:val="0"/>
                <w:sz w:val="22"/>
                <w:szCs w:val="22"/>
              </w:rPr>
              <w:t>1.温度范围：-20℃~-30℃(0.1℃调节，环境温度5℃~30℃), 直冷系统，精确微电脑控制，箱内温度恒定控制在-20～-30℃范围内。</w:t>
            </w:r>
          </w:p>
          <w:p>
            <w:pPr>
              <w:keepNext/>
              <w:widowControl/>
              <w:jc w:val="left"/>
              <w:rPr>
                <w:rFonts w:ascii="宋体" w:cs="宋体"/>
                <w:color w:val="000000"/>
                <w:kern w:val="0"/>
                <w:sz w:val="22"/>
                <w:szCs w:val="22"/>
              </w:rPr>
            </w:pPr>
            <w:r>
              <w:rPr>
                <w:rFonts w:hint="eastAsia" w:ascii="宋体" w:cs="宋体"/>
                <w:color w:val="000000"/>
                <w:kern w:val="0"/>
                <w:sz w:val="22"/>
                <w:szCs w:val="22"/>
              </w:rPr>
              <w:t>2.大屏幕数字温度显示，便于观察。</w:t>
            </w:r>
          </w:p>
          <w:p>
            <w:pPr>
              <w:keepNext/>
              <w:widowControl/>
              <w:jc w:val="left"/>
              <w:rPr>
                <w:rFonts w:ascii="宋体" w:cs="宋体"/>
                <w:color w:val="000000" w:themeColor="text1"/>
                <w:kern w:val="0"/>
                <w:sz w:val="22"/>
                <w:szCs w:val="22"/>
                <w14:textFill>
                  <w14:solidFill>
                    <w14:schemeClr w14:val="tx1"/>
                  </w14:solidFill>
                </w14:textFill>
              </w:rPr>
            </w:pPr>
            <w:r>
              <w:rPr>
                <w:rFonts w:hint="eastAsia" w:ascii="宋体" w:cs="宋体"/>
                <w:color w:val="000000"/>
                <w:kern w:val="0"/>
                <w:sz w:val="22"/>
                <w:szCs w:val="22"/>
              </w:rPr>
              <w:t>3.有效容积：</w:t>
            </w:r>
            <w:r>
              <w:rPr>
                <w:rFonts w:hint="eastAsia" w:ascii="宋体" w:cs="宋体"/>
                <w:color w:val="000000" w:themeColor="text1"/>
                <w:kern w:val="0"/>
                <w:sz w:val="22"/>
                <w:szCs w:val="22"/>
                <w14:textFill>
                  <w14:solidFill>
                    <w14:schemeClr w14:val="tx1"/>
                  </w14:solidFill>
                </w14:textFill>
              </w:rPr>
              <w:t>不小于500L，单层抽屉高度不小于18cm，净高不小于16cm。</w:t>
            </w:r>
          </w:p>
          <w:p>
            <w:pPr>
              <w:keepNext/>
              <w:widowControl/>
              <w:jc w:val="left"/>
              <w:rPr>
                <w:rFonts w:ascii="宋体" w:cs="宋体"/>
                <w:color w:val="000000"/>
                <w:kern w:val="0"/>
                <w:sz w:val="22"/>
                <w:szCs w:val="22"/>
              </w:rPr>
            </w:pPr>
            <w:r>
              <w:rPr>
                <w:rFonts w:hint="eastAsia" w:ascii="宋体" w:cs="宋体"/>
                <w:color w:val="000000"/>
                <w:kern w:val="0"/>
                <w:sz w:val="22"/>
                <w:szCs w:val="22"/>
              </w:rPr>
              <w:t>4.功率：&lt;350W。</w:t>
            </w:r>
          </w:p>
          <w:p>
            <w:pPr>
              <w:keepNext/>
              <w:widowControl/>
              <w:jc w:val="left"/>
              <w:rPr>
                <w:rFonts w:ascii="宋体" w:cs="宋体"/>
                <w:color w:val="000000"/>
                <w:kern w:val="0"/>
                <w:sz w:val="22"/>
                <w:szCs w:val="22"/>
              </w:rPr>
            </w:pPr>
            <w:r>
              <w:rPr>
                <w:rFonts w:hint="eastAsia" w:ascii="宋体" w:cs="宋体"/>
                <w:color w:val="000000"/>
                <w:kern w:val="0"/>
                <w:sz w:val="22"/>
                <w:szCs w:val="22"/>
              </w:rPr>
              <w:t>5.外部材料：喷涂钢板。</w:t>
            </w:r>
          </w:p>
          <w:p>
            <w:pPr>
              <w:keepNext/>
              <w:widowControl/>
              <w:jc w:val="left"/>
              <w:rPr>
                <w:rFonts w:ascii="宋体" w:cs="宋体"/>
                <w:color w:val="000000"/>
                <w:kern w:val="0"/>
                <w:sz w:val="22"/>
                <w:szCs w:val="22"/>
              </w:rPr>
            </w:pPr>
            <w:r>
              <w:rPr>
                <w:rFonts w:hint="eastAsia" w:ascii="宋体" w:cs="宋体"/>
                <w:color w:val="000000"/>
                <w:kern w:val="0"/>
                <w:sz w:val="22"/>
                <w:szCs w:val="22"/>
              </w:rPr>
              <w:t>6.内部材料：优质喷涂铝板。</w:t>
            </w:r>
          </w:p>
          <w:p>
            <w:pPr>
              <w:keepNext/>
              <w:widowControl/>
              <w:jc w:val="left"/>
              <w:rPr>
                <w:rFonts w:ascii="宋体" w:cs="宋体"/>
                <w:color w:val="000000"/>
                <w:kern w:val="0"/>
                <w:sz w:val="22"/>
                <w:szCs w:val="22"/>
              </w:rPr>
            </w:pPr>
            <w:r>
              <w:rPr>
                <w:rFonts w:hint="eastAsia" w:ascii="宋体" w:cs="宋体"/>
                <w:color w:val="000000"/>
                <w:kern w:val="0"/>
                <w:sz w:val="22"/>
                <w:szCs w:val="22"/>
              </w:rPr>
              <w:t>7.外门2扇，带锁，可以锁住箱门。</w:t>
            </w:r>
          </w:p>
          <w:p>
            <w:pPr>
              <w:keepNext/>
              <w:widowControl/>
              <w:jc w:val="left"/>
              <w:rPr>
                <w:rFonts w:ascii="宋体" w:cs="宋体"/>
                <w:color w:val="000000"/>
                <w:kern w:val="0"/>
                <w:sz w:val="22"/>
                <w:szCs w:val="22"/>
              </w:rPr>
            </w:pPr>
            <w:r>
              <w:rPr>
                <w:rFonts w:hint="eastAsia" w:ascii="宋体" w:cs="宋体"/>
                <w:color w:val="000000"/>
                <w:kern w:val="0"/>
                <w:sz w:val="22"/>
                <w:szCs w:val="22"/>
              </w:rPr>
              <w:t>8.检测孔1个。</w:t>
            </w:r>
          </w:p>
          <w:p>
            <w:pPr>
              <w:keepNext/>
              <w:widowControl/>
              <w:jc w:val="left"/>
              <w:rPr>
                <w:rFonts w:ascii="宋体" w:cs="宋体"/>
                <w:color w:val="000000"/>
                <w:kern w:val="0"/>
                <w:sz w:val="22"/>
                <w:szCs w:val="22"/>
              </w:rPr>
            </w:pPr>
            <w:r>
              <w:rPr>
                <w:rFonts w:hint="eastAsia" w:ascii="宋体" w:cs="宋体"/>
                <w:color w:val="000000"/>
                <w:kern w:val="0"/>
                <w:sz w:val="22"/>
                <w:szCs w:val="22"/>
              </w:rPr>
              <w:t>9.配备2个紧凑式脚轮以及2个止动底角，医用冰箱冰柜配备相应U盘，医用冰箱冰柜留有安置外接温控系统孔道。</w:t>
            </w:r>
          </w:p>
          <w:p>
            <w:pPr>
              <w:keepNext/>
              <w:widowControl/>
              <w:jc w:val="left"/>
              <w:rPr>
                <w:rFonts w:ascii="宋体" w:cs="宋体"/>
                <w:color w:val="000000"/>
                <w:kern w:val="0"/>
                <w:sz w:val="22"/>
                <w:szCs w:val="22"/>
              </w:rPr>
            </w:pPr>
            <w:r>
              <w:rPr>
                <w:rFonts w:hint="eastAsia" w:ascii="宋体" w:cs="宋体"/>
                <w:color w:val="000000"/>
                <w:kern w:val="0"/>
                <w:sz w:val="22"/>
                <w:szCs w:val="22"/>
              </w:rPr>
              <w:t>10.电源(V/Hz)：单相220V/50Hz，内置蓄电池，当外部电源断电时或者电源电压过低时，控制器自动转为蓄电池供电，实时显示柜内温度，蜂鸣器间歇鸣叫。</w:t>
            </w:r>
          </w:p>
          <w:p>
            <w:pPr>
              <w:keepNext/>
              <w:widowControl/>
              <w:jc w:val="left"/>
              <w:rPr>
                <w:rFonts w:ascii="宋体" w:cs="宋体"/>
                <w:color w:val="000000"/>
                <w:kern w:val="0"/>
                <w:sz w:val="22"/>
                <w:szCs w:val="22"/>
              </w:rPr>
            </w:pPr>
            <w:r>
              <w:rPr>
                <w:rFonts w:hint="eastAsia" w:ascii="宋体" w:cs="宋体"/>
                <w:color w:val="000000"/>
                <w:kern w:val="0"/>
                <w:sz w:val="22"/>
                <w:szCs w:val="22"/>
              </w:rPr>
              <w:t>11.采用全封闭型压缩机。</w:t>
            </w:r>
          </w:p>
          <w:p>
            <w:pPr>
              <w:keepNext/>
              <w:widowControl/>
              <w:jc w:val="left"/>
              <w:rPr>
                <w:rFonts w:ascii="宋体" w:cs="宋体"/>
                <w:color w:val="000000"/>
                <w:kern w:val="0"/>
                <w:sz w:val="22"/>
                <w:szCs w:val="22"/>
              </w:rPr>
            </w:pPr>
            <w:r>
              <w:rPr>
                <w:rFonts w:hint="eastAsia" w:ascii="宋体" w:cs="宋体"/>
                <w:color w:val="000000"/>
                <w:kern w:val="0"/>
                <w:sz w:val="22"/>
                <w:szCs w:val="22"/>
              </w:rPr>
              <w:t>12.冷却方式：直冷式。</w:t>
            </w:r>
          </w:p>
          <w:p>
            <w:pPr>
              <w:keepNext/>
              <w:widowControl/>
              <w:jc w:val="left"/>
              <w:rPr>
                <w:rFonts w:ascii="宋体" w:cs="宋体"/>
                <w:color w:val="000000"/>
                <w:kern w:val="0"/>
                <w:sz w:val="22"/>
                <w:szCs w:val="22"/>
              </w:rPr>
            </w:pPr>
            <w:r>
              <w:rPr>
                <w:rFonts w:hint="eastAsia" w:ascii="宋体" w:cs="宋体"/>
                <w:color w:val="000000"/>
                <w:kern w:val="0"/>
                <w:sz w:val="22"/>
                <w:szCs w:val="22"/>
              </w:rPr>
              <w:t>13.安全装置：具有高低温报警、压缩机保护报警、传感器异常报警、断电报警、以及USB通信输出温度数据，三种报警方式(声音蜂鸣报警、灯光闪烁报警、远程信号报警(选配))。</w:t>
            </w:r>
          </w:p>
          <w:p>
            <w:pPr>
              <w:keepNext/>
              <w:widowControl/>
              <w:jc w:val="left"/>
              <w:rPr>
                <w:rFonts w:ascii="宋体" w:cs="宋体"/>
                <w:color w:val="000000"/>
                <w:kern w:val="0"/>
                <w:sz w:val="22"/>
                <w:szCs w:val="22"/>
              </w:rPr>
            </w:pPr>
            <w:r>
              <w:rPr>
                <w:rFonts w:hint="eastAsia" w:ascii="宋体" w:cs="宋体"/>
                <w:color w:val="000000"/>
                <w:kern w:val="0"/>
                <w:sz w:val="22"/>
                <w:szCs w:val="22"/>
              </w:rPr>
              <w:t xml:space="preserve">14.标准配置：钥匙1套，网架配置，柜内容器12个，除霜铲1个，说明书一本。 </w:t>
            </w:r>
          </w:p>
          <w:p>
            <w:pPr>
              <w:keepNext/>
              <w:widowControl/>
              <w:jc w:val="left"/>
              <w:rPr>
                <w:rFonts w:ascii="宋体" w:cs="宋体"/>
                <w:color w:val="000000"/>
                <w:kern w:val="0"/>
                <w:sz w:val="22"/>
                <w:szCs w:val="22"/>
              </w:rPr>
            </w:pPr>
            <w:r>
              <w:rPr>
                <w:rFonts w:hint="eastAsia" w:ascii="宋体" w:cs="宋体"/>
                <w:color w:val="000000"/>
                <w:kern w:val="0"/>
                <w:sz w:val="22"/>
                <w:szCs w:val="22"/>
              </w:rPr>
              <w:t>15.配有可调隔板，根据实际使用需求，调节高度，空间利用率最大化。</w:t>
            </w:r>
          </w:p>
          <w:p>
            <w:pPr>
              <w:keepNext/>
              <w:widowControl/>
              <w:jc w:val="left"/>
              <w:rPr>
                <w:rFonts w:ascii="宋体" w:cs="宋体"/>
                <w:color w:val="000000"/>
                <w:kern w:val="0"/>
                <w:sz w:val="22"/>
                <w:szCs w:val="22"/>
              </w:rPr>
            </w:pPr>
            <w:r>
              <w:rPr>
                <w:rFonts w:hint="eastAsia" w:ascii="宋体" w:cs="宋体"/>
                <w:color w:val="000000"/>
                <w:kern w:val="0"/>
                <w:sz w:val="22"/>
                <w:szCs w:val="22"/>
              </w:rPr>
              <w:t>16.箱体浸塑铜管结构制冷蒸发器，避免长期使用管路腐蚀。</w:t>
            </w:r>
          </w:p>
          <w:p>
            <w:pPr>
              <w:keepNext/>
              <w:widowControl/>
              <w:jc w:val="left"/>
              <w:rPr>
                <w:rFonts w:ascii="宋体" w:cs="宋体"/>
                <w:color w:val="000000"/>
                <w:kern w:val="0"/>
                <w:sz w:val="22"/>
                <w:szCs w:val="22"/>
              </w:rPr>
            </w:pPr>
            <w:r>
              <w:rPr>
                <w:rFonts w:hint="eastAsia" w:ascii="宋体" w:cs="宋体"/>
                <w:color w:val="000000"/>
                <w:kern w:val="0"/>
                <w:sz w:val="22"/>
                <w:szCs w:val="22"/>
              </w:rPr>
              <w:t>17.独特的丝管式冷凝器设计，散热效果好，免过滤网清洗。</w:t>
            </w:r>
          </w:p>
          <w:p>
            <w:pPr>
              <w:keepNext/>
              <w:widowControl/>
              <w:jc w:val="left"/>
              <w:rPr>
                <w:rFonts w:ascii="宋体" w:cs="宋体"/>
                <w:color w:val="000000"/>
                <w:kern w:val="0"/>
                <w:sz w:val="22"/>
                <w:szCs w:val="22"/>
              </w:rPr>
            </w:pPr>
            <w:r>
              <w:rPr>
                <w:rFonts w:hint="eastAsia" w:ascii="宋体" w:cs="宋体"/>
                <w:color w:val="000000"/>
                <w:kern w:val="0"/>
                <w:sz w:val="22"/>
                <w:szCs w:val="22"/>
              </w:rPr>
              <w:t>18.带有自检功能，对产品报警功能进行检测。</w:t>
            </w:r>
          </w:p>
          <w:p>
            <w:pPr>
              <w:keepNext/>
              <w:widowControl/>
              <w:jc w:val="left"/>
              <w:rPr>
                <w:rFonts w:ascii="宋体" w:cs="宋体"/>
                <w:color w:val="000000"/>
                <w:kern w:val="0"/>
                <w:sz w:val="22"/>
                <w:szCs w:val="22"/>
              </w:rPr>
            </w:pPr>
            <w:r>
              <w:rPr>
                <w:rFonts w:hint="eastAsia" w:ascii="宋体" w:cs="宋体"/>
                <w:color w:val="000000"/>
                <w:kern w:val="0"/>
                <w:sz w:val="22"/>
                <w:szCs w:val="22"/>
              </w:rPr>
              <w:t>19.带有安全门锁设计，防止随意开启，保护样本安全。</w:t>
            </w:r>
          </w:p>
          <w:p>
            <w:pPr>
              <w:keepNext/>
              <w:widowControl/>
              <w:jc w:val="left"/>
              <w:rPr>
                <w:rFonts w:ascii="宋体" w:cs="宋体"/>
                <w:color w:val="000000"/>
                <w:kern w:val="0"/>
                <w:sz w:val="22"/>
                <w:szCs w:val="22"/>
              </w:rPr>
            </w:pPr>
            <w:r>
              <w:rPr>
                <w:rFonts w:hint="eastAsia" w:ascii="宋体" w:cs="宋体"/>
                <w:color w:val="000000"/>
                <w:kern w:val="0"/>
                <w:sz w:val="22"/>
                <w:szCs w:val="22"/>
              </w:rPr>
              <w:t>三、产品资质</w:t>
            </w:r>
          </w:p>
          <w:p>
            <w:pPr>
              <w:keepNext/>
              <w:widowControl/>
              <w:jc w:val="left"/>
              <w:rPr>
                <w:rFonts w:ascii="宋体" w:cs="宋体"/>
                <w:color w:val="000000" w:themeColor="text1"/>
                <w:kern w:val="0"/>
                <w:sz w:val="22"/>
                <w:szCs w:val="22"/>
                <w14:textFill>
                  <w14:solidFill>
                    <w14:schemeClr w14:val="tx1"/>
                  </w14:solidFill>
                </w14:textFill>
              </w:rPr>
            </w:pPr>
            <w:r>
              <w:rPr>
                <w:rFonts w:hint="eastAsia" w:ascii="宋体" w:cs="宋体"/>
                <w:color w:val="000000" w:themeColor="text1"/>
                <w:kern w:val="0"/>
                <w:sz w:val="22"/>
                <w:szCs w:val="22"/>
                <w14:textFill>
                  <w14:solidFill>
                    <w14:schemeClr w14:val="tx1"/>
                  </w14:solidFill>
                </w14:textFill>
              </w:rPr>
              <w:t>1.医疗器械生产企业许可证。</w:t>
            </w:r>
          </w:p>
          <w:p>
            <w:pPr>
              <w:keepNext/>
              <w:widowControl/>
              <w:jc w:val="left"/>
              <w:rPr>
                <w:rFonts w:ascii="宋体" w:cs="宋体"/>
                <w:color w:val="000000" w:themeColor="text1"/>
                <w:kern w:val="0"/>
                <w:sz w:val="22"/>
                <w:szCs w:val="22"/>
                <w14:textFill>
                  <w14:solidFill>
                    <w14:schemeClr w14:val="tx1"/>
                  </w14:solidFill>
                </w14:textFill>
              </w:rPr>
            </w:pPr>
            <w:r>
              <w:rPr>
                <w:rFonts w:hint="eastAsia" w:ascii="宋体" w:cs="宋体"/>
                <w:color w:val="000000" w:themeColor="text1"/>
                <w:kern w:val="0"/>
                <w:sz w:val="22"/>
                <w:szCs w:val="22"/>
                <w14:textFill>
                  <w14:solidFill>
                    <w14:schemeClr w14:val="tx1"/>
                  </w14:solidFill>
                </w14:textFill>
              </w:rPr>
              <w:t>2.中华人民共和国医疗器械按照型号注册证。</w:t>
            </w:r>
          </w:p>
          <w:p>
            <w:pPr>
              <w:keepNext/>
              <w:widowControl/>
              <w:jc w:val="left"/>
              <w:rPr>
                <w:rFonts w:ascii="宋体" w:cs="宋体"/>
                <w:szCs w:val="21"/>
              </w:rPr>
            </w:pPr>
            <w:r>
              <w:rPr>
                <w:rFonts w:hint="eastAsia" w:ascii="宋体" w:cs="宋体"/>
                <w:color w:val="000000" w:themeColor="text1"/>
                <w:kern w:val="0"/>
                <w:sz w:val="22"/>
                <w:szCs w:val="22"/>
                <w14:textFill>
                  <w14:solidFill>
                    <w14:schemeClr w14:val="tx1"/>
                  </w14:solidFill>
                </w14:textFill>
              </w:rPr>
              <w:t>3.ISO13485医疗器械质量管理体系认证；质量管理体系；职业健康管理体系</w:t>
            </w:r>
          </w:p>
        </w:tc>
        <w:tc>
          <w:tcPr>
            <w:tcW w:w="646" w:type="dxa"/>
            <w:vAlign w:val="center"/>
          </w:tcPr>
          <w:p>
            <w:pPr>
              <w:spacing w:line="360" w:lineRule="auto"/>
              <w:jc w:val="center"/>
              <w:rPr>
                <w:rFonts w:ascii="宋体" w:cs="宋体"/>
                <w:szCs w:val="21"/>
              </w:rPr>
            </w:pPr>
            <w:r>
              <w:rPr>
                <w:rFonts w:hint="eastAsia" w:ascii="宋体" w:cs="宋体"/>
                <w:szCs w:val="21"/>
              </w:rPr>
              <w:t>9</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11674" w:hRule="atLeast"/>
        </w:trPr>
        <w:tc>
          <w:tcPr>
            <w:tcW w:w="669" w:type="dxa"/>
            <w:vAlign w:val="center"/>
          </w:tcPr>
          <w:p>
            <w:pPr>
              <w:spacing w:line="360" w:lineRule="auto"/>
              <w:jc w:val="center"/>
              <w:rPr>
                <w:rFonts w:ascii="宋体" w:cs="宋体"/>
                <w:szCs w:val="21"/>
              </w:rPr>
            </w:pPr>
            <w:r>
              <w:rPr>
                <w:rFonts w:hint="eastAsia" w:ascii="宋体" w:cs="宋体"/>
                <w:szCs w:val="21"/>
              </w:rPr>
              <w:t>5</w:t>
            </w:r>
          </w:p>
        </w:tc>
        <w:tc>
          <w:tcPr>
            <w:tcW w:w="1021" w:type="dxa"/>
            <w:vAlign w:val="center"/>
          </w:tcPr>
          <w:p>
            <w:pPr>
              <w:keepNext/>
              <w:widowControl/>
              <w:jc w:val="center"/>
              <w:rPr>
                <w:rFonts w:ascii="宋体" w:cs="宋体"/>
                <w:szCs w:val="21"/>
              </w:rPr>
            </w:pPr>
            <w:r>
              <w:rPr>
                <w:rFonts w:hint="eastAsia" w:ascii="宋体" w:cs="宋体"/>
                <w:color w:val="000000"/>
                <w:kern w:val="0"/>
                <w:sz w:val="22"/>
                <w:szCs w:val="22"/>
              </w:rPr>
              <w:t>医用冷冻冷藏柜</w:t>
            </w:r>
          </w:p>
        </w:tc>
        <w:tc>
          <w:tcPr>
            <w:tcW w:w="6367" w:type="dxa"/>
          </w:tcPr>
          <w:p>
            <w:pPr>
              <w:keepNext/>
              <w:widowControl/>
              <w:jc w:val="left"/>
              <w:rPr>
                <w:rFonts w:ascii="宋体" w:cs="宋体"/>
                <w:color w:val="000000"/>
                <w:kern w:val="0"/>
                <w:sz w:val="22"/>
                <w:szCs w:val="22"/>
              </w:rPr>
            </w:pPr>
            <w:r>
              <w:rPr>
                <w:rFonts w:hint="eastAsia" w:ascii="宋体" w:cs="宋体"/>
                <w:color w:val="000000"/>
                <w:kern w:val="0"/>
                <w:sz w:val="22"/>
                <w:szCs w:val="22"/>
              </w:rPr>
              <w:t>1、有效容积 ：有效容积&gt;280L；</w:t>
            </w:r>
          </w:p>
          <w:p>
            <w:pPr>
              <w:keepNext/>
              <w:widowControl/>
              <w:jc w:val="left"/>
              <w:rPr>
                <w:rFonts w:ascii="宋体" w:cs="宋体"/>
                <w:color w:val="000000"/>
                <w:kern w:val="0"/>
                <w:sz w:val="22"/>
                <w:szCs w:val="22"/>
              </w:rPr>
            </w:pPr>
            <w:r>
              <w:rPr>
                <w:rFonts w:hint="eastAsia" w:ascii="宋体" w:cs="宋体"/>
                <w:color w:val="000000"/>
                <w:kern w:val="0"/>
                <w:sz w:val="22"/>
                <w:szCs w:val="22"/>
              </w:rPr>
              <w:t>2、整体结构：立式，上下双发泡门；冷藏室容积&gt;180L层高可调节，冷冻室容积&gt;90L，单层抽屉高度不小于18cm，净高不小于16cm。</w:t>
            </w:r>
          </w:p>
          <w:p>
            <w:pPr>
              <w:keepNext/>
              <w:widowControl/>
              <w:jc w:val="left"/>
              <w:rPr>
                <w:rFonts w:ascii="宋体" w:cs="宋体"/>
                <w:color w:val="000000"/>
                <w:kern w:val="0"/>
                <w:sz w:val="22"/>
                <w:szCs w:val="22"/>
              </w:rPr>
            </w:pPr>
            <w:r>
              <w:rPr>
                <w:rFonts w:hint="eastAsia" w:ascii="宋体" w:cs="宋体"/>
                <w:color w:val="000000"/>
                <w:kern w:val="0"/>
                <w:sz w:val="22"/>
                <w:szCs w:val="22"/>
              </w:rPr>
              <w:t>3、温度控制:微电脑控制,触摸按键，大屏幕数码温度显示，可同时显示冷藏、冷冻室温度，显示精度1℃，冷藏温度范围2～8℃，冷冻温度低于-10～-26℃ ℃ 温度可自行调节；</w:t>
            </w:r>
          </w:p>
          <w:p>
            <w:pPr>
              <w:keepNext/>
              <w:widowControl/>
              <w:jc w:val="left"/>
              <w:rPr>
                <w:rFonts w:ascii="宋体" w:cs="宋体"/>
                <w:color w:val="000000"/>
                <w:kern w:val="0"/>
                <w:sz w:val="22"/>
                <w:szCs w:val="22"/>
              </w:rPr>
            </w:pPr>
            <w:r>
              <w:rPr>
                <w:rFonts w:hint="eastAsia" w:ascii="宋体" w:cs="宋体"/>
                <w:color w:val="000000"/>
                <w:kern w:val="0"/>
                <w:sz w:val="22"/>
                <w:szCs w:val="22"/>
              </w:rPr>
              <w:t>4、核心组件：采用名牌压缩机，国际品牌风机，冷藏室采用环保冷剂，节能环保，制冷效果佳，质量可靠、性能稳定、使用寿命长；并能提供铭牌证明；</w:t>
            </w:r>
          </w:p>
          <w:p>
            <w:pPr>
              <w:keepNext/>
              <w:widowControl/>
              <w:jc w:val="left"/>
              <w:rPr>
                <w:rFonts w:ascii="宋体" w:cs="宋体"/>
                <w:color w:val="000000"/>
                <w:kern w:val="0"/>
                <w:sz w:val="22"/>
                <w:szCs w:val="22"/>
              </w:rPr>
            </w:pPr>
            <w:r>
              <w:rPr>
                <w:rFonts w:hint="eastAsia" w:ascii="宋体" w:cs="宋体"/>
                <w:color w:val="000000"/>
                <w:kern w:val="0"/>
                <w:sz w:val="22"/>
                <w:szCs w:val="22"/>
              </w:rPr>
              <w:t>5、</w:t>
            </w:r>
            <w:r>
              <w:rPr>
                <w:rFonts w:hint="eastAsia" w:ascii="宋体" w:cs="宋体"/>
                <w:color w:val="000000" w:themeColor="text1"/>
                <w:kern w:val="0"/>
                <w:sz w:val="22"/>
                <w:szCs w:val="22"/>
                <w14:textFill>
                  <w14:solidFill>
                    <w14:schemeClr w14:val="tx1"/>
                  </w14:solidFill>
                </w14:textFill>
              </w:rPr>
              <w:t xml:space="preserve">资质认证：产品的制造厂家通过ISO9001、ISO13485认证，产品具有医疗器械注册证, </w:t>
            </w:r>
            <w:r>
              <w:rPr>
                <w:rFonts w:hint="eastAsia" w:ascii="宋体" w:cs="宋体"/>
                <w:color w:val="000000"/>
                <w:kern w:val="0"/>
                <w:sz w:val="22"/>
                <w:szCs w:val="22"/>
              </w:rPr>
              <w:t>安全性更高；</w:t>
            </w:r>
          </w:p>
          <w:p>
            <w:pPr>
              <w:keepNext/>
              <w:widowControl/>
              <w:jc w:val="left"/>
              <w:rPr>
                <w:rFonts w:ascii="宋体" w:cs="宋体"/>
                <w:color w:val="000000"/>
                <w:kern w:val="0"/>
                <w:sz w:val="22"/>
                <w:szCs w:val="22"/>
              </w:rPr>
            </w:pPr>
            <w:r>
              <w:rPr>
                <w:rFonts w:hint="eastAsia" w:ascii="宋体" w:cs="宋体"/>
                <w:color w:val="000000"/>
                <w:kern w:val="0"/>
                <w:sz w:val="22"/>
                <w:szCs w:val="22"/>
              </w:rPr>
              <w:t>6、门体结构：发泡门设计，满足避光保存要求，保温性能优；</w:t>
            </w:r>
          </w:p>
          <w:p>
            <w:pPr>
              <w:keepNext/>
              <w:widowControl/>
              <w:jc w:val="left"/>
              <w:rPr>
                <w:rFonts w:ascii="宋体" w:cs="宋体"/>
                <w:color w:val="000000"/>
                <w:kern w:val="0"/>
                <w:sz w:val="22"/>
                <w:szCs w:val="22"/>
              </w:rPr>
            </w:pPr>
            <w:r>
              <w:rPr>
                <w:rFonts w:hint="eastAsia" w:ascii="宋体" w:cs="宋体"/>
                <w:color w:val="000000"/>
                <w:kern w:val="0"/>
                <w:sz w:val="22"/>
                <w:szCs w:val="22"/>
              </w:rPr>
              <w:t>7、制冷系统：冷藏、冷冻独立制冷系统，可单独停用；</w:t>
            </w:r>
          </w:p>
          <w:p>
            <w:pPr>
              <w:keepNext/>
              <w:widowControl/>
              <w:jc w:val="left"/>
              <w:rPr>
                <w:rFonts w:ascii="宋体" w:cs="宋体"/>
                <w:color w:val="000000"/>
                <w:kern w:val="0"/>
                <w:sz w:val="22"/>
                <w:szCs w:val="22"/>
              </w:rPr>
            </w:pPr>
            <w:r>
              <w:rPr>
                <w:rFonts w:hint="eastAsia" w:ascii="宋体" w:cs="宋体"/>
                <w:color w:val="000000"/>
                <w:kern w:val="0"/>
                <w:sz w:val="22"/>
                <w:szCs w:val="22"/>
              </w:rPr>
              <w:t>8、温度均匀性：采用高性能保温材料，保温效果好，风冷系统，保证箱体温度冷藏室均匀性≤3℃，波动性≤2℃；</w:t>
            </w:r>
          </w:p>
          <w:p>
            <w:pPr>
              <w:keepNext/>
              <w:widowControl/>
              <w:jc w:val="left"/>
              <w:rPr>
                <w:rFonts w:ascii="宋体" w:cs="宋体"/>
                <w:color w:val="000000"/>
                <w:kern w:val="0"/>
                <w:sz w:val="22"/>
                <w:szCs w:val="22"/>
              </w:rPr>
            </w:pPr>
            <w:r>
              <w:rPr>
                <w:rFonts w:hint="eastAsia" w:ascii="宋体" w:cs="宋体"/>
                <w:color w:val="000000"/>
                <w:kern w:val="0"/>
                <w:sz w:val="22"/>
                <w:szCs w:val="22"/>
              </w:rPr>
              <w:t>9、安全系统：多重故障报警，具有蜂鸣报警和灯光闪烁两种报警方式，可实现超温报警、传感故障报警、开门报警、环温高报警等，可选配远程报警、选配网络监控；</w:t>
            </w:r>
          </w:p>
          <w:p>
            <w:pPr>
              <w:keepNext/>
              <w:widowControl/>
              <w:jc w:val="left"/>
              <w:rPr>
                <w:rFonts w:ascii="宋体" w:cs="宋体"/>
                <w:color w:val="000000"/>
                <w:kern w:val="0"/>
                <w:sz w:val="22"/>
                <w:szCs w:val="22"/>
              </w:rPr>
            </w:pPr>
            <w:r>
              <w:rPr>
                <w:rFonts w:hint="eastAsia" w:ascii="宋体" w:cs="宋体"/>
                <w:color w:val="000000"/>
                <w:kern w:val="0"/>
                <w:sz w:val="22"/>
                <w:szCs w:val="22"/>
              </w:rPr>
              <w:t>10、数据存储：可配备数据存储模块，数据可导出数据及图表格式，温度数据可存储十年，实现温度数据的可追溯性；</w:t>
            </w:r>
          </w:p>
          <w:p>
            <w:pPr>
              <w:keepNext/>
              <w:widowControl/>
              <w:jc w:val="left"/>
              <w:rPr>
                <w:rFonts w:ascii="宋体" w:cs="宋体"/>
                <w:color w:val="000000"/>
                <w:kern w:val="0"/>
                <w:sz w:val="22"/>
                <w:szCs w:val="22"/>
              </w:rPr>
            </w:pPr>
            <w:r>
              <w:rPr>
                <w:rFonts w:hint="eastAsia" w:ascii="宋体" w:cs="宋体"/>
                <w:color w:val="000000"/>
                <w:kern w:val="0"/>
                <w:sz w:val="22"/>
                <w:szCs w:val="22"/>
              </w:rPr>
              <w:t>11、数据打印：选配针式温度记录打印机，冷藏、冷冻同时打印，可实现实时打印、定时打印，并有追溯打印功能，打印数据信息可保存一年；</w:t>
            </w:r>
          </w:p>
          <w:p>
            <w:pPr>
              <w:keepNext/>
              <w:widowControl/>
              <w:jc w:val="left"/>
              <w:rPr>
                <w:rFonts w:ascii="宋体" w:cs="宋体"/>
                <w:color w:val="000000"/>
                <w:kern w:val="0"/>
                <w:sz w:val="22"/>
                <w:szCs w:val="22"/>
              </w:rPr>
            </w:pPr>
            <w:r>
              <w:rPr>
                <w:rFonts w:hint="eastAsia" w:ascii="宋体" w:cs="宋体"/>
                <w:color w:val="000000"/>
                <w:kern w:val="0"/>
                <w:sz w:val="22"/>
                <w:szCs w:val="22"/>
              </w:rPr>
              <w:t>12、温度监控：产品配有两个测试孔，方便客户接入温度监控设备，对箱内温度进行监测； 医用冰箱冰柜配备相应U盘，医用冰箱冰柜留有安置外接温控系统孔道。</w:t>
            </w:r>
          </w:p>
          <w:p>
            <w:pPr>
              <w:keepNext/>
              <w:widowControl/>
              <w:jc w:val="left"/>
              <w:rPr>
                <w:rFonts w:ascii="宋体" w:cs="宋体"/>
                <w:color w:val="000000"/>
                <w:kern w:val="0"/>
                <w:sz w:val="22"/>
                <w:szCs w:val="22"/>
              </w:rPr>
            </w:pPr>
            <w:r>
              <w:rPr>
                <w:rFonts w:hint="eastAsia" w:ascii="宋体" w:cs="宋体"/>
                <w:color w:val="000000"/>
                <w:kern w:val="0"/>
                <w:sz w:val="22"/>
                <w:szCs w:val="22"/>
              </w:rPr>
              <w:t>13、箱内配置：冷藏室内搁架间距可调节，满足不同物品放置位置易于清擦；冷藏室配有3层钢丝搁架 ；冷冻室配有不少于2个ABS塑料抽屉,方便用户使用；</w:t>
            </w:r>
          </w:p>
          <w:p>
            <w:pPr>
              <w:keepNext/>
              <w:widowControl/>
              <w:jc w:val="left"/>
              <w:rPr>
                <w:rFonts w:ascii="宋体" w:cs="宋体"/>
                <w:color w:val="000000"/>
                <w:kern w:val="0"/>
                <w:sz w:val="22"/>
                <w:szCs w:val="22"/>
              </w:rPr>
            </w:pPr>
            <w:r>
              <w:rPr>
                <w:rFonts w:hint="eastAsia" w:ascii="宋体" w:cs="宋体"/>
                <w:color w:val="000000"/>
                <w:kern w:val="0"/>
                <w:sz w:val="22"/>
                <w:szCs w:val="22"/>
              </w:rPr>
              <w:t>14、柜内照明：内设LED照明灯，高亮节能，柜内试剂一目了然；</w:t>
            </w:r>
          </w:p>
          <w:p>
            <w:pPr>
              <w:keepNext/>
              <w:widowControl/>
              <w:jc w:val="left"/>
              <w:rPr>
                <w:rFonts w:ascii="宋体" w:cs="宋体"/>
                <w:color w:val="000000"/>
                <w:kern w:val="0"/>
                <w:sz w:val="22"/>
                <w:szCs w:val="22"/>
              </w:rPr>
            </w:pPr>
            <w:r>
              <w:rPr>
                <w:rFonts w:hint="eastAsia" w:ascii="宋体" w:cs="宋体"/>
                <w:color w:val="000000"/>
                <w:kern w:val="0"/>
                <w:sz w:val="22"/>
                <w:szCs w:val="22"/>
              </w:rPr>
              <w:t>15、固定移动：产品配有4个脚轮和2个平衡底脚，移动方便，固定可靠；</w:t>
            </w:r>
          </w:p>
          <w:p>
            <w:pPr>
              <w:keepNext/>
              <w:widowControl/>
              <w:jc w:val="left"/>
              <w:rPr>
                <w:rFonts w:ascii="宋体" w:cs="宋体"/>
                <w:color w:val="000000"/>
                <w:kern w:val="0"/>
                <w:sz w:val="22"/>
                <w:szCs w:val="22"/>
              </w:rPr>
            </w:pPr>
            <w:r>
              <w:rPr>
                <w:rFonts w:hint="eastAsia" w:ascii="宋体" w:cs="宋体"/>
                <w:color w:val="000000"/>
                <w:kern w:val="0"/>
                <w:sz w:val="22"/>
                <w:szCs w:val="22"/>
              </w:rPr>
              <w:t>16、安全保障：安全门锁设计，确保样本安全要求；</w:t>
            </w:r>
          </w:p>
          <w:p>
            <w:pPr>
              <w:keepNext/>
              <w:widowControl/>
              <w:jc w:val="left"/>
              <w:rPr>
                <w:rFonts w:ascii="宋体" w:cs="宋体"/>
                <w:szCs w:val="21"/>
              </w:rPr>
            </w:pPr>
            <w:r>
              <w:rPr>
                <w:rFonts w:hint="eastAsia" w:ascii="宋体" w:cs="宋体"/>
                <w:color w:val="000000"/>
                <w:kern w:val="0"/>
                <w:sz w:val="22"/>
                <w:szCs w:val="22"/>
              </w:rPr>
              <w:t>17、停电报警：内置高容量电池，满足产品断电后继续显示箱内的实时温度，持续时间至少48小时</w:t>
            </w:r>
          </w:p>
        </w:tc>
        <w:tc>
          <w:tcPr>
            <w:tcW w:w="646" w:type="dxa"/>
            <w:vAlign w:val="center"/>
          </w:tcPr>
          <w:p>
            <w:pPr>
              <w:spacing w:line="360" w:lineRule="auto"/>
              <w:jc w:val="center"/>
              <w:rPr>
                <w:rFonts w:hint="eastAsia" w:ascii="宋体" w:eastAsia="宋体" w:cs="宋体"/>
                <w:szCs w:val="21"/>
                <w:lang w:eastAsia="zh-CN"/>
              </w:rPr>
            </w:pPr>
            <w:r>
              <w:rPr>
                <w:rFonts w:hint="eastAsia" w:ascii="宋体" w:cs="宋体"/>
                <w:szCs w:val="21"/>
                <w:lang w:val="en-US" w:eastAsia="zh-CN"/>
              </w:rPr>
              <w:t>7</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c>
          <w:tcPr>
            <w:tcW w:w="669" w:type="dxa"/>
            <w:vAlign w:val="center"/>
          </w:tcPr>
          <w:p>
            <w:pPr>
              <w:spacing w:line="360" w:lineRule="auto"/>
              <w:jc w:val="center"/>
              <w:rPr>
                <w:rFonts w:ascii="宋体" w:cs="宋体"/>
                <w:szCs w:val="21"/>
              </w:rPr>
            </w:pPr>
            <w:r>
              <w:rPr>
                <w:rFonts w:hint="eastAsia" w:ascii="宋体" w:cs="宋体"/>
                <w:szCs w:val="21"/>
              </w:rPr>
              <w:t>6</w:t>
            </w:r>
          </w:p>
        </w:tc>
        <w:tc>
          <w:tcPr>
            <w:tcW w:w="1021" w:type="dxa"/>
            <w:vAlign w:val="center"/>
          </w:tcPr>
          <w:p>
            <w:pPr>
              <w:keepNext/>
              <w:widowControl/>
              <w:jc w:val="center"/>
              <w:rPr>
                <w:rFonts w:ascii="宋体" w:cs="宋体"/>
                <w:color w:val="000000"/>
                <w:kern w:val="0"/>
                <w:sz w:val="22"/>
                <w:szCs w:val="22"/>
              </w:rPr>
            </w:pPr>
            <w:r>
              <w:rPr>
                <w:rFonts w:hint="eastAsia" w:ascii="宋体" w:cs="宋体"/>
                <w:color w:val="000000"/>
                <w:kern w:val="0"/>
                <w:sz w:val="22"/>
                <w:szCs w:val="22"/>
              </w:rPr>
              <w:t>医用低温冰柜</w:t>
            </w:r>
          </w:p>
        </w:tc>
        <w:tc>
          <w:tcPr>
            <w:tcW w:w="6367" w:type="dxa"/>
          </w:tcPr>
          <w:p>
            <w:pPr>
              <w:keepNext/>
              <w:widowControl/>
              <w:jc w:val="left"/>
              <w:rPr>
                <w:rFonts w:ascii="宋体" w:cs="宋体"/>
                <w:color w:val="000000"/>
                <w:kern w:val="0"/>
                <w:sz w:val="22"/>
                <w:szCs w:val="22"/>
              </w:rPr>
            </w:pPr>
            <w:r>
              <w:rPr>
                <w:rFonts w:hint="eastAsia" w:ascii="宋体" w:cs="宋体"/>
                <w:color w:val="000000"/>
                <w:kern w:val="0"/>
                <w:sz w:val="22"/>
                <w:szCs w:val="22"/>
              </w:rPr>
              <w:t>1、工作条件：环境温度16-32℃，环境湿度：20-80%，电压：220V±10% ， 频率50±1Hz。</w:t>
            </w:r>
          </w:p>
          <w:p>
            <w:pPr>
              <w:keepNext/>
              <w:widowControl/>
              <w:jc w:val="left"/>
              <w:rPr>
                <w:rFonts w:ascii="宋体" w:cs="宋体"/>
                <w:color w:val="000000"/>
                <w:kern w:val="0"/>
                <w:sz w:val="22"/>
                <w:szCs w:val="22"/>
              </w:rPr>
            </w:pPr>
            <w:r>
              <w:rPr>
                <w:rFonts w:hint="eastAsia" w:ascii="宋体" w:cs="宋体"/>
                <w:color w:val="000000"/>
                <w:kern w:val="0"/>
                <w:sz w:val="22"/>
                <w:szCs w:val="22"/>
              </w:rPr>
              <w:t>2、样式：卧式，单门。</w:t>
            </w:r>
          </w:p>
          <w:p>
            <w:pPr>
              <w:keepNext/>
              <w:widowControl/>
              <w:jc w:val="left"/>
              <w:rPr>
                <w:rFonts w:ascii="宋体" w:cs="宋体"/>
                <w:color w:val="000000"/>
                <w:kern w:val="0"/>
                <w:sz w:val="22"/>
                <w:szCs w:val="22"/>
              </w:rPr>
            </w:pPr>
            <w:r>
              <w:rPr>
                <w:rFonts w:hint="eastAsia" w:ascii="宋体" w:cs="宋体"/>
                <w:color w:val="000000"/>
                <w:kern w:val="0"/>
                <w:sz w:val="22"/>
                <w:szCs w:val="22"/>
              </w:rPr>
              <w:t>3、有效容积（L）：≥500。</w:t>
            </w:r>
          </w:p>
          <w:p>
            <w:pPr>
              <w:keepNext/>
              <w:widowControl/>
              <w:jc w:val="left"/>
              <w:rPr>
                <w:rFonts w:ascii="宋体" w:cs="宋体"/>
                <w:color w:val="000000"/>
                <w:kern w:val="0"/>
                <w:sz w:val="22"/>
                <w:szCs w:val="22"/>
              </w:rPr>
            </w:pPr>
            <w:r>
              <w:rPr>
                <w:rFonts w:hint="eastAsia" w:ascii="宋体" w:cs="宋体"/>
                <w:color w:val="000000"/>
                <w:kern w:val="0"/>
                <w:sz w:val="22"/>
                <w:szCs w:val="22"/>
              </w:rPr>
              <w:t>4、外部尺寸（宽*深*高mm）：≤1690*785*980。</w:t>
            </w:r>
          </w:p>
          <w:p>
            <w:pPr>
              <w:keepNext/>
              <w:widowControl/>
              <w:jc w:val="left"/>
              <w:rPr>
                <w:rFonts w:ascii="宋体" w:cs="宋体"/>
                <w:color w:val="000000"/>
                <w:kern w:val="0"/>
                <w:sz w:val="22"/>
                <w:szCs w:val="22"/>
              </w:rPr>
            </w:pPr>
            <w:r>
              <w:rPr>
                <w:rFonts w:hint="eastAsia" w:ascii="宋体" w:cs="宋体"/>
                <w:color w:val="000000"/>
                <w:kern w:val="0"/>
                <w:sz w:val="22"/>
                <w:szCs w:val="22"/>
              </w:rPr>
              <w:t>5、内部尺寸（宽*深*高mm）：≥1500*500*600。</w:t>
            </w:r>
          </w:p>
          <w:p>
            <w:pPr>
              <w:keepNext/>
              <w:widowControl/>
              <w:jc w:val="left"/>
              <w:rPr>
                <w:rFonts w:ascii="宋体" w:cs="宋体"/>
                <w:color w:val="000000"/>
                <w:kern w:val="0"/>
                <w:sz w:val="22"/>
                <w:szCs w:val="22"/>
              </w:rPr>
            </w:pPr>
            <w:r>
              <w:rPr>
                <w:rFonts w:hint="eastAsia" w:ascii="宋体" w:cs="宋体"/>
                <w:color w:val="000000"/>
                <w:kern w:val="0"/>
                <w:sz w:val="22"/>
                <w:szCs w:val="22"/>
              </w:rPr>
              <w:t>6、压缩机：名牌压缩机，节能、高效、静音。</w:t>
            </w:r>
          </w:p>
          <w:p>
            <w:pPr>
              <w:keepNext/>
              <w:widowControl/>
              <w:jc w:val="left"/>
              <w:rPr>
                <w:rFonts w:ascii="宋体" w:cs="宋体"/>
                <w:color w:val="000000"/>
                <w:kern w:val="0"/>
                <w:sz w:val="22"/>
                <w:szCs w:val="22"/>
              </w:rPr>
            </w:pPr>
            <w:r>
              <w:rPr>
                <w:rFonts w:hint="eastAsia" w:ascii="宋体" w:cs="宋体"/>
                <w:color w:val="000000"/>
                <w:kern w:val="0"/>
                <w:sz w:val="22"/>
                <w:szCs w:val="22"/>
              </w:rPr>
              <w:t>7、保温材料：无CFC聚氨酯发泡保温层，环保无污染。</w:t>
            </w:r>
          </w:p>
          <w:p>
            <w:pPr>
              <w:keepNext/>
              <w:widowControl/>
              <w:jc w:val="left"/>
              <w:rPr>
                <w:rFonts w:ascii="宋体" w:cs="宋体"/>
                <w:color w:val="000000"/>
                <w:kern w:val="0"/>
                <w:sz w:val="22"/>
                <w:szCs w:val="22"/>
              </w:rPr>
            </w:pPr>
            <w:r>
              <w:rPr>
                <w:rFonts w:hint="eastAsia" w:ascii="宋体" w:cs="宋体"/>
                <w:color w:val="000000"/>
                <w:kern w:val="0"/>
                <w:sz w:val="22"/>
                <w:szCs w:val="22"/>
              </w:rPr>
              <w:t>8、制冷剂：无氟环保制冷剂，稳定可靠，不易燃易爆。</w:t>
            </w:r>
          </w:p>
          <w:p>
            <w:pPr>
              <w:keepNext/>
              <w:widowControl/>
              <w:jc w:val="left"/>
              <w:rPr>
                <w:rFonts w:ascii="宋体" w:cs="宋体"/>
                <w:color w:val="000000"/>
                <w:kern w:val="0"/>
                <w:sz w:val="22"/>
                <w:szCs w:val="22"/>
              </w:rPr>
            </w:pPr>
            <w:r>
              <w:rPr>
                <w:rFonts w:hint="eastAsia" w:ascii="宋体" w:cs="宋体"/>
                <w:color w:val="000000"/>
                <w:kern w:val="0"/>
                <w:sz w:val="22"/>
                <w:szCs w:val="22"/>
              </w:rPr>
              <w:t>9、精确控温：高清晰数码温度显示，高精度微电脑温度控制系统，箱体内温度-10℃~-25℃范围内任意设定，显示精度0.1℃。</w:t>
            </w:r>
          </w:p>
          <w:p>
            <w:pPr>
              <w:keepNext/>
              <w:widowControl/>
              <w:jc w:val="left"/>
              <w:rPr>
                <w:rFonts w:ascii="宋体" w:cs="宋体"/>
                <w:color w:val="000000"/>
                <w:kern w:val="0"/>
                <w:sz w:val="22"/>
                <w:szCs w:val="22"/>
              </w:rPr>
            </w:pPr>
            <w:r>
              <w:rPr>
                <w:rFonts w:hint="eastAsia" w:ascii="宋体" w:cs="宋体"/>
                <w:color w:val="000000"/>
                <w:kern w:val="0"/>
                <w:sz w:val="22"/>
                <w:szCs w:val="22"/>
              </w:rPr>
              <w:t xml:space="preserve">10. 声光报警系统：高低温报警、传感器故障报警、超量程报警等多重保障，全面保障样本安全。医用冰箱冰柜配备相应U盘，医用冰箱冰柜留有安置外接温控系统孔道。 </w:t>
            </w:r>
          </w:p>
          <w:p>
            <w:pPr>
              <w:keepNext/>
              <w:widowControl/>
              <w:jc w:val="left"/>
              <w:rPr>
                <w:rFonts w:ascii="宋体" w:cs="宋体"/>
                <w:color w:val="000000"/>
                <w:kern w:val="0"/>
                <w:sz w:val="22"/>
                <w:szCs w:val="22"/>
              </w:rPr>
            </w:pPr>
            <w:r>
              <w:rPr>
                <w:rFonts w:hint="eastAsia" w:ascii="宋体" w:cs="宋体"/>
                <w:color w:val="000000"/>
                <w:kern w:val="0"/>
                <w:sz w:val="22"/>
                <w:szCs w:val="22"/>
              </w:rPr>
              <w:t>11. 运行保护：开机延时、停机间隔等保护功能，确保运行可靠。</w:t>
            </w:r>
          </w:p>
          <w:p>
            <w:pPr>
              <w:keepNext/>
              <w:widowControl/>
              <w:jc w:val="left"/>
              <w:rPr>
                <w:rFonts w:ascii="宋体" w:cs="宋体"/>
                <w:color w:val="000000"/>
                <w:kern w:val="0"/>
                <w:sz w:val="22"/>
                <w:szCs w:val="22"/>
              </w:rPr>
            </w:pPr>
            <w:r>
              <w:rPr>
                <w:rFonts w:hint="eastAsia" w:ascii="宋体" w:cs="宋体"/>
                <w:color w:val="000000"/>
                <w:kern w:val="0"/>
                <w:sz w:val="22"/>
                <w:szCs w:val="22"/>
              </w:rPr>
              <w:t>12. 箱体材质：内壁为PCM彩板材质，经久耐用、便于清洁。</w:t>
            </w:r>
          </w:p>
          <w:p>
            <w:pPr>
              <w:keepNext/>
              <w:widowControl/>
              <w:jc w:val="left"/>
              <w:rPr>
                <w:rFonts w:ascii="宋体" w:cs="宋体"/>
                <w:color w:val="000000"/>
                <w:kern w:val="0"/>
                <w:sz w:val="22"/>
                <w:szCs w:val="22"/>
              </w:rPr>
            </w:pPr>
            <w:r>
              <w:rPr>
                <w:rFonts w:hint="eastAsia" w:ascii="宋体" w:cs="宋体"/>
                <w:color w:val="000000"/>
                <w:kern w:val="0"/>
                <w:sz w:val="22"/>
                <w:szCs w:val="22"/>
              </w:rPr>
              <w:t>13. 内胆材料：内壁为PCM彩板材质，经久耐用、便于清洁。</w:t>
            </w:r>
          </w:p>
          <w:p>
            <w:pPr>
              <w:keepNext/>
              <w:widowControl/>
              <w:jc w:val="left"/>
              <w:rPr>
                <w:rFonts w:ascii="宋体" w:cs="宋体"/>
                <w:color w:val="000000"/>
                <w:kern w:val="0"/>
                <w:sz w:val="22"/>
                <w:szCs w:val="22"/>
              </w:rPr>
            </w:pPr>
            <w:r>
              <w:rPr>
                <w:rFonts w:hint="eastAsia" w:ascii="宋体" w:cs="宋体"/>
                <w:color w:val="000000"/>
                <w:kern w:val="0"/>
                <w:sz w:val="22"/>
                <w:szCs w:val="22"/>
              </w:rPr>
              <w:t>14. 内嵌式门封条，防尘且方便清洗。</w:t>
            </w:r>
          </w:p>
          <w:p>
            <w:pPr>
              <w:keepNext/>
              <w:widowControl/>
              <w:jc w:val="left"/>
              <w:rPr>
                <w:rFonts w:ascii="宋体" w:cs="宋体"/>
                <w:color w:val="000000"/>
                <w:kern w:val="0"/>
                <w:sz w:val="22"/>
                <w:szCs w:val="22"/>
              </w:rPr>
            </w:pPr>
            <w:r>
              <w:rPr>
                <w:rFonts w:hint="eastAsia" w:ascii="宋体" w:cs="宋体"/>
                <w:color w:val="000000"/>
                <w:kern w:val="0"/>
                <w:sz w:val="22"/>
                <w:szCs w:val="22"/>
              </w:rPr>
              <w:t>15. 两个弧形门把手，四副平衡铰链设计，内置两个吊篮。</w:t>
            </w:r>
          </w:p>
          <w:p>
            <w:pPr>
              <w:keepNext/>
              <w:widowControl/>
              <w:jc w:val="left"/>
              <w:rPr>
                <w:rFonts w:ascii="宋体" w:cs="宋体"/>
                <w:color w:val="000000"/>
                <w:kern w:val="0"/>
                <w:sz w:val="22"/>
                <w:szCs w:val="22"/>
              </w:rPr>
            </w:pPr>
            <w:r>
              <w:rPr>
                <w:rFonts w:hint="eastAsia" w:ascii="宋体" w:cs="宋体"/>
                <w:color w:val="000000"/>
                <w:kern w:val="0"/>
                <w:sz w:val="22"/>
                <w:szCs w:val="22"/>
              </w:rPr>
              <w:t>16. 底部设有排水孔。</w:t>
            </w:r>
          </w:p>
          <w:p>
            <w:pPr>
              <w:keepNext/>
              <w:widowControl/>
              <w:jc w:val="left"/>
              <w:rPr>
                <w:rFonts w:ascii="宋体" w:cs="宋体"/>
                <w:color w:val="000000"/>
                <w:kern w:val="0"/>
                <w:sz w:val="22"/>
                <w:szCs w:val="22"/>
              </w:rPr>
            </w:pPr>
            <w:r>
              <w:rPr>
                <w:rFonts w:hint="eastAsia" w:ascii="宋体" w:cs="宋体"/>
                <w:color w:val="000000"/>
                <w:kern w:val="0"/>
                <w:sz w:val="22"/>
                <w:szCs w:val="22"/>
              </w:rPr>
              <w:t>17. 安全门锁设计，防止随意开启。</w:t>
            </w:r>
          </w:p>
          <w:p>
            <w:pPr>
              <w:keepNext/>
              <w:widowControl/>
              <w:jc w:val="left"/>
              <w:rPr>
                <w:rFonts w:ascii="宋体" w:cs="宋体"/>
                <w:color w:val="000000"/>
                <w:kern w:val="0"/>
                <w:sz w:val="22"/>
                <w:szCs w:val="22"/>
              </w:rPr>
            </w:pPr>
            <w:r>
              <w:rPr>
                <w:rFonts w:hint="eastAsia" w:ascii="宋体" w:cs="宋体"/>
                <w:color w:val="000000"/>
                <w:kern w:val="0"/>
                <w:sz w:val="22"/>
                <w:szCs w:val="22"/>
              </w:rPr>
              <w:t>18. 底部配置四个万向脚轮加两个定向脚轮，方便移动。</w:t>
            </w:r>
          </w:p>
          <w:p>
            <w:pPr>
              <w:keepNext/>
              <w:widowControl/>
              <w:jc w:val="left"/>
              <w:rPr>
                <w:rFonts w:ascii="宋体" w:cs="宋体"/>
                <w:color w:val="000000"/>
                <w:kern w:val="0"/>
                <w:sz w:val="22"/>
                <w:szCs w:val="22"/>
              </w:rPr>
            </w:pPr>
            <w:r>
              <w:rPr>
                <w:rFonts w:hint="eastAsia" w:ascii="宋体" w:cs="宋体"/>
                <w:color w:val="000000"/>
                <w:kern w:val="0"/>
                <w:sz w:val="22"/>
                <w:szCs w:val="22"/>
              </w:rPr>
              <w:t>三、资质：</w:t>
            </w:r>
          </w:p>
          <w:p>
            <w:pPr>
              <w:keepNext/>
              <w:widowControl/>
              <w:jc w:val="left"/>
              <w:rPr>
                <w:rFonts w:ascii="宋体" w:cs="宋体"/>
                <w:color w:val="000000" w:themeColor="text1"/>
                <w:kern w:val="0"/>
                <w:sz w:val="22"/>
                <w:szCs w:val="22"/>
                <w14:textFill>
                  <w14:solidFill>
                    <w14:schemeClr w14:val="tx1"/>
                  </w14:solidFill>
                </w14:textFill>
              </w:rPr>
            </w:pPr>
            <w:r>
              <w:rPr>
                <w:rFonts w:hint="eastAsia" w:ascii="宋体" w:cs="宋体"/>
                <w:color w:val="000000" w:themeColor="text1"/>
                <w:kern w:val="0"/>
                <w:sz w:val="22"/>
                <w:szCs w:val="22"/>
                <w14:textFill>
                  <w14:solidFill>
                    <w14:schemeClr w14:val="tx1"/>
                  </w14:solidFill>
                </w14:textFill>
              </w:rPr>
              <w:t>医疗器械生产企业许可证，ISO9001质量管理体系认证，ISO14001环境管理体系认证，ISO13485医疗器械质量管理体系认证，ISO45001职业健康体系认证</w:t>
            </w:r>
          </w:p>
          <w:p>
            <w:pPr>
              <w:keepNext/>
              <w:widowControl/>
              <w:jc w:val="left"/>
              <w:rPr>
                <w:rFonts w:ascii="宋体" w:cs="宋体"/>
                <w:color w:val="000000" w:themeColor="text1"/>
                <w:kern w:val="0"/>
                <w:sz w:val="22"/>
                <w:szCs w:val="22"/>
                <w14:textFill>
                  <w14:solidFill>
                    <w14:schemeClr w14:val="tx1"/>
                  </w14:solidFill>
                </w14:textFill>
              </w:rPr>
            </w:pPr>
            <w:r>
              <w:rPr>
                <w:rFonts w:hint="eastAsia" w:ascii="宋体" w:cs="宋体"/>
                <w:color w:val="000000" w:themeColor="text1"/>
                <w:kern w:val="0"/>
                <w:sz w:val="22"/>
                <w:szCs w:val="22"/>
                <w14:textFill>
                  <w14:solidFill>
                    <w14:schemeClr w14:val="tx1"/>
                  </w14:solidFill>
                </w14:textFill>
              </w:rPr>
              <w:t>医疗器械产品注册证（型号注册）</w:t>
            </w:r>
          </w:p>
          <w:p>
            <w:pPr>
              <w:keepNext/>
              <w:widowControl/>
              <w:jc w:val="left"/>
              <w:rPr>
                <w:rFonts w:ascii="宋体" w:cs="宋体"/>
                <w:color w:val="000000"/>
                <w:kern w:val="0"/>
                <w:sz w:val="22"/>
                <w:szCs w:val="22"/>
              </w:rPr>
            </w:pPr>
            <w:r>
              <w:rPr>
                <w:rFonts w:hint="eastAsia" w:ascii="宋体" w:cs="宋体"/>
                <w:color w:val="000000"/>
                <w:kern w:val="0"/>
                <w:sz w:val="22"/>
                <w:szCs w:val="22"/>
              </w:rPr>
              <w:t>四、服务：</w:t>
            </w:r>
          </w:p>
          <w:p>
            <w:pPr>
              <w:keepNext/>
              <w:widowControl/>
              <w:jc w:val="left"/>
              <w:rPr>
                <w:rFonts w:ascii="宋体" w:cs="宋体"/>
                <w:color w:val="000000"/>
                <w:kern w:val="0"/>
                <w:sz w:val="22"/>
                <w:szCs w:val="22"/>
              </w:rPr>
            </w:pPr>
            <w:r>
              <w:rPr>
                <w:rFonts w:hint="eastAsia" w:ascii="宋体" w:cs="宋体"/>
                <w:color w:val="000000"/>
                <w:kern w:val="0"/>
                <w:sz w:val="22"/>
                <w:szCs w:val="22"/>
              </w:rPr>
              <w:t>1. 验收合格后，整机免费保修一年，压缩机等主要零部件免费保修三年，终身维修。</w:t>
            </w:r>
          </w:p>
          <w:p>
            <w:pPr>
              <w:keepNext/>
              <w:widowControl/>
              <w:jc w:val="left"/>
              <w:rPr>
                <w:rFonts w:ascii="宋体" w:cs="宋体"/>
                <w:color w:val="000000"/>
                <w:kern w:val="0"/>
                <w:sz w:val="22"/>
                <w:szCs w:val="22"/>
              </w:rPr>
            </w:pPr>
            <w:r>
              <w:rPr>
                <w:rFonts w:hint="eastAsia" w:ascii="宋体" w:cs="宋体"/>
                <w:color w:val="000000"/>
                <w:kern w:val="0"/>
                <w:sz w:val="22"/>
                <w:szCs w:val="22"/>
              </w:rPr>
              <w:t>2. 接到维修通知后，2小时内响应，48小时内实施维修服务。</w:t>
            </w:r>
          </w:p>
          <w:p>
            <w:pPr>
              <w:keepNext/>
              <w:widowControl/>
              <w:jc w:val="left"/>
              <w:rPr>
                <w:rFonts w:ascii="宋体" w:cs="宋体"/>
                <w:color w:val="000000"/>
                <w:kern w:val="0"/>
                <w:sz w:val="22"/>
                <w:szCs w:val="22"/>
              </w:rPr>
            </w:pPr>
            <w:r>
              <w:rPr>
                <w:rFonts w:hint="eastAsia" w:ascii="宋体" w:cs="宋体"/>
                <w:color w:val="000000"/>
                <w:kern w:val="0"/>
                <w:sz w:val="22"/>
                <w:szCs w:val="22"/>
              </w:rPr>
              <w:t>3. 终身免费提供技术服务、技术支持及咨询服务，在任何时候、任何地点均可享受到终生的免费咨询服务</w:t>
            </w:r>
          </w:p>
        </w:tc>
        <w:tc>
          <w:tcPr>
            <w:tcW w:w="646" w:type="dxa"/>
            <w:vAlign w:val="center"/>
          </w:tcPr>
          <w:p>
            <w:pPr>
              <w:spacing w:line="360" w:lineRule="auto"/>
              <w:jc w:val="center"/>
              <w:rPr>
                <w:rFonts w:hint="eastAsia" w:ascii="宋体" w:eastAsia="宋体" w:cs="宋体"/>
                <w:szCs w:val="21"/>
                <w:lang w:eastAsia="zh-CN"/>
              </w:rPr>
            </w:pPr>
            <w:r>
              <w:rPr>
                <w:rFonts w:hint="eastAsia" w:ascii="宋体" w:cs="宋体"/>
                <w:szCs w:val="21"/>
                <w:lang w:val="en-US" w:eastAsia="zh-CN"/>
              </w:rPr>
              <w:t>8</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c>
          <w:tcPr>
            <w:tcW w:w="669" w:type="dxa"/>
            <w:vAlign w:val="center"/>
          </w:tcPr>
          <w:p>
            <w:pPr>
              <w:spacing w:line="360" w:lineRule="auto"/>
              <w:jc w:val="center"/>
              <w:rPr>
                <w:rFonts w:ascii="宋体" w:cs="宋体"/>
                <w:szCs w:val="21"/>
              </w:rPr>
            </w:pPr>
            <w:r>
              <w:rPr>
                <w:rFonts w:hint="eastAsia" w:ascii="宋体" w:cs="宋体"/>
                <w:szCs w:val="21"/>
              </w:rPr>
              <w:t>7</w:t>
            </w:r>
          </w:p>
        </w:tc>
        <w:tc>
          <w:tcPr>
            <w:tcW w:w="1021" w:type="dxa"/>
            <w:vAlign w:val="center"/>
          </w:tcPr>
          <w:p>
            <w:pPr>
              <w:keepNext/>
              <w:widowControl/>
              <w:jc w:val="center"/>
              <w:rPr>
                <w:rFonts w:ascii="宋体" w:cs="宋体"/>
                <w:szCs w:val="21"/>
              </w:rPr>
            </w:pPr>
            <w:r>
              <w:rPr>
                <w:rFonts w:hint="eastAsia" w:ascii="宋体" w:cs="宋体"/>
                <w:color w:val="000000"/>
                <w:kern w:val="0"/>
                <w:sz w:val="22"/>
                <w:szCs w:val="22"/>
              </w:rPr>
              <w:t>定量连续加液器（洗板枪）</w:t>
            </w:r>
          </w:p>
        </w:tc>
        <w:tc>
          <w:tcPr>
            <w:tcW w:w="6367" w:type="dxa"/>
          </w:tcPr>
          <w:p>
            <w:pPr>
              <w:keepNext/>
              <w:widowControl/>
              <w:jc w:val="left"/>
              <w:rPr>
                <w:rFonts w:ascii="宋体" w:cs="宋体"/>
                <w:color w:val="000000"/>
                <w:kern w:val="0"/>
                <w:sz w:val="22"/>
                <w:szCs w:val="22"/>
              </w:rPr>
            </w:pPr>
            <w:r>
              <w:rPr>
                <w:rFonts w:hint="eastAsia" w:ascii="宋体" w:cs="宋体"/>
                <w:color w:val="000000"/>
                <w:kern w:val="0"/>
                <w:sz w:val="22"/>
                <w:szCs w:val="22"/>
              </w:rPr>
              <w:t>1.八通道</w:t>
            </w:r>
            <w:r>
              <w:rPr>
                <w:rFonts w:hint="eastAsia" w:ascii="宋体" w:cs="宋体"/>
                <w:color w:val="000000" w:themeColor="text1"/>
                <w:kern w:val="0"/>
                <w:sz w:val="22"/>
                <w:szCs w:val="22"/>
                <w14:textFill>
                  <w14:solidFill>
                    <w14:schemeClr w14:val="tx1"/>
                  </w14:solidFill>
                </w14:textFill>
              </w:rPr>
              <w:t>及以上</w:t>
            </w:r>
            <w:r>
              <w:rPr>
                <w:rFonts w:hint="eastAsia" w:ascii="宋体" w:cs="宋体"/>
                <w:color w:val="000000"/>
                <w:kern w:val="0"/>
                <w:sz w:val="22"/>
                <w:szCs w:val="22"/>
              </w:rPr>
              <w:t>联排导管，枪体可连续按压分液，方便快速清洗微孔板；</w:t>
            </w:r>
          </w:p>
          <w:p>
            <w:pPr>
              <w:keepNext/>
              <w:widowControl/>
              <w:jc w:val="left"/>
              <w:rPr>
                <w:rFonts w:ascii="宋体" w:cs="宋体"/>
                <w:color w:val="000000"/>
                <w:kern w:val="0"/>
                <w:sz w:val="22"/>
                <w:szCs w:val="22"/>
              </w:rPr>
            </w:pPr>
            <w:r>
              <w:rPr>
                <w:rFonts w:hint="eastAsia" w:ascii="宋体" w:cs="宋体"/>
                <w:color w:val="000000"/>
                <w:kern w:val="0"/>
                <w:sz w:val="22"/>
                <w:szCs w:val="22"/>
              </w:rPr>
              <w:t>2.分液体积范围：8 mL, 1.6 mL, 2.0 mL&amp; 2.4 mL (全冲程)；</w:t>
            </w:r>
          </w:p>
          <w:p>
            <w:pPr>
              <w:keepNext/>
              <w:widowControl/>
              <w:jc w:val="left"/>
              <w:rPr>
                <w:rFonts w:ascii="宋体" w:cs="宋体"/>
                <w:szCs w:val="21"/>
              </w:rPr>
            </w:pPr>
            <w:r>
              <w:rPr>
                <w:rFonts w:hint="eastAsia" w:ascii="宋体" w:cs="宋体"/>
                <w:color w:val="000000"/>
                <w:kern w:val="0"/>
                <w:sz w:val="22"/>
                <w:szCs w:val="22"/>
              </w:rPr>
              <w:t>3.分配到每个导管口的量为- 100 uL, 200 uL, 250 uL, 300 uL</w:t>
            </w:r>
          </w:p>
        </w:tc>
        <w:tc>
          <w:tcPr>
            <w:tcW w:w="646" w:type="dxa"/>
            <w:vAlign w:val="center"/>
          </w:tcPr>
          <w:p>
            <w:pPr>
              <w:spacing w:line="360" w:lineRule="auto"/>
              <w:jc w:val="center"/>
              <w:rPr>
                <w:rFonts w:ascii="宋体" w:cs="宋体"/>
                <w:szCs w:val="21"/>
              </w:rPr>
            </w:pPr>
            <w:r>
              <w:rPr>
                <w:rFonts w:hint="eastAsia" w:ascii="宋体" w:cs="宋体"/>
                <w:szCs w:val="21"/>
              </w:rPr>
              <w:t>6</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c>
          <w:tcPr>
            <w:tcW w:w="669" w:type="dxa"/>
            <w:vAlign w:val="center"/>
          </w:tcPr>
          <w:p>
            <w:pPr>
              <w:spacing w:line="360" w:lineRule="auto"/>
              <w:jc w:val="center"/>
              <w:rPr>
                <w:rFonts w:ascii="宋体" w:cs="宋体"/>
                <w:szCs w:val="21"/>
              </w:rPr>
            </w:pPr>
            <w:r>
              <w:rPr>
                <w:rFonts w:hint="eastAsia" w:ascii="宋体" w:cs="宋体"/>
                <w:szCs w:val="21"/>
              </w:rPr>
              <w:t>8</w:t>
            </w:r>
          </w:p>
        </w:tc>
        <w:tc>
          <w:tcPr>
            <w:tcW w:w="1021" w:type="dxa"/>
            <w:vAlign w:val="center"/>
          </w:tcPr>
          <w:p>
            <w:pPr>
              <w:keepNext/>
              <w:widowControl/>
              <w:jc w:val="left"/>
              <w:rPr>
                <w:rFonts w:ascii="宋体" w:cs="宋体"/>
                <w:color w:val="000000"/>
                <w:kern w:val="0"/>
                <w:sz w:val="22"/>
                <w:szCs w:val="22"/>
              </w:rPr>
            </w:pPr>
            <w:r>
              <w:rPr>
                <w:rFonts w:hint="eastAsia" w:ascii="宋体" w:cs="宋体"/>
                <w:color w:val="000000"/>
                <w:kern w:val="0"/>
                <w:sz w:val="22"/>
                <w:szCs w:val="22"/>
              </w:rPr>
              <w:t>超声波清洗仪器</w:t>
            </w:r>
          </w:p>
        </w:tc>
        <w:tc>
          <w:tcPr>
            <w:tcW w:w="6367" w:type="dxa"/>
          </w:tcPr>
          <w:p>
            <w:pPr>
              <w:keepNext/>
              <w:widowControl/>
              <w:jc w:val="left"/>
              <w:rPr>
                <w:rFonts w:ascii="宋体" w:cs="宋体"/>
                <w:color w:val="000000"/>
                <w:kern w:val="0"/>
                <w:sz w:val="22"/>
                <w:szCs w:val="22"/>
              </w:rPr>
            </w:pPr>
            <w:r>
              <w:rPr>
                <w:rFonts w:hint="eastAsia" w:ascii="宋体" w:cs="宋体"/>
                <w:color w:val="000000"/>
                <w:kern w:val="0"/>
                <w:sz w:val="22"/>
                <w:szCs w:val="22"/>
              </w:rPr>
              <w:t xml:space="preserve">1、 LED 显示器 </w:t>
            </w:r>
          </w:p>
          <w:p>
            <w:pPr>
              <w:keepNext/>
              <w:widowControl/>
              <w:jc w:val="left"/>
              <w:rPr>
                <w:rFonts w:ascii="宋体" w:cs="宋体"/>
                <w:color w:val="000000"/>
                <w:kern w:val="0"/>
                <w:sz w:val="22"/>
                <w:szCs w:val="22"/>
              </w:rPr>
            </w:pPr>
            <w:r>
              <w:rPr>
                <w:rFonts w:hint="eastAsia" w:ascii="宋体" w:cs="宋体"/>
                <w:color w:val="000000"/>
                <w:kern w:val="0"/>
                <w:sz w:val="22"/>
                <w:szCs w:val="22"/>
              </w:rPr>
              <w:t xml:space="preserve">2、 显示器上菜单参数选择 </w:t>
            </w:r>
          </w:p>
          <w:p>
            <w:pPr>
              <w:keepNext/>
              <w:widowControl/>
              <w:jc w:val="left"/>
              <w:rPr>
                <w:rFonts w:ascii="宋体" w:cs="宋体"/>
                <w:color w:val="000000"/>
                <w:kern w:val="0"/>
                <w:sz w:val="22"/>
                <w:szCs w:val="22"/>
              </w:rPr>
            </w:pPr>
            <w:r>
              <w:rPr>
                <w:rFonts w:hint="eastAsia" w:ascii="宋体" w:cs="宋体"/>
                <w:color w:val="000000"/>
                <w:kern w:val="0"/>
                <w:sz w:val="22"/>
                <w:szCs w:val="22"/>
              </w:rPr>
              <w:t xml:space="preserve">3、 数显设定超声清洗时间 </w:t>
            </w:r>
          </w:p>
          <w:p>
            <w:pPr>
              <w:keepNext/>
              <w:widowControl/>
              <w:jc w:val="left"/>
              <w:rPr>
                <w:rFonts w:ascii="宋体" w:cs="宋体"/>
                <w:color w:val="000000"/>
                <w:kern w:val="0"/>
                <w:sz w:val="22"/>
                <w:szCs w:val="22"/>
              </w:rPr>
            </w:pPr>
            <w:r>
              <w:rPr>
                <w:rFonts w:hint="eastAsia" w:ascii="宋体" w:cs="宋体"/>
                <w:color w:val="000000"/>
                <w:kern w:val="0"/>
                <w:sz w:val="22"/>
                <w:szCs w:val="22"/>
              </w:rPr>
              <w:t xml:space="preserve">4、 工作时间倒计时显示 </w:t>
            </w:r>
          </w:p>
          <w:p>
            <w:pPr>
              <w:keepNext/>
              <w:widowControl/>
              <w:jc w:val="left"/>
              <w:rPr>
                <w:rFonts w:ascii="宋体" w:cs="宋体"/>
                <w:color w:val="000000"/>
                <w:kern w:val="0"/>
                <w:sz w:val="22"/>
                <w:szCs w:val="22"/>
              </w:rPr>
            </w:pPr>
            <w:r>
              <w:rPr>
                <w:rFonts w:hint="eastAsia" w:ascii="宋体" w:cs="宋体"/>
                <w:color w:val="000000"/>
                <w:kern w:val="0"/>
                <w:sz w:val="22"/>
                <w:szCs w:val="22"/>
              </w:rPr>
              <w:t xml:space="preserve">5、 实时显示清洗槽内实际温度 </w:t>
            </w:r>
          </w:p>
          <w:p>
            <w:pPr>
              <w:keepNext/>
              <w:widowControl/>
              <w:jc w:val="left"/>
              <w:rPr>
                <w:rFonts w:ascii="宋体" w:cs="宋体"/>
                <w:color w:val="000000"/>
                <w:kern w:val="0"/>
                <w:sz w:val="22"/>
                <w:szCs w:val="22"/>
              </w:rPr>
            </w:pPr>
            <w:r>
              <w:rPr>
                <w:rFonts w:hint="eastAsia" w:ascii="宋体" w:cs="宋体"/>
                <w:color w:val="000000"/>
                <w:kern w:val="0"/>
                <w:sz w:val="22"/>
                <w:szCs w:val="22"/>
              </w:rPr>
              <w:t xml:space="preserve">6、 室温-80℃的温度设定范围 </w:t>
            </w:r>
          </w:p>
          <w:p>
            <w:pPr>
              <w:keepNext/>
              <w:widowControl/>
              <w:jc w:val="left"/>
              <w:rPr>
                <w:rFonts w:ascii="宋体" w:cs="宋体"/>
                <w:color w:val="000000"/>
                <w:kern w:val="0"/>
                <w:sz w:val="22"/>
                <w:szCs w:val="22"/>
              </w:rPr>
            </w:pPr>
            <w:r>
              <w:rPr>
                <w:rFonts w:hint="eastAsia" w:ascii="宋体" w:cs="宋体"/>
                <w:color w:val="000000"/>
                <w:kern w:val="0"/>
                <w:sz w:val="22"/>
                <w:szCs w:val="22"/>
              </w:rPr>
              <w:t xml:space="preserve">7、 1-99 分钟总工作时间设定 </w:t>
            </w:r>
          </w:p>
          <w:p>
            <w:pPr>
              <w:keepNext/>
              <w:widowControl/>
              <w:jc w:val="left"/>
              <w:rPr>
                <w:rFonts w:ascii="宋体" w:cs="宋体"/>
                <w:color w:val="000000"/>
                <w:kern w:val="0"/>
                <w:sz w:val="22"/>
                <w:szCs w:val="22"/>
              </w:rPr>
            </w:pPr>
            <w:r>
              <w:rPr>
                <w:rFonts w:hint="eastAsia" w:ascii="宋体" w:cs="宋体"/>
                <w:color w:val="000000"/>
                <w:kern w:val="0"/>
                <w:sz w:val="22"/>
                <w:szCs w:val="22"/>
              </w:rPr>
              <w:t xml:space="preserve">8、 配有专用不锈钢网篮、降音盖 </w:t>
            </w:r>
          </w:p>
          <w:p>
            <w:pPr>
              <w:keepNext/>
              <w:widowControl/>
              <w:jc w:val="left"/>
              <w:rPr>
                <w:rFonts w:ascii="宋体" w:cs="宋体"/>
                <w:color w:val="000000"/>
                <w:kern w:val="0"/>
                <w:sz w:val="22"/>
                <w:szCs w:val="22"/>
              </w:rPr>
            </w:pPr>
            <w:r>
              <w:rPr>
                <w:rFonts w:hint="eastAsia" w:ascii="宋体" w:cs="宋体"/>
                <w:color w:val="000000"/>
                <w:kern w:val="0"/>
                <w:sz w:val="22"/>
                <w:szCs w:val="22"/>
              </w:rPr>
              <w:t xml:space="preserve">9、 仪器的内外壳体和降音盖采用优质不锈钢 </w:t>
            </w:r>
          </w:p>
          <w:p>
            <w:pPr>
              <w:keepNext/>
              <w:widowControl/>
              <w:jc w:val="left"/>
              <w:rPr>
                <w:rFonts w:ascii="宋体" w:cs="宋体"/>
                <w:color w:val="000000"/>
                <w:kern w:val="0"/>
                <w:sz w:val="22"/>
                <w:szCs w:val="22"/>
              </w:rPr>
            </w:pPr>
            <w:r>
              <w:rPr>
                <w:rFonts w:hint="eastAsia" w:ascii="宋体" w:cs="宋体"/>
                <w:color w:val="000000"/>
                <w:kern w:val="0"/>
                <w:sz w:val="22"/>
                <w:szCs w:val="22"/>
              </w:rPr>
              <w:t xml:space="preserve">10、仪器的操作程序采用单片机软件 </w:t>
            </w:r>
          </w:p>
          <w:p>
            <w:pPr>
              <w:keepNext/>
              <w:widowControl/>
              <w:jc w:val="left"/>
              <w:rPr>
                <w:rFonts w:ascii="宋体" w:cs="宋体"/>
                <w:color w:val="000000"/>
                <w:kern w:val="0"/>
                <w:sz w:val="22"/>
                <w:szCs w:val="22"/>
              </w:rPr>
            </w:pPr>
            <w:r>
              <w:rPr>
                <w:rFonts w:hint="eastAsia" w:ascii="宋体" w:cs="宋体"/>
                <w:color w:val="000000"/>
                <w:kern w:val="0"/>
                <w:sz w:val="22"/>
                <w:szCs w:val="22"/>
              </w:rPr>
              <w:t xml:space="preserve">11、工作参数断电记忆功能 </w:t>
            </w:r>
          </w:p>
          <w:p>
            <w:pPr>
              <w:keepNext/>
              <w:widowControl/>
              <w:jc w:val="left"/>
              <w:rPr>
                <w:rFonts w:ascii="宋体" w:cs="宋体"/>
                <w:color w:val="000000"/>
                <w:kern w:val="0"/>
                <w:sz w:val="22"/>
                <w:szCs w:val="22"/>
              </w:rPr>
            </w:pPr>
            <w:r>
              <w:rPr>
                <w:rFonts w:hint="eastAsia" w:ascii="宋体" w:cs="宋体"/>
                <w:color w:val="000000"/>
                <w:kern w:val="0"/>
                <w:sz w:val="22"/>
                <w:szCs w:val="22"/>
              </w:rPr>
              <w:t xml:space="preserve">12、内槽尺寸：500X300X150 2长宽高(mm) </w:t>
            </w:r>
          </w:p>
          <w:p>
            <w:pPr>
              <w:keepNext/>
              <w:widowControl/>
              <w:jc w:val="left"/>
              <w:rPr>
                <w:rFonts w:ascii="宋体" w:cs="宋体"/>
                <w:color w:val="000000"/>
                <w:kern w:val="0"/>
                <w:sz w:val="22"/>
                <w:szCs w:val="22"/>
              </w:rPr>
            </w:pPr>
            <w:r>
              <w:rPr>
                <w:rFonts w:hint="eastAsia" w:ascii="宋体" w:cs="宋体"/>
                <w:color w:val="000000"/>
                <w:kern w:val="0"/>
                <w:sz w:val="22"/>
                <w:szCs w:val="22"/>
              </w:rPr>
              <w:t xml:space="preserve">13、超声波频率：40KHZ </w:t>
            </w:r>
          </w:p>
          <w:p>
            <w:pPr>
              <w:keepNext/>
              <w:widowControl/>
              <w:jc w:val="left"/>
              <w:rPr>
                <w:rFonts w:ascii="宋体" w:cs="宋体"/>
                <w:color w:val="000000"/>
                <w:kern w:val="0"/>
                <w:sz w:val="22"/>
                <w:szCs w:val="22"/>
              </w:rPr>
            </w:pPr>
            <w:r>
              <w:rPr>
                <w:rFonts w:hint="eastAsia" w:ascii="宋体" w:cs="宋体"/>
                <w:color w:val="000000"/>
                <w:kern w:val="0"/>
                <w:sz w:val="22"/>
                <w:szCs w:val="22"/>
              </w:rPr>
              <w:t xml:space="preserve">14、超声波功率：800W </w:t>
            </w:r>
          </w:p>
          <w:p>
            <w:pPr>
              <w:keepNext/>
              <w:widowControl/>
              <w:jc w:val="left"/>
              <w:rPr>
                <w:rFonts w:ascii="宋体" w:cs="宋体"/>
                <w:color w:val="000000"/>
                <w:kern w:val="0"/>
                <w:sz w:val="22"/>
                <w:szCs w:val="22"/>
              </w:rPr>
            </w:pPr>
            <w:r>
              <w:rPr>
                <w:rFonts w:hint="eastAsia" w:ascii="宋体" w:cs="宋体"/>
                <w:color w:val="000000"/>
                <w:kern w:val="0"/>
                <w:sz w:val="22"/>
                <w:szCs w:val="22"/>
              </w:rPr>
              <w:t xml:space="preserve">15、加热功率：1000W </w:t>
            </w:r>
          </w:p>
          <w:p>
            <w:pPr>
              <w:keepNext/>
              <w:widowControl/>
              <w:jc w:val="left"/>
              <w:rPr>
                <w:rFonts w:ascii="宋体" w:cs="宋体"/>
                <w:color w:val="000000"/>
                <w:kern w:val="0"/>
                <w:sz w:val="22"/>
                <w:szCs w:val="22"/>
              </w:rPr>
            </w:pPr>
            <w:r>
              <w:rPr>
                <w:rFonts w:hint="eastAsia" w:ascii="宋体" w:cs="宋体"/>
                <w:color w:val="000000"/>
                <w:kern w:val="0"/>
                <w:sz w:val="22"/>
                <w:szCs w:val="22"/>
              </w:rPr>
              <w:t xml:space="preserve">16、配有网架 </w:t>
            </w:r>
          </w:p>
          <w:p>
            <w:pPr>
              <w:keepNext/>
              <w:widowControl/>
              <w:jc w:val="left"/>
              <w:rPr>
                <w:rFonts w:ascii="宋体" w:cs="宋体"/>
                <w:color w:val="000000"/>
                <w:kern w:val="0"/>
                <w:sz w:val="22"/>
                <w:szCs w:val="22"/>
              </w:rPr>
            </w:pPr>
            <w:r>
              <w:rPr>
                <w:rFonts w:hint="eastAsia" w:ascii="宋体" w:cs="宋体"/>
                <w:color w:val="000000"/>
                <w:kern w:val="0"/>
                <w:sz w:val="22"/>
                <w:szCs w:val="22"/>
              </w:rPr>
              <w:t xml:space="preserve">17、配有降音盖 </w:t>
            </w:r>
          </w:p>
          <w:p>
            <w:pPr>
              <w:keepNext/>
              <w:widowControl/>
              <w:jc w:val="left"/>
              <w:rPr>
                <w:rFonts w:ascii="宋体" w:cs="宋体"/>
                <w:color w:val="000000"/>
                <w:kern w:val="0"/>
                <w:sz w:val="22"/>
                <w:szCs w:val="22"/>
              </w:rPr>
            </w:pPr>
            <w:r>
              <w:rPr>
                <w:rFonts w:hint="eastAsia" w:ascii="宋体" w:cs="宋体"/>
                <w:color w:val="000000"/>
                <w:kern w:val="0"/>
                <w:sz w:val="22"/>
                <w:szCs w:val="22"/>
              </w:rPr>
              <w:t xml:space="preserve">18、具有排水功能 </w:t>
            </w:r>
          </w:p>
          <w:p>
            <w:pPr>
              <w:keepNext/>
              <w:widowControl/>
              <w:jc w:val="left"/>
              <w:rPr>
                <w:rFonts w:ascii="宋体" w:cs="宋体"/>
                <w:color w:val="000000"/>
                <w:kern w:val="0"/>
                <w:sz w:val="22"/>
                <w:szCs w:val="22"/>
              </w:rPr>
            </w:pPr>
            <w:r>
              <w:rPr>
                <w:rFonts w:hint="eastAsia" w:ascii="宋体" w:cs="宋体"/>
                <w:color w:val="000000"/>
                <w:kern w:val="0"/>
                <w:sz w:val="22"/>
                <w:szCs w:val="22"/>
              </w:rPr>
              <w:t>19、容量：30L</w:t>
            </w:r>
          </w:p>
        </w:tc>
        <w:tc>
          <w:tcPr>
            <w:tcW w:w="646" w:type="dxa"/>
            <w:vAlign w:val="center"/>
          </w:tcPr>
          <w:p>
            <w:pPr>
              <w:spacing w:line="360" w:lineRule="auto"/>
              <w:jc w:val="center"/>
              <w:rPr>
                <w:rFonts w:ascii="宋体" w:cs="宋体"/>
                <w:szCs w:val="21"/>
              </w:rPr>
            </w:pPr>
            <w:r>
              <w:rPr>
                <w:rFonts w:hint="eastAsia" w:ascii="宋体" w:cs="宋体"/>
                <w:szCs w:val="21"/>
              </w:rPr>
              <w:t>1</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c>
          <w:tcPr>
            <w:tcW w:w="669" w:type="dxa"/>
            <w:vAlign w:val="center"/>
          </w:tcPr>
          <w:p>
            <w:pPr>
              <w:spacing w:line="360" w:lineRule="auto"/>
              <w:jc w:val="center"/>
              <w:rPr>
                <w:rFonts w:ascii="宋体" w:cs="宋体"/>
                <w:szCs w:val="21"/>
              </w:rPr>
            </w:pPr>
            <w:r>
              <w:rPr>
                <w:rFonts w:hint="eastAsia" w:ascii="宋体" w:cs="宋体"/>
                <w:szCs w:val="21"/>
              </w:rPr>
              <w:t>9</w:t>
            </w:r>
          </w:p>
        </w:tc>
        <w:tc>
          <w:tcPr>
            <w:tcW w:w="1021" w:type="dxa"/>
            <w:vAlign w:val="center"/>
          </w:tcPr>
          <w:p>
            <w:pPr>
              <w:keepNext/>
              <w:widowControl/>
              <w:jc w:val="left"/>
              <w:rPr>
                <w:rFonts w:ascii="宋体" w:cs="宋体"/>
                <w:szCs w:val="21"/>
              </w:rPr>
            </w:pPr>
            <w:r>
              <w:rPr>
                <w:rFonts w:hint="eastAsia" w:ascii="宋体" w:cs="宋体"/>
                <w:color w:val="000000"/>
                <w:kern w:val="0"/>
                <w:sz w:val="22"/>
                <w:szCs w:val="22"/>
              </w:rPr>
              <w:t>图像体视显微镜</w:t>
            </w:r>
          </w:p>
        </w:tc>
        <w:tc>
          <w:tcPr>
            <w:tcW w:w="6367" w:type="dxa"/>
          </w:tcPr>
          <w:p>
            <w:pPr>
              <w:keepNext/>
              <w:widowControl/>
              <w:jc w:val="left"/>
              <w:rPr>
                <w:rFonts w:ascii="宋体" w:cs="宋体"/>
                <w:color w:val="000000"/>
                <w:kern w:val="0"/>
                <w:sz w:val="22"/>
                <w:szCs w:val="22"/>
              </w:rPr>
            </w:pPr>
            <w:r>
              <w:rPr>
                <w:rFonts w:hint="eastAsia" w:ascii="宋体" w:cs="宋体"/>
                <w:color w:val="000000"/>
                <w:kern w:val="0"/>
                <w:sz w:val="22"/>
                <w:szCs w:val="22"/>
              </w:rPr>
              <w:t xml:space="preserve">1.标准放大倍率 7X~45X；选配辅助物镜，放大倍率 3.5X-225X </w:t>
            </w:r>
          </w:p>
          <w:p>
            <w:pPr>
              <w:keepNext/>
              <w:widowControl/>
              <w:jc w:val="left"/>
              <w:rPr>
                <w:rFonts w:ascii="宋体" w:cs="宋体"/>
                <w:color w:val="000000"/>
                <w:kern w:val="0"/>
                <w:sz w:val="22"/>
                <w:szCs w:val="22"/>
              </w:rPr>
            </w:pPr>
            <w:r>
              <w:rPr>
                <w:rFonts w:hint="eastAsia" w:ascii="宋体" w:cs="宋体"/>
                <w:color w:val="000000"/>
                <w:kern w:val="0"/>
                <w:sz w:val="22"/>
                <w:szCs w:val="22"/>
              </w:rPr>
              <w:t xml:space="preserve">2. 观察头：铰链式三目 45°倾斜、360°旋转，瞳距 54-76mm；双边视度调节±5， 分 </w:t>
            </w:r>
          </w:p>
          <w:p>
            <w:pPr>
              <w:keepNext/>
              <w:widowControl/>
              <w:jc w:val="left"/>
              <w:rPr>
                <w:rFonts w:ascii="宋体" w:cs="宋体"/>
                <w:color w:val="000000"/>
                <w:kern w:val="0"/>
                <w:sz w:val="22"/>
                <w:szCs w:val="22"/>
              </w:rPr>
            </w:pPr>
            <w:r>
              <w:rPr>
                <w:rFonts w:hint="eastAsia" w:ascii="宋体" w:cs="宋体"/>
                <w:color w:val="000000"/>
                <w:kern w:val="0"/>
                <w:sz w:val="22"/>
                <w:szCs w:val="22"/>
              </w:rPr>
              <w:t xml:space="preserve">光比 50%/50% </w:t>
            </w:r>
          </w:p>
          <w:p>
            <w:pPr>
              <w:keepNext/>
              <w:widowControl/>
              <w:jc w:val="left"/>
              <w:rPr>
                <w:rFonts w:ascii="宋体" w:cs="宋体"/>
                <w:color w:val="000000"/>
                <w:kern w:val="0"/>
                <w:sz w:val="22"/>
                <w:szCs w:val="22"/>
              </w:rPr>
            </w:pPr>
            <w:r>
              <w:rPr>
                <w:rFonts w:hint="eastAsia" w:ascii="宋体" w:cs="宋体"/>
                <w:color w:val="000000"/>
                <w:kern w:val="0"/>
                <w:sz w:val="22"/>
                <w:szCs w:val="22"/>
              </w:rPr>
              <w:t xml:space="preserve">3. 放大倍数，工作距离及视场直径 </w:t>
            </w:r>
          </w:p>
          <w:p>
            <w:pPr>
              <w:keepNext/>
              <w:widowControl/>
              <w:ind w:firstLine="440" w:firstLineChars="200"/>
              <w:jc w:val="left"/>
              <w:rPr>
                <w:rFonts w:ascii="宋体" w:cs="宋体"/>
                <w:color w:val="000000"/>
                <w:kern w:val="0"/>
                <w:sz w:val="22"/>
                <w:szCs w:val="22"/>
              </w:rPr>
            </w:pPr>
            <w:r>
              <w:rPr>
                <w:rFonts w:hint="eastAsia" w:ascii="宋体" w:cs="宋体"/>
                <w:color w:val="000000"/>
                <w:kern w:val="0"/>
                <w:sz w:val="22"/>
                <w:szCs w:val="22"/>
              </w:rPr>
              <w:t>目镜:10X/20mm ,工作距离 100mm 放大倍率7X/45X,</w:t>
            </w:r>
          </w:p>
          <w:p>
            <w:pPr>
              <w:keepNext/>
              <w:widowControl/>
              <w:ind w:firstLine="440" w:firstLineChars="200"/>
              <w:jc w:val="left"/>
              <w:rPr>
                <w:rFonts w:ascii="宋体" w:cs="宋体"/>
                <w:color w:val="000000"/>
                <w:kern w:val="0"/>
                <w:sz w:val="22"/>
                <w:szCs w:val="22"/>
              </w:rPr>
            </w:pPr>
            <w:r>
              <w:rPr>
                <w:rFonts w:hint="eastAsia" w:ascii="宋体" w:cs="宋体"/>
                <w:color w:val="000000"/>
                <w:kern w:val="0"/>
                <w:sz w:val="22"/>
                <w:szCs w:val="22"/>
              </w:rPr>
              <w:t>视场范围:28.6mm/4.4mm</w:t>
            </w:r>
          </w:p>
          <w:p>
            <w:pPr>
              <w:keepNext/>
              <w:widowControl/>
              <w:ind w:firstLine="440" w:firstLineChars="200"/>
              <w:jc w:val="left"/>
              <w:rPr>
                <w:rFonts w:ascii="宋体" w:cs="宋体"/>
                <w:color w:val="000000"/>
                <w:kern w:val="0"/>
                <w:sz w:val="22"/>
                <w:szCs w:val="22"/>
              </w:rPr>
            </w:pPr>
            <w:r>
              <w:rPr>
                <w:rFonts w:hint="eastAsia" w:ascii="宋体" w:cs="宋体"/>
                <w:color w:val="000000"/>
                <w:kern w:val="0"/>
                <w:sz w:val="22"/>
                <w:szCs w:val="22"/>
              </w:rPr>
              <w:t>目镜:20X/10mm ,工作距离 100mm 放大倍率7X/45X,</w:t>
            </w:r>
          </w:p>
          <w:p>
            <w:pPr>
              <w:keepNext/>
              <w:widowControl/>
              <w:ind w:firstLine="440" w:firstLineChars="200"/>
              <w:jc w:val="left"/>
              <w:rPr>
                <w:rFonts w:ascii="宋体" w:cs="宋体"/>
                <w:color w:val="000000"/>
                <w:kern w:val="0"/>
                <w:sz w:val="22"/>
                <w:szCs w:val="22"/>
              </w:rPr>
            </w:pPr>
            <w:r>
              <w:rPr>
                <w:rFonts w:hint="eastAsia" w:ascii="宋体" w:cs="宋体"/>
                <w:color w:val="000000"/>
                <w:kern w:val="0"/>
                <w:sz w:val="22"/>
                <w:szCs w:val="22"/>
              </w:rPr>
              <w:t>视场范围:28.6mm/4.4mm</w:t>
            </w:r>
          </w:p>
          <w:p>
            <w:pPr>
              <w:keepNext/>
              <w:widowControl/>
              <w:jc w:val="left"/>
              <w:rPr>
                <w:rFonts w:ascii="宋体" w:cs="宋体"/>
                <w:color w:val="000000"/>
                <w:kern w:val="0"/>
                <w:sz w:val="22"/>
                <w:szCs w:val="22"/>
              </w:rPr>
            </w:pPr>
            <w:r>
              <w:rPr>
                <w:rFonts w:hint="eastAsia" w:ascii="宋体" w:cs="宋体"/>
                <w:color w:val="000000"/>
                <w:kern w:val="0"/>
                <w:sz w:val="22"/>
                <w:szCs w:val="22"/>
              </w:rPr>
              <w:t xml:space="preserve">4. 调焦托架:调焦镜架,调焦手轮松紧可调，升降范围 106mm </w:t>
            </w:r>
          </w:p>
          <w:p>
            <w:pPr>
              <w:keepNext/>
              <w:widowControl/>
              <w:jc w:val="left"/>
              <w:rPr>
                <w:rFonts w:ascii="宋体" w:cs="宋体"/>
                <w:color w:val="000000"/>
                <w:kern w:val="0"/>
                <w:sz w:val="22"/>
                <w:szCs w:val="22"/>
              </w:rPr>
            </w:pPr>
            <w:r>
              <w:rPr>
                <w:rFonts w:hint="eastAsia" w:ascii="宋体" w:cs="宋体"/>
                <w:color w:val="000000"/>
                <w:kern w:val="0"/>
                <w:sz w:val="22"/>
                <w:szCs w:val="22"/>
              </w:rPr>
              <w:t xml:space="preserve">5. 底座:立臂式 LED 灯底座，上、下 LED 灯照明,独立开关,亮度可调 </w:t>
            </w:r>
          </w:p>
          <w:p>
            <w:pPr>
              <w:keepNext/>
              <w:widowControl/>
              <w:jc w:val="left"/>
              <w:rPr>
                <w:rFonts w:ascii="宋体" w:cs="宋体"/>
                <w:color w:val="000000"/>
                <w:kern w:val="0"/>
                <w:sz w:val="22"/>
                <w:szCs w:val="22"/>
              </w:rPr>
            </w:pPr>
            <w:r>
              <w:rPr>
                <w:rFonts w:hint="eastAsia" w:ascii="宋体" w:cs="宋体"/>
                <w:color w:val="000000"/>
                <w:kern w:val="0"/>
                <w:sz w:val="22"/>
                <w:szCs w:val="22"/>
              </w:rPr>
              <w:t xml:space="preserve">6. 专用适配镜：直径：43mm,放大倍率：0.5 倍 ，内调焦距：0～3mm 调焦后可锁紧 </w:t>
            </w:r>
          </w:p>
          <w:p>
            <w:pPr>
              <w:keepNext/>
              <w:widowControl/>
              <w:jc w:val="left"/>
              <w:rPr>
                <w:rFonts w:ascii="宋体" w:cs="宋体"/>
                <w:color w:val="000000"/>
                <w:kern w:val="0"/>
                <w:sz w:val="22"/>
                <w:szCs w:val="22"/>
              </w:rPr>
            </w:pPr>
            <w:r>
              <w:rPr>
                <w:rFonts w:hint="eastAsia" w:ascii="宋体" w:cs="宋体"/>
                <w:color w:val="000000"/>
                <w:kern w:val="0"/>
                <w:sz w:val="22"/>
                <w:szCs w:val="22"/>
              </w:rPr>
              <w:t>7. 显微镜工业相机：</w:t>
            </w:r>
          </w:p>
          <w:p>
            <w:pPr>
              <w:keepNext/>
              <w:widowControl/>
              <w:ind w:firstLine="220" w:firstLineChars="100"/>
              <w:jc w:val="left"/>
              <w:rPr>
                <w:rFonts w:ascii="宋体" w:cs="宋体"/>
                <w:color w:val="000000"/>
                <w:kern w:val="0"/>
                <w:sz w:val="22"/>
                <w:szCs w:val="22"/>
              </w:rPr>
            </w:pPr>
            <w:r>
              <w:rPr>
                <w:rFonts w:hint="eastAsia" w:ascii="宋体" w:cs="宋体"/>
                <w:color w:val="000000"/>
                <w:kern w:val="0"/>
                <w:sz w:val="22"/>
                <w:szCs w:val="22"/>
              </w:rPr>
              <w:t>图像采用 Sony 1/2.8"传感器；</w:t>
            </w:r>
          </w:p>
          <w:p>
            <w:pPr>
              <w:keepNext/>
              <w:widowControl/>
              <w:ind w:firstLine="220" w:firstLineChars="100"/>
              <w:jc w:val="left"/>
              <w:rPr>
                <w:rFonts w:ascii="宋体" w:cs="宋体"/>
                <w:color w:val="000000"/>
                <w:kern w:val="0"/>
                <w:sz w:val="22"/>
                <w:szCs w:val="22"/>
              </w:rPr>
            </w:pPr>
            <w:r>
              <w:rPr>
                <w:rFonts w:hint="eastAsia" w:ascii="宋体" w:cs="宋体"/>
                <w:color w:val="000000"/>
                <w:kern w:val="0"/>
                <w:sz w:val="22"/>
                <w:szCs w:val="22"/>
              </w:rPr>
              <w:t xml:space="preserve">像素点尺寸：1.45μmx1.45μm； </w:t>
            </w:r>
          </w:p>
          <w:p>
            <w:pPr>
              <w:keepNext/>
              <w:widowControl/>
              <w:ind w:firstLine="220" w:firstLineChars="100"/>
              <w:jc w:val="left"/>
              <w:rPr>
                <w:rFonts w:ascii="宋体" w:cs="宋体"/>
                <w:color w:val="000000"/>
                <w:kern w:val="0"/>
                <w:sz w:val="22"/>
                <w:szCs w:val="22"/>
              </w:rPr>
            </w:pPr>
            <w:r>
              <w:rPr>
                <w:rFonts w:hint="eastAsia" w:ascii="宋体" w:cs="宋体"/>
                <w:color w:val="000000"/>
                <w:kern w:val="0"/>
                <w:sz w:val="22"/>
                <w:szCs w:val="22"/>
              </w:rPr>
              <w:t>FPS/分辨率：30@1920*1080(HDMI)；30@3840*2160(USB)；</w:t>
            </w:r>
          </w:p>
          <w:p>
            <w:pPr>
              <w:keepNext/>
              <w:widowControl/>
              <w:ind w:firstLine="220" w:firstLineChars="100"/>
              <w:jc w:val="left"/>
              <w:rPr>
                <w:rFonts w:ascii="宋体" w:cs="宋体"/>
                <w:color w:val="000000"/>
                <w:kern w:val="0"/>
                <w:sz w:val="22"/>
                <w:szCs w:val="22"/>
              </w:rPr>
            </w:pPr>
            <w:r>
              <w:rPr>
                <w:rFonts w:hint="eastAsia" w:ascii="宋体" w:cs="宋体"/>
                <w:color w:val="000000"/>
                <w:kern w:val="0"/>
                <w:sz w:val="22"/>
                <w:szCs w:val="22"/>
              </w:rPr>
              <w:t>G 光灵敏度：0.13mv- 300mv with 1/30s ；</w:t>
            </w:r>
          </w:p>
          <w:p>
            <w:pPr>
              <w:keepNext/>
              <w:widowControl/>
              <w:ind w:firstLine="220" w:firstLineChars="100"/>
              <w:jc w:val="left"/>
              <w:rPr>
                <w:rFonts w:ascii="宋体" w:cs="宋体"/>
                <w:color w:val="000000"/>
                <w:kern w:val="0"/>
                <w:sz w:val="22"/>
                <w:szCs w:val="22"/>
              </w:rPr>
            </w:pPr>
            <w:r>
              <w:rPr>
                <w:rFonts w:hint="eastAsia" w:ascii="宋体" w:cs="宋体"/>
                <w:color w:val="000000"/>
                <w:kern w:val="0"/>
                <w:sz w:val="22"/>
                <w:szCs w:val="22"/>
              </w:rPr>
              <w:t>曝光时间: 0.04~1000ms；</w:t>
            </w:r>
          </w:p>
          <w:p>
            <w:pPr>
              <w:keepNext/>
              <w:widowControl/>
              <w:ind w:firstLine="220" w:firstLineChars="100"/>
              <w:jc w:val="left"/>
              <w:rPr>
                <w:rFonts w:ascii="宋体" w:cs="宋体"/>
                <w:color w:val="000000"/>
                <w:kern w:val="0"/>
                <w:sz w:val="22"/>
                <w:szCs w:val="22"/>
              </w:rPr>
            </w:pPr>
            <w:r>
              <w:rPr>
                <w:rFonts w:hint="eastAsia" w:ascii="宋体" w:cs="宋体"/>
                <w:color w:val="000000"/>
                <w:kern w:val="0"/>
                <w:sz w:val="22"/>
                <w:szCs w:val="22"/>
              </w:rPr>
              <w:t xml:space="preserve">数据输出接口:USB、HDMI 接口。 </w:t>
            </w:r>
          </w:p>
          <w:p>
            <w:pPr>
              <w:keepNext/>
              <w:widowControl/>
              <w:jc w:val="left"/>
              <w:rPr>
                <w:rFonts w:ascii="宋体" w:cs="宋体"/>
                <w:color w:val="000000"/>
                <w:kern w:val="0"/>
                <w:sz w:val="22"/>
                <w:szCs w:val="22"/>
              </w:rPr>
            </w:pPr>
            <w:r>
              <w:rPr>
                <w:rFonts w:hint="eastAsia" w:ascii="宋体" w:cs="宋体"/>
                <w:color w:val="000000"/>
                <w:kern w:val="0"/>
                <w:sz w:val="22"/>
                <w:szCs w:val="22"/>
              </w:rPr>
              <w:t xml:space="preserve">8. 软件功能：图像显示、图像拍摄、录像和图象处理功能，可以对所摄图像进行文字 编辑，比例尺显示；长度，角度，弧长测量；点，线，平行线，垂直测量；圆、椭 圆测量；矩形，不规则形状的周长、面积、重心位置等几何参数测量 </w:t>
            </w:r>
          </w:p>
          <w:p>
            <w:pPr>
              <w:keepNext/>
              <w:widowControl/>
              <w:jc w:val="left"/>
              <w:rPr>
                <w:rFonts w:ascii="宋体" w:cs="宋体"/>
                <w:color w:val="000000"/>
                <w:kern w:val="0"/>
                <w:sz w:val="22"/>
                <w:szCs w:val="22"/>
              </w:rPr>
            </w:pPr>
            <w:r>
              <w:rPr>
                <w:rFonts w:hint="eastAsia" w:ascii="宋体" w:cs="宋体"/>
                <w:color w:val="000000"/>
                <w:kern w:val="0"/>
                <w:sz w:val="22"/>
                <w:szCs w:val="22"/>
              </w:rPr>
              <w:t xml:space="preserve">标准配置 </w:t>
            </w:r>
          </w:p>
          <w:p>
            <w:pPr>
              <w:keepNext/>
              <w:widowControl/>
              <w:jc w:val="left"/>
              <w:rPr>
                <w:rFonts w:ascii="宋体" w:cs="宋体"/>
                <w:color w:val="000000"/>
                <w:kern w:val="0"/>
                <w:sz w:val="22"/>
                <w:szCs w:val="22"/>
              </w:rPr>
            </w:pPr>
            <w:r>
              <w:rPr>
                <w:rFonts w:hint="eastAsia" w:ascii="宋体" w:cs="宋体"/>
                <w:color w:val="000000"/>
                <w:kern w:val="0"/>
                <w:sz w:val="22"/>
                <w:szCs w:val="22"/>
              </w:rPr>
              <w:t xml:space="preserve">1. 体视显微镜/1 台 </w:t>
            </w:r>
          </w:p>
          <w:p>
            <w:pPr>
              <w:keepNext/>
              <w:widowControl/>
              <w:jc w:val="left"/>
              <w:rPr>
                <w:rFonts w:ascii="宋体" w:cs="宋体"/>
                <w:color w:val="000000"/>
                <w:kern w:val="0"/>
                <w:sz w:val="22"/>
                <w:szCs w:val="22"/>
              </w:rPr>
            </w:pPr>
            <w:r>
              <w:rPr>
                <w:rFonts w:hint="eastAsia" w:ascii="宋体" w:cs="宋体"/>
                <w:color w:val="000000"/>
                <w:kern w:val="0"/>
                <w:sz w:val="22"/>
                <w:szCs w:val="22"/>
              </w:rPr>
              <w:t xml:space="preserve">2. 10X/20mm,20X/10mm目镜/2 对 </w:t>
            </w:r>
          </w:p>
          <w:p>
            <w:pPr>
              <w:keepNext/>
              <w:widowControl/>
              <w:jc w:val="left"/>
              <w:rPr>
                <w:rFonts w:ascii="宋体" w:cs="宋体"/>
                <w:color w:val="000000"/>
                <w:kern w:val="0"/>
                <w:sz w:val="22"/>
                <w:szCs w:val="22"/>
              </w:rPr>
            </w:pPr>
            <w:r>
              <w:rPr>
                <w:rFonts w:hint="eastAsia" w:ascii="宋体" w:cs="宋体"/>
                <w:color w:val="000000"/>
                <w:kern w:val="0"/>
                <w:sz w:val="22"/>
                <w:szCs w:val="22"/>
              </w:rPr>
              <w:t xml:space="preserve">3. 眼罩/1 对 </w:t>
            </w:r>
          </w:p>
          <w:p>
            <w:pPr>
              <w:keepNext/>
              <w:widowControl/>
              <w:jc w:val="left"/>
              <w:rPr>
                <w:rFonts w:ascii="宋体" w:cs="宋体"/>
                <w:color w:val="000000"/>
                <w:kern w:val="0"/>
                <w:sz w:val="22"/>
                <w:szCs w:val="22"/>
              </w:rPr>
            </w:pPr>
            <w:r>
              <w:rPr>
                <w:rFonts w:hint="eastAsia" w:ascii="宋体" w:cs="宋体"/>
                <w:color w:val="000000"/>
                <w:kern w:val="0"/>
                <w:sz w:val="22"/>
                <w:szCs w:val="22"/>
              </w:rPr>
              <w:t xml:space="preserve">4. 专用适配镜/1 只 </w:t>
            </w:r>
          </w:p>
          <w:p>
            <w:pPr>
              <w:keepNext/>
              <w:widowControl/>
              <w:jc w:val="left"/>
              <w:rPr>
                <w:rFonts w:ascii="宋体" w:cs="宋体"/>
                <w:color w:val="000000"/>
                <w:kern w:val="0"/>
                <w:sz w:val="22"/>
                <w:szCs w:val="22"/>
              </w:rPr>
            </w:pPr>
            <w:r>
              <w:rPr>
                <w:rFonts w:hint="eastAsia" w:ascii="宋体" w:cs="宋体"/>
                <w:color w:val="000000"/>
                <w:kern w:val="0"/>
                <w:sz w:val="22"/>
                <w:szCs w:val="22"/>
              </w:rPr>
              <w:t xml:space="preserve">5. 显微镜工业相机/1 只 </w:t>
            </w:r>
          </w:p>
          <w:p>
            <w:pPr>
              <w:keepNext/>
              <w:widowControl/>
              <w:jc w:val="left"/>
              <w:rPr>
                <w:rFonts w:ascii="宋体" w:cs="宋体"/>
                <w:color w:val="000000"/>
                <w:kern w:val="0"/>
                <w:sz w:val="22"/>
                <w:szCs w:val="22"/>
              </w:rPr>
            </w:pPr>
            <w:r>
              <w:rPr>
                <w:rFonts w:hint="eastAsia" w:ascii="宋体" w:cs="宋体"/>
                <w:color w:val="000000"/>
                <w:kern w:val="0"/>
                <w:sz w:val="22"/>
                <w:szCs w:val="22"/>
              </w:rPr>
              <w:t xml:space="preserve">6. 校准尺/1 片 </w:t>
            </w:r>
          </w:p>
          <w:p>
            <w:pPr>
              <w:keepNext/>
              <w:widowControl/>
              <w:jc w:val="left"/>
              <w:rPr>
                <w:rFonts w:ascii="宋体" w:cs="宋体"/>
                <w:color w:val="000000"/>
                <w:kern w:val="0"/>
                <w:sz w:val="22"/>
                <w:szCs w:val="22"/>
              </w:rPr>
            </w:pPr>
            <w:r>
              <w:rPr>
                <w:rFonts w:hint="eastAsia" w:ascii="宋体" w:cs="宋体"/>
                <w:color w:val="000000"/>
                <w:kern w:val="0"/>
                <w:sz w:val="22"/>
                <w:szCs w:val="22"/>
              </w:rPr>
              <w:t xml:space="preserve">7. 工作台磨砂玻璃/1 块 </w:t>
            </w:r>
          </w:p>
          <w:p>
            <w:pPr>
              <w:keepNext/>
              <w:widowControl/>
              <w:jc w:val="left"/>
              <w:rPr>
                <w:rFonts w:ascii="宋体" w:cs="宋体"/>
                <w:color w:val="000000"/>
                <w:kern w:val="0"/>
                <w:sz w:val="22"/>
                <w:szCs w:val="22"/>
              </w:rPr>
            </w:pPr>
            <w:r>
              <w:rPr>
                <w:rFonts w:hint="eastAsia" w:ascii="宋体" w:cs="宋体"/>
                <w:color w:val="000000"/>
                <w:kern w:val="0"/>
                <w:sz w:val="22"/>
                <w:szCs w:val="22"/>
              </w:rPr>
              <w:t xml:space="preserve">8. 黑白板/1 块 </w:t>
            </w:r>
          </w:p>
          <w:p>
            <w:pPr>
              <w:keepNext/>
              <w:widowControl/>
              <w:jc w:val="left"/>
              <w:rPr>
                <w:rFonts w:ascii="宋体" w:cs="宋体"/>
                <w:szCs w:val="21"/>
              </w:rPr>
            </w:pPr>
            <w:r>
              <w:rPr>
                <w:rFonts w:hint="eastAsia" w:ascii="宋体" w:cs="宋体"/>
                <w:color w:val="000000"/>
                <w:kern w:val="0"/>
                <w:sz w:val="22"/>
                <w:szCs w:val="22"/>
              </w:rPr>
              <w:t>9. 产品合格证、保修卡及说明书/1 份</w:t>
            </w:r>
          </w:p>
        </w:tc>
        <w:tc>
          <w:tcPr>
            <w:tcW w:w="646" w:type="dxa"/>
            <w:vAlign w:val="center"/>
          </w:tcPr>
          <w:p>
            <w:pPr>
              <w:spacing w:line="360" w:lineRule="auto"/>
              <w:jc w:val="center"/>
              <w:rPr>
                <w:rFonts w:ascii="宋体" w:cs="宋体"/>
                <w:szCs w:val="21"/>
              </w:rPr>
            </w:pPr>
            <w:r>
              <w:rPr>
                <w:rFonts w:hint="eastAsia" w:ascii="宋体" w:cs="宋体"/>
                <w:szCs w:val="21"/>
              </w:rPr>
              <w:t>2</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c>
          <w:tcPr>
            <w:tcW w:w="669" w:type="dxa"/>
            <w:vAlign w:val="center"/>
          </w:tcPr>
          <w:p>
            <w:pPr>
              <w:spacing w:line="360" w:lineRule="auto"/>
              <w:jc w:val="center"/>
              <w:rPr>
                <w:rFonts w:ascii="宋体" w:cs="宋体"/>
                <w:szCs w:val="21"/>
              </w:rPr>
            </w:pPr>
            <w:r>
              <w:rPr>
                <w:rFonts w:hint="eastAsia" w:ascii="宋体" w:cs="宋体"/>
                <w:szCs w:val="21"/>
              </w:rPr>
              <w:t>10</w:t>
            </w:r>
          </w:p>
        </w:tc>
        <w:tc>
          <w:tcPr>
            <w:tcW w:w="1021" w:type="dxa"/>
            <w:vAlign w:val="center"/>
          </w:tcPr>
          <w:p>
            <w:pPr>
              <w:keepNext/>
              <w:widowControl/>
              <w:jc w:val="left"/>
              <w:rPr>
                <w:rFonts w:ascii="宋体" w:cs="宋体"/>
                <w:szCs w:val="21"/>
              </w:rPr>
            </w:pPr>
            <w:r>
              <w:rPr>
                <w:rFonts w:hint="eastAsia" w:ascii="宋体" w:cs="宋体"/>
                <w:color w:val="000000"/>
                <w:kern w:val="0"/>
                <w:sz w:val="22"/>
                <w:szCs w:val="22"/>
              </w:rPr>
              <w:t>8道电动移液器（10-300ul）</w:t>
            </w:r>
          </w:p>
        </w:tc>
        <w:tc>
          <w:tcPr>
            <w:tcW w:w="6367" w:type="dxa"/>
          </w:tcPr>
          <w:p>
            <w:pPr>
              <w:keepNext/>
              <w:widowControl/>
              <w:jc w:val="left"/>
              <w:rPr>
                <w:rFonts w:ascii="宋体" w:cs="宋体"/>
                <w:color w:val="000000"/>
                <w:kern w:val="0"/>
                <w:sz w:val="22"/>
                <w:szCs w:val="22"/>
              </w:rPr>
            </w:pPr>
            <w:r>
              <w:rPr>
                <w:rFonts w:hint="eastAsia" w:ascii="宋体" w:cs="宋体"/>
                <w:color w:val="000000"/>
                <w:kern w:val="0"/>
                <w:sz w:val="22"/>
                <w:szCs w:val="22"/>
              </w:rPr>
              <w:t xml:space="preserve">1. 具有移液、反向移液、手动移液、多次分液、序列（不等量）分液、稀释、多次吸液及滴定等8种主要模式，每种模式下还有对应的可选功能（计数、多次吹出、自动分液、混合、孔板向导等），内嵌式微孔板向导系统能指引用户移液至正确的孔中，提高微孔板工作的可靠性 </w:t>
            </w:r>
          </w:p>
          <w:p>
            <w:pPr>
              <w:keepNext/>
              <w:widowControl/>
              <w:jc w:val="left"/>
              <w:rPr>
                <w:rFonts w:ascii="宋体" w:cs="宋体"/>
                <w:color w:val="000000"/>
                <w:kern w:val="0"/>
                <w:sz w:val="22"/>
                <w:szCs w:val="22"/>
              </w:rPr>
            </w:pPr>
            <w:r>
              <w:rPr>
                <w:rFonts w:hint="eastAsia" w:ascii="宋体" w:cs="宋体"/>
                <w:color w:val="000000"/>
                <w:kern w:val="0"/>
                <w:sz w:val="22"/>
                <w:szCs w:val="22"/>
              </w:rPr>
              <w:t>2. 清晰的LCD显示屏，具有调节轮提供快速的容量设定与菜单导航，单手可完成所有操作，电动活塞控制和制动可以保证准确且精确的移液结果，不受到用户本身的影响。</w:t>
            </w:r>
          </w:p>
          <w:p>
            <w:pPr>
              <w:keepNext/>
              <w:widowControl/>
              <w:jc w:val="left"/>
              <w:rPr>
                <w:rFonts w:ascii="宋体" w:cs="宋体"/>
                <w:color w:val="000000"/>
                <w:kern w:val="0"/>
                <w:sz w:val="22"/>
                <w:szCs w:val="22"/>
              </w:rPr>
            </w:pPr>
            <w:r>
              <w:rPr>
                <w:rFonts w:hint="eastAsia" w:ascii="宋体" w:cs="宋体"/>
                <w:color w:val="000000"/>
                <w:kern w:val="0"/>
                <w:sz w:val="22"/>
                <w:szCs w:val="22"/>
              </w:rPr>
              <w:t xml:space="preserve">3. 吸头多次吹出有助于将最后的液滴完全排出，尽可能实现完全回收 </w:t>
            </w:r>
          </w:p>
          <w:p>
            <w:pPr>
              <w:keepNext/>
              <w:widowControl/>
              <w:jc w:val="left"/>
              <w:rPr>
                <w:rFonts w:ascii="宋体" w:cs="宋体"/>
                <w:color w:val="000000"/>
                <w:kern w:val="0"/>
                <w:sz w:val="22"/>
                <w:szCs w:val="22"/>
              </w:rPr>
            </w:pPr>
            <w:r>
              <w:rPr>
                <w:rFonts w:hint="eastAsia" w:ascii="宋体" w:cs="宋体"/>
                <w:color w:val="000000"/>
                <w:kern w:val="0"/>
                <w:sz w:val="22"/>
                <w:szCs w:val="22"/>
              </w:rPr>
              <w:t>4. Tip卸除功能：电动退出，确保轻松的安装吸头和推出吸头以及吸头安装极高的密封性和均一性，安全圆锥过滤器可以经济有效地预防污染风险。</w:t>
            </w:r>
          </w:p>
          <w:p>
            <w:pPr>
              <w:keepNext/>
              <w:widowControl/>
              <w:jc w:val="left"/>
              <w:rPr>
                <w:rFonts w:ascii="宋体" w:cs="宋体"/>
                <w:color w:val="000000"/>
                <w:kern w:val="0"/>
                <w:sz w:val="22"/>
                <w:szCs w:val="22"/>
              </w:rPr>
            </w:pPr>
            <w:r>
              <w:rPr>
                <w:rFonts w:hint="eastAsia" w:ascii="宋体" w:cs="宋体"/>
                <w:color w:val="000000"/>
                <w:kern w:val="0"/>
                <w:sz w:val="22"/>
                <w:szCs w:val="22"/>
              </w:rPr>
              <w:t>5. &gt;10ul 型号提供可替换的安全圆锥过滤器帮助避免内部污染和损坏</w:t>
            </w:r>
          </w:p>
          <w:p>
            <w:pPr>
              <w:keepNext/>
              <w:widowControl/>
              <w:jc w:val="left"/>
              <w:rPr>
                <w:rFonts w:ascii="宋体" w:cs="宋体"/>
                <w:color w:val="000000"/>
                <w:kern w:val="0"/>
                <w:sz w:val="22"/>
                <w:szCs w:val="22"/>
              </w:rPr>
            </w:pPr>
            <w:r>
              <w:rPr>
                <w:rFonts w:hint="eastAsia" w:ascii="宋体" w:cs="宋体"/>
                <w:color w:val="000000"/>
                <w:kern w:val="0"/>
                <w:sz w:val="22"/>
                <w:szCs w:val="22"/>
              </w:rPr>
              <w:t>6. 可进行不少于3个方案的编辑与储存，每个方案中最多可添加10个操作模式，无需反复设置模式及参数，节省工作步骤及时间</w:t>
            </w:r>
          </w:p>
          <w:p>
            <w:pPr>
              <w:keepNext/>
              <w:widowControl/>
              <w:jc w:val="left"/>
              <w:rPr>
                <w:rFonts w:ascii="宋体" w:cs="宋体"/>
                <w:color w:val="000000"/>
                <w:kern w:val="0"/>
                <w:sz w:val="22"/>
                <w:szCs w:val="22"/>
              </w:rPr>
            </w:pPr>
            <w:r>
              <w:rPr>
                <w:rFonts w:hint="eastAsia" w:ascii="宋体" w:cs="宋体"/>
                <w:color w:val="000000"/>
                <w:kern w:val="0"/>
                <w:sz w:val="22"/>
                <w:szCs w:val="22"/>
              </w:rPr>
              <w:t>7. 产品附有FINAS认证的3点校准证书</w:t>
            </w:r>
          </w:p>
          <w:p>
            <w:pPr>
              <w:keepNext/>
              <w:widowControl/>
              <w:jc w:val="left"/>
              <w:rPr>
                <w:rFonts w:ascii="宋体" w:cs="宋体"/>
                <w:color w:val="000000"/>
                <w:kern w:val="0"/>
                <w:sz w:val="22"/>
                <w:szCs w:val="22"/>
              </w:rPr>
            </w:pPr>
            <w:r>
              <w:rPr>
                <w:rFonts w:hint="eastAsia" w:ascii="宋体" w:cs="宋体"/>
                <w:color w:val="000000"/>
                <w:kern w:val="0"/>
                <w:sz w:val="22"/>
                <w:szCs w:val="22"/>
              </w:rPr>
              <w:t>8. 2级密码保护，对不同身份的用户可设置不同权限，更符合严苛的规范要求</w:t>
            </w:r>
          </w:p>
          <w:p>
            <w:pPr>
              <w:keepNext/>
              <w:widowControl/>
              <w:jc w:val="left"/>
              <w:rPr>
                <w:rFonts w:ascii="宋体" w:cs="宋体"/>
                <w:color w:val="000000"/>
                <w:kern w:val="0"/>
                <w:sz w:val="22"/>
                <w:szCs w:val="22"/>
              </w:rPr>
            </w:pPr>
            <w:r>
              <w:rPr>
                <w:rFonts w:hint="eastAsia" w:ascii="宋体" w:cs="宋体"/>
                <w:color w:val="000000"/>
                <w:kern w:val="0"/>
                <w:sz w:val="22"/>
                <w:szCs w:val="22"/>
              </w:rPr>
              <w:t>9. 校准、检查及维护提醒，帮助用户定期对移液器进行校准、检查及维护</w:t>
            </w:r>
          </w:p>
          <w:p>
            <w:pPr>
              <w:keepNext/>
              <w:widowControl/>
              <w:jc w:val="left"/>
              <w:rPr>
                <w:rFonts w:ascii="宋体" w:cs="宋体"/>
                <w:color w:val="000000"/>
                <w:kern w:val="0"/>
                <w:sz w:val="22"/>
                <w:szCs w:val="22"/>
              </w:rPr>
            </w:pPr>
            <w:r>
              <w:rPr>
                <w:rFonts w:hint="eastAsia" w:ascii="宋体" w:cs="宋体"/>
                <w:color w:val="000000"/>
                <w:kern w:val="0"/>
                <w:sz w:val="22"/>
                <w:szCs w:val="22"/>
              </w:rPr>
              <w:t>10. 移液器锁，当移液器性能不确定时（损坏/待维修、检查、校准等），管理员可将移液器锁定，防止用户误操作</w:t>
            </w:r>
          </w:p>
          <w:p>
            <w:pPr>
              <w:keepNext/>
              <w:widowControl/>
              <w:jc w:val="left"/>
              <w:rPr>
                <w:rFonts w:ascii="宋体" w:cs="宋体"/>
                <w:color w:val="000000"/>
                <w:kern w:val="0"/>
                <w:sz w:val="22"/>
                <w:szCs w:val="22"/>
              </w:rPr>
            </w:pPr>
            <w:r>
              <w:rPr>
                <w:rFonts w:hint="eastAsia" w:ascii="宋体" w:cs="宋体"/>
                <w:color w:val="000000"/>
                <w:kern w:val="0"/>
                <w:sz w:val="22"/>
                <w:szCs w:val="22"/>
              </w:rPr>
              <w:t>11. 多道</w:t>
            </w:r>
          </w:p>
          <w:p>
            <w:pPr>
              <w:keepNext/>
              <w:widowControl/>
              <w:jc w:val="left"/>
              <w:rPr>
                <w:rFonts w:ascii="宋体" w:cs="宋体"/>
                <w:color w:val="000000"/>
                <w:kern w:val="0"/>
                <w:sz w:val="22"/>
                <w:szCs w:val="22"/>
              </w:rPr>
            </w:pPr>
            <w:r>
              <w:rPr>
                <w:rFonts w:hint="eastAsia" w:ascii="宋体" w:cs="宋体"/>
                <w:color w:val="000000"/>
                <w:kern w:val="0"/>
                <w:sz w:val="22"/>
                <w:szCs w:val="22"/>
              </w:rPr>
              <w:t>10-300ul     0.2           300        0.50%      0.20%</w:t>
            </w:r>
          </w:p>
          <w:p>
            <w:pPr>
              <w:keepNext/>
              <w:widowControl/>
              <w:jc w:val="left"/>
              <w:rPr>
                <w:rFonts w:ascii="宋体" w:cs="宋体"/>
                <w:color w:val="000000"/>
                <w:kern w:val="0"/>
                <w:sz w:val="22"/>
                <w:szCs w:val="22"/>
              </w:rPr>
            </w:pPr>
            <w:r>
              <w:rPr>
                <w:rFonts w:hint="eastAsia" w:ascii="宋体" w:cs="宋体"/>
                <w:color w:val="000000"/>
                <w:kern w:val="0"/>
                <w:sz w:val="22"/>
                <w:szCs w:val="22"/>
              </w:rPr>
              <w:t>150          0.70%        0.30%</w:t>
            </w:r>
          </w:p>
          <w:p>
            <w:pPr>
              <w:keepNext/>
              <w:widowControl/>
              <w:jc w:val="left"/>
              <w:rPr>
                <w:rFonts w:ascii="宋体" w:cs="宋体"/>
                <w:color w:val="000000"/>
                <w:kern w:val="0"/>
                <w:sz w:val="22"/>
                <w:szCs w:val="22"/>
              </w:rPr>
            </w:pPr>
            <w:r>
              <w:rPr>
                <w:rFonts w:hint="eastAsia" w:ascii="宋体" w:cs="宋体"/>
                <w:color w:val="000000"/>
                <w:kern w:val="0"/>
                <w:sz w:val="22"/>
                <w:szCs w:val="22"/>
              </w:rPr>
              <w:t>30           2.00%        1.00%</w:t>
            </w:r>
          </w:p>
          <w:p>
            <w:pPr>
              <w:keepNext/>
              <w:widowControl/>
              <w:jc w:val="left"/>
              <w:rPr>
                <w:rFonts w:ascii="宋体" w:cs="宋体"/>
                <w:color w:val="000000"/>
                <w:kern w:val="0"/>
                <w:sz w:val="22"/>
                <w:szCs w:val="22"/>
              </w:rPr>
            </w:pPr>
            <w:r>
              <w:rPr>
                <w:rFonts w:hint="eastAsia" w:ascii="宋体" w:cs="宋体"/>
                <w:color w:val="000000"/>
                <w:kern w:val="0"/>
                <w:sz w:val="22"/>
                <w:szCs w:val="22"/>
              </w:rPr>
              <w:t>12. 9档分液、吸液速度</w:t>
            </w:r>
          </w:p>
          <w:p>
            <w:pPr>
              <w:keepNext/>
              <w:widowControl/>
              <w:jc w:val="left"/>
              <w:rPr>
                <w:rFonts w:ascii="宋体" w:cs="宋体"/>
                <w:color w:val="000000"/>
                <w:kern w:val="0"/>
                <w:sz w:val="22"/>
                <w:szCs w:val="22"/>
              </w:rPr>
            </w:pPr>
            <w:r>
              <w:rPr>
                <w:rFonts w:hint="eastAsia" w:ascii="宋体" w:cs="宋体"/>
                <w:color w:val="000000"/>
                <w:kern w:val="0"/>
                <w:sz w:val="22"/>
                <w:szCs w:val="22"/>
              </w:rPr>
              <w:t>13. 针对不同密度的液体可进行校准调节，可选择1,2或3点校准调节</w:t>
            </w:r>
          </w:p>
          <w:p>
            <w:pPr>
              <w:keepNext/>
              <w:widowControl/>
              <w:jc w:val="left"/>
              <w:rPr>
                <w:rFonts w:ascii="宋体" w:cs="宋体"/>
                <w:color w:val="000000"/>
                <w:kern w:val="0"/>
                <w:sz w:val="22"/>
                <w:szCs w:val="22"/>
              </w:rPr>
            </w:pPr>
            <w:r>
              <w:rPr>
                <w:rFonts w:hint="eastAsia" w:ascii="宋体" w:cs="宋体"/>
                <w:color w:val="000000"/>
                <w:kern w:val="0"/>
                <w:sz w:val="22"/>
                <w:szCs w:val="22"/>
              </w:rPr>
              <w:t>14. 自重轻，在100克左右，人体工程学设计能保护操作者避免受到RSI (重复性劳损) 并减轻长时间移液操作所带来的工作负荷</w:t>
            </w:r>
          </w:p>
          <w:p>
            <w:pPr>
              <w:keepNext/>
              <w:widowControl/>
              <w:jc w:val="left"/>
              <w:rPr>
                <w:rFonts w:ascii="宋体" w:cs="宋体"/>
                <w:color w:val="000000"/>
                <w:kern w:val="0"/>
                <w:sz w:val="22"/>
                <w:szCs w:val="22"/>
              </w:rPr>
            </w:pPr>
            <w:r>
              <w:rPr>
                <w:rFonts w:hint="eastAsia" w:ascii="宋体" w:cs="宋体"/>
                <w:color w:val="000000"/>
                <w:kern w:val="0"/>
                <w:sz w:val="22"/>
                <w:szCs w:val="22"/>
              </w:rPr>
              <w:t xml:space="preserve">15. 两种充电模式：交流适配器直接充电（可使用USB接口充电），或者充电支架充电                                                                             </w:t>
            </w:r>
          </w:p>
          <w:p>
            <w:pPr>
              <w:keepNext/>
              <w:widowControl/>
              <w:jc w:val="left"/>
              <w:rPr>
                <w:rFonts w:ascii="宋体" w:cs="宋体"/>
                <w:color w:val="000000"/>
                <w:kern w:val="0"/>
                <w:sz w:val="22"/>
                <w:szCs w:val="22"/>
              </w:rPr>
            </w:pPr>
            <w:r>
              <w:rPr>
                <w:rFonts w:hint="eastAsia" w:ascii="宋体" w:cs="宋体"/>
                <w:color w:val="000000"/>
                <w:kern w:val="0"/>
                <w:sz w:val="22"/>
                <w:szCs w:val="22"/>
              </w:rPr>
              <w:t>16. 量程彩色标识</w:t>
            </w:r>
          </w:p>
          <w:p>
            <w:pPr>
              <w:keepNext/>
              <w:widowControl/>
              <w:jc w:val="left"/>
              <w:rPr>
                <w:rFonts w:ascii="宋体" w:cs="宋体"/>
                <w:color w:val="000000"/>
                <w:kern w:val="0"/>
                <w:sz w:val="22"/>
                <w:szCs w:val="22"/>
              </w:rPr>
            </w:pPr>
            <w:r>
              <w:rPr>
                <w:rFonts w:hint="eastAsia" w:ascii="宋体" w:cs="宋体"/>
                <w:color w:val="000000"/>
                <w:kern w:val="0"/>
                <w:sz w:val="22"/>
                <w:szCs w:val="22"/>
              </w:rPr>
              <w:t>17. 下半部分可高温高压消毒(1200ul除外)</w:t>
            </w:r>
          </w:p>
          <w:p>
            <w:pPr>
              <w:keepNext/>
              <w:widowControl/>
              <w:jc w:val="left"/>
              <w:rPr>
                <w:rFonts w:ascii="宋体" w:cs="宋体"/>
                <w:color w:val="000000"/>
                <w:kern w:val="0"/>
                <w:sz w:val="22"/>
                <w:szCs w:val="22"/>
              </w:rPr>
            </w:pPr>
            <w:r>
              <w:rPr>
                <w:rFonts w:hint="eastAsia" w:ascii="宋体" w:cs="宋体"/>
                <w:color w:val="000000"/>
                <w:kern w:val="0"/>
                <w:sz w:val="22"/>
                <w:szCs w:val="22"/>
              </w:rPr>
              <w:t>18. 具有GB认证标识</w:t>
            </w:r>
          </w:p>
          <w:p>
            <w:pPr>
              <w:keepNext/>
              <w:widowControl/>
              <w:jc w:val="left"/>
              <w:rPr>
                <w:rFonts w:ascii="宋体" w:cs="宋体"/>
                <w:b/>
                <w:bCs/>
                <w:color w:val="000000"/>
                <w:kern w:val="0"/>
                <w:sz w:val="22"/>
                <w:szCs w:val="22"/>
              </w:rPr>
            </w:pPr>
            <w:r>
              <w:rPr>
                <w:rFonts w:hint="eastAsia" w:ascii="宋体" w:cs="宋体"/>
                <w:b/>
                <w:bCs/>
                <w:color w:val="000000"/>
                <w:kern w:val="0"/>
                <w:sz w:val="22"/>
                <w:szCs w:val="22"/>
              </w:rPr>
              <w:t>基本配置、附件、专用工具和备件</w:t>
            </w:r>
          </w:p>
          <w:p>
            <w:pPr>
              <w:keepNext/>
              <w:widowControl/>
              <w:jc w:val="left"/>
              <w:rPr>
                <w:rFonts w:ascii="宋体" w:cs="宋体"/>
                <w:color w:val="000000"/>
                <w:kern w:val="0"/>
                <w:sz w:val="22"/>
                <w:szCs w:val="22"/>
              </w:rPr>
            </w:pPr>
            <w:r>
              <w:rPr>
                <w:rFonts w:hint="eastAsia" w:ascii="宋体" w:cs="宋体"/>
                <w:color w:val="000000"/>
                <w:kern w:val="0"/>
                <w:sz w:val="22"/>
                <w:szCs w:val="22"/>
              </w:rPr>
              <w:t>1. 移液器及标配充电器</w:t>
            </w:r>
          </w:p>
          <w:p>
            <w:pPr>
              <w:keepNext/>
              <w:widowControl/>
              <w:jc w:val="left"/>
              <w:rPr>
                <w:rFonts w:ascii="宋体" w:cs="宋体"/>
                <w:color w:val="000000"/>
                <w:kern w:val="0"/>
                <w:sz w:val="22"/>
                <w:szCs w:val="22"/>
              </w:rPr>
            </w:pPr>
            <w:r>
              <w:rPr>
                <w:rFonts w:hint="eastAsia" w:ascii="宋体" w:cs="宋体"/>
                <w:color w:val="000000"/>
                <w:kern w:val="0"/>
                <w:sz w:val="22"/>
                <w:szCs w:val="22"/>
              </w:rPr>
              <w:t>2. 标配安全圆锥过滤器及镊子（&gt;10ul型号）</w:t>
            </w:r>
          </w:p>
          <w:p>
            <w:pPr>
              <w:keepNext/>
              <w:widowControl/>
              <w:jc w:val="left"/>
              <w:rPr>
                <w:rFonts w:ascii="宋体" w:cs="宋体"/>
                <w:color w:val="000000"/>
                <w:kern w:val="0"/>
                <w:sz w:val="22"/>
                <w:szCs w:val="22"/>
              </w:rPr>
            </w:pPr>
            <w:r>
              <w:rPr>
                <w:rFonts w:hint="eastAsia" w:ascii="宋体" w:cs="宋体"/>
                <w:color w:val="000000"/>
                <w:kern w:val="0"/>
                <w:sz w:val="22"/>
                <w:szCs w:val="22"/>
              </w:rPr>
              <w:t>3. 一盒吸头</w:t>
            </w:r>
          </w:p>
          <w:p>
            <w:pPr>
              <w:keepNext/>
              <w:widowControl/>
              <w:jc w:val="left"/>
              <w:rPr>
                <w:rFonts w:ascii="宋体" w:cs="宋体"/>
                <w:color w:val="000000"/>
                <w:kern w:val="0"/>
                <w:sz w:val="22"/>
                <w:szCs w:val="22"/>
              </w:rPr>
            </w:pPr>
            <w:r>
              <w:rPr>
                <w:rFonts w:hint="eastAsia" w:ascii="宋体" w:cs="宋体"/>
                <w:color w:val="000000"/>
                <w:kern w:val="0"/>
                <w:sz w:val="22"/>
                <w:szCs w:val="22"/>
              </w:rPr>
              <w:t>4. 硅脂</w:t>
            </w:r>
          </w:p>
          <w:p>
            <w:pPr>
              <w:keepNext/>
              <w:widowControl/>
              <w:jc w:val="left"/>
              <w:rPr>
                <w:rFonts w:ascii="宋体" w:cs="宋体"/>
                <w:color w:val="000000"/>
                <w:kern w:val="0"/>
                <w:sz w:val="22"/>
                <w:szCs w:val="22"/>
              </w:rPr>
            </w:pPr>
            <w:r>
              <w:rPr>
                <w:rFonts w:hint="eastAsia" w:ascii="宋体" w:cs="宋体"/>
                <w:color w:val="000000"/>
                <w:kern w:val="0"/>
                <w:sz w:val="22"/>
                <w:szCs w:val="22"/>
              </w:rPr>
              <w:t>售后质保：不小于2年</w:t>
            </w:r>
          </w:p>
          <w:p>
            <w:pPr>
              <w:keepNext/>
              <w:widowControl/>
              <w:jc w:val="left"/>
              <w:rPr>
                <w:rFonts w:ascii="宋体" w:cs="宋体"/>
                <w:szCs w:val="21"/>
              </w:rPr>
            </w:pPr>
            <w:r>
              <w:rPr>
                <w:rFonts w:hint="eastAsia" w:ascii="宋体" w:cs="宋体"/>
                <w:color w:val="000000" w:themeColor="text1"/>
                <w:kern w:val="0"/>
                <w:sz w:val="22"/>
                <w:szCs w:val="22"/>
                <w14:textFill>
                  <w14:solidFill>
                    <w14:schemeClr w14:val="tx1"/>
                  </w14:solidFill>
                </w14:textFill>
              </w:rPr>
              <w:t>厂家在中国具有CNAS认可的校准实验室，能够出具符合CNAS标准的校准报告</w:t>
            </w:r>
          </w:p>
        </w:tc>
        <w:tc>
          <w:tcPr>
            <w:tcW w:w="646" w:type="dxa"/>
            <w:vAlign w:val="center"/>
          </w:tcPr>
          <w:p>
            <w:pPr>
              <w:spacing w:line="360" w:lineRule="auto"/>
              <w:jc w:val="center"/>
              <w:rPr>
                <w:rFonts w:hint="eastAsia" w:ascii="宋体" w:eastAsia="宋体" w:cs="宋体"/>
                <w:szCs w:val="21"/>
                <w:lang w:eastAsia="zh-CN"/>
              </w:rPr>
            </w:pPr>
            <w:r>
              <w:rPr>
                <w:rFonts w:hint="eastAsia" w:ascii="宋体" w:cs="宋体"/>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c>
          <w:tcPr>
            <w:tcW w:w="669" w:type="dxa"/>
            <w:vAlign w:val="center"/>
          </w:tcPr>
          <w:p>
            <w:pPr>
              <w:spacing w:line="360" w:lineRule="auto"/>
              <w:jc w:val="center"/>
              <w:rPr>
                <w:rFonts w:ascii="宋体" w:cs="宋体"/>
                <w:szCs w:val="21"/>
              </w:rPr>
            </w:pPr>
            <w:r>
              <w:rPr>
                <w:rFonts w:hint="eastAsia" w:ascii="宋体" w:cs="宋体"/>
                <w:szCs w:val="21"/>
              </w:rPr>
              <w:t>11</w:t>
            </w:r>
          </w:p>
        </w:tc>
        <w:tc>
          <w:tcPr>
            <w:tcW w:w="1021" w:type="dxa"/>
            <w:vAlign w:val="center"/>
          </w:tcPr>
          <w:p>
            <w:pPr>
              <w:keepNext/>
              <w:widowControl/>
              <w:jc w:val="left"/>
              <w:rPr>
                <w:rFonts w:ascii="宋体" w:cs="宋体"/>
                <w:szCs w:val="21"/>
              </w:rPr>
            </w:pPr>
            <w:r>
              <w:rPr>
                <w:rFonts w:hint="eastAsia" w:ascii="宋体" w:cs="宋体"/>
                <w:color w:val="000000"/>
                <w:kern w:val="0"/>
                <w:sz w:val="22"/>
                <w:szCs w:val="22"/>
              </w:rPr>
              <w:t>8道电动移液器（50-1200ul）</w:t>
            </w:r>
          </w:p>
        </w:tc>
        <w:tc>
          <w:tcPr>
            <w:tcW w:w="6367" w:type="dxa"/>
          </w:tcPr>
          <w:p>
            <w:pPr>
              <w:keepNext/>
              <w:widowControl/>
              <w:jc w:val="left"/>
              <w:rPr>
                <w:rFonts w:ascii="宋体" w:cs="宋体"/>
                <w:b/>
                <w:bCs/>
                <w:color w:val="000000"/>
                <w:kern w:val="0"/>
                <w:sz w:val="22"/>
                <w:szCs w:val="22"/>
              </w:rPr>
            </w:pPr>
            <w:r>
              <w:rPr>
                <w:rFonts w:hint="eastAsia" w:ascii="宋体" w:cs="宋体"/>
                <w:b/>
                <w:bCs/>
                <w:color w:val="000000"/>
                <w:kern w:val="0"/>
                <w:sz w:val="22"/>
                <w:szCs w:val="22"/>
              </w:rPr>
              <w:t>技术参数：</w:t>
            </w:r>
          </w:p>
          <w:p>
            <w:pPr>
              <w:keepNext/>
              <w:widowControl/>
              <w:numPr>
                <w:ilvl w:val="0"/>
                <w:numId w:val="11"/>
              </w:numPr>
              <w:jc w:val="left"/>
              <w:rPr>
                <w:rFonts w:ascii="宋体" w:cs="宋体"/>
                <w:color w:val="000000"/>
                <w:kern w:val="0"/>
                <w:sz w:val="22"/>
                <w:szCs w:val="22"/>
              </w:rPr>
            </w:pPr>
            <w:r>
              <w:rPr>
                <w:rFonts w:hint="eastAsia" w:ascii="宋体" w:cs="宋体"/>
                <w:color w:val="000000"/>
                <w:kern w:val="0"/>
                <w:sz w:val="22"/>
                <w:szCs w:val="22"/>
              </w:rPr>
              <w:t xml:space="preserve">具有移液、反向移液、手动移液、多次分液、序列（不等量）分液、稀释、多次吸液及滴定等8种主要模式，每种模式下还有对应的可选功能（计数、多次吹出、自动分液、混合、孔板向导等），内嵌式微孔板向导系统能指引用户移液至正确的孔中，提高微孔板工作的可靠性 </w:t>
            </w:r>
          </w:p>
          <w:p>
            <w:pPr>
              <w:keepNext/>
              <w:widowControl/>
              <w:numPr>
                <w:ilvl w:val="0"/>
                <w:numId w:val="11"/>
              </w:numPr>
              <w:jc w:val="left"/>
              <w:rPr>
                <w:rFonts w:ascii="宋体" w:cs="宋体"/>
                <w:color w:val="000000"/>
                <w:kern w:val="0"/>
                <w:sz w:val="22"/>
                <w:szCs w:val="22"/>
              </w:rPr>
            </w:pPr>
            <w:r>
              <w:rPr>
                <w:rFonts w:hint="eastAsia" w:ascii="宋体" w:cs="宋体"/>
                <w:color w:val="000000"/>
                <w:kern w:val="0"/>
                <w:sz w:val="22"/>
                <w:szCs w:val="22"/>
              </w:rPr>
              <w:t>清晰的LCD显示屏，具有调节轮提供快速的容量设定与菜单导航，单手可完成所有操作，电动活塞控制和制动可以保证准确且精确的移液结果，不受到用户本身的影响。</w:t>
            </w:r>
          </w:p>
          <w:p>
            <w:pPr>
              <w:keepNext/>
              <w:widowControl/>
              <w:numPr>
                <w:ilvl w:val="0"/>
                <w:numId w:val="11"/>
              </w:numPr>
              <w:jc w:val="left"/>
              <w:rPr>
                <w:rFonts w:ascii="宋体" w:cs="宋体"/>
                <w:color w:val="000000"/>
                <w:kern w:val="0"/>
                <w:sz w:val="22"/>
                <w:szCs w:val="22"/>
              </w:rPr>
            </w:pPr>
            <w:r>
              <w:rPr>
                <w:rFonts w:hint="eastAsia" w:ascii="宋体" w:cs="宋体"/>
                <w:color w:val="000000"/>
                <w:kern w:val="0"/>
                <w:sz w:val="22"/>
                <w:szCs w:val="22"/>
              </w:rPr>
              <w:t xml:space="preserve">吸头多次吹出有助于将最后的液滴完全排出，尽可能实现完全回收 </w:t>
            </w:r>
          </w:p>
          <w:p>
            <w:pPr>
              <w:keepNext/>
              <w:widowControl/>
              <w:numPr>
                <w:ilvl w:val="0"/>
                <w:numId w:val="11"/>
              </w:numPr>
              <w:jc w:val="left"/>
              <w:rPr>
                <w:rFonts w:ascii="宋体" w:cs="宋体"/>
                <w:color w:val="000000"/>
                <w:kern w:val="0"/>
                <w:sz w:val="22"/>
                <w:szCs w:val="22"/>
              </w:rPr>
            </w:pPr>
            <w:r>
              <w:rPr>
                <w:rFonts w:hint="eastAsia" w:ascii="宋体" w:cs="宋体"/>
                <w:color w:val="000000"/>
                <w:kern w:val="0"/>
                <w:sz w:val="22"/>
                <w:szCs w:val="22"/>
              </w:rPr>
              <w:t>Tip卸除功能：电动退出，确保轻松的安装吸头和推出吸头以及吸头安装极高的密封性和均一性，安全圆锥过滤器可以经济有效地预防污染风险。</w:t>
            </w:r>
          </w:p>
          <w:p>
            <w:pPr>
              <w:keepNext/>
              <w:widowControl/>
              <w:numPr>
                <w:ilvl w:val="0"/>
                <w:numId w:val="11"/>
              </w:numPr>
              <w:jc w:val="left"/>
              <w:rPr>
                <w:rFonts w:ascii="宋体" w:cs="宋体"/>
                <w:color w:val="000000"/>
                <w:kern w:val="0"/>
                <w:sz w:val="22"/>
                <w:szCs w:val="22"/>
              </w:rPr>
            </w:pPr>
            <w:r>
              <w:rPr>
                <w:rFonts w:hint="eastAsia" w:ascii="宋体" w:cs="宋体"/>
                <w:color w:val="000000"/>
                <w:kern w:val="0"/>
                <w:sz w:val="22"/>
                <w:szCs w:val="22"/>
              </w:rPr>
              <w:t>&gt;10ul 型号提供可替换的安全圆锥过滤器帮助避免内部污染和损坏</w:t>
            </w:r>
          </w:p>
          <w:p>
            <w:pPr>
              <w:keepNext/>
              <w:widowControl/>
              <w:jc w:val="left"/>
              <w:rPr>
                <w:rFonts w:ascii="宋体" w:cs="宋体"/>
                <w:color w:val="000000"/>
                <w:kern w:val="0"/>
                <w:sz w:val="22"/>
                <w:szCs w:val="22"/>
              </w:rPr>
            </w:pPr>
            <w:r>
              <w:rPr>
                <w:rFonts w:hint="eastAsia" w:ascii="宋体" w:cs="宋体"/>
                <w:color w:val="000000"/>
                <w:kern w:val="0"/>
                <w:sz w:val="22"/>
                <w:szCs w:val="22"/>
              </w:rPr>
              <w:t>6. 可进行不少于3个方案的编辑与储存，每个方案中最多可添加10个操作模式，无需反复设置模式及参数，节省工作步骤及时间</w:t>
            </w:r>
          </w:p>
          <w:p>
            <w:pPr>
              <w:keepNext/>
              <w:widowControl/>
              <w:jc w:val="left"/>
              <w:rPr>
                <w:rFonts w:ascii="宋体" w:cs="宋体"/>
                <w:color w:val="000000"/>
                <w:kern w:val="0"/>
                <w:sz w:val="22"/>
                <w:szCs w:val="22"/>
              </w:rPr>
            </w:pPr>
            <w:r>
              <w:rPr>
                <w:rFonts w:hint="eastAsia" w:ascii="宋体" w:cs="宋体"/>
                <w:color w:val="000000"/>
                <w:kern w:val="0"/>
                <w:sz w:val="22"/>
                <w:szCs w:val="22"/>
              </w:rPr>
              <w:t>7. 产品附有FINAS认证的3点校准证书</w:t>
            </w:r>
          </w:p>
          <w:p>
            <w:pPr>
              <w:keepNext/>
              <w:widowControl/>
              <w:jc w:val="left"/>
              <w:rPr>
                <w:rFonts w:ascii="宋体" w:cs="宋体"/>
                <w:color w:val="000000"/>
                <w:kern w:val="0"/>
                <w:sz w:val="22"/>
                <w:szCs w:val="22"/>
              </w:rPr>
            </w:pPr>
            <w:r>
              <w:rPr>
                <w:rFonts w:hint="eastAsia" w:ascii="宋体" w:cs="宋体"/>
                <w:color w:val="000000"/>
                <w:kern w:val="0"/>
                <w:sz w:val="22"/>
                <w:szCs w:val="22"/>
              </w:rPr>
              <w:t>8. 2级密码保护，对不同身份的用户可设置不同权限，更符合严苛的规范要求</w:t>
            </w:r>
          </w:p>
          <w:p>
            <w:pPr>
              <w:keepNext/>
              <w:widowControl/>
              <w:jc w:val="left"/>
              <w:rPr>
                <w:rFonts w:ascii="宋体" w:cs="宋体"/>
                <w:color w:val="000000"/>
                <w:kern w:val="0"/>
                <w:sz w:val="22"/>
                <w:szCs w:val="22"/>
              </w:rPr>
            </w:pPr>
            <w:r>
              <w:rPr>
                <w:rFonts w:hint="eastAsia" w:ascii="宋体" w:cs="宋体"/>
                <w:color w:val="000000"/>
                <w:kern w:val="0"/>
                <w:sz w:val="22"/>
                <w:szCs w:val="22"/>
              </w:rPr>
              <w:t>9. 校准、检查及维护提醒，帮助用户定期对移液器进行校准、检查及维护</w:t>
            </w:r>
          </w:p>
          <w:p>
            <w:pPr>
              <w:keepNext/>
              <w:widowControl/>
              <w:jc w:val="left"/>
              <w:rPr>
                <w:rFonts w:ascii="宋体" w:cs="宋体"/>
                <w:color w:val="000000"/>
                <w:kern w:val="0"/>
                <w:sz w:val="22"/>
                <w:szCs w:val="22"/>
              </w:rPr>
            </w:pPr>
            <w:r>
              <w:rPr>
                <w:rFonts w:hint="eastAsia" w:ascii="宋体" w:cs="宋体"/>
                <w:color w:val="000000"/>
                <w:kern w:val="0"/>
                <w:sz w:val="22"/>
                <w:szCs w:val="22"/>
              </w:rPr>
              <w:t>10. 移液器锁，当移液器性能不确定时（损坏/待维修、检查、校准等），管理员可将移液器锁定，防止用户误操作</w:t>
            </w:r>
          </w:p>
          <w:p>
            <w:pPr>
              <w:keepNext/>
              <w:widowControl/>
              <w:jc w:val="left"/>
              <w:rPr>
                <w:rFonts w:ascii="宋体" w:cs="宋体"/>
                <w:color w:val="000000"/>
                <w:kern w:val="0"/>
                <w:sz w:val="22"/>
                <w:szCs w:val="22"/>
              </w:rPr>
            </w:pPr>
            <w:r>
              <w:rPr>
                <w:rFonts w:hint="eastAsia" w:ascii="宋体" w:cs="宋体"/>
                <w:color w:val="000000"/>
                <w:kern w:val="0"/>
                <w:sz w:val="22"/>
                <w:szCs w:val="22"/>
              </w:rPr>
              <w:t>11. 多道</w:t>
            </w:r>
          </w:p>
          <w:p>
            <w:pPr>
              <w:keepNext/>
              <w:widowControl/>
              <w:jc w:val="left"/>
              <w:rPr>
                <w:rFonts w:ascii="宋体" w:cs="宋体"/>
                <w:color w:val="000000"/>
                <w:kern w:val="0"/>
                <w:sz w:val="22"/>
                <w:szCs w:val="22"/>
              </w:rPr>
            </w:pPr>
            <w:r>
              <w:rPr>
                <w:rFonts w:hint="eastAsia" w:ascii="宋体" w:cs="宋体"/>
                <w:color w:val="000000"/>
                <w:kern w:val="0"/>
                <w:sz w:val="22"/>
                <w:szCs w:val="22"/>
              </w:rPr>
              <w:t>量程范围 可变量（ul）  测量体积（ul）  不准确度 不精确度</w:t>
            </w:r>
          </w:p>
          <w:p>
            <w:pPr>
              <w:keepNext/>
              <w:widowControl/>
              <w:jc w:val="left"/>
              <w:rPr>
                <w:rFonts w:ascii="宋体" w:cs="宋体"/>
                <w:color w:val="000000"/>
                <w:kern w:val="0"/>
                <w:sz w:val="22"/>
                <w:szCs w:val="22"/>
              </w:rPr>
            </w:pPr>
            <w:r>
              <w:rPr>
                <w:rFonts w:hint="eastAsia" w:ascii="宋体" w:cs="宋体"/>
                <w:color w:val="000000"/>
                <w:kern w:val="0"/>
                <w:sz w:val="22"/>
                <w:szCs w:val="22"/>
              </w:rPr>
              <w:t>50-1200ul    1.00        1200           0.50%    0.20%</w:t>
            </w:r>
          </w:p>
          <w:p>
            <w:pPr>
              <w:keepNext/>
              <w:widowControl/>
              <w:jc w:val="left"/>
              <w:rPr>
                <w:rFonts w:ascii="宋体" w:cs="宋体"/>
                <w:color w:val="000000"/>
                <w:kern w:val="0"/>
                <w:sz w:val="22"/>
                <w:szCs w:val="22"/>
              </w:rPr>
            </w:pPr>
            <w:r>
              <w:rPr>
                <w:rFonts w:hint="eastAsia" w:ascii="宋体" w:cs="宋体"/>
                <w:color w:val="000000"/>
                <w:kern w:val="0"/>
                <w:sz w:val="22"/>
                <w:szCs w:val="22"/>
              </w:rPr>
              <w:t>600          1.00%        0.30%</w:t>
            </w:r>
          </w:p>
          <w:p>
            <w:pPr>
              <w:keepNext/>
              <w:widowControl/>
              <w:jc w:val="left"/>
              <w:rPr>
                <w:rFonts w:ascii="宋体" w:cs="宋体"/>
                <w:color w:val="000000"/>
                <w:kern w:val="0"/>
                <w:sz w:val="22"/>
                <w:szCs w:val="22"/>
              </w:rPr>
            </w:pPr>
            <w:r>
              <w:rPr>
                <w:rFonts w:hint="eastAsia" w:ascii="宋体" w:cs="宋体"/>
                <w:color w:val="000000"/>
                <w:kern w:val="0"/>
                <w:sz w:val="22"/>
                <w:szCs w:val="22"/>
              </w:rPr>
              <w:t>120          2.50%        1.00%</w:t>
            </w:r>
          </w:p>
          <w:p>
            <w:pPr>
              <w:keepNext/>
              <w:widowControl/>
              <w:jc w:val="left"/>
              <w:rPr>
                <w:rFonts w:ascii="宋体" w:cs="宋体"/>
                <w:color w:val="000000"/>
                <w:kern w:val="0"/>
                <w:sz w:val="22"/>
                <w:szCs w:val="22"/>
              </w:rPr>
            </w:pPr>
            <w:r>
              <w:rPr>
                <w:rFonts w:hint="eastAsia" w:ascii="宋体" w:cs="宋体"/>
                <w:color w:val="000000"/>
                <w:kern w:val="0"/>
                <w:sz w:val="22"/>
                <w:szCs w:val="22"/>
              </w:rPr>
              <w:t>12. 9档分液、吸液速度</w:t>
            </w:r>
          </w:p>
          <w:p>
            <w:pPr>
              <w:keepNext/>
              <w:widowControl/>
              <w:jc w:val="left"/>
              <w:rPr>
                <w:rFonts w:ascii="宋体" w:cs="宋体"/>
                <w:color w:val="000000"/>
                <w:kern w:val="0"/>
                <w:sz w:val="22"/>
                <w:szCs w:val="22"/>
              </w:rPr>
            </w:pPr>
            <w:r>
              <w:rPr>
                <w:rFonts w:hint="eastAsia" w:ascii="宋体" w:cs="宋体"/>
                <w:color w:val="000000"/>
                <w:kern w:val="0"/>
                <w:sz w:val="22"/>
                <w:szCs w:val="22"/>
              </w:rPr>
              <w:t>13. 针对不同密度的液体可进行校准调节，可选择1,2或3点校准调节</w:t>
            </w:r>
          </w:p>
          <w:p>
            <w:pPr>
              <w:keepNext/>
              <w:widowControl/>
              <w:jc w:val="left"/>
              <w:rPr>
                <w:rFonts w:ascii="宋体" w:cs="宋体"/>
                <w:color w:val="000000"/>
                <w:kern w:val="0"/>
                <w:sz w:val="22"/>
                <w:szCs w:val="22"/>
              </w:rPr>
            </w:pPr>
            <w:r>
              <w:rPr>
                <w:rFonts w:hint="eastAsia" w:ascii="宋体" w:cs="宋体"/>
                <w:color w:val="000000"/>
                <w:kern w:val="0"/>
                <w:sz w:val="22"/>
                <w:szCs w:val="22"/>
              </w:rPr>
              <w:t>14. 自重轻，在100克左右，人体工程学设计能保护操作者避免受到RSI (重复性劳损) 并减轻长时间移液操作所带来的工作负荷</w:t>
            </w:r>
          </w:p>
          <w:p>
            <w:pPr>
              <w:keepNext/>
              <w:widowControl/>
              <w:jc w:val="left"/>
              <w:rPr>
                <w:rFonts w:ascii="宋体" w:cs="宋体"/>
                <w:color w:val="000000"/>
                <w:kern w:val="0"/>
                <w:sz w:val="22"/>
                <w:szCs w:val="22"/>
              </w:rPr>
            </w:pPr>
            <w:r>
              <w:rPr>
                <w:rFonts w:hint="eastAsia" w:ascii="宋体" w:cs="宋体"/>
                <w:color w:val="000000"/>
                <w:kern w:val="0"/>
                <w:sz w:val="22"/>
                <w:szCs w:val="22"/>
              </w:rPr>
              <w:t xml:space="preserve">15. 两种充电模式：交流适配器直接充电（可使用USB接口充电），或者充电支架充电                                                                             </w:t>
            </w:r>
          </w:p>
          <w:p>
            <w:pPr>
              <w:keepNext/>
              <w:widowControl/>
              <w:jc w:val="left"/>
              <w:rPr>
                <w:rFonts w:ascii="宋体" w:cs="宋体"/>
                <w:color w:val="000000"/>
                <w:kern w:val="0"/>
                <w:sz w:val="22"/>
                <w:szCs w:val="22"/>
              </w:rPr>
            </w:pPr>
            <w:r>
              <w:rPr>
                <w:rFonts w:hint="eastAsia" w:ascii="宋体" w:cs="宋体"/>
                <w:color w:val="000000"/>
                <w:kern w:val="0"/>
                <w:sz w:val="22"/>
                <w:szCs w:val="22"/>
              </w:rPr>
              <w:t>16. 量程彩色标识</w:t>
            </w:r>
          </w:p>
          <w:p>
            <w:pPr>
              <w:keepNext/>
              <w:widowControl/>
              <w:jc w:val="left"/>
              <w:rPr>
                <w:rFonts w:ascii="宋体" w:cs="宋体"/>
                <w:color w:val="000000"/>
                <w:kern w:val="0"/>
                <w:sz w:val="22"/>
                <w:szCs w:val="22"/>
              </w:rPr>
            </w:pPr>
            <w:r>
              <w:rPr>
                <w:rFonts w:hint="eastAsia" w:ascii="宋体" w:cs="宋体"/>
                <w:color w:val="000000"/>
                <w:kern w:val="0"/>
                <w:sz w:val="22"/>
                <w:szCs w:val="22"/>
              </w:rPr>
              <w:t>17. 下半部分可高温高压消毒(1200ul除外)</w:t>
            </w:r>
          </w:p>
          <w:p>
            <w:pPr>
              <w:keepNext/>
              <w:widowControl/>
              <w:jc w:val="left"/>
              <w:rPr>
                <w:rFonts w:ascii="宋体" w:cs="宋体"/>
                <w:color w:val="000000" w:themeColor="text1"/>
                <w:kern w:val="0"/>
                <w:sz w:val="22"/>
                <w:szCs w:val="22"/>
                <w14:textFill>
                  <w14:solidFill>
                    <w14:schemeClr w14:val="tx1"/>
                  </w14:solidFill>
                </w14:textFill>
              </w:rPr>
            </w:pPr>
            <w:r>
              <w:rPr>
                <w:rFonts w:hint="eastAsia" w:ascii="宋体" w:cs="宋体"/>
                <w:color w:val="000000" w:themeColor="text1"/>
                <w:kern w:val="0"/>
                <w:sz w:val="22"/>
                <w:szCs w:val="22"/>
                <w14:textFill>
                  <w14:solidFill>
                    <w14:schemeClr w14:val="tx1"/>
                  </w14:solidFill>
                </w14:textFill>
              </w:rPr>
              <w:t>18.</w:t>
            </w:r>
            <w:r>
              <w:rPr>
                <w:rFonts w:hint="eastAsia" w:ascii="宋体" w:cs="宋体"/>
                <w:color w:val="auto"/>
                <w:kern w:val="0"/>
                <w:sz w:val="22"/>
                <w:szCs w:val="22"/>
              </w:rPr>
              <w:t xml:space="preserve"> 具有GB认证标识</w:t>
            </w:r>
          </w:p>
          <w:p>
            <w:pPr>
              <w:keepNext/>
              <w:widowControl/>
              <w:jc w:val="left"/>
              <w:rPr>
                <w:rFonts w:ascii="宋体" w:cs="宋体"/>
                <w:b/>
                <w:bCs/>
                <w:color w:val="000000"/>
                <w:kern w:val="0"/>
                <w:sz w:val="22"/>
                <w:szCs w:val="22"/>
              </w:rPr>
            </w:pPr>
            <w:r>
              <w:rPr>
                <w:rFonts w:hint="eastAsia" w:ascii="宋体" w:cs="宋体"/>
                <w:b/>
                <w:bCs/>
                <w:color w:val="000000"/>
                <w:kern w:val="0"/>
                <w:sz w:val="22"/>
                <w:szCs w:val="22"/>
              </w:rPr>
              <w:t>基本配置、附件、专用工具和备件</w:t>
            </w:r>
          </w:p>
          <w:p>
            <w:pPr>
              <w:keepNext/>
              <w:widowControl/>
              <w:jc w:val="left"/>
              <w:rPr>
                <w:rFonts w:ascii="宋体" w:cs="宋体"/>
                <w:color w:val="000000"/>
                <w:kern w:val="0"/>
                <w:sz w:val="22"/>
                <w:szCs w:val="22"/>
              </w:rPr>
            </w:pPr>
            <w:r>
              <w:rPr>
                <w:rFonts w:hint="eastAsia" w:ascii="宋体" w:cs="宋体"/>
                <w:color w:val="000000"/>
                <w:kern w:val="0"/>
                <w:sz w:val="22"/>
                <w:szCs w:val="22"/>
              </w:rPr>
              <w:t>1. 移液器及标配充电器</w:t>
            </w:r>
          </w:p>
          <w:p>
            <w:pPr>
              <w:keepNext/>
              <w:widowControl/>
              <w:jc w:val="left"/>
              <w:rPr>
                <w:rFonts w:ascii="宋体" w:cs="宋体"/>
                <w:color w:val="000000"/>
                <w:kern w:val="0"/>
                <w:sz w:val="22"/>
                <w:szCs w:val="22"/>
              </w:rPr>
            </w:pPr>
            <w:r>
              <w:rPr>
                <w:rFonts w:hint="eastAsia" w:ascii="宋体" w:cs="宋体"/>
                <w:color w:val="000000"/>
                <w:kern w:val="0"/>
                <w:sz w:val="22"/>
                <w:szCs w:val="22"/>
              </w:rPr>
              <w:t>2. 标配安全圆锥过滤器及镊子（&gt;10ul型号）</w:t>
            </w:r>
          </w:p>
          <w:p>
            <w:pPr>
              <w:keepNext/>
              <w:widowControl/>
              <w:jc w:val="left"/>
              <w:rPr>
                <w:rFonts w:ascii="宋体" w:cs="宋体"/>
                <w:color w:val="000000"/>
                <w:kern w:val="0"/>
                <w:sz w:val="22"/>
                <w:szCs w:val="22"/>
              </w:rPr>
            </w:pPr>
            <w:r>
              <w:rPr>
                <w:rFonts w:hint="eastAsia" w:ascii="宋体" w:cs="宋体"/>
                <w:color w:val="000000"/>
                <w:kern w:val="0"/>
                <w:sz w:val="22"/>
                <w:szCs w:val="22"/>
              </w:rPr>
              <w:t>3. 一盒吸头</w:t>
            </w:r>
          </w:p>
          <w:p>
            <w:pPr>
              <w:keepNext/>
              <w:widowControl/>
              <w:jc w:val="left"/>
              <w:rPr>
                <w:rFonts w:ascii="宋体" w:cs="宋体"/>
                <w:color w:val="000000"/>
                <w:kern w:val="0"/>
                <w:sz w:val="22"/>
                <w:szCs w:val="22"/>
              </w:rPr>
            </w:pPr>
            <w:r>
              <w:rPr>
                <w:rFonts w:hint="eastAsia" w:ascii="宋体" w:cs="宋体"/>
                <w:color w:val="000000"/>
                <w:kern w:val="0"/>
                <w:sz w:val="22"/>
                <w:szCs w:val="22"/>
              </w:rPr>
              <w:t>4. 硅脂</w:t>
            </w:r>
          </w:p>
          <w:p>
            <w:pPr>
              <w:keepNext/>
              <w:widowControl/>
              <w:jc w:val="left"/>
              <w:rPr>
                <w:rFonts w:ascii="宋体" w:cs="宋体"/>
                <w:color w:val="000000"/>
                <w:kern w:val="0"/>
                <w:sz w:val="22"/>
                <w:szCs w:val="22"/>
              </w:rPr>
            </w:pPr>
            <w:r>
              <w:rPr>
                <w:rFonts w:hint="eastAsia" w:ascii="宋体" w:cs="宋体"/>
                <w:color w:val="000000"/>
                <w:kern w:val="0"/>
                <w:sz w:val="22"/>
                <w:szCs w:val="22"/>
              </w:rPr>
              <w:t>售后质保：不小于2年</w:t>
            </w:r>
          </w:p>
          <w:p>
            <w:pPr>
              <w:keepNext/>
              <w:widowControl/>
              <w:jc w:val="left"/>
              <w:rPr>
                <w:rFonts w:ascii="宋体" w:cs="宋体"/>
                <w:szCs w:val="21"/>
              </w:rPr>
            </w:pPr>
            <w:r>
              <w:rPr>
                <w:rFonts w:hint="eastAsia" w:ascii="宋体" w:cs="宋体"/>
                <w:color w:val="000000" w:themeColor="text1"/>
                <w:kern w:val="0"/>
                <w:sz w:val="22"/>
                <w:szCs w:val="22"/>
                <w14:textFill>
                  <w14:solidFill>
                    <w14:schemeClr w14:val="tx1"/>
                  </w14:solidFill>
                </w14:textFill>
              </w:rPr>
              <w:t>厂家在中国具有CNAS认可的校准实验室，能够出具符合CNAS标准的校准报告</w:t>
            </w:r>
          </w:p>
        </w:tc>
        <w:tc>
          <w:tcPr>
            <w:tcW w:w="646" w:type="dxa"/>
            <w:vAlign w:val="center"/>
          </w:tcPr>
          <w:p>
            <w:pPr>
              <w:spacing w:line="360" w:lineRule="auto"/>
              <w:jc w:val="center"/>
              <w:rPr>
                <w:rFonts w:hint="eastAsia" w:ascii="宋体" w:eastAsia="宋体" w:cs="宋体"/>
                <w:szCs w:val="21"/>
                <w:lang w:eastAsia="zh-CN"/>
              </w:rPr>
            </w:pPr>
            <w:r>
              <w:rPr>
                <w:rFonts w:hint="eastAsia" w:ascii="宋体" w:cs="宋体"/>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c>
          <w:tcPr>
            <w:tcW w:w="669" w:type="dxa"/>
            <w:vAlign w:val="center"/>
          </w:tcPr>
          <w:p>
            <w:pPr>
              <w:spacing w:line="360" w:lineRule="auto"/>
              <w:jc w:val="center"/>
              <w:rPr>
                <w:rFonts w:ascii="宋体" w:cs="宋体"/>
                <w:szCs w:val="21"/>
              </w:rPr>
            </w:pPr>
            <w:r>
              <w:rPr>
                <w:rFonts w:hint="eastAsia" w:ascii="宋体" w:cs="宋体"/>
                <w:szCs w:val="21"/>
              </w:rPr>
              <w:t>12</w:t>
            </w:r>
          </w:p>
        </w:tc>
        <w:tc>
          <w:tcPr>
            <w:tcW w:w="1021" w:type="dxa"/>
            <w:vAlign w:val="center"/>
          </w:tcPr>
          <w:p>
            <w:pPr>
              <w:keepNext/>
              <w:widowControl/>
              <w:jc w:val="left"/>
              <w:rPr>
                <w:rFonts w:ascii="宋体" w:cs="宋体"/>
                <w:szCs w:val="21"/>
              </w:rPr>
            </w:pPr>
            <w:r>
              <w:rPr>
                <w:rFonts w:hint="eastAsia" w:ascii="宋体" w:cs="宋体"/>
                <w:color w:val="000000"/>
                <w:kern w:val="0"/>
                <w:sz w:val="22"/>
                <w:szCs w:val="22"/>
              </w:rPr>
              <w:t>单道电动移液器（10-300ul）</w:t>
            </w:r>
          </w:p>
        </w:tc>
        <w:tc>
          <w:tcPr>
            <w:tcW w:w="6367" w:type="dxa"/>
          </w:tcPr>
          <w:p>
            <w:pPr>
              <w:keepNext/>
              <w:widowControl/>
              <w:jc w:val="left"/>
              <w:rPr>
                <w:rFonts w:ascii="宋体" w:cs="宋体"/>
                <w:b/>
                <w:bCs/>
                <w:color w:val="000000"/>
                <w:kern w:val="0"/>
                <w:sz w:val="22"/>
                <w:szCs w:val="22"/>
              </w:rPr>
            </w:pPr>
            <w:r>
              <w:rPr>
                <w:rFonts w:hint="eastAsia" w:ascii="宋体" w:cs="宋体"/>
                <w:b/>
                <w:bCs/>
                <w:color w:val="000000"/>
                <w:kern w:val="0"/>
                <w:sz w:val="22"/>
                <w:szCs w:val="22"/>
              </w:rPr>
              <w:t>技术参数：</w:t>
            </w:r>
          </w:p>
          <w:p>
            <w:pPr>
              <w:keepNext/>
              <w:widowControl/>
              <w:numPr>
                <w:ilvl w:val="0"/>
                <w:numId w:val="12"/>
              </w:numPr>
              <w:jc w:val="left"/>
              <w:rPr>
                <w:rFonts w:ascii="宋体" w:cs="宋体"/>
                <w:color w:val="000000"/>
                <w:kern w:val="0"/>
                <w:sz w:val="22"/>
                <w:szCs w:val="22"/>
              </w:rPr>
            </w:pPr>
            <w:r>
              <w:rPr>
                <w:rFonts w:hint="eastAsia" w:ascii="宋体" w:cs="宋体"/>
                <w:color w:val="000000"/>
                <w:kern w:val="0"/>
                <w:sz w:val="22"/>
                <w:szCs w:val="22"/>
              </w:rPr>
              <w:t xml:space="preserve">具有移液、反向移液、手动移液、多次分液、序列（不等量）分液、稀释、多次吸液及滴定等8种主要模式，每种模式下还有对应的可选功能（计数、多次吹出、自动分液、混合、孔板向导等），内嵌式微孔板向导系统能指引用户移液至正确的孔中，提高微孔板工作的可靠性 </w:t>
            </w:r>
          </w:p>
          <w:p>
            <w:pPr>
              <w:keepNext/>
              <w:widowControl/>
              <w:numPr>
                <w:ilvl w:val="0"/>
                <w:numId w:val="12"/>
              </w:numPr>
              <w:jc w:val="left"/>
              <w:rPr>
                <w:rFonts w:ascii="宋体" w:cs="宋体"/>
                <w:color w:val="000000"/>
                <w:kern w:val="0"/>
                <w:sz w:val="22"/>
                <w:szCs w:val="22"/>
              </w:rPr>
            </w:pPr>
            <w:r>
              <w:rPr>
                <w:rFonts w:hint="eastAsia" w:ascii="宋体" w:cs="宋体"/>
                <w:color w:val="000000"/>
                <w:kern w:val="0"/>
                <w:sz w:val="22"/>
                <w:szCs w:val="22"/>
              </w:rPr>
              <w:t>清晰的LCD显示屏，具有调节轮提供快速的容量设定与菜单导航，单手可完成所有操作，电动活塞控制和制动可以保证准确且精确的移液结果，不受到用户本身的影响。</w:t>
            </w:r>
          </w:p>
          <w:p>
            <w:pPr>
              <w:keepNext/>
              <w:widowControl/>
              <w:numPr>
                <w:ilvl w:val="0"/>
                <w:numId w:val="12"/>
              </w:numPr>
              <w:jc w:val="left"/>
              <w:rPr>
                <w:rFonts w:ascii="宋体" w:cs="宋体"/>
                <w:color w:val="000000"/>
                <w:kern w:val="0"/>
                <w:sz w:val="22"/>
                <w:szCs w:val="22"/>
              </w:rPr>
            </w:pPr>
            <w:r>
              <w:rPr>
                <w:rFonts w:hint="eastAsia" w:ascii="宋体" w:cs="宋体"/>
                <w:color w:val="000000"/>
                <w:kern w:val="0"/>
                <w:sz w:val="22"/>
                <w:szCs w:val="22"/>
              </w:rPr>
              <w:t xml:space="preserve">吸头多次吹出有助于将最后的液滴完全排出，尽可能实现完全回收 </w:t>
            </w:r>
          </w:p>
          <w:p>
            <w:pPr>
              <w:keepNext/>
              <w:widowControl/>
              <w:numPr>
                <w:ilvl w:val="0"/>
                <w:numId w:val="12"/>
              </w:numPr>
              <w:jc w:val="left"/>
              <w:rPr>
                <w:rFonts w:ascii="宋体" w:cs="宋体"/>
                <w:color w:val="000000"/>
                <w:kern w:val="0"/>
                <w:sz w:val="22"/>
                <w:szCs w:val="22"/>
              </w:rPr>
            </w:pPr>
            <w:r>
              <w:rPr>
                <w:rFonts w:hint="eastAsia" w:ascii="宋体" w:cs="宋体"/>
                <w:color w:val="000000"/>
                <w:kern w:val="0"/>
                <w:sz w:val="22"/>
                <w:szCs w:val="22"/>
              </w:rPr>
              <w:t>Tip卸除功能：电动退出，确保轻松的安装吸头和推出吸头以及吸头安装极高的密封性和均一性，安全圆锥过滤器可以经济有效地预防污染风险。</w:t>
            </w:r>
          </w:p>
          <w:p>
            <w:pPr>
              <w:keepNext/>
              <w:widowControl/>
              <w:numPr>
                <w:ilvl w:val="0"/>
                <w:numId w:val="12"/>
              </w:numPr>
              <w:jc w:val="left"/>
              <w:rPr>
                <w:rFonts w:ascii="宋体" w:cs="宋体"/>
                <w:color w:val="000000"/>
                <w:kern w:val="0"/>
                <w:sz w:val="22"/>
                <w:szCs w:val="22"/>
              </w:rPr>
            </w:pPr>
            <w:r>
              <w:rPr>
                <w:rFonts w:hint="eastAsia" w:ascii="宋体" w:cs="宋体"/>
                <w:color w:val="000000"/>
                <w:kern w:val="0"/>
                <w:sz w:val="22"/>
                <w:szCs w:val="22"/>
              </w:rPr>
              <w:t>&gt;10ul 型号提供可替换的安全圆锥过滤器帮助避免内部污染和损坏</w:t>
            </w:r>
          </w:p>
          <w:p>
            <w:pPr>
              <w:keepNext/>
              <w:widowControl/>
              <w:numPr>
                <w:ilvl w:val="0"/>
                <w:numId w:val="12"/>
              </w:numPr>
              <w:jc w:val="left"/>
              <w:rPr>
                <w:rFonts w:ascii="宋体" w:cs="宋体"/>
                <w:color w:val="000000"/>
                <w:kern w:val="0"/>
                <w:sz w:val="22"/>
                <w:szCs w:val="22"/>
              </w:rPr>
            </w:pPr>
            <w:r>
              <w:rPr>
                <w:rFonts w:hint="eastAsia" w:ascii="宋体" w:cs="宋体"/>
                <w:color w:val="000000"/>
                <w:kern w:val="0"/>
                <w:sz w:val="22"/>
                <w:szCs w:val="22"/>
              </w:rPr>
              <w:t>可进行不少于3个方案的编辑与储存，每个方案中最多可添加10个操作模式，无需反复设置模式及参数，节省工作步骤及时间</w:t>
            </w:r>
          </w:p>
          <w:p>
            <w:pPr>
              <w:keepNext/>
              <w:widowControl/>
              <w:numPr>
                <w:ilvl w:val="0"/>
                <w:numId w:val="12"/>
              </w:numPr>
              <w:jc w:val="left"/>
              <w:rPr>
                <w:rFonts w:ascii="宋体" w:cs="宋体"/>
                <w:color w:val="000000"/>
                <w:kern w:val="0"/>
                <w:sz w:val="22"/>
                <w:szCs w:val="22"/>
              </w:rPr>
            </w:pPr>
            <w:r>
              <w:rPr>
                <w:rFonts w:hint="eastAsia" w:ascii="宋体" w:cs="宋体"/>
                <w:color w:val="000000"/>
                <w:kern w:val="0"/>
                <w:sz w:val="22"/>
                <w:szCs w:val="22"/>
              </w:rPr>
              <w:t>产品附有FINAS认证的3点校准证书</w:t>
            </w:r>
          </w:p>
          <w:p>
            <w:pPr>
              <w:keepNext/>
              <w:widowControl/>
              <w:numPr>
                <w:ilvl w:val="0"/>
                <w:numId w:val="12"/>
              </w:numPr>
              <w:jc w:val="left"/>
              <w:rPr>
                <w:rFonts w:ascii="宋体" w:cs="宋体"/>
                <w:color w:val="000000"/>
                <w:kern w:val="0"/>
                <w:sz w:val="22"/>
                <w:szCs w:val="22"/>
              </w:rPr>
            </w:pPr>
            <w:r>
              <w:rPr>
                <w:rFonts w:hint="eastAsia" w:ascii="宋体" w:cs="宋体"/>
                <w:color w:val="000000"/>
                <w:kern w:val="0"/>
                <w:sz w:val="22"/>
                <w:szCs w:val="22"/>
              </w:rPr>
              <w:t>2级密码保护，对不同身份的用户可设置不同权限，更符合严苛的规范要求</w:t>
            </w:r>
          </w:p>
          <w:p>
            <w:pPr>
              <w:keepNext/>
              <w:widowControl/>
              <w:numPr>
                <w:ilvl w:val="0"/>
                <w:numId w:val="12"/>
              </w:numPr>
              <w:jc w:val="left"/>
              <w:rPr>
                <w:rFonts w:ascii="宋体" w:cs="宋体"/>
                <w:color w:val="000000"/>
                <w:kern w:val="0"/>
                <w:sz w:val="22"/>
                <w:szCs w:val="22"/>
              </w:rPr>
            </w:pPr>
            <w:r>
              <w:rPr>
                <w:rFonts w:hint="eastAsia" w:ascii="宋体" w:cs="宋体"/>
                <w:color w:val="000000"/>
                <w:kern w:val="0"/>
                <w:sz w:val="22"/>
                <w:szCs w:val="22"/>
              </w:rPr>
              <w:t>校准、检查及维护提醒，帮助用户定期对移液器进行校准、检查及维护</w:t>
            </w:r>
          </w:p>
          <w:p>
            <w:pPr>
              <w:keepNext/>
              <w:widowControl/>
              <w:numPr>
                <w:ilvl w:val="0"/>
                <w:numId w:val="12"/>
              </w:numPr>
              <w:jc w:val="left"/>
              <w:rPr>
                <w:rFonts w:ascii="宋体" w:cs="宋体"/>
                <w:color w:val="000000"/>
                <w:kern w:val="0"/>
                <w:sz w:val="22"/>
                <w:szCs w:val="22"/>
              </w:rPr>
            </w:pPr>
            <w:r>
              <w:rPr>
                <w:rFonts w:hint="eastAsia" w:ascii="宋体" w:cs="宋体"/>
                <w:color w:val="000000"/>
                <w:kern w:val="0"/>
                <w:sz w:val="22"/>
                <w:szCs w:val="22"/>
              </w:rPr>
              <w:t>移液器锁，当移液器性能不确定时（损坏/待维修、检查、校准等），管理员可将移液器锁定，防止用户误操作</w:t>
            </w:r>
          </w:p>
          <w:p>
            <w:pPr>
              <w:keepNext/>
              <w:widowControl/>
              <w:numPr>
                <w:ilvl w:val="0"/>
                <w:numId w:val="12"/>
              </w:numPr>
              <w:jc w:val="left"/>
              <w:rPr>
                <w:rFonts w:ascii="宋体" w:cs="宋体"/>
                <w:color w:val="000000"/>
                <w:kern w:val="0"/>
                <w:sz w:val="22"/>
                <w:szCs w:val="22"/>
              </w:rPr>
            </w:pPr>
            <w:r>
              <w:rPr>
                <w:rFonts w:hint="eastAsia" w:ascii="宋体" w:cs="宋体"/>
                <w:color w:val="000000"/>
                <w:kern w:val="0"/>
                <w:sz w:val="22"/>
                <w:szCs w:val="22"/>
              </w:rPr>
              <w:t>单道</w:t>
            </w:r>
          </w:p>
          <w:p>
            <w:pPr>
              <w:keepNext/>
              <w:widowControl/>
              <w:jc w:val="left"/>
              <w:rPr>
                <w:rFonts w:ascii="宋体" w:cs="宋体"/>
                <w:color w:val="000000"/>
                <w:kern w:val="0"/>
                <w:sz w:val="22"/>
                <w:szCs w:val="22"/>
              </w:rPr>
            </w:pPr>
            <w:r>
              <w:rPr>
                <w:rFonts w:hint="eastAsia" w:ascii="宋体" w:cs="宋体"/>
                <w:color w:val="000000"/>
                <w:kern w:val="0"/>
                <w:sz w:val="22"/>
                <w:szCs w:val="22"/>
              </w:rPr>
              <w:t>量程范围  可变量（ul） 测量体积（ul）  不准确度 不精确度</w:t>
            </w:r>
          </w:p>
          <w:p>
            <w:pPr>
              <w:keepNext/>
              <w:widowControl/>
              <w:jc w:val="left"/>
              <w:rPr>
                <w:rFonts w:ascii="宋体" w:cs="宋体"/>
                <w:color w:val="000000"/>
                <w:kern w:val="0"/>
                <w:sz w:val="22"/>
                <w:szCs w:val="22"/>
              </w:rPr>
            </w:pPr>
            <w:r>
              <w:rPr>
                <w:rFonts w:hint="eastAsia" w:ascii="宋体" w:cs="宋体"/>
                <w:color w:val="000000"/>
                <w:kern w:val="0"/>
                <w:sz w:val="22"/>
                <w:szCs w:val="22"/>
              </w:rPr>
              <w:t>10-300ul     0.2            300         0.40%    0.15%</w:t>
            </w:r>
          </w:p>
          <w:p>
            <w:pPr>
              <w:keepNext/>
              <w:widowControl/>
              <w:jc w:val="left"/>
              <w:rPr>
                <w:rFonts w:ascii="宋体" w:cs="宋体"/>
                <w:color w:val="000000"/>
                <w:kern w:val="0"/>
                <w:sz w:val="22"/>
                <w:szCs w:val="22"/>
              </w:rPr>
            </w:pPr>
            <w:r>
              <w:rPr>
                <w:rFonts w:hint="eastAsia" w:ascii="宋体" w:cs="宋体"/>
                <w:color w:val="000000"/>
                <w:kern w:val="0"/>
                <w:sz w:val="22"/>
                <w:szCs w:val="22"/>
              </w:rPr>
              <w:t>150          0.60%         0.20%</w:t>
            </w:r>
          </w:p>
          <w:p>
            <w:pPr>
              <w:keepNext/>
              <w:widowControl/>
              <w:jc w:val="left"/>
              <w:rPr>
                <w:rFonts w:ascii="宋体" w:cs="宋体"/>
                <w:color w:val="000000"/>
                <w:kern w:val="0"/>
                <w:sz w:val="22"/>
                <w:szCs w:val="22"/>
              </w:rPr>
            </w:pPr>
            <w:r>
              <w:rPr>
                <w:rFonts w:hint="eastAsia" w:ascii="宋体" w:cs="宋体"/>
                <w:color w:val="000000"/>
                <w:kern w:val="0"/>
                <w:sz w:val="22"/>
                <w:szCs w:val="22"/>
              </w:rPr>
              <w:t>30           1.50%         0.80%</w:t>
            </w:r>
          </w:p>
          <w:p>
            <w:pPr>
              <w:keepNext/>
              <w:widowControl/>
              <w:numPr>
                <w:ilvl w:val="0"/>
                <w:numId w:val="12"/>
              </w:numPr>
              <w:jc w:val="left"/>
              <w:rPr>
                <w:rFonts w:ascii="宋体" w:cs="宋体"/>
                <w:color w:val="000000"/>
                <w:kern w:val="0"/>
                <w:sz w:val="22"/>
                <w:szCs w:val="22"/>
              </w:rPr>
            </w:pPr>
            <w:r>
              <w:rPr>
                <w:rFonts w:hint="eastAsia" w:ascii="宋体" w:cs="宋体"/>
                <w:color w:val="000000"/>
                <w:kern w:val="0"/>
                <w:sz w:val="22"/>
                <w:szCs w:val="22"/>
              </w:rPr>
              <w:t>9档分液、吸液速度</w:t>
            </w:r>
          </w:p>
          <w:p>
            <w:pPr>
              <w:keepNext/>
              <w:widowControl/>
              <w:numPr>
                <w:ilvl w:val="0"/>
                <w:numId w:val="12"/>
              </w:numPr>
              <w:jc w:val="left"/>
              <w:rPr>
                <w:rFonts w:ascii="宋体" w:cs="宋体"/>
                <w:color w:val="000000"/>
                <w:kern w:val="0"/>
                <w:sz w:val="22"/>
                <w:szCs w:val="22"/>
              </w:rPr>
            </w:pPr>
            <w:r>
              <w:rPr>
                <w:rFonts w:hint="eastAsia" w:ascii="宋体" w:cs="宋体"/>
                <w:color w:val="000000"/>
                <w:kern w:val="0"/>
                <w:sz w:val="22"/>
                <w:szCs w:val="22"/>
              </w:rPr>
              <w:t>针对不同密度的液体可进行校准调节，可选择1,2或3点校准调节</w:t>
            </w:r>
          </w:p>
          <w:p>
            <w:pPr>
              <w:keepNext/>
              <w:widowControl/>
              <w:numPr>
                <w:ilvl w:val="0"/>
                <w:numId w:val="12"/>
              </w:numPr>
              <w:jc w:val="left"/>
              <w:rPr>
                <w:rFonts w:ascii="宋体" w:cs="宋体"/>
                <w:color w:val="000000"/>
                <w:kern w:val="0"/>
                <w:sz w:val="22"/>
                <w:szCs w:val="22"/>
              </w:rPr>
            </w:pPr>
            <w:r>
              <w:rPr>
                <w:rFonts w:hint="eastAsia" w:ascii="宋体" w:cs="宋体"/>
                <w:color w:val="000000"/>
                <w:kern w:val="0"/>
                <w:sz w:val="22"/>
                <w:szCs w:val="22"/>
              </w:rPr>
              <w:t>自重轻，在100克左右，人体工程学设计能保护操作者避免受到RSI (重复性劳损) 并减轻长时间移液操作所带来的工作负荷</w:t>
            </w:r>
          </w:p>
          <w:p>
            <w:pPr>
              <w:keepNext/>
              <w:widowControl/>
              <w:numPr>
                <w:ilvl w:val="0"/>
                <w:numId w:val="12"/>
              </w:numPr>
              <w:jc w:val="left"/>
              <w:rPr>
                <w:rFonts w:ascii="宋体" w:cs="宋体"/>
                <w:color w:val="000000"/>
                <w:kern w:val="0"/>
                <w:sz w:val="22"/>
                <w:szCs w:val="22"/>
              </w:rPr>
            </w:pPr>
            <w:r>
              <w:rPr>
                <w:rFonts w:hint="eastAsia" w:ascii="宋体" w:cs="宋体"/>
                <w:color w:val="000000"/>
                <w:kern w:val="0"/>
                <w:sz w:val="22"/>
                <w:szCs w:val="22"/>
              </w:rPr>
              <w:t xml:space="preserve">两种充电模式：交流适配器直接充电（可使用USB接口充电），或者充电支架充电                                                                             </w:t>
            </w:r>
          </w:p>
          <w:p>
            <w:pPr>
              <w:keepNext/>
              <w:widowControl/>
              <w:numPr>
                <w:ilvl w:val="0"/>
                <w:numId w:val="12"/>
              </w:numPr>
              <w:jc w:val="left"/>
              <w:rPr>
                <w:rFonts w:ascii="宋体" w:cs="宋体"/>
                <w:color w:val="000000"/>
                <w:kern w:val="0"/>
                <w:sz w:val="22"/>
                <w:szCs w:val="22"/>
              </w:rPr>
            </w:pPr>
            <w:r>
              <w:rPr>
                <w:rFonts w:hint="eastAsia" w:ascii="宋体" w:cs="宋体"/>
                <w:color w:val="000000"/>
                <w:kern w:val="0"/>
                <w:sz w:val="22"/>
                <w:szCs w:val="22"/>
              </w:rPr>
              <w:t>量程彩色标识</w:t>
            </w:r>
          </w:p>
          <w:p>
            <w:pPr>
              <w:keepNext/>
              <w:widowControl/>
              <w:numPr>
                <w:ilvl w:val="0"/>
                <w:numId w:val="12"/>
              </w:numPr>
              <w:jc w:val="left"/>
              <w:rPr>
                <w:rFonts w:ascii="宋体" w:cs="宋体"/>
                <w:color w:val="000000"/>
                <w:kern w:val="0"/>
                <w:sz w:val="22"/>
                <w:szCs w:val="22"/>
              </w:rPr>
            </w:pPr>
            <w:r>
              <w:rPr>
                <w:rFonts w:hint="eastAsia" w:ascii="宋体" w:cs="宋体"/>
                <w:color w:val="000000"/>
                <w:kern w:val="0"/>
                <w:sz w:val="22"/>
                <w:szCs w:val="22"/>
              </w:rPr>
              <w:t>下半部分可高温高压消毒(1200ul除外)</w:t>
            </w:r>
          </w:p>
          <w:p>
            <w:pPr>
              <w:keepNext/>
              <w:widowControl/>
              <w:numPr>
                <w:ilvl w:val="0"/>
                <w:numId w:val="12"/>
              </w:numPr>
              <w:jc w:val="left"/>
              <w:rPr>
                <w:rFonts w:ascii="宋体" w:cs="宋体"/>
                <w:color w:val="000000" w:themeColor="text1"/>
                <w:kern w:val="0"/>
                <w:sz w:val="22"/>
                <w:szCs w:val="22"/>
                <w14:textFill>
                  <w14:solidFill>
                    <w14:schemeClr w14:val="tx1"/>
                  </w14:solidFill>
                </w14:textFill>
              </w:rPr>
            </w:pPr>
            <w:r>
              <w:rPr>
                <w:rFonts w:hint="eastAsia" w:ascii="宋体" w:cs="宋体"/>
                <w:color w:val="000000" w:themeColor="text1"/>
                <w:kern w:val="0"/>
                <w:sz w:val="22"/>
                <w:szCs w:val="22"/>
                <w14:textFill>
                  <w14:solidFill>
                    <w14:schemeClr w14:val="tx1"/>
                  </w14:solidFill>
                </w14:textFill>
              </w:rPr>
              <w:t>具有GB认证标识</w:t>
            </w:r>
          </w:p>
          <w:p>
            <w:pPr>
              <w:keepNext/>
              <w:widowControl/>
              <w:jc w:val="left"/>
              <w:rPr>
                <w:rFonts w:ascii="宋体" w:cs="宋体"/>
                <w:b/>
                <w:bCs/>
                <w:color w:val="000000"/>
                <w:kern w:val="0"/>
                <w:sz w:val="22"/>
                <w:szCs w:val="22"/>
              </w:rPr>
            </w:pPr>
            <w:r>
              <w:rPr>
                <w:rFonts w:hint="eastAsia" w:ascii="宋体" w:cs="宋体"/>
                <w:b/>
                <w:bCs/>
                <w:color w:val="000000"/>
                <w:kern w:val="0"/>
                <w:sz w:val="22"/>
                <w:szCs w:val="22"/>
              </w:rPr>
              <w:t>基本配置、附件、专用工具和备件</w:t>
            </w:r>
          </w:p>
          <w:p>
            <w:pPr>
              <w:keepNext/>
              <w:widowControl/>
              <w:numPr>
                <w:ilvl w:val="0"/>
                <w:numId w:val="13"/>
              </w:numPr>
              <w:jc w:val="left"/>
              <w:rPr>
                <w:rFonts w:ascii="宋体" w:cs="宋体"/>
                <w:color w:val="000000"/>
                <w:kern w:val="0"/>
                <w:sz w:val="22"/>
                <w:szCs w:val="22"/>
              </w:rPr>
            </w:pPr>
            <w:r>
              <w:rPr>
                <w:rFonts w:hint="eastAsia" w:ascii="宋体" w:cs="宋体"/>
                <w:color w:val="000000"/>
                <w:kern w:val="0"/>
                <w:sz w:val="22"/>
                <w:szCs w:val="22"/>
              </w:rPr>
              <w:t>移液器及标配充电器</w:t>
            </w:r>
          </w:p>
          <w:p>
            <w:pPr>
              <w:keepNext/>
              <w:widowControl/>
              <w:numPr>
                <w:ilvl w:val="0"/>
                <w:numId w:val="13"/>
              </w:numPr>
              <w:jc w:val="left"/>
              <w:rPr>
                <w:rFonts w:ascii="宋体" w:cs="宋体"/>
                <w:color w:val="000000"/>
                <w:kern w:val="0"/>
                <w:sz w:val="22"/>
                <w:szCs w:val="22"/>
              </w:rPr>
            </w:pPr>
            <w:r>
              <w:rPr>
                <w:rFonts w:hint="eastAsia" w:ascii="宋体" w:cs="宋体"/>
                <w:color w:val="000000"/>
                <w:kern w:val="0"/>
                <w:sz w:val="22"/>
                <w:szCs w:val="22"/>
              </w:rPr>
              <w:t>标配安全圆锥过滤器及镊子（&gt;10ul型号）</w:t>
            </w:r>
          </w:p>
          <w:p>
            <w:pPr>
              <w:keepNext/>
              <w:widowControl/>
              <w:numPr>
                <w:ilvl w:val="0"/>
                <w:numId w:val="13"/>
              </w:numPr>
              <w:jc w:val="left"/>
              <w:rPr>
                <w:rFonts w:ascii="宋体" w:cs="宋体"/>
                <w:color w:val="000000"/>
                <w:kern w:val="0"/>
                <w:sz w:val="22"/>
                <w:szCs w:val="22"/>
              </w:rPr>
            </w:pPr>
            <w:r>
              <w:rPr>
                <w:rFonts w:hint="eastAsia" w:ascii="宋体" w:cs="宋体"/>
                <w:color w:val="000000"/>
                <w:kern w:val="0"/>
                <w:sz w:val="22"/>
                <w:szCs w:val="22"/>
              </w:rPr>
              <w:t>一盒吸头</w:t>
            </w:r>
          </w:p>
          <w:p>
            <w:pPr>
              <w:keepNext/>
              <w:widowControl/>
              <w:numPr>
                <w:ilvl w:val="0"/>
                <w:numId w:val="13"/>
              </w:numPr>
              <w:jc w:val="left"/>
              <w:rPr>
                <w:rFonts w:ascii="宋体" w:cs="宋体"/>
                <w:color w:val="000000"/>
                <w:kern w:val="0"/>
                <w:sz w:val="22"/>
                <w:szCs w:val="22"/>
              </w:rPr>
            </w:pPr>
            <w:r>
              <w:rPr>
                <w:rFonts w:hint="eastAsia" w:ascii="宋体" w:cs="宋体"/>
                <w:color w:val="000000"/>
                <w:kern w:val="0"/>
                <w:sz w:val="22"/>
                <w:szCs w:val="22"/>
              </w:rPr>
              <w:t>硅脂</w:t>
            </w:r>
          </w:p>
          <w:p>
            <w:pPr>
              <w:keepNext/>
              <w:widowControl/>
              <w:jc w:val="left"/>
              <w:rPr>
                <w:rFonts w:ascii="宋体" w:cs="宋体"/>
                <w:color w:val="000000"/>
                <w:kern w:val="0"/>
                <w:sz w:val="22"/>
                <w:szCs w:val="22"/>
              </w:rPr>
            </w:pPr>
            <w:r>
              <w:rPr>
                <w:rFonts w:hint="eastAsia" w:ascii="宋体" w:cs="宋体"/>
                <w:color w:val="000000"/>
                <w:kern w:val="0"/>
                <w:sz w:val="22"/>
                <w:szCs w:val="22"/>
              </w:rPr>
              <w:t>售后质保：不小于2年</w:t>
            </w:r>
          </w:p>
          <w:p>
            <w:pPr>
              <w:keepNext/>
              <w:widowControl/>
              <w:jc w:val="left"/>
              <w:rPr>
                <w:rFonts w:ascii="宋体" w:cs="宋体"/>
                <w:szCs w:val="21"/>
              </w:rPr>
            </w:pPr>
            <w:r>
              <w:rPr>
                <w:rFonts w:hint="eastAsia" w:ascii="宋体" w:cs="宋体"/>
                <w:color w:val="000000" w:themeColor="text1"/>
                <w:kern w:val="0"/>
                <w:sz w:val="22"/>
                <w:szCs w:val="22"/>
                <w14:textFill>
                  <w14:solidFill>
                    <w14:schemeClr w14:val="tx1"/>
                  </w14:solidFill>
                </w14:textFill>
              </w:rPr>
              <w:t>厂家在中国具有CNAS认可的校准实验室，能够出具符合CNAS标准的校准报告</w:t>
            </w:r>
          </w:p>
        </w:tc>
        <w:tc>
          <w:tcPr>
            <w:tcW w:w="646" w:type="dxa"/>
            <w:vAlign w:val="center"/>
          </w:tcPr>
          <w:p>
            <w:pPr>
              <w:spacing w:line="360" w:lineRule="auto"/>
              <w:jc w:val="center"/>
              <w:rPr>
                <w:rFonts w:hint="eastAsia" w:ascii="宋体" w:eastAsia="宋体" w:cs="宋体"/>
                <w:szCs w:val="21"/>
                <w:lang w:eastAsia="zh-CN"/>
              </w:rPr>
            </w:pPr>
            <w:r>
              <w:rPr>
                <w:rFonts w:hint="eastAsia" w:ascii="宋体" w:cs="宋体"/>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2986" w:hRule="atLeast"/>
        </w:trPr>
        <w:tc>
          <w:tcPr>
            <w:tcW w:w="669" w:type="dxa"/>
            <w:vAlign w:val="center"/>
          </w:tcPr>
          <w:p>
            <w:pPr>
              <w:spacing w:line="360" w:lineRule="auto"/>
              <w:jc w:val="center"/>
              <w:rPr>
                <w:rFonts w:ascii="宋体" w:cs="宋体"/>
                <w:szCs w:val="21"/>
              </w:rPr>
            </w:pPr>
            <w:r>
              <w:rPr>
                <w:rFonts w:hint="eastAsia" w:ascii="宋体" w:cs="宋体"/>
                <w:szCs w:val="21"/>
              </w:rPr>
              <w:t>13</w:t>
            </w:r>
          </w:p>
        </w:tc>
        <w:tc>
          <w:tcPr>
            <w:tcW w:w="1021" w:type="dxa"/>
            <w:vAlign w:val="center"/>
          </w:tcPr>
          <w:p>
            <w:pPr>
              <w:keepNext/>
              <w:widowControl/>
              <w:jc w:val="left"/>
              <w:rPr>
                <w:rFonts w:ascii="宋体" w:cs="宋体"/>
                <w:szCs w:val="21"/>
              </w:rPr>
            </w:pPr>
            <w:r>
              <w:rPr>
                <w:rFonts w:hint="eastAsia" w:ascii="宋体" w:cs="宋体"/>
                <w:color w:val="000000"/>
                <w:kern w:val="0"/>
                <w:sz w:val="22"/>
                <w:szCs w:val="22"/>
              </w:rPr>
              <w:t>多功能折叠保温箱</w:t>
            </w:r>
          </w:p>
        </w:tc>
        <w:tc>
          <w:tcPr>
            <w:tcW w:w="6367" w:type="dxa"/>
          </w:tcPr>
          <w:p>
            <w:pPr>
              <w:keepNext/>
              <w:widowControl/>
              <w:numPr>
                <w:ilvl w:val="0"/>
                <w:numId w:val="14"/>
              </w:numPr>
              <w:jc w:val="left"/>
              <w:rPr>
                <w:rFonts w:ascii="宋体" w:cs="宋体"/>
                <w:color w:val="000000"/>
                <w:kern w:val="0"/>
                <w:sz w:val="22"/>
                <w:szCs w:val="22"/>
              </w:rPr>
            </w:pPr>
            <w:r>
              <w:rPr>
                <w:rFonts w:hint="eastAsia" w:ascii="宋体" w:cs="宋体"/>
                <w:color w:val="000000"/>
                <w:kern w:val="0"/>
                <w:sz w:val="22"/>
                <w:szCs w:val="22"/>
              </w:rPr>
              <w:t>材质：内、外胆为优质PP材料，保温层：EPS</w:t>
            </w:r>
          </w:p>
          <w:p>
            <w:pPr>
              <w:keepNext/>
              <w:widowControl/>
              <w:jc w:val="left"/>
              <w:rPr>
                <w:rFonts w:ascii="宋体" w:cs="宋体"/>
                <w:color w:val="000000"/>
                <w:kern w:val="0"/>
                <w:sz w:val="22"/>
                <w:szCs w:val="22"/>
              </w:rPr>
            </w:pPr>
            <w:r>
              <w:rPr>
                <w:rFonts w:hint="eastAsia" w:ascii="宋体" w:cs="宋体"/>
                <w:color w:val="000000"/>
                <w:kern w:val="0"/>
                <w:sz w:val="22"/>
                <w:szCs w:val="22"/>
              </w:rPr>
              <w:t>2. 外尺寸：50*33.5*42cm</w:t>
            </w:r>
          </w:p>
          <w:p>
            <w:pPr>
              <w:keepNext/>
              <w:widowControl/>
              <w:jc w:val="left"/>
              <w:rPr>
                <w:rFonts w:ascii="宋体" w:cs="宋体"/>
                <w:color w:val="000000"/>
                <w:kern w:val="0"/>
                <w:sz w:val="22"/>
                <w:szCs w:val="22"/>
              </w:rPr>
            </w:pPr>
            <w:r>
              <w:rPr>
                <w:rFonts w:hint="eastAsia" w:ascii="宋体" w:cs="宋体"/>
                <w:color w:val="000000"/>
                <w:kern w:val="0"/>
                <w:sz w:val="22"/>
                <w:szCs w:val="22"/>
              </w:rPr>
              <w:t>3. 内尺寸：≥28L</w:t>
            </w:r>
          </w:p>
          <w:p>
            <w:pPr>
              <w:keepNext/>
              <w:widowControl/>
              <w:jc w:val="left"/>
              <w:rPr>
                <w:rFonts w:ascii="宋体" w:cs="宋体"/>
                <w:color w:val="000000"/>
                <w:kern w:val="0"/>
                <w:sz w:val="22"/>
                <w:szCs w:val="22"/>
              </w:rPr>
            </w:pPr>
            <w:r>
              <w:rPr>
                <w:rFonts w:hint="eastAsia" w:ascii="宋体" w:cs="宋体"/>
                <w:color w:val="000000"/>
                <w:kern w:val="0"/>
                <w:sz w:val="22"/>
                <w:szCs w:val="22"/>
              </w:rPr>
              <w:t>4. 2滚轮设计，可轻松运输，减小费力</w:t>
            </w:r>
          </w:p>
          <w:p>
            <w:pPr>
              <w:keepNext/>
              <w:widowControl/>
              <w:jc w:val="left"/>
              <w:rPr>
                <w:rFonts w:ascii="宋体" w:cs="宋体"/>
                <w:color w:val="000000"/>
                <w:kern w:val="0"/>
                <w:sz w:val="22"/>
                <w:szCs w:val="22"/>
              </w:rPr>
            </w:pPr>
            <w:r>
              <w:rPr>
                <w:rFonts w:hint="eastAsia" w:ascii="宋体" w:cs="宋体"/>
                <w:color w:val="000000"/>
                <w:kern w:val="0"/>
                <w:sz w:val="22"/>
                <w:szCs w:val="22"/>
              </w:rPr>
              <w:t>5. 整体桌椅设计，方便外出采样操作</w:t>
            </w:r>
          </w:p>
          <w:p>
            <w:pPr>
              <w:keepNext/>
              <w:widowControl/>
              <w:jc w:val="left"/>
              <w:rPr>
                <w:rFonts w:ascii="宋体" w:cs="宋体"/>
                <w:color w:val="000000"/>
                <w:kern w:val="0"/>
                <w:sz w:val="22"/>
                <w:szCs w:val="22"/>
              </w:rPr>
            </w:pPr>
            <w:r>
              <w:rPr>
                <w:rFonts w:hint="eastAsia" w:ascii="宋体" w:cs="宋体"/>
                <w:color w:val="000000"/>
                <w:kern w:val="0"/>
                <w:sz w:val="22"/>
                <w:szCs w:val="22"/>
              </w:rPr>
              <w:t>6. 密封性好，有密封内扣，可有效防治热气、冷气外溢</w:t>
            </w:r>
          </w:p>
          <w:p>
            <w:pPr>
              <w:keepNext/>
              <w:widowControl/>
              <w:jc w:val="left"/>
              <w:rPr>
                <w:rFonts w:ascii="宋体" w:cs="宋体"/>
                <w:color w:val="000000"/>
                <w:kern w:val="0"/>
                <w:sz w:val="22"/>
                <w:szCs w:val="22"/>
              </w:rPr>
            </w:pPr>
            <w:r>
              <w:rPr>
                <w:rFonts w:hint="eastAsia" w:ascii="宋体" w:cs="宋体"/>
                <w:color w:val="000000"/>
                <w:kern w:val="0"/>
                <w:sz w:val="22"/>
                <w:szCs w:val="22"/>
              </w:rPr>
              <w:t>7. 磨砂表明，增加摩擦力，防止物品滑落</w:t>
            </w:r>
          </w:p>
          <w:p>
            <w:pPr>
              <w:keepNext/>
              <w:widowControl/>
              <w:jc w:val="left"/>
              <w:rPr>
                <w:rFonts w:ascii="宋体" w:cs="宋体"/>
                <w:szCs w:val="21"/>
              </w:rPr>
            </w:pPr>
            <w:r>
              <w:rPr>
                <w:rFonts w:hint="eastAsia" w:ascii="宋体" w:cs="宋体"/>
                <w:color w:val="000000"/>
                <w:kern w:val="0"/>
                <w:sz w:val="22"/>
                <w:szCs w:val="22"/>
              </w:rPr>
              <w:t>8. 保温保暖两用：冷冻不低于12小时，冷藏不低于48小时，保温不低于8小时</w:t>
            </w:r>
          </w:p>
        </w:tc>
        <w:tc>
          <w:tcPr>
            <w:tcW w:w="646" w:type="dxa"/>
            <w:vAlign w:val="center"/>
          </w:tcPr>
          <w:p>
            <w:pPr>
              <w:spacing w:line="360" w:lineRule="auto"/>
              <w:jc w:val="center"/>
              <w:rPr>
                <w:rFonts w:ascii="宋体" w:cs="宋体"/>
                <w:szCs w:val="21"/>
              </w:rPr>
            </w:pPr>
            <w:r>
              <w:rPr>
                <w:rFonts w:hint="eastAsia" w:ascii="宋体" w:cs="宋体"/>
                <w:szCs w:val="21"/>
              </w:rPr>
              <w:t>2</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c>
          <w:tcPr>
            <w:tcW w:w="669" w:type="dxa"/>
            <w:vAlign w:val="center"/>
          </w:tcPr>
          <w:p>
            <w:pPr>
              <w:spacing w:line="360" w:lineRule="auto"/>
              <w:jc w:val="center"/>
              <w:rPr>
                <w:rFonts w:ascii="宋体" w:cs="宋体"/>
                <w:szCs w:val="21"/>
              </w:rPr>
            </w:pPr>
            <w:r>
              <w:rPr>
                <w:rFonts w:hint="eastAsia" w:ascii="宋体" w:cs="宋体"/>
                <w:szCs w:val="21"/>
              </w:rPr>
              <w:t>14</w:t>
            </w:r>
          </w:p>
        </w:tc>
        <w:tc>
          <w:tcPr>
            <w:tcW w:w="1021" w:type="dxa"/>
            <w:vAlign w:val="center"/>
          </w:tcPr>
          <w:p>
            <w:pPr>
              <w:keepNext/>
              <w:widowControl/>
              <w:jc w:val="left"/>
              <w:rPr>
                <w:rFonts w:ascii="宋体" w:cs="宋体"/>
                <w:szCs w:val="21"/>
              </w:rPr>
            </w:pPr>
            <w:r>
              <w:rPr>
                <w:rFonts w:hint="eastAsia" w:ascii="宋体" w:cs="宋体"/>
                <w:color w:val="000000"/>
                <w:kern w:val="0"/>
                <w:sz w:val="22"/>
                <w:szCs w:val="22"/>
              </w:rPr>
              <w:t>台式鼓风干燥箱</w:t>
            </w:r>
          </w:p>
        </w:tc>
        <w:tc>
          <w:tcPr>
            <w:tcW w:w="6367" w:type="dxa"/>
          </w:tcPr>
          <w:p>
            <w:pPr>
              <w:keepNext/>
              <w:widowControl/>
              <w:numPr>
                <w:ilvl w:val="0"/>
                <w:numId w:val="15"/>
              </w:numPr>
              <w:jc w:val="left"/>
            </w:pPr>
            <w:r>
              <w:rPr>
                <w:rFonts w:hint="eastAsia"/>
              </w:rPr>
              <w:t>箱体外壳采用优质钢板，表面静电喷涂工艺  内胆不锈钢</w:t>
            </w:r>
          </w:p>
          <w:p>
            <w:pPr>
              <w:keepNext/>
              <w:widowControl/>
              <w:numPr>
                <w:ilvl w:val="0"/>
                <w:numId w:val="15"/>
              </w:numPr>
              <w:jc w:val="left"/>
            </w:pPr>
            <w:r>
              <w:rPr>
                <w:rFonts w:hint="eastAsia"/>
              </w:rPr>
              <w:t>箱门设有观察窗，可随时观察工作室内物品的加热情况。</w:t>
            </w:r>
          </w:p>
          <w:p>
            <w:pPr>
              <w:keepNext/>
              <w:widowControl/>
              <w:numPr>
                <w:ilvl w:val="0"/>
                <w:numId w:val="15"/>
              </w:numPr>
              <w:jc w:val="left"/>
            </w:pPr>
            <w:r>
              <w:rPr>
                <w:rFonts w:hint="eastAsia"/>
              </w:rPr>
              <w:t>采用具有超温报警超温保护、液晶数字显示的微电脑P.1.D温度控制器，带有定时功能，控温精确可靠。时间设定范围为：0-9999分钟。</w:t>
            </w:r>
          </w:p>
          <w:p>
            <w:pPr>
              <w:keepNext/>
              <w:widowControl/>
              <w:numPr>
                <w:ilvl w:val="0"/>
                <w:numId w:val="15"/>
              </w:numPr>
              <w:jc w:val="left"/>
            </w:pPr>
            <w:r>
              <w:rPr>
                <w:rFonts w:hint="eastAsia"/>
              </w:rPr>
              <w:t xml:space="preserve">热风循环系统由能在高温下连续运转的风机（适用于鼓风干燥箱）和合适风道组成，提高工作室内温度均匀。 </w:t>
            </w:r>
          </w:p>
          <w:p>
            <w:pPr>
              <w:keepNext/>
              <w:widowControl/>
              <w:numPr>
                <w:ilvl w:val="0"/>
                <w:numId w:val="15"/>
              </w:numPr>
              <w:jc w:val="left"/>
            </w:pPr>
            <w:r>
              <w:rPr>
                <w:rFonts w:hint="eastAsia"/>
              </w:rPr>
              <w:t xml:space="preserve">采用新型的硅橡胶密封条，能长期高温运行，使用寿命长，便于更换。 可调节箱内排气量大小 </w:t>
            </w:r>
          </w:p>
          <w:p>
            <w:pPr>
              <w:keepNext/>
              <w:widowControl/>
              <w:numPr>
                <w:ilvl w:val="0"/>
                <w:numId w:val="15"/>
              </w:numPr>
              <w:jc w:val="left"/>
            </w:pPr>
            <w:r>
              <w:rPr>
                <w:rFonts w:hint="eastAsia"/>
              </w:rPr>
              <w:t xml:space="preserve">电源电压220V/50HZ   </w:t>
            </w:r>
            <w:r>
              <w:t>≥</w:t>
            </w:r>
            <w:r>
              <w:rPr>
                <w:rFonts w:hint="eastAsia"/>
              </w:rPr>
              <w:t xml:space="preserve">功率3KW  </w:t>
            </w:r>
          </w:p>
          <w:p>
            <w:pPr>
              <w:keepNext/>
              <w:widowControl/>
              <w:numPr>
                <w:ilvl w:val="0"/>
                <w:numId w:val="15"/>
              </w:numPr>
              <w:jc w:val="left"/>
            </w:pPr>
            <w:r>
              <w:rPr>
                <w:rFonts w:hint="eastAsia"/>
              </w:rPr>
              <w:t>工作室尺寸600*700*850mm</w:t>
            </w:r>
          </w:p>
          <w:p>
            <w:pPr>
              <w:keepNext/>
              <w:widowControl/>
              <w:numPr>
                <w:ilvl w:val="0"/>
                <w:numId w:val="15"/>
              </w:numPr>
              <w:jc w:val="left"/>
            </w:pPr>
            <w:r>
              <w:rPr>
                <w:rFonts w:hint="eastAsia"/>
              </w:rPr>
              <w:t>温度范围RT+5-300度    温度精度0.1度</w:t>
            </w:r>
          </w:p>
          <w:p>
            <w:pPr>
              <w:keepNext/>
              <w:widowControl/>
              <w:numPr>
                <w:ilvl w:val="0"/>
                <w:numId w:val="15"/>
              </w:numPr>
              <w:jc w:val="left"/>
            </w:pPr>
            <w:r>
              <w:rPr>
                <w:rFonts w:hint="eastAsia"/>
              </w:rPr>
              <w:t>均匀度±3%</w:t>
            </w:r>
          </w:p>
          <w:p>
            <w:pPr>
              <w:numPr>
                <w:ilvl w:val="0"/>
                <w:numId w:val="15"/>
              </w:numPr>
              <w:bidi w:val="0"/>
              <w:ind w:left="0" w:leftChars="0" w:firstLine="0" w:firstLineChars="0"/>
            </w:pPr>
            <w:r>
              <w:rPr>
                <w:rFonts w:hint="eastAsia" w:eastAsia="宋体"/>
              </w:rPr>
              <w:t>配件：不少于三个隔板。</w:t>
            </w:r>
          </w:p>
        </w:tc>
        <w:tc>
          <w:tcPr>
            <w:tcW w:w="646" w:type="dxa"/>
            <w:vAlign w:val="center"/>
          </w:tcPr>
          <w:p>
            <w:pPr>
              <w:spacing w:line="360" w:lineRule="auto"/>
              <w:jc w:val="center"/>
              <w:rPr>
                <w:rFonts w:ascii="宋体" w:cs="宋体"/>
                <w:szCs w:val="21"/>
              </w:rPr>
            </w:pPr>
            <w:r>
              <w:rPr>
                <w:rFonts w:hint="eastAsia" w:ascii="宋体" w:cs="宋体"/>
                <w:szCs w:val="21"/>
              </w:rPr>
              <w:t>1</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c>
          <w:tcPr>
            <w:tcW w:w="669" w:type="dxa"/>
            <w:vAlign w:val="center"/>
          </w:tcPr>
          <w:p>
            <w:pPr>
              <w:spacing w:line="360" w:lineRule="auto"/>
              <w:jc w:val="center"/>
              <w:rPr>
                <w:rFonts w:ascii="宋体" w:cs="宋体"/>
                <w:szCs w:val="21"/>
              </w:rPr>
            </w:pPr>
            <w:r>
              <w:rPr>
                <w:rFonts w:hint="eastAsia" w:ascii="宋体" w:cs="宋体"/>
                <w:szCs w:val="21"/>
              </w:rPr>
              <w:t>15</w:t>
            </w:r>
          </w:p>
        </w:tc>
        <w:tc>
          <w:tcPr>
            <w:tcW w:w="1021" w:type="dxa"/>
            <w:vAlign w:val="center"/>
          </w:tcPr>
          <w:p>
            <w:pPr>
              <w:keepNext/>
              <w:widowControl/>
              <w:jc w:val="left"/>
              <w:rPr>
                <w:rFonts w:ascii="宋体" w:cs="宋体"/>
                <w:szCs w:val="21"/>
              </w:rPr>
            </w:pPr>
            <w:r>
              <w:rPr>
                <w:rFonts w:hint="eastAsia" w:ascii="宋体" w:cs="宋体"/>
                <w:color w:val="000000"/>
                <w:kern w:val="0"/>
                <w:sz w:val="22"/>
                <w:szCs w:val="22"/>
              </w:rPr>
              <w:t>微波炉</w:t>
            </w:r>
          </w:p>
        </w:tc>
        <w:tc>
          <w:tcPr>
            <w:tcW w:w="6367" w:type="dxa"/>
          </w:tcPr>
          <w:p>
            <w:pPr>
              <w:keepNext/>
              <w:widowControl/>
              <w:numPr>
                <w:ilvl w:val="0"/>
                <w:numId w:val="16"/>
              </w:numPr>
              <w:jc w:val="left"/>
            </w:pPr>
            <w:r>
              <w:rPr>
                <w:rFonts w:hint="eastAsia"/>
              </w:rPr>
              <w:t>开门方式: 侧拉门。</w:t>
            </w:r>
          </w:p>
          <w:p>
            <w:pPr>
              <w:keepNext/>
              <w:widowControl/>
              <w:numPr>
                <w:ilvl w:val="0"/>
                <w:numId w:val="16"/>
              </w:numPr>
              <w:jc w:val="left"/>
            </w:pPr>
            <w:r>
              <w:rPr>
                <w:rFonts w:hint="eastAsia"/>
              </w:rPr>
              <w:t>功率600W(含)～900W(含)。</w:t>
            </w:r>
          </w:p>
          <w:p>
            <w:pPr>
              <w:keepNext/>
              <w:widowControl/>
              <w:numPr>
                <w:ilvl w:val="0"/>
                <w:numId w:val="16"/>
              </w:numPr>
              <w:jc w:val="left"/>
              <w:rPr>
                <w:rFonts w:hint="default"/>
                <w:lang w:val="en-US" w:eastAsia="zh-CN"/>
              </w:rPr>
            </w:pPr>
            <w:r>
              <w:rPr>
                <w:rFonts w:hint="eastAsia"/>
              </w:rPr>
              <w:t>控制方式  电脑式</w:t>
            </w:r>
          </w:p>
          <w:p>
            <w:pPr>
              <w:numPr>
                <w:ilvl w:val="0"/>
                <w:numId w:val="16"/>
              </w:numPr>
              <w:bidi w:val="0"/>
              <w:rPr>
                <w:rFonts w:hint="default" w:eastAsia="宋体"/>
                <w:lang w:val="en-US" w:eastAsia="zh-CN"/>
              </w:rPr>
            </w:pPr>
            <w:r>
              <w:rPr>
                <w:rFonts w:hint="eastAsia"/>
                <w:lang w:val="en-US" w:eastAsia="zh-CN"/>
              </w:rPr>
              <w:t>颜色分类: 黑色</w:t>
            </w:r>
          </w:p>
        </w:tc>
        <w:tc>
          <w:tcPr>
            <w:tcW w:w="646" w:type="dxa"/>
            <w:vAlign w:val="center"/>
          </w:tcPr>
          <w:p>
            <w:pPr>
              <w:spacing w:line="360" w:lineRule="auto"/>
              <w:jc w:val="center"/>
              <w:rPr>
                <w:rFonts w:ascii="宋体" w:cs="宋体"/>
                <w:szCs w:val="21"/>
              </w:rPr>
            </w:pPr>
            <w:r>
              <w:rPr>
                <w:rFonts w:hint="eastAsia" w:ascii="宋体" w:cs="宋体"/>
                <w:szCs w:val="21"/>
              </w:rPr>
              <w:t>2</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c>
          <w:tcPr>
            <w:tcW w:w="669" w:type="dxa"/>
            <w:vAlign w:val="center"/>
          </w:tcPr>
          <w:p>
            <w:pPr>
              <w:spacing w:line="360" w:lineRule="auto"/>
              <w:jc w:val="center"/>
              <w:rPr>
                <w:rFonts w:ascii="宋体" w:cs="宋体"/>
                <w:szCs w:val="21"/>
              </w:rPr>
            </w:pPr>
            <w:r>
              <w:rPr>
                <w:rFonts w:hint="eastAsia" w:ascii="宋体" w:cs="宋体"/>
                <w:szCs w:val="21"/>
              </w:rPr>
              <w:t>16</w:t>
            </w:r>
          </w:p>
        </w:tc>
        <w:tc>
          <w:tcPr>
            <w:tcW w:w="1021" w:type="dxa"/>
            <w:vAlign w:val="center"/>
          </w:tcPr>
          <w:p>
            <w:pPr>
              <w:keepNext/>
              <w:widowControl/>
              <w:jc w:val="left"/>
              <w:rPr>
                <w:rFonts w:ascii="宋体" w:cs="宋体"/>
                <w:szCs w:val="21"/>
              </w:rPr>
            </w:pPr>
            <w:r>
              <w:rPr>
                <w:rFonts w:hint="eastAsia" w:ascii="宋体" w:cs="宋体"/>
                <w:color w:val="000000"/>
                <w:kern w:val="0"/>
                <w:sz w:val="22"/>
                <w:szCs w:val="22"/>
              </w:rPr>
              <w:t>电磁炉</w:t>
            </w:r>
          </w:p>
        </w:tc>
        <w:tc>
          <w:tcPr>
            <w:tcW w:w="6367" w:type="dxa"/>
          </w:tcPr>
          <w:p>
            <w:pPr>
              <w:keepNext/>
              <w:widowControl/>
              <w:numPr>
                <w:ilvl w:val="0"/>
                <w:numId w:val="17"/>
              </w:numPr>
              <w:jc w:val="left"/>
              <w:rPr>
                <w:rFonts w:ascii="宋体" w:cs="宋体"/>
                <w:color w:val="000000"/>
                <w:kern w:val="0"/>
                <w:sz w:val="22"/>
                <w:szCs w:val="22"/>
              </w:rPr>
            </w:pPr>
            <w:r>
              <w:rPr>
                <w:rFonts w:hint="eastAsia" w:ascii="宋体" w:cs="宋体"/>
                <w:color w:val="000000"/>
                <w:kern w:val="0"/>
                <w:sz w:val="22"/>
                <w:szCs w:val="22"/>
              </w:rPr>
              <w:t>产品名称：多功能电磁炉。</w:t>
            </w:r>
          </w:p>
          <w:p>
            <w:pPr>
              <w:keepNext/>
              <w:widowControl/>
              <w:numPr>
                <w:ilvl w:val="0"/>
                <w:numId w:val="17"/>
              </w:numPr>
              <w:jc w:val="left"/>
              <w:rPr>
                <w:rFonts w:ascii="宋体" w:cs="宋体"/>
                <w:color w:val="000000"/>
                <w:kern w:val="0"/>
                <w:sz w:val="22"/>
                <w:szCs w:val="22"/>
              </w:rPr>
            </w:pPr>
            <w:r>
              <w:rPr>
                <w:rFonts w:hint="eastAsia" w:ascii="宋体" w:cs="宋体"/>
                <w:color w:val="000000"/>
                <w:kern w:val="0"/>
                <w:sz w:val="22"/>
                <w:szCs w:val="22"/>
              </w:rPr>
              <w:t>电磁炉面板类型: 黑色微晶面板。</w:t>
            </w:r>
          </w:p>
          <w:p>
            <w:pPr>
              <w:keepNext/>
              <w:widowControl/>
              <w:numPr>
                <w:ilvl w:val="0"/>
                <w:numId w:val="17"/>
              </w:numPr>
              <w:jc w:val="left"/>
              <w:rPr>
                <w:rFonts w:ascii="宋体" w:cs="宋体"/>
                <w:color w:val="000000"/>
                <w:kern w:val="0"/>
                <w:sz w:val="22"/>
                <w:szCs w:val="22"/>
              </w:rPr>
            </w:pPr>
            <w:r>
              <w:rPr>
                <w:rFonts w:hint="eastAsia" w:ascii="宋体" w:cs="宋体"/>
                <w:color w:val="000000"/>
                <w:kern w:val="0"/>
                <w:sz w:val="22"/>
                <w:szCs w:val="22"/>
              </w:rPr>
              <w:t>档位: 8档。</w:t>
            </w:r>
          </w:p>
          <w:p>
            <w:pPr>
              <w:keepNext/>
              <w:widowControl/>
              <w:numPr>
                <w:ilvl w:val="0"/>
                <w:numId w:val="17"/>
              </w:numPr>
              <w:jc w:val="left"/>
              <w:rPr>
                <w:rFonts w:ascii="宋体" w:cs="宋体"/>
                <w:color w:val="000000"/>
                <w:kern w:val="0"/>
                <w:sz w:val="22"/>
                <w:szCs w:val="22"/>
              </w:rPr>
            </w:pPr>
            <w:r>
              <w:rPr>
                <w:rFonts w:hint="eastAsia" w:ascii="宋体" w:cs="宋体"/>
                <w:color w:val="000000"/>
                <w:kern w:val="0"/>
                <w:sz w:val="22"/>
                <w:szCs w:val="22"/>
              </w:rPr>
              <w:t>操作方式: 触摸式。</w:t>
            </w:r>
          </w:p>
          <w:p>
            <w:pPr>
              <w:keepNext/>
              <w:widowControl/>
              <w:numPr>
                <w:ilvl w:val="0"/>
                <w:numId w:val="17"/>
              </w:numPr>
              <w:jc w:val="left"/>
              <w:rPr>
                <w:rFonts w:ascii="宋体" w:cs="宋体"/>
                <w:szCs w:val="21"/>
              </w:rPr>
            </w:pPr>
            <w:r>
              <w:rPr>
                <w:rFonts w:hint="eastAsia" w:ascii="宋体" w:cs="宋体"/>
                <w:color w:val="000000"/>
                <w:kern w:val="0"/>
                <w:sz w:val="22"/>
                <w:szCs w:val="22"/>
              </w:rPr>
              <w:t>能效等级: 三级</w:t>
            </w:r>
          </w:p>
        </w:tc>
        <w:tc>
          <w:tcPr>
            <w:tcW w:w="646" w:type="dxa"/>
            <w:vAlign w:val="center"/>
          </w:tcPr>
          <w:p>
            <w:pPr>
              <w:spacing w:line="360" w:lineRule="auto"/>
              <w:jc w:val="center"/>
              <w:rPr>
                <w:rFonts w:ascii="宋体" w:cs="宋体"/>
                <w:szCs w:val="21"/>
              </w:rPr>
            </w:pPr>
            <w:r>
              <w:rPr>
                <w:rFonts w:hint="eastAsia" w:ascii="宋体" w:cs="宋体"/>
                <w:szCs w:val="21"/>
              </w:rPr>
              <w:t>1</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c>
          <w:tcPr>
            <w:tcW w:w="669" w:type="dxa"/>
            <w:vAlign w:val="center"/>
          </w:tcPr>
          <w:p>
            <w:pPr>
              <w:spacing w:line="360" w:lineRule="auto"/>
              <w:jc w:val="center"/>
              <w:rPr>
                <w:rFonts w:ascii="宋体" w:cs="宋体"/>
                <w:szCs w:val="21"/>
              </w:rPr>
            </w:pPr>
            <w:r>
              <w:rPr>
                <w:rFonts w:hint="eastAsia" w:ascii="宋体" w:cs="宋体"/>
                <w:szCs w:val="21"/>
              </w:rPr>
              <w:t>17</w:t>
            </w:r>
          </w:p>
        </w:tc>
        <w:tc>
          <w:tcPr>
            <w:tcW w:w="1021" w:type="dxa"/>
            <w:vAlign w:val="center"/>
          </w:tcPr>
          <w:p>
            <w:pPr>
              <w:keepNext/>
              <w:widowControl/>
              <w:jc w:val="left"/>
              <w:rPr>
                <w:rFonts w:ascii="宋体" w:cs="宋体"/>
                <w:color w:val="000000"/>
                <w:kern w:val="0"/>
                <w:sz w:val="22"/>
                <w:szCs w:val="22"/>
              </w:rPr>
            </w:pPr>
            <w:r>
              <w:rPr>
                <w:rFonts w:hint="eastAsia" w:ascii="宋体" w:cs="宋体"/>
                <w:color w:val="000000"/>
                <w:kern w:val="0"/>
                <w:sz w:val="22"/>
                <w:szCs w:val="22"/>
              </w:rPr>
              <w:t>洗衣机</w:t>
            </w:r>
          </w:p>
        </w:tc>
        <w:tc>
          <w:tcPr>
            <w:tcW w:w="6367" w:type="dxa"/>
          </w:tcPr>
          <w:p>
            <w:pPr>
              <w:keepNext/>
              <w:widowControl/>
              <w:numPr>
                <w:ilvl w:val="0"/>
                <w:numId w:val="18"/>
              </w:numPr>
              <w:jc w:val="left"/>
              <w:rPr>
                <w:rFonts w:ascii="宋体" w:cs="宋体"/>
                <w:color w:val="000000"/>
                <w:kern w:val="0"/>
                <w:sz w:val="22"/>
                <w:szCs w:val="22"/>
              </w:rPr>
            </w:pPr>
            <w:r>
              <w:rPr>
                <w:rFonts w:hint="eastAsia" w:ascii="宋体" w:cs="宋体"/>
                <w:color w:val="000000"/>
                <w:kern w:val="0"/>
                <w:sz w:val="22"/>
                <w:szCs w:val="22"/>
              </w:rPr>
              <w:t>箱体材质: 镀锌钢板。</w:t>
            </w:r>
          </w:p>
          <w:p>
            <w:pPr>
              <w:keepNext/>
              <w:widowControl/>
              <w:numPr>
                <w:ilvl w:val="0"/>
                <w:numId w:val="18"/>
              </w:numPr>
              <w:jc w:val="left"/>
              <w:rPr>
                <w:rFonts w:ascii="宋体" w:cs="宋体"/>
                <w:color w:val="000000"/>
                <w:kern w:val="0"/>
                <w:sz w:val="22"/>
                <w:szCs w:val="22"/>
              </w:rPr>
            </w:pPr>
            <w:r>
              <w:rPr>
                <w:rFonts w:hint="eastAsia" w:ascii="宋体" w:cs="宋体"/>
                <w:color w:val="000000"/>
                <w:kern w:val="0"/>
                <w:sz w:val="22"/>
                <w:szCs w:val="22"/>
              </w:rPr>
              <w:t>排水方式: 下排水。</w:t>
            </w:r>
          </w:p>
          <w:p>
            <w:pPr>
              <w:keepNext/>
              <w:widowControl/>
              <w:numPr>
                <w:ilvl w:val="0"/>
                <w:numId w:val="18"/>
              </w:numPr>
              <w:jc w:val="left"/>
              <w:rPr>
                <w:rFonts w:ascii="宋体" w:cs="宋体"/>
                <w:color w:val="000000"/>
                <w:kern w:val="0"/>
                <w:sz w:val="22"/>
                <w:szCs w:val="22"/>
              </w:rPr>
            </w:pPr>
            <w:r>
              <w:rPr>
                <w:rFonts w:hint="eastAsia" w:ascii="宋体" w:cs="宋体"/>
                <w:color w:val="000000"/>
                <w:kern w:val="0"/>
                <w:sz w:val="22"/>
                <w:szCs w:val="22"/>
              </w:rPr>
              <w:t>洗涤公斤量: 8kg。</w:t>
            </w:r>
          </w:p>
          <w:p>
            <w:pPr>
              <w:keepNext/>
              <w:widowControl/>
              <w:numPr>
                <w:ilvl w:val="0"/>
                <w:numId w:val="18"/>
              </w:numPr>
              <w:jc w:val="left"/>
              <w:rPr>
                <w:rFonts w:ascii="宋体" w:cs="宋体"/>
                <w:color w:val="000000"/>
                <w:kern w:val="0"/>
                <w:sz w:val="22"/>
                <w:szCs w:val="22"/>
              </w:rPr>
            </w:pPr>
            <w:r>
              <w:rPr>
                <w:rFonts w:hint="eastAsia" w:ascii="宋体" w:cs="宋体"/>
                <w:color w:val="000000"/>
                <w:kern w:val="0"/>
                <w:sz w:val="22"/>
                <w:szCs w:val="22"/>
              </w:rPr>
              <w:t>使用方式: 全自动。</w:t>
            </w:r>
          </w:p>
          <w:p>
            <w:pPr>
              <w:keepNext/>
              <w:widowControl/>
              <w:numPr>
                <w:ilvl w:val="0"/>
                <w:numId w:val="18"/>
              </w:numPr>
              <w:jc w:val="left"/>
              <w:rPr>
                <w:rFonts w:ascii="宋体" w:cs="宋体"/>
                <w:color w:val="000000"/>
                <w:kern w:val="0"/>
                <w:sz w:val="22"/>
                <w:szCs w:val="22"/>
              </w:rPr>
            </w:pPr>
            <w:r>
              <w:rPr>
                <w:rFonts w:hint="eastAsia" w:ascii="宋体" w:cs="宋体"/>
                <w:color w:val="000000"/>
                <w:kern w:val="0"/>
                <w:sz w:val="22"/>
                <w:szCs w:val="22"/>
              </w:rPr>
              <w:t>能效等级: 二级。</w:t>
            </w:r>
          </w:p>
          <w:p>
            <w:pPr>
              <w:keepNext/>
              <w:widowControl/>
              <w:numPr>
                <w:ilvl w:val="0"/>
                <w:numId w:val="18"/>
              </w:numPr>
              <w:jc w:val="left"/>
              <w:rPr>
                <w:rFonts w:ascii="宋体" w:cs="宋体"/>
                <w:color w:val="000000"/>
                <w:kern w:val="0"/>
                <w:sz w:val="22"/>
                <w:szCs w:val="22"/>
              </w:rPr>
            </w:pPr>
            <w:r>
              <w:rPr>
                <w:rFonts w:hint="eastAsia" w:ascii="宋体" w:cs="宋体"/>
                <w:color w:val="000000"/>
                <w:kern w:val="0"/>
                <w:sz w:val="22"/>
                <w:szCs w:val="22"/>
              </w:rPr>
              <w:t>开合方式: 顶开式。</w:t>
            </w:r>
          </w:p>
          <w:p>
            <w:pPr>
              <w:keepNext/>
              <w:widowControl/>
              <w:numPr>
                <w:ilvl w:val="0"/>
                <w:numId w:val="18"/>
              </w:numPr>
              <w:jc w:val="left"/>
              <w:rPr>
                <w:rFonts w:ascii="宋体" w:cs="宋体"/>
                <w:color w:val="000000"/>
                <w:kern w:val="0"/>
                <w:sz w:val="22"/>
                <w:szCs w:val="22"/>
              </w:rPr>
            </w:pPr>
            <w:r>
              <w:rPr>
                <w:rFonts w:hint="eastAsia" w:ascii="宋体" w:cs="宋体"/>
                <w:color w:val="000000"/>
                <w:kern w:val="0"/>
                <w:sz w:val="22"/>
                <w:szCs w:val="22"/>
              </w:rPr>
              <w:t>控制方式: 电子式。</w:t>
            </w:r>
          </w:p>
          <w:p>
            <w:pPr>
              <w:keepNext/>
              <w:widowControl/>
              <w:numPr>
                <w:ilvl w:val="0"/>
                <w:numId w:val="18"/>
              </w:numPr>
              <w:jc w:val="left"/>
              <w:rPr>
                <w:rFonts w:ascii="宋体" w:cs="宋体"/>
                <w:color w:val="000000"/>
                <w:kern w:val="0"/>
                <w:sz w:val="22"/>
                <w:szCs w:val="22"/>
              </w:rPr>
            </w:pPr>
            <w:r>
              <w:rPr>
                <w:rFonts w:hint="eastAsia" w:ascii="宋体" w:cs="宋体"/>
                <w:color w:val="000000"/>
                <w:kern w:val="0"/>
                <w:sz w:val="22"/>
                <w:szCs w:val="22"/>
              </w:rPr>
              <w:t>最高转速:</w:t>
            </w:r>
            <w:r>
              <w:rPr>
                <w:rFonts w:hint="eastAsia" w:ascii="宋体" w:cs="宋体"/>
                <w:color w:val="FF0000"/>
                <w:kern w:val="0"/>
                <w:sz w:val="22"/>
                <w:szCs w:val="22"/>
              </w:rPr>
              <w:t xml:space="preserve"> </w:t>
            </w:r>
            <w:r>
              <w:rPr>
                <w:rFonts w:hint="eastAsia" w:ascii="宋体" w:cs="宋体"/>
                <w:color w:val="000000"/>
                <w:kern w:val="0"/>
                <w:sz w:val="22"/>
                <w:szCs w:val="22"/>
              </w:rPr>
              <w:t>700转/分钟</w:t>
            </w:r>
          </w:p>
        </w:tc>
        <w:tc>
          <w:tcPr>
            <w:tcW w:w="646" w:type="dxa"/>
            <w:vAlign w:val="center"/>
          </w:tcPr>
          <w:p>
            <w:pPr>
              <w:spacing w:line="360" w:lineRule="auto"/>
              <w:jc w:val="center"/>
              <w:rPr>
                <w:rFonts w:ascii="宋体" w:cs="宋体"/>
                <w:szCs w:val="21"/>
              </w:rPr>
            </w:pPr>
            <w:r>
              <w:rPr>
                <w:rFonts w:hint="eastAsia" w:ascii="宋体" w:cs="宋体"/>
                <w:szCs w:val="21"/>
              </w:rPr>
              <w:t>1</w:t>
            </w:r>
          </w:p>
        </w:tc>
      </w:tr>
    </w:tbl>
    <w:p/>
    <w:p>
      <w:pPr>
        <w:rPr>
          <w:rFonts w:ascii="宋体" w:cs="宋体"/>
          <w:szCs w:val="21"/>
        </w:rPr>
      </w:pPr>
    </w:p>
    <w:p>
      <w:pPr>
        <w:pStyle w:val="2"/>
        <w:rPr>
          <w:rFonts w:ascii="宋体" w:cs="宋体"/>
          <w:sz w:val="21"/>
          <w:szCs w:val="21"/>
        </w:rPr>
      </w:pPr>
    </w:p>
    <w:p>
      <w:pPr>
        <w:rPr>
          <w:rFonts w:ascii="宋体" w:cs="宋体"/>
          <w:szCs w:val="21"/>
        </w:rPr>
      </w:pPr>
    </w:p>
    <w:p>
      <w:pPr>
        <w:pStyle w:val="2"/>
        <w:rPr>
          <w:rFonts w:ascii="宋体" w:cs="宋体"/>
          <w:sz w:val="21"/>
          <w:szCs w:val="21"/>
        </w:rPr>
      </w:pPr>
    </w:p>
    <w:p/>
    <w:p>
      <w:pPr>
        <w:pStyle w:val="5"/>
      </w:pPr>
    </w:p>
    <w:p>
      <w:pPr>
        <w:rPr>
          <w:rFonts w:ascii="黑体" w:eastAsia="黑体" w:cs="黑体"/>
          <w:sz w:val="24"/>
        </w:rPr>
      </w:pPr>
      <w:r>
        <w:rPr>
          <w:rFonts w:hint="eastAsia" w:ascii="黑体" w:eastAsia="黑体" w:cs="黑体"/>
          <w:sz w:val="24"/>
        </w:rPr>
        <w:br w:type="page"/>
      </w:r>
    </w:p>
    <w:p>
      <w:pPr>
        <w:pStyle w:val="3"/>
        <w:jc w:val="center"/>
        <w:rPr>
          <w:rFonts w:ascii="黑体" w:eastAsia="黑体" w:cs="黑体"/>
          <w:sz w:val="24"/>
        </w:rPr>
      </w:pPr>
      <w:bookmarkStart w:id="28" w:name="_Toc18480"/>
      <w:r>
        <w:rPr>
          <w:rFonts w:hint="eastAsia" w:ascii="黑体" w:eastAsia="黑体" w:cs="黑体"/>
          <w:sz w:val="24"/>
        </w:rPr>
        <w:t>第六章  投标文件格式</w:t>
      </w:r>
      <w:bookmarkEnd w:id="28"/>
    </w:p>
    <w:p>
      <w:pPr>
        <w:tabs>
          <w:tab w:val="center" w:pos="4832"/>
          <w:tab w:val="left" w:pos="7140"/>
        </w:tabs>
        <w:spacing w:line="360" w:lineRule="auto"/>
        <w:jc w:val="center"/>
        <w:outlineLvl w:val="1"/>
        <w:rPr>
          <w:rFonts w:ascii="宋体" w:cs="宋体"/>
          <w:b/>
          <w:sz w:val="24"/>
        </w:rPr>
      </w:pPr>
      <w:bookmarkStart w:id="29" w:name="_Toc31796"/>
      <w:bookmarkStart w:id="30" w:name="_Toc25513"/>
      <w:r>
        <w:rPr>
          <w:rFonts w:hint="eastAsia" w:ascii="宋体" w:cs="宋体"/>
          <w:b/>
          <w:sz w:val="24"/>
        </w:rPr>
        <w:t>第一节 投标文件封面示例</w:t>
      </w:r>
      <w:bookmarkEnd w:id="29"/>
      <w:bookmarkEnd w:id="30"/>
    </w:p>
    <w:p>
      <w:pPr>
        <w:pStyle w:val="12"/>
        <w:rPr>
          <w:rFonts w:cs="宋体"/>
          <w:sz w:val="24"/>
        </w:rPr>
      </w:pPr>
    </w:p>
    <w:p>
      <w:pPr>
        <w:rPr>
          <w:rFonts w:ascii="宋体" w:cs="宋体"/>
          <w:b/>
          <w:sz w:val="24"/>
        </w:rPr>
      </w:pPr>
    </w:p>
    <w:p>
      <w:pPr>
        <w:rPr>
          <w:rFonts w:ascii="宋体" w:cs="宋体"/>
          <w:b/>
          <w:sz w:val="24"/>
        </w:rPr>
      </w:pPr>
    </w:p>
    <w:p>
      <w:pPr>
        <w:spacing w:line="720" w:lineRule="auto"/>
        <w:ind w:right="315"/>
        <w:jc w:val="right"/>
        <w:rPr>
          <w:rFonts w:ascii="宋体" w:cs="宋体"/>
          <w:b/>
          <w:sz w:val="24"/>
          <w:bdr w:val="single" w:color="auto" w:sz="4" w:space="0"/>
        </w:rPr>
      </w:pPr>
      <w:r>
        <w:rPr>
          <w:rFonts w:hint="eastAsia" w:ascii="宋体" w:cs="宋体"/>
          <w:b/>
          <w:sz w:val="24"/>
          <w:bdr w:val="single" w:color="auto" w:sz="4" w:space="0"/>
        </w:rPr>
        <w:t>正本/副本</w:t>
      </w:r>
    </w:p>
    <w:p>
      <w:pPr>
        <w:spacing w:line="480" w:lineRule="auto"/>
        <w:jc w:val="center"/>
        <w:rPr>
          <w:rFonts w:ascii="宋体" w:cs="宋体"/>
          <w:b/>
          <w:bCs/>
          <w:sz w:val="24"/>
          <w:u w:val="single"/>
        </w:rPr>
      </w:pPr>
      <w:r>
        <w:rPr>
          <w:rFonts w:hint="eastAsia" w:ascii="宋体" w:cs="宋体"/>
          <w:b/>
          <w:bCs/>
          <w:sz w:val="24"/>
          <w:u w:val="single"/>
        </w:rPr>
        <w:t>（项目名称）</w:t>
      </w:r>
    </w:p>
    <w:p>
      <w:pPr>
        <w:spacing w:line="480" w:lineRule="auto"/>
        <w:jc w:val="center"/>
        <w:rPr>
          <w:rFonts w:ascii="宋体" w:cs="宋体"/>
          <w:b/>
          <w:bCs/>
          <w:sz w:val="24"/>
          <w:u w:val="single"/>
        </w:rPr>
      </w:pPr>
      <w:r>
        <w:rPr>
          <w:rFonts w:hint="eastAsia" w:ascii="宋体" w:cs="宋体"/>
          <w:b/>
          <w:bCs/>
          <w:sz w:val="24"/>
          <w:u w:val="single"/>
        </w:rPr>
        <w:t>（项目编号）</w:t>
      </w:r>
    </w:p>
    <w:p>
      <w:pPr>
        <w:spacing w:line="300" w:lineRule="exact"/>
        <w:jc w:val="center"/>
        <w:rPr>
          <w:rFonts w:ascii="宋体" w:cs="宋体"/>
          <w:b/>
          <w:bCs/>
          <w:sz w:val="24"/>
        </w:rPr>
      </w:pPr>
    </w:p>
    <w:p>
      <w:pPr>
        <w:spacing w:line="300" w:lineRule="exact"/>
        <w:jc w:val="center"/>
        <w:rPr>
          <w:rFonts w:ascii="宋体" w:cs="宋体"/>
          <w:b/>
          <w:bCs/>
          <w:sz w:val="24"/>
        </w:rPr>
      </w:pPr>
    </w:p>
    <w:p>
      <w:pPr>
        <w:spacing w:line="300" w:lineRule="exact"/>
        <w:jc w:val="center"/>
        <w:rPr>
          <w:rFonts w:ascii="宋体" w:cs="宋体"/>
          <w:b/>
          <w:bCs/>
          <w:sz w:val="24"/>
        </w:rPr>
      </w:pPr>
      <w:r>
        <w:rPr>
          <w:rFonts w:hint="eastAsia" w:ascii="宋体" w:cs="宋体"/>
          <w:b/>
          <w:bCs/>
          <w:sz w:val="24"/>
        </w:rPr>
        <w:t>投标文件</w:t>
      </w:r>
    </w:p>
    <w:p>
      <w:pPr>
        <w:spacing w:line="720" w:lineRule="auto"/>
        <w:rPr>
          <w:rFonts w:ascii="宋体" w:cs="宋体"/>
          <w:sz w:val="24"/>
        </w:rPr>
      </w:pPr>
    </w:p>
    <w:p>
      <w:pPr>
        <w:pStyle w:val="4"/>
      </w:pPr>
    </w:p>
    <w:p>
      <w:pPr>
        <w:spacing w:line="360" w:lineRule="auto"/>
        <w:rPr>
          <w:rFonts w:ascii="宋体" w:cs="宋体"/>
          <w:sz w:val="24"/>
        </w:rPr>
      </w:pPr>
      <w:r>
        <w:rPr>
          <w:rFonts w:hint="eastAsia" w:ascii="宋体" w:cs="宋体"/>
          <w:sz w:val="24"/>
        </w:rPr>
        <w:t>投标人：（盖章）</w:t>
      </w:r>
    </w:p>
    <w:p>
      <w:pPr>
        <w:spacing w:line="360" w:lineRule="auto"/>
        <w:rPr>
          <w:rFonts w:ascii="宋体"/>
          <w:kern w:val="0"/>
          <w:sz w:val="24"/>
        </w:rPr>
      </w:pPr>
      <w:r>
        <w:rPr>
          <w:rFonts w:hint="eastAsia" w:ascii="宋体"/>
          <w:kern w:val="0"/>
          <w:sz w:val="24"/>
        </w:rPr>
        <w:t>法定代表人或委托代理人（签字）：</w:t>
      </w:r>
    </w:p>
    <w:p>
      <w:pPr>
        <w:spacing w:line="360" w:lineRule="auto"/>
        <w:rPr>
          <w:rFonts w:ascii="宋体" w:cs="宋体"/>
          <w:sz w:val="24"/>
        </w:rPr>
      </w:pPr>
      <w:r>
        <w:rPr>
          <w:rFonts w:hint="eastAsia" w:ascii="宋体" w:cs="宋体"/>
          <w:sz w:val="24"/>
        </w:rPr>
        <w:t>单位地址：</w:t>
      </w:r>
    </w:p>
    <w:p>
      <w:pPr>
        <w:spacing w:line="360" w:lineRule="auto"/>
        <w:rPr>
          <w:rFonts w:ascii="宋体" w:cs="宋体"/>
          <w:sz w:val="24"/>
        </w:rPr>
      </w:pPr>
      <w:r>
        <w:rPr>
          <w:rFonts w:hint="eastAsia" w:ascii="宋体" w:cs="宋体"/>
          <w:sz w:val="24"/>
        </w:rPr>
        <w:t>邮政编码：</w:t>
      </w:r>
    </w:p>
    <w:p>
      <w:pPr>
        <w:spacing w:line="360" w:lineRule="auto"/>
        <w:rPr>
          <w:rFonts w:ascii="宋体" w:cs="宋体"/>
          <w:sz w:val="24"/>
        </w:rPr>
      </w:pPr>
      <w:r>
        <w:rPr>
          <w:rFonts w:hint="eastAsia" w:ascii="宋体" w:cs="宋体"/>
          <w:sz w:val="24"/>
        </w:rPr>
        <w:t>联系人：</w:t>
      </w:r>
    </w:p>
    <w:p>
      <w:pPr>
        <w:spacing w:line="360" w:lineRule="auto"/>
        <w:rPr>
          <w:rFonts w:ascii="宋体" w:cs="宋体"/>
          <w:sz w:val="24"/>
        </w:rPr>
      </w:pPr>
      <w:r>
        <w:rPr>
          <w:rFonts w:hint="eastAsia" w:ascii="宋体" w:cs="宋体"/>
          <w:sz w:val="24"/>
        </w:rPr>
        <w:t>联系电话：</w:t>
      </w:r>
    </w:p>
    <w:p>
      <w:pPr>
        <w:spacing w:line="720" w:lineRule="auto"/>
        <w:ind w:firstLine="2" w:firstLineChars="1"/>
        <w:jc w:val="center"/>
        <w:rPr>
          <w:rFonts w:ascii="宋体" w:cs="宋体"/>
          <w:sz w:val="24"/>
        </w:rPr>
      </w:pPr>
      <w:r>
        <w:rPr>
          <w:rFonts w:hint="eastAsia" w:ascii="宋体" w:cs="宋体"/>
          <w:sz w:val="24"/>
        </w:rPr>
        <w:t>年月日</w:t>
      </w:r>
    </w:p>
    <w:p>
      <w:pPr>
        <w:pStyle w:val="12"/>
        <w:rPr>
          <w:rFonts w:cs="宋体"/>
          <w:color w:val="000000"/>
          <w:kern w:val="0"/>
          <w:sz w:val="24"/>
        </w:rPr>
      </w:pPr>
    </w:p>
    <w:p>
      <w:pPr>
        <w:rPr>
          <w:rFonts w:ascii="宋体" w:cs="宋体"/>
          <w:b/>
          <w:sz w:val="24"/>
        </w:rPr>
      </w:pPr>
      <w:bookmarkStart w:id="31" w:name="_Toc5412"/>
      <w:r>
        <w:rPr>
          <w:rFonts w:hint="eastAsia" w:ascii="宋体" w:cs="宋体"/>
          <w:b/>
          <w:sz w:val="24"/>
        </w:rPr>
        <w:br w:type="page"/>
      </w:r>
    </w:p>
    <w:p>
      <w:pPr>
        <w:tabs>
          <w:tab w:val="center" w:pos="4832"/>
          <w:tab w:val="left" w:pos="7140"/>
        </w:tabs>
        <w:spacing w:line="360" w:lineRule="auto"/>
        <w:jc w:val="center"/>
        <w:outlineLvl w:val="1"/>
        <w:rPr>
          <w:rFonts w:ascii="宋体" w:cs="宋体"/>
          <w:b/>
          <w:sz w:val="24"/>
        </w:rPr>
      </w:pPr>
      <w:bookmarkStart w:id="32" w:name="_Toc7282"/>
      <w:r>
        <w:rPr>
          <w:rFonts w:hint="eastAsia" w:ascii="宋体" w:cs="宋体"/>
          <w:b/>
          <w:sz w:val="24"/>
        </w:rPr>
        <w:t>第二节 投标文件目录示例</w:t>
      </w:r>
      <w:bookmarkEnd w:id="31"/>
      <w:bookmarkEnd w:id="32"/>
    </w:p>
    <w:p>
      <w:pPr>
        <w:spacing w:line="360" w:lineRule="auto"/>
        <w:rPr>
          <w:rFonts w:ascii="宋体"/>
          <w:kern w:val="0"/>
          <w:sz w:val="24"/>
        </w:rPr>
      </w:pPr>
      <w:r>
        <w:rPr>
          <w:rFonts w:ascii="宋体"/>
          <w:kern w:val="0"/>
          <w:sz w:val="24"/>
        </w:rPr>
        <w:t>1</w:t>
      </w:r>
      <w:r>
        <w:rPr>
          <w:rFonts w:hint="eastAsia" w:ascii="宋体"/>
          <w:kern w:val="0"/>
          <w:sz w:val="24"/>
        </w:rPr>
        <w:t>、投标函</w:t>
      </w:r>
    </w:p>
    <w:p>
      <w:pPr>
        <w:spacing w:line="360" w:lineRule="auto"/>
        <w:rPr>
          <w:rFonts w:ascii="宋体"/>
          <w:kern w:val="0"/>
          <w:sz w:val="24"/>
        </w:rPr>
      </w:pPr>
      <w:r>
        <w:rPr>
          <w:rFonts w:ascii="宋体"/>
          <w:kern w:val="0"/>
          <w:sz w:val="24"/>
        </w:rPr>
        <w:t>2</w:t>
      </w:r>
      <w:r>
        <w:rPr>
          <w:rFonts w:hint="eastAsia" w:ascii="宋体"/>
          <w:kern w:val="0"/>
          <w:sz w:val="24"/>
        </w:rPr>
        <w:t>、开标一览表（报价单）</w:t>
      </w:r>
    </w:p>
    <w:p>
      <w:pPr>
        <w:spacing w:line="360" w:lineRule="auto"/>
        <w:rPr>
          <w:rFonts w:ascii="宋体"/>
          <w:kern w:val="0"/>
          <w:sz w:val="24"/>
        </w:rPr>
      </w:pPr>
      <w:r>
        <w:rPr>
          <w:rFonts w:hint="eastAsia" w:ascii="宋体"/>
          <w:kern w:val="0"/>
          <w:sz w:val="24"/>
        </w:rPr>
        <w:t>3、法定代表人身份证明书</w:t>
      </w:r>
    </w:p>
    <w:p>
      <w:pPr>
        <w:spacing w:line="360" w:lineRule="auto"/>
        <w:rPr>
          <w:rFonts w:ascii="宋体"/>
          <w:kern w:val="0"/>
          <w:sz w:val="24"/>
        </w:rPr>
      </w:pPr>
      <w:r>
        <w:rPr>
          <w:rFonts w:hint="eastAsia" w:ascii="宋体"/>
          <w:kern w:val="0"/>
          <w:sz w:val="24"/>
        </w:rPr>
        <w:t>4、授权委托书</w:t>
      </w:r>
    </w:p>
    <w:p>
      <w:pPr>
        <w:spacing w:line="360" w:lineRule="auto"/>
        <w:rPr>
          <w:rFonts w:ascii="宋体"/>
          <w:kern w:val="0"/>
          <w:sz w:val="24"/>
        </w:rPr>
      </w:pPr>
      <w:r>
        <w:rPr>
          <w:rFonts w:hint="eastAsia" w:ascii="宋体"/>
          <w:kern w:val="0"/>
          <w:sz w:val="24"/>
        </w:rPr>
        <w:t>5、投标人概况</w:t>
      </w:r>
    </w:p>
    <w:p>
      <w:pPr>
        <w:spacing w:line="360" w:lineRule="auto"/>
        <w:rPr>
          <w:rFonts w:ascii="宋体"/>
          <w:kern w:val="0"/>
          <w:sz w:val="24"/>
        </w:rPr>
      </w:pPr>
      <w:r>
        <w:rPr>
          <w:rFonts w:hint="eastAsia" w:ascii="宋体"/>
          <w:kern w:val="0"/>
          <w:sz w:val="24"/>
        </w:rPr>
        <w:t>6、技术条款偏离表</w:t>
      </w:r>
    </w:p>
    <w:p>
      <w:pPr>
        <w:spacing w:line="360" w:lineRule="auto"/>
        <w:rPr>
          <w:rFonts w:ascii="宋体"/>
          <w:kern w:val="0"/>
          <w:sz w:val="24"/>
        </w:rPr>
      </w:pPr>
      <w:r>
        <w:rPr>
          <w:rFonts w:hint="eastAsia" w:ascii="宋体"/>
          <w:kern w:val="0"/>
          <w:sz w:val="24"/>
        </w:rPr>
        <w:t>7、商务条款偏离表</w:t>
      </w:r>
    </w:p>
    <w:p>
      <w:pPr>
        <w:spacing w:line="360" w:lineRule="auto"/>
        <w:rPr>
          <w:rFonts w:ascii="宋体"/>
          <w:kern w:val="0"/>
          <w:sz w:val="24"/>
        </w:rPr>
      </w:pPr>
      <w:r>
        <w:rPr>
          <w:rFonts w:hint="eastAsia" w:ascii="宋体"/>
          <w:kern w:val="0"/>
          <w:sz w:val="24"/>
        </w:rPr>
        <w:t>8、反商业贿赂承诺书</w:t>
      </w:r>
    </w:p>
    <w:p>
      <w:pPr>
        <w:spacing w:line="360" w:lineRule="auto"/>
        <w:rPr>
          <w:rFonts w:ascii="宋体"/>
          <w:kern w:val="0"/>
          <w:sz w:val="24"/>
        </w:rPr>
      </w:pPr>
      <w:r>
        <w:rPr>
          <w:rFonts w:hint="eastAsia" w:ascii="宋体"/>
          <w:kern w:val="0"/>
          <w:sz w:val="24"/>
        </w:rPr>
        <w:t>9、中小微企业声明函</w:t>
      </w:r>
    </w:p>
    <w:p>
      <w:pPr>
        <w:spacing w:line="360" w:lineRule="auto"/>
        <w:rPr>
          <w:rFonts w:ascii="宋体"/>
          <w:kern w:val="0"/>
          <w:sz w:val="24"/>
        </w:rPr>
      </w:pPr>
      <w:r>
        <w:rPr>
          <w:rFonts w:hint="eastAsia" w:ascii="宋体"/>
          <w:kern w:val="0"/>
          <w:sz w:val="24"/>
        </w:rPr>
        <w:t>10、投标人近3年类似项目情况表</w:t>
      </w:r>
    </w:p>
    <w:p>
      <w:pPr>
        <w:spacing w:line="360" w:lineRule="auto"/>
        <w:rPr>
          <w:rFonts w:ascii="宋体"/>
          <w:kern w:val="0"/>
          <w:sz w:val="24"/>
        </w:rPr>
      </w:pPr>
      <w:r>
        <w:rPr>
          <w:rFonts w:hint="eastAsia" w:ascii="宋体"/>
          <w:kern w:val="0"/>
          <w:sz w:val="24"/>
        </w:rPr>
        <w:t>11、其他需要提交的资料（根据招标文件的要求和投标人认为需要提供的资料）</w:t>
      </w:r>
    </w:p>
    <w:p>
      <w:pPr>
        <w:spacing w:line="360" w:lineRule="auto"/>
        <w:rPr>
          <w:rFonts w:ascii="宋体"/>
          <w:kern w:val="0"/>
          <w:sz w:val="24"/>
        </w:rPr>
      </w:pPr>
    </w:p>
    <w:p>
      <w:pPr>
        <w:spacing w:line="360" w:lineRule="auto"/>
        <w:rPr>
          <w:rFonts w:ascii="宋体"/>
          <w:bCs/>
          <w:sz w:val="24"/>
        </w:rPr>
      </w:pPr>
      <w:r>
        <w:rPr>
          <w:rFonts w:hint="eastAsia" w:ascii="宋体"/>
          <w:bCs/>
          <w:sz w:val="24"/>
        </w:rPr>
        <w:t>注：为了便于查找，请按上述顺序编制投标文件内容，并在目录中标明每项内容的起始页码。</w:t>
      </w:r>
    </w:p>
    <w:p>
      <w:r>
        <w:rPr>
          <w:rFonts w:ascii="宋体" w:cs="宋体"/>
          <w:b/>
          <w:sz w:val="24"/>
        </w:rPr>
        <w:br w:type="page"/>
      </w:r>
    </w:p>
    <w:p>
      <w:pPr>
        <w:widowControl/>
        <w:ind w:firstLine="482" w:firstLineChars="200"/>
        <w:jc w:val="left"/>
        <w:textAlignment w:val="center"/>
        <w:rPr>
          <w:rFonts w:ascii="宋体" w:cs="宋体"/>
          <w:b/>
          <w:bCs/>
          <w:sz w:val="30"/>
          <w:szCs w:val="30"/>
        </w:rPr>
      </w:pPr>
      <w:r>
        <w:rPr>
          <w:rFonts w:hint="eastAsia" w:ascii="宋体"/>
          <w:b/>
          <w:bCs/>
          <w:kern w:val="0"/>
          <w:sz w:val="24"/>
        </w:rPr>
        <w:t>7.2.1 投标函</w:t>
      </w:r>
    </w:p>
    <w:p>
      <w:pPr>
        <w:jc w:val="center"/>
        <w:rPr>
          <w:b/>
          <w:bCs/>
          <w:sz w:val="32"/>
          <w:szCs w:val="32"/>
        </w:rPr>
      </w:pPr>
      <w:r>
        <w:rPr>
          <w:rFonts w:hint="eastAsia"/>
          <w:b/>
          <w:bCs/>
          <w:sz w:val="32"/>
          <w:szCs w:val="32"/>
        </w:rPr>
        <w:t>投标函</w:t>
      </w:r>
    </w:p>
    <w:p>
      <w:pPr>
        <w:widowControl/>
        <w:shd w:val="clear" w:color="auto" w:fill="FFFFFF"/>
        <w:snapToGrid w:val="0"/>
        <w:spacing w:line="384" w:lineRule="auto"/>
        <w:jc w:val="left"/>
        <w:rPr>
          <w:rFonts w:ascii="宋体"/>
          <w:kern w:val="0"/>
          <w:sz w:val="24"/>
        </w:rPr>
      </w:pPr>
    </w:p>
    <w:p>
      <w:pPr>
        <w:widowControl/>
        <w:shd w:val="clear" w:color="auto" w:fill="FFFFFF"/>
        <w:snapToGrid w:val="0"/>
        <w:spacing w:line="384" w:lineRule="auto"/>
        <w:jc w:val="left"/>
        <w:rPr>
          <w:rFonts w:ascii="宋体"/>
          <w:kern w:val="0"/>
          <w:sz w:val="24"/>
        </w:rPr>
      </w:pPr>
      <w:r>
        <w:rPr>
          <w:rFonts w:hint="eastAsia" w:ascii="宋体"/>
          <w:kern w:val="0"/>
          <w:sz w:val="24"/>
        </w:rPr>
        <w:t>致：</w:t>
      </w:r>
      <w:r>
        <w:rPr>
          <w:rFonts w:hint="eastAsia" w:ascii="宋体"/>
          <w:kern w:val="0"/>
          <w:sz w:val="24"/>
          <w:u w:val="single"/>
        </w:rPr>
        <w:t xml:space="preserve">         </w:t>
      </w:r>
      <w:r>
        <w:rPr>
          <w:rFonts w:hint="eastAsia" w:ascii="宋体"/>
          <w:kern w:val="0"/>
          <w:sz w:val="24"/>
        </w:rPr>
        <w:t>（采购人名称）</w:t>
      </w:r>
    </w:p>
    <w:p>
      <w:pPr>
        <w:pStyle w:val="12"/>
        <w:tabs>
          <w:tab w:val="left" w:pos="5580"/>
        </w:tabs>
        <w:spacing w:line="360" w:lineRule="auto"/>
        <w:ind w:left="2" w:leftChars="1" w:firstLine="480" w:firstLineChars="200"/>
        <w:rPr>
          <w:sz w:val="24"/>
        </w:rPr>
      </w:pPr>
      <w:r>
        <w:rPr>
          <w:rFonts w:hint="eastAsia"/>
          <w:sz w:val="24"/>
        </w:rPr>
        <w:t>根据贵方</w:t>
      </w:r>
      <w:r>
        <w:rPr>
          <w:rFonts w:hint="eastAsia"/>
          <w:sz w:val="24"/>
          <w:u w:val="single"/>
        </w:rPr>
        <w:t xml:space="preserve">                          </w:t>
      </w:r>
      <w:r>
        <w:rPr>
          <w:rFonts w:hint="eastAsia"/>
          <w:sz w:val="24"/>
        </w:rPr>
        <w:t>(</w:t>
      </w:r>
      <w:r>
        <w:rPr>
          <w:rFonts w:hint="eastAsia"/>
          <w:iCs/>
          <w:sz w:val="24"/>
        </w:rPr>
        <w:t>项目名称、项目编号</w:t>
      </w:r>
      <w:r>
        <w:rPr>
          <w:rFonts w:hint="eastAsia"/>
          <w:sz w:val="24"/>
        </w:rPr>
        <w:t>)的投标邀请,签字代表</w:t>
      </w:r>
      <w:r>
        <w:rPr>
          <w:rFonts w:hint="eastAsia"/>
          <w:sz w:val="24"/>
          <w:u w:val="single"/>
        </w:rPr>
        <w:t xml:space="preserve">               </w:t>
      </w:r>
      <w:r>
        <w:rPr>
          <w:rFonts w:hint="eastAsia"/>
          <w:sz w:val="24"/>
        </w:rPr>
        <w:t>(</w:t>
      </w:r>
      <w:r>
        <w:rPr>
          <w:rFonts w:hint="eastAsia"/>
          <w:iCs/>
          <w:sz w:val="24"/>
        </w:rPr>
        <w:t>姓名、职务</w:t>
      </w:r>
      <w:r>
        <w:rPr>
          <w:rFonts w:hint="eastAsia"/>
          <w:sz w:val="24"/>
        </w:rPr>
        <w:t>)经正式授权并代表投标人</w:t>
      </w:r>
      <w:r>
        <w:rPr>
          <w:rFonts w:hint="eastAsia"/>
          <w:sz w:val="24"/>
          <w:u w:val="single"/>
        </w:rPr>
        <w:t xml:space="preserve">                  </w:t>
      </w:r>
      <w:r>
        <w:rPr>
          <w:rFonts w:hint="eastAsia"/>
          <w:sz w:val="24"/>
        </w:rPr>
        <w:t>（投标人</w:t>
      </w:r>
      <w:r>
        <w:rPr>
          <w:rFonts w:hint="eastAsia"/>
          <w:iCs/>
          <w:sz w:val="24"/>
        </w:rPr>
        <w:t>名称、注册地址</w:t>
      </w:r>
      <w:r>
        <w:rPr>
          <w:rFonts w:hint="eastAsia"/>
          <w:sz w:val="24"/>
        </w:rPr>
        <w:t>）提交下述文件正本</w:t>
      </w:r>
      <w:r>
        <w:rPr>
          <w:rFonts w:hint="eastAsia"/>
          <w:sz w:val="24"/>
          <w:u w:val="single"/>
        </w:rPr>
        <w:t xml:space="preserve">    </w:t>
      </w:r>
      <w:r>
        <w:rPr>
          <w:rFonts w:hint="eastAsia"/>
          <w:sz w:val="24"/>
        </w:rPr>
        <w:t>份、副本</w:t>
      </w:r>
      <w:r>
        <w:rPr>
          <w:rFonts w:hint="eastAsia"/>
          <w:sz w:val="24"/>
          <w:u w:val="single"/>
        </w:rPr>
        <w:t xml:space="preserve">     </w:t>
      </w:r>
      <w:r>
        <w:rPr>
          <w:rFonts w:hint="eastAsia"/>
          <w:sz w:val="24"/>
        </w:rPr>
        <w:t>份及电子文档</w:t>
      </w:r>
      <w:r>
        <w:rPr>
          <w:rFonts w:hint="eastAsia"/>
          <w:sz w:val="24"/>
          <w:u w:val="single"/>
        </w:rPr>
        <w:t xml:space="preserve">    </w:t>
      </w:r>
      <w:r>
        <w:rPr>
          <w:rFonts w:hint="eastAsia"/>
          <w:sz w:val="24"/>
        </w:rPr>
        <w:t>份。</w:t>
      </w:r>
    </w:p>
    <w:p>
      <w:pPr>
        <w:pStyle w:val="12"/>
        <w:tabs>
          <w:tab w:val="left" w:pos="5580"/>
        </w:tabs>
        <w:spacing w:line="360" w:lineRule="auto"/>
        <w:ind w:firstLine="482" w:firstLineChars="200"/>
        <w:rPr>
          <w:b/>
          <w:bCs/>
          <w:sz w:val="24"/>
        </w:rPr>
      </w:pPr>
      <w:r>
        <w:rPr>
          <w:rFonts w:hint="eastAsia"/>
          <w:b/>
          <w:bCs/>
          <w:sz w:val="24"/>
        </w:rPr>
        <w:t>据此，签字代表宣布同意如下：</w:t>
      </w:r>
    </w:p>
    <w:p>
      <w:pPr>
        <w:pStyle w:val="12"/>
        <w:tabs>
          <w:tab w:val="left" w:pos="5580"/>
        </w:tabs>
        <w:spacing w:line="360" w:lineRule="auto"/>
        <w:ind w:firstLine="480" w:firstLineChars="200"/>
        <w:rPr>
          <w:b/>
          <w:bCs/>
          <w:sz w:val="24"/>
        </w:rPr>
      </w:pPr>
      <w:r>
        <w:rPr>
          <w:rFonts w:hint="eastAsia" w:cs="宋体"/>
          <w:kern w:val="0"/>
          <w:sz w:val="24"/>
        </w:rPr>
        <w:t>1.本标包我方投标价格为人民币（大写）</w:t>
      </w:r>
      <w:r>
        <w:rPr>
          <w:rFonts w:hint="eastAsia" w:cs="宋体"/>
          <w:kern w:val="0"/>
          <w:sz w:val="24"/>
          <w:u w:val="single"/>
        </w:rPr>
        <w:t xml:space="preserve">               </w:t>
      </w:r>
      <w:r>
        <w:rPr>
          <w:rFonts w:hint="eastAsia" w:cs="宋体"/>
          <w:kern w:val="0"/>
          <w:sz w:val="24"/>
        </w:rPr>
        <w:t>元（</w:t>
      </w:r>
      <w:r>
        <w:rPr>
          <w:rFonts w:hint="eastAsia" w:cs="宋体"/>
          <w:kern w:val="0"/>
          <w:sz w:val="24"/>
          <w:u w:val="single"/>
        </w:rPr>
        <w:t xml:space="preserve">￥：    </w:t>
      </w:r>
      <w:r>
        <w:rPr>
          <w:rFonts w:hint="eastAsia" w:cs="宋体"/>
          <w:kern w:val="0"/>
          <w:sz w:val="24"/>
        </w:rPr>
        <w:t>） ，供货时间为</w:t>
      </w:r>
      <w:r>
        <w:rPr>
          <w:rFonts w:hint="eastAsia" w:cs="宋体"/>
          <w:kern w:val="0"/>
          <w:sz w:val="24"/>
          <w:u w:val="single"/>
        </w:rPr>
        <w:t xml:space="preserve">          </w:t>
      </w:r>
      <w:r>
        <w:rPr>
          <w:rFonts w:hint="eastAsia" w:cs="宋体"/>
          <w:kern w:val="0"/>
          <w:sz w:val="24"/>
        </w:rPr>
        <w:t>。</w:t>
      </w:r>
    </w:p>
    <w:p>
      <w:pPr>
        <w:widowControl/>
        <w:shd w:val="clear" w:color="auto" w:fill="FFFFFF"/>
        <w:snapToGrid w:val="0"/>
        <w:spacing w:line="384" w:lineRule="auto"/>
        <w:ind w:firstLine="480" w:firstLineChars="200"/>
        <w:jc w:val="left"/>
        <w:rPr>
          <w:rFonts w:ascii="宋体" w:cs="宋体"/>
          <w:kern w:val="0"/>
          <w:sz w:val="24"/>
        </w:rPr>
      </w:pPr>
      <w:r>
        <w:rPr>
          <w:rFonts w:hint="eastAsia" w:ascii="宋体" w:cs="宋体"/>
          <w:kern w:val="0"/>
          <w:sz w:val="24"/>
        </w:rPr>
        <w:t>2.随同本投标函提交投标保证金一份，金额为人民币（大写）</w:t>
      </w:r>
      <w:r>
        <w:rPr>
          <w:rFonts w:hint="eastAsia" w:ascii="宋体" w:cs="宋体"/>
          <w:kern w:val="0"/>
          <w:sz w:val="24"/>
          <w:u w:val="single"/>
        </w:rPr>
        <w:t xml:space="preserve">               </w:t>
      </w:r>
      <w:r>
        <w:rPr>
          <w:rFonts w:hint="eastAsia" w:ascii="宋体" w:cs="宋体"/>
          <w:kern w:val="0"/>
          <w:sz w:val="24"/>
        </w:rPr>
        <w:t>元（</w:t>
      </w:r>
      <w:r>
        <w:rPr>
          <w:rFonts w:hint="eastAsia" w:cs="宋体"/>
          <w:kern w:val="0"/>
          <w:sz w:val="24"/>
          <w:u w:val="single"/>
        </w:rPr>
        <w:t xml:space="preserve">￥：    </w:t>
      </w:r>
      <w:r>
        <w:rPr>
          <w:rFonts w:hint="eastAsia" w:ascii="宋体" w:cs="宋体"/>
          <w:kern w:val="0"/>
          <w:sz w:val="24"/>
        </w:rPr>
        <w:t>）  。</w:t>
      </w:r>
    </w:p>
    <w:p>
      <w:pPr>
        <w:widowControl/>
        <w:shd w:val="clear" w:color="auto" w:fill="FFFFFF"/>
        <w:snapToGrid w:val="0"/>
        <w:spacing w:line="384" w:lineRule="auto"/>
        <w:ind w:firstLine="480" w:firstLineChars="200"/>
        <w:jc w:val="left"/>
        <w:rPr>
          <w:rFonts w:ascii="宋体" w:cs="宋体"/>
          <w:kern w:val="0"/>
          <w:sz w:val="24"/>
        </w:rPr>
      </w:pPr>
      <w:r>
        <w:rPr>
          <w:rFonts w:hint="eastAsia" w:ascii="宋体" w:cs="宋体"/>
          <w:kern w:val="0"/>
          <w:sz w:val="24"/>
        </w:rPr>
        <w:t>3.</w:t>
      </w:r>
      <w:r>
        <w:rPr>
          <w:rFonts w:hint="eastAsia" w:ascii="宋体" w:cs="宋体"/>
          <w:sz w:val="24"/>
        </w:rPr>
        <w:t>我方承诺在投标有效期内不补充、修改、替代或者撤回本投标文件。</w:t>
      </w:r>
    </w:p>
    <w:p>
      <w:pPr>
        <w:widowControl/>
        <w:shd w:val="clear" w:color="auto" w:fill="FFFFFF"/>
        <w:snapToGrid w:val="0"/>
        <w:spacing w:line="384" w:lineRule="auto"/>
        <w:ind w:firstLine="480" w:firstLineChars="200"/>
        <w:jc w:val="left"/>
        <w:rPr>
          <w:rFonts w:ascii="宋体"/>
          <w:kern w:val="0"/>
          <w:sz w:val="24"/>
        </w:rPr>
      </w:pPr>
      <w:r>
        <w:rPr>
          <w:rFonts w:hint="eastAsia" w:ascii="宋体" w:cs="宋体"/>
          <w:kern w:val="0"/>
          <w:sz w:val="24"/>
        </w:rPr>
        <w:t>4.如果我方</w:t>
      </w:r>
      <w:r>
        <w:rPr>
          <w:rFonts w:hint="eastAsia" w:ascii="宋体"/>
          <w:kern w:val="0"/>
          <w:sz w:val="24"/>
        </w:rPr>
        <w:t>中标，我方将按规定履行合同责任义务。保证在合同约定的服务周期内供货，并确保我方提供产品及服务满足招标文件的要求。</w:t>
      </w:r>
    </w:p>
    <w:p>
      <w:pPr>
        <w:pStyle w:val="12"/>
        <w:tabs>
          <w:tab w:val="left" w:pos="5580"/>
        </w:tabs>
        <w:spacing w:line="360" w:lineRule="auto"/>
        <w:ind w:firstLine="480" w:firstLineChars="200"/>
        <w:rPr>
          <w:sz w:val="24"/>
        </w:rPr>
      </w:pPr>
      <w:r>
        <w:rPr>
          <w:rFonts w:hint="eastAsia"/>
          <w:kern w:val="0"/>
          <w:sz w:val="24"/>
        </w:rPr>
        <w:t>5</w:t>
      </w:r>
      <w:r>
        <w:rPr>
          <w:kern w:val="0"/>
          <w:sz w:val="24"/>
        </w:rPr>
        <w:t>.</w:t>
      </w:r>
      <w:r>
        <w:rPr>
          <w:rFonts w:hint="eastAsia"/>
          <w:sz w:val="24"/>
        </w:rPr>
        <w:t>本投标文件有效期为</w:t>
      </w:r>
      <w:r>
        <w:rPr>
          <w:rFonts w:hint="eastAsia"/>
          <w:sz w:val="24"/>
          <w:u w:val="single"/>
        </w:rPr>
        <w:t xml:space="preserve">                 </w:t>
      </w:r>
      <w:r>
        <w:rPr>
          <w:rFonts w:hint="eastAsia"/>
          <w:sz w:val="24"/>
        </w:rPr>
        <w:t>日。</w:t>
      </w:r>
    </w:p>
    <w:p>
      <w:pPr>
        <w:pStyle w:val="12"/>
        <w:tabs>
          <w:tab w:val="left" w:pos="5580"/>
        </w:tabs>
        <w:spacing w:line="360" w:lineRule="auto"/>
        <w:ind w:firstLine="480" w:firstLineChars="200"/>
        <w:rPr>
          <w:sz w:val="24"/>
        </w:rPr>
      </w:pPr>
      <w:r>
        <w:rPr>
          <w:rFonts w:hint="eastAsia"/>
          <w:kern w:val="0"/>
          <w:sz w:val="24"/>
        </w:rPr>
        <w:t>6</w:t>
      </w:r>
      <w:r>
        <w:rPr>
          <w:kern w:val="0"/>
          <w:sz w:val="24"/>
        </w:rPr>
        <w:t>.</w:t>
      </w:r>
      <w:r>
        <w:rPr>
          <w:rFonts w:hint="eastAsia"/>
          <w:sz w:val="24"/>
        </w:rPr>
        <w:t>已详细审查全部招标文件，包括所有补充通知（如果有的话），完全理解并同意放弃对这方面有不明、误解的权利。</w:t>
      </w:r>
    </w:p>
    <w:p>
      <w:pPr>
        <w:widowControl/>
        <w:shd w:val="clear" w:color="auto" w:fill="FFFFFF"/>
        <w:snapToGrid w:val="0"/>
        <w:spacing w:line="384" w:lineRule="auto"/>
        <w:ind w:firstLine="480" w:firstLineChars="200"/>
        <w:jc w:val="left"/>
        <w:rPr>
          <w:rFonts w:ascii="宋体" w:cs="宋体"/>
          <w:sz w:val="24"/>
        </w:rPr>
      </w:pPr>
      <w:r>
        <w:rPr>
          <w:rFonts w:hint="eastAsia" w:asciiTheme="minorEastAsia" w:hAnsiTheme="minorEastAsia" w:eastAsiaTheme="minorEastAsia" w:cstheme="minorEastAsia"/>
          <w:kern w:val="0"/>
          <w:sz w:val="24"/>
        </w:rPr>
        <w:t>7.</w:t>
      </w:r>
      <w:r>
        <w:rPr>
          <w:rFonts w:hint="eastAsia" w:ascii="宋体" w:cs="宋体"/>
          <w:sz w:val="24"/>
        </w:rPr>
        <w:t>我方不是为本项目提供整体设计、规范编制或者项目管理、监理、检测等服务的供应商，我方不是采购代理机构的附属机构。</w:t>
      </w:r>
    </w:p>
    <w:p>
      <w:pPr>
        <w:widowControl/>
        <w:shd w:val="clear" w:color="auto" w:fill="FFFFFF"/>
        <w:snapToGrid w:val="0"/>
        <w:spacing w:line="384" w:lineRule="auto"/>
        <w:ind w:firstLine="480" w:firstLineChars="200"/>
        <w:jc w:val="left"/>
        <w:rPr>
          <w:rFonts w:ascii="宋体" w:cs="宋体"/>
          <w:sz w:val="24"/>
        </w:rPr>
      </w:pPr>
      <w:r>
        <w:rPr>
          <w:rFonts w:hint="eastAsia" w:ascii="宋体" w:cs="宋体"/>
          <w:sz w:val="24"/>
        </w:rPr>
        <w:t>8.按照招标文件的规定，在中标后向贵方一次性支付招标代理费。</w:t>
      </w:r>
    </w:p>
    <w:p>
      <w:pPr>
        <w:widowControl/>
        <w:shd w:val="clear" w:color="auto" w:fill="FFFFFF"/>
        <w:snapToGrid w:val="0"/>
        <w:spacing w:line="384" w:lineRule="auto"/>
        <w:ind w:firstLine="480" w:firstLineChars="200"/>
        <w:jc w:val="left"/>
        <w:rPr>
          <w:rFonts w:ascii="宋体" w:cs="宋体"/>
          <w:sz w:val="24"/>
        </w:rPr>
      </w:pPr>
      <w:r>
        <w:rPr>
          <w:rFonts w:hint="eastAsia" w:ascii="宋体" w:cs="宋体"/>
          <w:sz w:val="24"/>
        </w:rPr>
        <w:t>9.我方愿意提供贵方可能要求的与投标有关的一切数据或资料，完全理解贵方不一定接受最低投标报价的投标或收到的任何投标。</w:t>
      </w:r>
    </w:p>
    <w:p>
      <w:pPr>
        <w:widowControl/>
        <w:shd w:val="clear" w:color="auto" w:fill="FFFFFF"/>
        <w:snapToGrid w:val="0"/>
        <w:spacing w:line="384" w:lineRule="auto"/>
        <w:ind w:firstLine="480" w:firstLineChars="200"/>
        <w:jc w:val="left"/>
        <w:rPr>
          <w:rFonts w:ascii="宋体" w:cs="宋体"/>
          <w:sz w:val="24"/>
        </w:rPr>
      </w:pPr>
      <w:r>
        <w:rPr>
          <w:rFonts w:hint="eastAsia" w:ascii="宋体" w:cs="宋体"/>
          <w:sz w:val="24"/>
        </w:rPr>
        <w:t>10.按照招标文件的规定履行合同责任和义务。</w:t>
      </w:r>
    </w:p>
    <w:p>
      <w:pPr>
        <w:widowControl/>
        <w:shd w:val="clear" w:color="auto" w:fill="FFFFFF"/>
        <w:snapToGrid w:val="0"/>
        <w:spacing w:line="384" w:lineRule="auto"/>
        <w:ind w:firstLine="480" w:firstLineChars="200"/>
        <w:jc w:val="left"/>
        <w:rPr>
          <w:rFonts w:ascii="宋体" w:cs="宋体"/>
          <w:sz w:val="24"/>
        </w:rPr>
      </w:pPr>
      <w:r>
        <w:rPr>
          <w:rFonts w:hint="eastAsia" w:ascii="宋体" w:cs="宋体"/>
          <w:sz w:val="24"/>
        </w:rPr>
        <w:t>11.完全理解并无条件承担中标后不依法与采购人签订合同的法律后果。</w:t>
      </w:r>
    </w:p>
    <w:p>
      <w:pPr>
        <w:widowControl/>
        <w:shd w:val="clear" w:color="auto" w:fill="FFFFFF"/>
        <w:snapToGrid w:val="0"/>
        <w:spacing w:line="384" w:lineRule="auto"/>
        <w:ind w:firstLine="480" w:firstLineChars="200"/>
        <w:jc w:val="left"/>
        <w:rPr>
          <w:rFonts w:ascii="宋体" w:cs="宋体"/>
          <w:sz w:val="24"/>
        </w:rPr>
      </w:pPr>
      <w:r>
        <w:rPr>
          <w:rFonts w:hint="eastAsia" w:ascii="宋体" w:cs="宋体"/>
          <w:sz w:val="24"/>
        </w:rPr>
        <w:t>12.如我方中标，在合同签订后3个工作日内向采购代理机构提供采购合同原件3份用于采购资料备案工作。</w:t>
      </w:r>
    </w:p>
    <w:p>
      <w:pPr>
        <w:pStyle w:val="12"/>
        <w:tabs>
          <w:tab w:val="left" w:pos="5580"/>
        </w:tabs>
        <w:spacing w:line="360" w:lineRule="auto"/>
        <w:ind w:firstLine="480" w:firstLineChars="200"/>
        <w:rPr>
          <w:sz w:val="24"/>
        </w:rPr>
      </w:pPr>
      <w:r>
        <w:rPr>
          <w:rFonts w:hint="eastAsia"/>
          <w:kern w:val="0"/>
          <w:sz w:val="24"/>
        </w:rPr>
        <w:t>13</w:t>
      </w:r>
      <w:r>
        <w:rPr>
          <w:kern w:val="0"/>
          <w:sz w:val="24"/>
        </w:rPr>
        <w:t>.</w:t>
      </w:r>
      <w:r>
        <w:rPr>
          <w:rFonts w:hint="eastAsia"/>
          <w:kern w:val="0"/>
          <w:sz w:val="24"/>
        </w:rPr>
        <w:t>我方在此声明，所递交的投标文件及有关资料内容完整、真实和准确。</w:t>
      </w:r>
    </w:p>
    <w:p>
      <w:pPr>
        <w:pStyle w:val="12"/>
        <w:tabs>
          <w:tab w:val="left" w:pos="5580"/>
        </w:tabs>
        <w:spacing w:line="360" w:lineRule="auto"/>
        <w:ind w:left="359" w:leftChars="68" w:hanging="216" w:hangingChars="90"/>
        <w:rPr>
          <w:sz w:val="24"/>
        </w:rPr>
      </w:pPr>
    </w:p>
    <w:p>
      <w:pPr>
        <w:pStyle w:val="12"/>
        <w:tabs>
          <w:tab w:val="left" w:pos="5580"/>
        </w:tabs>
        <w:spacing w:line="360" w:lineRule="auto"/>
        <w:ind w:firstLine="480" w:firstLineChars="200"/>
        <w:rPr>
          <w:sz w:val="24"/>
        </w:rPr>
      </w:pPr>
      <w:r>
        <w:rPr>
          <w:rFonts w:hint="eastAsia"/>
          <w:sz w:val="24"/>
        </w:rPr>
        <w:t>与本投标有关的一切正式往来信函请寄：</w:t>
      </w:r>
    </w:p>
    <w:p>
      <w:pPr>
        <w:pStyle w:val="12"/>
        <w:tabs>
          <w:tab w:val="left" w:pos="5580"/>
        </w:tabs>
        <w:spacing w:line="360" w:lineRule="auto"/>
        <w:ind w:left="1080" w:leftChars="257" w:hanging="540"/>
        <w:rPr>
          <w:sz w:val="24"/>
        </w:rPr>
      </w:pPr>
      <w:r>
        <w:rPr>
          <w:rFonts w:hint="eastAsia"/>
          <w:sz w:val="24"/>
        </w:rPr>
        <w:t>地址：</w:t>
      </w:r>
    </w:p>
    <w:p>
      <w:pPr>
        <w:pStyle w:val="12"/>
        <w:tabs>
          <w:tab w:val="left" w:pos="5580"/>
        </w:tabs>
        <w:spacing w:line="360" w:lineRule="auto"/>
        <w:ind w:left="1080" w:leftChars="257" w:hanging="540"/>
        <w:rPr>
          <w:sz w:val="24"/>
        </w:rPr>
      </w:pPr>
      <w:r>
        <w:rPr>
          <w:rFonts w:hint="eastAsia"/>
          <w:sz w:val="24"/>
        </w:rPr>
        <w:t>电话：</w:t>
      </w:r>
    </w:p>
    <w:p>
      <w:pPr>
        <w:pStyle w:val="12"/>
        <w:tabs>
          <w:tab w:val="left" w:pos="5580"/>
        </w:tabs>
        <w:spacing w:line="360" w:lineRule="auto"/>
        <w:ind w:left="1080" w:leftChars="257" w:hanging="540"/>
        <w:rPr>
          <w:sz w:val="24"/>
        </w:rPr>
      </w:pPr>
      <w:r>
        <w:rPr>
          <w:rFonts w:hint="eastAsia"/>
          <w:sz w:val="24"/>
        </w:rPr>
        <w:t>传真：</w:t>
      </w:r>
    </w:p>
    <w:p>
      <w:pPr>
        <w:pStyle w:val="12"/>
        <w:tabs>
          <w:tab w:val="left" w:pos="5580"/>
        </w:tabs>
        <w:spacing w:line="360" w:lineRule="auto"/>
        <w:ind w:left="1080" w:leftChars="257" w:hanging="540"/>
        <w:rPr>
          <w:b/>
          <w:sz w:val="24"/>
        </w:rPr>
      </w:pPr>
      <w:r>
        <w:rPr>
          <w:rFonts w:hint="eastAsia"/>
          <w:sz w:val="24"/>
        </w:rPr>
        <w:t>电子函件：</w:t>
      </w:r>
    </w:p>
    <w:p>
      <w:pPr>
        <w:spacing w:line="360" w:lineRule="auto"/>
        <w:rPr>
          <w:rFonts w:ascii="宋体" w:cs="宋体"/>
          <w:sz w:val="24"/>
        </w:rPr>
      </w:pPr>
    </w:p>
    <w:p>
      <w:pPr>
        <w:pStyle w:val="12"/>
        <w:tabs>
          <w:tab w:val="left" w:pos="5580"/>
        </w:tabs>
        <w:spacing w:line="360" w:lineRule="auto"/>
        <w:ind w:firstLine="3120" w:firstLineChars="1300"/>
        <w:rPr>
          <w:sz w:val="24"/>
        </w:rPr>
      </w:pPr>
      <w:r>
        <w:rPr>
          <w:rFonts w:hint="eastAsia"/>
          <w:sz w:val="24"/>
        </w:rPr>
        <w:t>投标人（盖</w:t>
      </w:r>
      <w:r>
        <w:rPr>
          <w:sz w:val="24"/>
        </w:rPr>
        <w:t>章）：</w:t>
      </w:r>
    </w:p>
    <w:p>
      <w:pPr>
        <w:pStyle w:val="12"/>
        <w:tabs>
          <w:tab w:val="left" w:pos="5580"/>
        </w:tabs>
        <w:spacing w:line="360" w:lineRule="auto"/>
        <w:ind w:firstLine="3120" w:firstLineChars="1300"/>
        <w:rPr>
          <w:rFonts w:cs="宋体"/>
          <w:kern w:val="0"/>
          <w:sz w:val="24"/>
          <w:u w:val="single"/>
        </w:rPr>
      </w:pPr>
      <w:r>
        <w:rPr>
          <w:rFonts w:hint="eastAsia"/>
          <w:sz w:val="24"/>
        </w:rPr>
        <w:t>法定代表人或</w:t>
      </w:r>
      <w:r>
        <w:rPr>
          <w:rFonts w:hint="eastAsia" w:cs="宋体"/>
          <w:kern w:val="0"/>
          <w:sz w:val="24"/>
        </w:rPr>
        <w:t>委托代理人</w:t>
      </w:r>
      <w:r>
        <w:rPr>
          <w:rFonts w:hint="eastAsia"/>
          <w:sz w:val="24"/>
        </w:rPr>
        <w:t>（签字）</w:t>
      </w:r>
      <w:r>
        <w:rPr>
          <w:rFonts w:hint="eastAsia" w:cs="宋体"/>
          <w:kern w:val="0"/>
          <w:sz w:val="24"/>
        </w:rPr>
        <w:t>：</w:t>
      </w:r>
    </w:p>
    <w:p>
      <w:pPr>
        <w:spacing w:line="360" w:lineRule="auto"/>
        <w:ind w:firstLine="3120" w:firstLineChars="1300"/>
        <w:rPr>
          <w:rFonts w:ascii="宋体" w:cs="宋体"/>
          <w:sz w:val="24"/>
        </w:rPr>
      </w:pPr>
      <w:r>
        <w:rPr>
          <w:rFonts w:hint="eastAsia" w:ascii="宋体" w:cs="宋体"/>
          <w:sz w:val="24"/>
        </w:rPr>
        <w:t>日期：       年   月   日</w:t>
      </w:r>
    </w:p>
    <w:p>
      <w:pPr>
        <w:spacing w:line="360" w:lineRule="auto"/>
        <w:rPr>
          <w:rFonts w:ascii="宋体" w:cs="宋体"/>
          <w:sz w:val="24"/>
        </w:rPr>
      </w:pPr>
    </w:p>
    <w:p>
      <w:pPr>
        <w:pStyle w:val="9"/>
        <w:numPr>
          <w:ilvl w:val="0"/>
          <w:numId w:val="0"/>
        </w:numPr>
        <w:rPr>
          <w:rFonts w:ascii="宋体" w:hAnsi="宋体" w:cs="宋体"/>
          <w:kern w:val="0"/>
          <w:sz w:val="24"/>
          <w:u w:val="single"/>
        </w:rPr>
      </w:pPr>
    </w:p>
    <w:p>
      <w:pPr>
        <w:pStyle w:val="12"/>
        <w:tabs>
          <w:tab w:val="left" w:pos="5580"/>
        </w:tabs>
        <w:spacing w:line="360" w:lineRule="auto"/>
        <w:ind w:left="1080" w:leftChars="257" w:hanging="540"/>
        <w:rPr>
          <w:sz w:val="24"/>
        </w:rPr>
      </w:pPr>
    </w:p>
    <w:p>
      <w:pPr>
        <w:widowControl/>
        <w:jc w:val="center"/>
        <w:textAlignment w:val="center"/>
        <w:rPr>
          <w:rFonts w:ascii="宋体" w:cs="宋体"/>
          <w:b/>
          <w:sz w:val="30"/>
          <w:szCs w:val="30"/>
        </w:rPr>
      </w:pPr>
    </w:p>
    <w:p>
      <w:pPr>
        <w:rPr>
          <w:rFonts w:ascii="宋体"/>
          <w:b/>
          <w:bCs/>
          <w:kern w:val="0"/>
          <w:sz w:val="24"/>
        </w:rPr>
      </w:pPr>
      <w:r>
        <w:rPr>
          <w:rFonts w:hint="eastAsia" w:ascii="宋体"/>
          <w:b/>
          <w:bCs/>
          <w:kern w:val="0"/>
          <w:sz w:val="24"/>
        </w:rPr>
        <w:br w:type="page"/>
      </w:r>
    </w:p>
    <w:p>
      <w:pPr>
        <w:spacing w:line="360" w:lineRule="auto"/>
        <w:rPr>
          <w:rFonts w:ascii="宋体" w:cs="宋体"/>
          <w:b/>
          <w:bCs/>
          <w:szCs w:val="30"/>
        </w:rPr>
      </w:pPr>
      <w:r>
        <w:rPr>
          <w:rFonts w:hint="eastAsia" w:ascii="宋体"/>
          <w:b/>
          <w:bCs/>
          <w:kern w:val="0"/>
          <w:sz w:val="24"/>
        </w:rPr>
        <w:t>7.2.2 开标一览表(报价表）</w:t>
      </w:r>
    </w:p>
    <w:p>
      <w:pPr>
        <w:spacing w:line="360" w:lineRule="auto"/>
        <w:jc w:val="center"/>
        <w:rPr>
          <w:rFonts w:ascii="宋体" w:cs="宋体"/>
          <w:sz w:val="24"/>
          <w:u w:val="single"/>
        </w:rPr>
      </w:pPr>
      <w:r>
        <w:rPr>
          <w:rFonts w:hint="eastAsia"/>
          <w:b/>
          <w:bCs/>
          <w:sz w:val="32"/>
          <w:szCs w:val="32"/>
        </w:rPr>
        <w:t>开标一览表（报价表）</w:t>
      </w:r>
    </w:p>
    <w:tbl>
      <w:tblPr>
        <w:tblStyle w:val="23"/>
        <w:tblW w:w="8940" w:type="dxa"/>
        <w:tblInd w:w="0" w:type="dxa"/>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2240"/>
        <w:gridCol w:w="4562"/>
        <w:gridCol w:w="2138"/>
      </w:tblGrid>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488" w:hRule="atLeast"/>
        </w:trPr>
        <w:tc>
          <w:tcPr>
            <w:tcW w:w="2240" w:type="dxa"/>
            <w:vAlign w:val="center"/>
          </w:tcPr>
          <w:p>
            <w:pPr>
              <w:jc w:val="center"/>
              <w:rPr>
                <w:rFonts w:ascii="宋体" w:cs="宋体"/>
                <w:szCs w:val="21"/>
              </w:rPr>
            </w:pPr>
            <w:r>
              <w:rPr>
                <w:rFonts w:hint="eastAsia" w:ascii="宋体" w:cs="宋体"/>
                <w:szCs w:val="21"/>
              </w:rPr>
              <w:t>项目名称、项目编号</w:t>
            </w:r>
          </w:p>
        </w:tc>
        <w:tc>
          <w:tcPr>
            <w:tcW w:w="6700" w:type="dxa"/>
            <w:gridSpan w:val="2"/>
            <w:vAlign w:val="center"/>
          </w:tcPr>
          <w:p>
            <w:pPr>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512" w:hRule="atLeast"/>
        </w:trPr>
        <w:tc>
          <w:tcPr>
            <w:tcW w:w="2240" w:type="dxa"/>
            <w:vAlign w:val="center"/>
          </w:tcPr>
          <w:p>
            <w:pPr>
              <w:jc w:val="center"/>
              <w:rPr>
                <w:rFonts w:ascii="宋体" w:cs="宋体"/>
                <w:szCs w:val="21"/>
              </w:rPr>
            </w:pPr>
            <w:r>
              <w:rPr>
                <w:rFonts w:hint="eastAsia" w:ascii="宋体" w:cs="宋体"/>
                <w:szCs w:val="21"/>
              </w:rPr>
              <w:t>投标报价</w:t>
            </w:r>
          </w:p>
        </w:tc>
        <w:tc>
          <w:tcPr>
            <w:tcW w:w="4562" w:type="dxa"/>
            <w:vAlign w:val="center"/>
          </w:tcPr>
          <w:p>
            <w:pPr>
              <w:pStyle w:val="9"/>
              <w:numPr>
                <w:ilvl w:val="0"/>
                <w:numId w:val="0"/>
              </w:numPr>
              <w:tabs>
                <w:tab w:val="left" w:pos="825"/>
              </w:tabs>
              <w:jc w:val="left"/>
              <w:rPr>
                <w:rFonts w:ascii="宋体" w:eastAsia="宋体" w:cs="宋体"/>
                <w:sz w:val="21"/>
                <w:szCs w:val="21"/>
              </w:rPr>
            </w:pPr>
            <w:r>
              <w:rPr>
                <w:rFonts w:hint="eastAsia" w:ascii="宋体" w:eastAsia="宋体" w:cs="宋体"/>
                <w:sz w:val="21"/>
                <w:szCs w:val="21"/>
              </w:rPr>
              <w:t>大写：</w:t>
            </w:r>
          </w:p>
        </w:tc>
        <w:tc>
          <w:tcPr>
            <w:tcW w:w="2138" w:type="dxa"/>
            <w:vAlign w:val="center"/>
          </w:tcPr>
          <w:p>
            <w:pPr>
              <w:pStyle w:val="9"/>
              <w:numPr>
                <w:ilvl w:val="0"/>
                <w:numId w:val="0"/>
              </w:numPr>
              <w:jc w:val="left"/>
              <w:rPr>
                <w:rFonts w:ascii="宋体" w:eastAsia="宋体" w:cs="宋体"/>
                <w:sz w:val="21"/>
                <w:szCs w:val="21"/>
              </w:rPr>
            </w:pPr>
            <w:r>
              <w:rPr>
                <w:rFonts w:hint="eastAsia" w:ascii="宋体" w:eastAsia="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618" w:hRule="atLeast"/>
        </w:trPr>
        <w:tc>
          <w:tcPr>
            <w:tcW w:w="2240" w:type="dxa"/>
            <w:vAlign w:val="center"/>
          </w:tcPr>
          <w:p>
            <w:pPr>
              <w:jc w:val="center"/>
              <w:rPr>
                <w:rFonts w:ascii="宋体" w:cs="宋体"/>
                <w:szCs w:val="21"/>
              </w:rPr>
            </w:pPr>
            <w:r>
              <w:rPr>
                <w:rFonts w:hint="eastAsia" w:ascii="宋体" w:cs="宋体"/>
                <w:szCs w:val="21"/>
              </w:rPr>
              <w:t>供货时间</w:t>
            </w:r>
          </w:p>
        </w:tc>
        <w:tc>
          <w:tcPr>
            <w:tcW w:w="6700" w:type="dxa"/>
            <w:gridSpan w:val="2"/>
            <w:vAlign w:val="center"/>
          </w:tcPr>
          <w:p>
            <w:pPr>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605" w:hRule="atLeast"/>
        </w:trPr>
        <w:tc>
          <w:tcPr>
            <w:tcW w:w="2240" w:type="dxa"/>
            <w:vAlign w:val="center"/>
          </w:tcPr>
          <w:p>
            <w:pPr>
              <w:jc w:val="center"/>
              <w:rPr>
                <w:rFonts w:ascii="宋体" w:cs="宋体"/>
                <w:szCs w:val="21"/>
              </w:rPr>
            </w:pPr>
            <w:r>
              <w:rPr>
                <w:rFonts w:hint="eastAsia" w:ascii="宋体" w:cs="宋体"/>
                <w:szCs w:val="21"/>
              </w:rPr>
              <w:t>质保期</w:t>
            </w:r>
          </w:p>
        </w:tc>
        <w:tc>
          <w:tcPr>
            <w:tcW w:w="6700" w:type="dxa"/>
            <w:gridSpan w:val="2"/>
            <w:vAlign w:val="center"/>
          </w:tcPr>
          <w:p>
            <w:pPr>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605" w:hRule="atLeast"/>
        </w:trPr>
        <w:tc>
          <w:tcPr>
            <w:tcW w:w="2240" w:type="dxa"/>
            <w:vAlign w:val="center"/>
          </w:tcPr>
          <w:p>
            <w:pPr>
              <w:jc w:val="center"/>
              <w:rPr>
                <w:rFonts w:ascii="宋体" w:cs="宋体"/>
                <w:szCs w:val="21"/>
              </w:rPr>
            </w:pPr>
            <w:r>
              <w:rPr>
                <w:rFonts w:hint="eastAsia" w:ascii="宋体" w:cs="宋体"/>
                <w:szCs w:val="21"/>
              </w:rPr>
              <w:t>投标人名称</w:t>
            </w:r>
          </w:p>
        </w:tc>
        <w:tc>
          <w:tcPr>
            <w:tcW w:w="6700" w:type="dxa"/>
            <w:gridSpan w:val="2"/>
            <w:vAlign w:val="center"/>
          </w:tcPr>
          <w:p>
            <w:pPr>
              <w:rPr>
                <w:rFonts w:ascii="宋体" w:cs="宋体"/>
                <w:szCs w:val="21"/>
              </w:rPr>
            </w:pPr>
          </w:p>
        </w:tc>
      </w:tr>
    </w:tbl>
    <w:p>
      <w:pPr>
        <w:spacing w:line="360" w:lineRule="auto"/>
        <w:rPr>
          <w:rFonts w:ascii="宋体" w:cs="宋体"/>
          <w:szCs w:val="21"/>
        </w:rPr>
      </w:pPr>
      <w:r>
        <w:rPr>
          <w:rFonts w:hint="eastAsia" w:ascii="宋体" w:cs="宋体"/>
          <w:b/>
          <w:bCs/>
          <w:szCs w:val="21"/>
        </w:rPr>
        <w:t>说明：</w:t>
      </w:r>
      <w:r>
        <w:rPr>
          <w:rFonts w:hint="eastAsia" w:ascii="宋体" w:cs="宋体"/>
          <w:szCs w:val="21"/>
        </w:rPr>
        <w:t>1、投标报价均用人民币表示，单位为元。</w:t>
      </w:r>
    </w:p>
    <w:p>
      <w:pPr>
        <w:spacing w:line="360" w:lineRule="auto"/>
        <w:ind w:firstLine="630" w:firstLineChars="300"/>
        <w:rPr>
          <w:rFonts w:ascii="宋体" w:cs="宋体"/>
          <w:bCs/>
          <w:szCs w:val="21"/>
        </w:rPr>
      </w:pPr>
      <w:r>
        <w:rPr>
          <w:rFonts w:hint="eastAsia" w:ascii="宋体" w:cs="宋体"/>
          <w:szCs w:val="21"/>
        </w:rPr>
        <w:t>2、本项目投标人所投标产品只能报一个</w:t>
      </w:r>
      <w:r>
        <w:rPr>
          <w:rFonts w:hint="eastAsia" w:ascii="宋体" w:cs="宋体"/>
          <w:bCs/>
          <w:szCs w:val="21"/>
        </w:rPr>
        <w:t>投标价</w:t>
      </w:r>
      <w:r>
        <w:rPr>
          <w:rFonts w:hint="eastAsia" w:ascii="宋体" w:cs="宋体"/>
          <w:szCs w:val="21"/>
        </w:rPr>
        <w:t>，且所报价格不得高于最高限价。</w:t>
      </w:r>
    </w:p>
    <w:p>
      <w:pPr>
        <w:spacing w:line="360" w:lineRule="auto"/>
        <w:ind w:firstLine="630" w:firstLineChars="300"/>
        <w:rPr>
          <w:rFonts w:ascii="宋体" w:cs="宋体"/>
          <w:szCs w:val="21"/>
        </w:rPr>
      </w:pPr>
      <w:r>
        <w:rPr>
          <w:rFonts w:hint="eastAsia" w:ascii="宋体" w:cs="宋体"/>
          <w:szCs w:val="21"/>
        </w:rPr>
        <w:t>3、投标人对所投产品报价为，对应本项目需求的全部货物及所需附件购置费（货款）及相关辅助材料、包装费、运杂费（含装卸费）、人工费、风险费、保险费、安装测试费、检测费（含各类特殊检测费用）、技术培训费、各种税费、利润、资料费、货到采购人指定地点的所有费用、售后服务开支及完成项目应有的全部费用。</w:t>
      </w:r>
    </w:p>
    <w:p>
      <w:pPr>
        <w:spacing w:line="360" w:lineRule="auto"/>
        <w:ind w:firstLine="630" w:firstLineChars="300"/>
        <w:rPr>
          <w:rFonts w:ascii="宋体" w:cs="宋体"/>
          <w:szCs w:val="21"/>
        </w:rPr>
      </w:pPr>
      <w:r>
        <w:rPr>
          <w:rFonts w:hint="eastAsia" w:ascii="宋体" w:cs="宋体"/>
          <w:szCs w:val="21"/>
        </w:rPr>
        <w:t>4、</w:t>
      </w:r>
      <w:r>
        <w:rPr>
          <w:rFonts w:hint="eastAsia" w:ascii="宋体" w:cs="宋体"/>
          <w:b/>
          <w:szCs w:val="21"/>
        </w:rPr>
        <w:t>所有优惠均体现在投标报价中，额外标明或承诺提供其他费用或物品均不予认可</w:t>
      </w:r>
      <w:r>
        <w:rPr>
          <w:rFonts w:hint="eastAsia" w:ascii="宋体" w:cs="宋体"/>
          <w:szCs w:val="21"/>
        </w:rPr>
        <w:t>。</w:t>
      </w:r>
    </w:p>
    <w:p>
      <w:pPr>
        <w:pStyle w:val="12"/>
        <w:tabs>
          <w:tab w:val="left" w:pos="5580"/>
        </w:tabs>
        <w:spacing w:line="360" w:lineRule="auto"/>
        <w:ind w:firstLine="3120" w:firstLineChars="1300"/>
        <w:rPr>
          <w:sz w:val="24"/>
        </w:rPr>
      </w:pPr>
    </w:p>
    <w:p>
      <w:pPr>
        <w:pStyle w:val="12"/>
        <w:tabs>
          <w:tab w:val="left" w:pos="5580"/>
        </w:tabs>
        <w:spacing w:line="360" w:lineRule="auto"/>
        <w:ind w:firstLine="3120" w:firstLineChars="1300"/>
        <w:rPr>
          <w:sz w:val="24"/>
        </w:rPr>
      </w:pPr>
      <w:r>
        <w:rPr>
          <w:rFonts w:hint="eastAsia"/>
          <w:sz w:val="24"/>
        </w:rPr>
        <w:t>投标人（盖</w:t>
      </w:r>
      <w:r>
        <w:rPr>
          <w:sz w:val="24"/>
        </w:rPr>
        <w:t>章）：</w:t>
      </w:r>
    </w:p>
    <w:p>
      <w:pPr>
        <w:pStyle w:val="12"/>
        <w:tabs>
          <w:tab w:val="left" w:pos="5580"/>
        </w:tabs>
        <w:spacing w:line="360" w:lineRule="auto"/>
        <w:ind w:firstLine="3120" w:firstLineChars="1300"/>
        <w:rPr>
          <w:rFonts w:cs="宋体"/>
          <w:kern w:val="0"/>
          <w:sz w:val="24"/>
          <w:u w:val="single"/>
        </w:rPr>
      </w:pPr>
      <w:r>
        <w:rPr>
          <w:rFonts w:hint="eastAsia"/>
          <w:sz w:val="24"/>
        </w:rPr>
        <w:t>法定代表人或</w:t>
      </w:r>
      <w:r>
        <w:rPr>
          <w:rFonts w:hint="eastAsia" w:cs="宋体"/>
          <w:kern w:val="0"/>
          <w:sz w:val="24"/>
        </w:rPr>
        <w:t>委托代理人</w:t>
      </w:r>
      <w:r>
        <w:rPr>
          <w:rFonts w:hint="eastAsia"/>
          <w:sz w:val="24"/>
        </w:rPr>
        <w:t>（签字）</w:t>
      </w:r>
      <w:r>
        <w:rPr>
          <w:rFonts w:hint="eastAsia" w:cs="宋体"/>
          <w:kern w:val="0"/>
          <w:sz w:val="24"/>
        </w:rPr>
        <w:t>：</w:t>
      </w:r>
    </w:p>
    <w:p>
      <w:pPr>
        <w:spacing w:line="360" w:lineRule="auto"/>
        <w:ind w:firstLine="3120" w:firstLineChars="1300"/>
        <w:rPr>
          <w:rFonts w:ascii="宋体" w:cs="宋体"/>
          <w:sz w:val="24"/>
        </w:rPr>
      </w:pPr>
      <w:r>
        <w:rPr>
          <w:rFonts w:hint="eastAsia" w:ascii="宋体" w:cs="宋体"/>
          <w:sz w:val="24"/>
        </w:rPr>
        <w:t>日期：       年   月   日</w:t>
      </w:r>
    </w:p>
    <w:p>
      <w:pPr>
        <w:pStyle w:val="2"/>
        <w:rPr>
          <w:rFonts w:ascii="宋体" w:cs="宋体"/>
          <w:sz w:val="24"/>
        </w:rPr>
      </w:pPr>
    </w:p>
    <w:p>
      <w:pPr>
        <w:rPr>
          <w:rFonts w:ascii="宋体" w:cs="宋体"/>
          <w:sz w:val="24"/>
        </w:rPr>
      </w:pPr>
    </w:p>
    <w:p>
      <w:pPr>
        <w:pStyle w:val="2"/>
      </w:pPr>
    </w:p>
    <w:p>
      <w:pPr>
        <w:rPr>
          <w:b/>
          <w:bCs/>
          <w:sz w:val="32"/>
          <w:szCs w:val="32"/>
        </w:rPr>
      </w:pPr>
      <w:r>
        <w:rPr>
          <w:rFonts w:hint="eastAsia"/>
          <w:b/>
          <w:bCs/>
          <w:sz w:val="32"/>
          <w:szCs w:val="32"/>
        </w:rPr>
        <w:br w:type="page"/>
      </w:r>
    </w:p>
    <w:p>
      <w:pPr>
        <w:spacing w:line="360" w:lineRule="auto"/>
        <w:jc w:val="center"/>
        <w:rPr>
          <w:rFonts w:ascii="宋体" w:cs="宋体"/>
          <w:sz w:val="24"/>
          <w:u w:val="single"/>
        </w:rPr>
      </w:pPr>
      <w:r>
        <w:rPr>
          <w:rFonts w:hint="eastAsia"/>
          <w:b/>
          <w:bCs/>
          <w:sz w:val="32"/>
          <w:szCs w:val="32"/>
        </w:rPr>
        <w:t>报价明细表</w:t>
      </w:r>
    </w:p>
    <w:tbl>
      <w:tblPr>
        <w:tblStyle w:val="23"/>
        <w:tblW w:w="8988" w:type="dxa"/>
        <w:tblInd w:w="0" w:type="dxa"/>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683"/>
        <w:gridCol w:w="1330"/>
        <w:gridCol w:w="2371"/>
        <w:gridCol w:w="1000"/>
        <w:gridCol w:w="805"/>
        <w:gridCol w:w="967"/>
        <w:gridCol w:w="926"/>
        <w:gridCol w:w="906"/>
      </w:tblGrid>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PrEx>
        <w:trPr>
          <w:trHeight w:val="524" w:hRule="atLeast"/>
        </w:trPr>
        <w:tc>
          <w:tcPr>
            <w:tcW w:w="2013" w:type="dxa"/>
            <w:gridSpan w:val="2"/>
            <w:vAlign w:val="center"/>
          </w:tcPr>
          <w:p>
            <w:pPr>
              <w:jc w:val="center"/>
              <w:rPr>
                <w:rFonts w:ascii="宋体" w:cs="宋体"/>
                <w:szCs w:val="21"/>
              </w:rPr>
            </w:pPr>
            <w:r>
              <w:rPr>
                <w:rFonts w:hint="eastAsia" w:ascii="宋体" w:cs="宋体"/>
                <w:szCs w:val="21"/>
              </w:rPr>
              <w:t>项目名称、项目编号</w:t>
            </w:r>
          </w:p>
        </w:tc>
        <w:tc>
          <w:tcPr>
            <w:tcW w:w="6975" w:type="dxa"/>
            <w:gridSpan w:val="6"/>
            <w:vAlign w:val="center"/>
          </w:tcPr>
          <w:p>
            <w:pPr>
              <w:pStyle w:val="9"/>
              <w:numPr>
                <w:ilvl w:val="0"/>
                <w:numId w:val="0"/>
              </w:numPr>
              <w:jc w:val="center"/>
              <w:rPr>
                <w:rFonts w:asci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524" w:hRule="atLeast"/>
        </w:trPr>
        <w:tc>
          <w:tcPr>
            <w:tcW w:w="683" w:type="dxa"/>
            <w:vAlign w:val="center"/>
          </w:tcPr>
          <w:p>
            <w:pPr>
              <w:jc w:val="center"/>
              <w:rPr>
                <w:rFonts w:ascii="宋体" w:cs="宋体"/>
                <w:szCs w:val="21"/>
              </w:rPr>
            </w:pPr>
            <w:r>
              <w:rPr>
                <w:rFonts w:hint="eastAsia" w:ascii="宋体" w:cs="宋体"/>
                <w:szCs w:val="21"/>
              </w:rPr>
              <w:t>序号</w:t>
            </w:r>
          </w:p>
        </w:tc>
        <w:tc>
          <w:tcPr>
            <w:tcW w:w="1330" w:type="dxa"/>
            <w:vAlign w:val="center"/>
          </w:tcPr>
          <w:p>
            <w:pPr>
              <w:jc w:val="center"/>
              <w:rPr>
                <w:rFonts w:ascii="宋体" w:cs="宋体"/>
                <w:szCs w:val="21"/>
              </w:rPr>
            </w:pPr>
            <w:r>
              <w:rPr>
                <w:rFonts w:hint="eastAsia" w:ascii="宋体" w:cs="宋体"/>
                <w:szCs w:val="21"/>
              </w:rPr>
              <w:t>产品名称</w:t>
            </w:r>
          </w:p>
        </w:tc>
        <w:tc>
          <w:tcPr>
            <w:tcW w:w="2371" w:type="dxa"/>
            <w:vAlign w:val="center"/>
          </w:tcPr>
          <w:p>
            <w:pPr>
              <w:pStyle w:val="9"/>
              <w:numPr>
                <w:ilvl w:val="0"/>
                <w:numId w:val="0"/>
              </w:numPr>
              <w:jc w:val="center"/>
              <w:rPr>
                <w:rFonts w:ascii="宋体" w:eastAsia="宋体" w:cs="宋体"/>
                <w:sz w:val="21"/>
                <w:szCs w:val="21"/>
              </w:rPr>
            </w:pPr>
            <w:r>
              <w:rPr>
                <w:rFonts w:hint="eastAsia" w:ascii="宋体" w:eastAsia="宋体" w:cs="宋体"/>
                <w:sz w:val="21"/>
                <w:szCs w:val="21"/>
              </w:rPr>
              <w:t>品牌/型号规格</w:t>
            </w:r>
          </w:p>
        </w:tc>
        <w:tc>
          <w:tcPr>
            <w:tcW w:w="1000" w:type="dxa"/>
            <w:vAlign w:val="center"/>
          </w:tcPr>
          <w:p>
            <w:pPr>
              <w:pStyle w:val="9"/>
              <w:numPr>
                <w:ilvl w:val="0"/>
                <w:numId w:val="0"/>
              </w:numPr>
              <w:jc w:val="center"/>
              <w:rPr>
                <w:rFonts w:ascii="宋体" w:eastAsia="宋体" w:cs="宋体"/>
                <w:sz w:val="21"/>
                <w:szCs w:val="21"/>
              </w:rPr>
            </w:pPr>
            <w:r>
              <w:rPr>
                <w:rFonts w:hint="eastAsia" w:ascii="宋体" w:eastAsia="宋体" w:cs="宋体"/>
                <w:sz w:val="21"/>
                <w:szCs w:val="21"/>
              </w:rPr>
              <w:t>质保期</w:t>
            </w:r>
          </w:p>
        </w:tc>
        <w:tc>
          <w:tcPr>
            <w:tcW w:w="805" w:type="dxa"/>
            <w:vAlign w:val="center"/>
          </w:tcPr>
          <w:p>
            <w:pPr>
              <w:pStyle w:val="9"/>
              <w:numPr>
                <w:ilvl w:val="0"/>
                <w:numId w:val="0"/>
              </w:numPr>
              <w:jc w:val="center"/>
              <w:rPr>
                <w:rFonts w:ascii="宋体" w:eastAsia="宋体" w:cs="宋体"/>
                <w:sz w:val="21"/>
                <w:szCs w:val="21"/>
              </w:rPr>
            </w:pPr>
            <w:r>
              <w:rPr>
                <w:rFonts w:hint="eastAsia" w:ascii="宋体" w:eastAsia="宋体" w:cs="宋体"/>
                <w:sz w:val="21"/>
                <w:szCs w:val="21"/>
              </w:rPr>
              <w:t>数量</w:t>
            </w:r>
          </w:p>
        </w:tc>
        <w:tc>
          <w:tcPr>
            <w:tcW w:w="967" w:type="dxa"/>
            <w:vAlign w:val="center"/>
          </w:tcPr>
          <w:p>
            <w:pPr>
              <w:pStyle w:val="9"/>
              <w:numPr>
                <w:ilvl w:val="0"/>
                <w:numId w:val="0"/>
              </w:numPr>
              <w:jc w:val="center"/>
              <w:rPr>
                <w:rFonts w:ascii="宋体" w:eastAsia="宋体" w:cs="宋体"/>
                <w:sz w:val="21"/>
                <w:szCs w:val="21"/>
              </w:rPr>
            </w:pPr>
            <w:r>
              <w:rPr>
                <w:rFonts w:hint="eastAsia" w:ascii="宋体" w:eastAsia="宋体" w:cs="宋体"/>
                <w:sz w:val="21"/>
                <w:szCs w:val="21"/>
              </w:rPr>
              <w:t>单位</w:t>
            </w:r>
          </w:p>
        </w:tc>
        <w:tc>
          <w:tcPr>
            <w:tcW w:w="926" w:type="dxa"/>
            <w:vAlign w:val="center"/>
          </w:tcPr>
          <w:p>
            <w:pPr>
              <w:pStyle w:val="9"/>
              <w:numPr>
                <w:ilvl w:val="0"/>
                <w:numId w:val="0"/>
              </w:numPr>
              <w:jc w:val="center"/>
              <w:rPr>
                <w:rFonts w:ascii="宋体" w:eastAsia="宋体" w:cs="宋体"/>
                <w:sz w:val="21"/>
                <w:szCs w:val="21"/>
              </w:rPr>
            </w:pPr>
            <w:r>
              <w:rPr>
                <w:rFonts w:hint="eastAsia" w:ascii="宋体" w:eastAsia="宋体" w:cs="宋体"/>
                <w:sz w:val="21"/>
                <w:szCs w:val="21"/>
              </w:rPr>
              <w:t>单价</w:t>
            </w:r>
          </w:p>
        </w:tc>
        <w:tc>
          <w:tcPr>
            <w:tcW w:w="906" w:type="dxa"/>
            <w:vAlign w:val="center"/>
          </w:tcPr>
          <w:p>
            <w:pPr>
              <w:pStyle w:val="9"/>
              <w:numPr>
                <w:ilvl w:val="0"/>
                <w:numId w:val="0"/>
              </w:numPr>
              <w:jc w:val="center"/>
              <w:rPr>
                <w:rFonts w:ascii="宋体" w:eastAsia="宋体" w:cs="宋体"/>
                <w:sz w:val="21"/>
                <w:szCs w:val="21"/>
              </w:rPr>
            </w:pPr>
            <w:r>
              <w:rPr>
                <w:rFonts w:hint="eastAsia" w:ascii="宋体" w:eastAsia="宋体" w:cs="宋体"/>
                <w:sz w:val="21"/>
                <w:szCs w:val="21"/>
              </w:rPr>
              <w:t>合计</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524" w:hRule="atLeast"/>
        </w:trPr>
        <w:tc>
          <w:tcPr>
            <w:tcW w:w="683" w:type="dxa"/>
            <w:vAlign w:val="center"/>
          </w:tcPr>
          <w:p>
            <w:pPr>
              <w:jc w:val="center"/>
              <w:rPr>
                <w:rFonts w:ascii="宋体" w:cs="宋体"/>
                <w:szCs w:val="21"/>
              </w:rPr>
            </w:pPr>
            <w:r>
              <w:rPr>
                <w:rFonts w:hint="eastAsia" w:ascii="宋体" w:cs="宋体"/>
                <w:szCs w:val="21"/>
              </w:rPr>
              <w:t>1</w:t>
            </w:r>
          </w:p>
        </w:tc>
        <w:tc>
          <w:tcPr>
            <w:tcW w:w="1330" w:type="dxa"/>
            <w:vAlign w:val="center"/>
          </w:tcPr>
          <w:p>
            <w:pPr>
              <w:jc w:val="center"/>
              <w:rPr>
                <w:rFonts w:ascii="宋体" w:cs="宋体"/>
                <w:szCs w:val="21"/>
              </w:rPr>
            </w:pPr>
          </w:p>
        </w:tc>
        <w:tc>
          <w:tcPr>
            <w:tcW w:w="2371" w:type="dxa"/>
            <w:vAlign w:val="center"/>
          </w:tcPr>
          <w:p>
            <w:pPr>
              <w:pStyle w:val="9"/>
              <w:numPr>
                <w:ilvl w:val="0"/>
                <w:numId w:val="0"/>
              </w:numPr>
              <w:jc w:val="center"/>
              <w:rPr>
                <w:rFonts w:ascii="宋体" w:eastAsia="宋体" w:cs="宋体"/>
                <w:sz w:val="21"/>
                <w:szCs w:val="21"/>
              </w:rPr>
            </w:pPr>
          </w:p>
        </w:tc>
        <w:tc>
          <w:tcPr>
            <w:tcW w:w="1000" w:type="dxa"/>
            <w:vAlign w:val="center"/>
          </w:tcPr>
          <w:p>
            <w:pPr>
              <w:pStyle w:val="9"/>
              <w:numPr>
                <w:ilvl w:val="0"/>
                <w:numId w:val="0"/>
              </w:numPr>
              <w:jc w:val="center"/>
              <w:rPr>
                <w:rFonts w:ascii="宋体" w:eastAsia="宋体" w:cs="宋体"/>
                <w:sz w:val="21"/>
                <w:szCs w:val="21"/>
              </w:rPr>
            </w:pPr>
          </w:p>
        </w:tc>
        <w:tc>
          <w:tcPr>
            <w:tcW w:w="805" w:type="dxa"/>
            <w:vAlign w:val="center"/>
          </w:tcPr>
          <w:p>
            <w:pPr>
              <w:pStyle w:val="9"/>
              <w:numPr>
                <w:ilvl w:val="0"/>
                <w:numId w:val="0"/>
              </w:numPr>
              <w:jc w:val="center"/>
              <w:rPr>
                <w:rFonts w:ascii="宋体" w:eastAsia="宋体" w:cs="宋体"/>
                <w:sz w:val="21"/>
                <w:szCs w:val="21"/>
              </w:rPr>
            </w:pPr>
          </w:p>
        </w:tc>
        <w:tc>
          <w:tcPr>
            <w:tcW w:w="967" w:type="dxa"/>
            <w:vAlign w:val="center"/>
          </w:tcPr>
          <w:p>
            <w:pPr>
              <w:pStyle w:val="9"/>
              <w:numPr>
                <w:ilvl w:val="0"/>
                <w:numId w:val="0"/>
              </w:numPr>
              <w:jc w:val="center"/>
              <w:rPr>
                <w:rFonts w:ascii="宋体" w:eastAsia="宋体" w:cs="宋体"/>
                <w:sz w:val="21"/>
                <w:szCs w:val="21"/>
              </w:rPr>
            </w:pPr>
          </w:p>
        </w:tc>
        <w:tc>
          <w:tcPr>
            <w:tcW w:w="926" w:type="dxa"/>
            <w:vAlign w:val="center"/>
          </w:tcPr>
          <w:p>
            <w:pPr>
              <w:pStyle w:val="9"/>
              <w:numPr>
                <w:ilvl w:val="0"/>
                <w:numId w:val="0"/>
              </w:numPr>
              <w:jc w:val="center"/>
              <w:rPr>
                <w:rFonts w:ascii="宋体" w:eastAsia="宋体" w:cs="宋体"/>
                <w:sz w:val="21"/>
                <w:szCs w:val="21"/>
              </w:rPr>
            </w:pPr>
          </w:p>
        </w:tc>
        <w:tc>
          <w:tcPr>
            <w:tcW w:w="906" w:type="dxa"/>
            <w:vAlign w:val="center"/>
          </w:tcPr>
          <w:p>
            <w:pPr>
              <w:pStyle w:val="9"/>
              <w:numPr>
                <w:ilvl w:val="0"/>
                <w:numId w:val="0"/>
              </w:numPr>
              <w:jc w:val="center"/>
              <w:rPr>
                <w:rFonts w:asci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524" w:hRule="atLeast"/>
        </w:trPr>
        <w:tc>
          <w:tcPr>
            <w:tcW w:w="683" w:type="dxa"/>
            <w:vAlign w:val="center"/>
          </w:tcPr>
          <w:p>
            <w:pPr>
              <w:jc w:val="center"/>
              <w:rPr>
                <w:rFonts w:ascii="宋体" w:cs="宋体"/>
                <w:szCs w:val="21"/>
              </w:rPr>
            </w:pPr>
            <w:r>
              <w:rPr>
                <w:rFonts w:hint="eastAsia" w:ascii="宋体" w:cs="宋体"/>
                <w:szCs w:val="21"/>
              </w:rPr>
              <w:t>2</w:t>
            </w:r>
          </w:p>
        </w:tc>
        <w:tc>
          <w:tcPr>
            <w:tcW w:w="1330" w:type="dxa"/>
            <w:vAlign w:val="center"/>
          </w:tcPr>
          <w:p>
            <w:pPr>
              <w:jc w:val="center"/>
              <w:rPr>
                <w:rFonts w:ascii="宋体" w:cs="宋体"/>
                <w:szCs w:val="21"/>
              </w:rPr>
            </w:pPr>
          </w:p>
        </w:tc>
        <w:tc>
          <w:tcPr>
            <w:tcW w:w="2371" w:type="dxa"/>
            <w:vAlign w:val="center"/>
          </w:tcPr>
          <w:p>
            <w:pPr>
              <w:pStyle w:val="9"/>
              <w:numPr>
                <w:ilvl w:val="0"/>
                <w:numId w:val="0"/>
              </w:numPr>
              <w:jc w:val="center"/>
              <w:rPr>
                <w:rFonts w:ascii="宋体" w:eastAsia="宋体" w:cs="宋体"/>
                <w:sz w:val="21"/>
                <w:szCs w:val="21"/>
              </w:rPr>
            </w:pPr>
          </w:p>
        </w:tc>
        <w:tc>
          <w:tcPr>
            <w:tcW w:w="1000" w:type="dxa"/>
            <w:vAlign w:val="center"/>
          </w:tcPr>
          <w:p>
            <w:pPr>
              <w:pStyle w:val="9"/>
              <w:numPr>
                <w:ilvl w:val="0"/>
                <w:numId w:val="0"/>
              </w:numPr>
              <w:jc w:val="center"/>
              <w:rPr>
                <w:rFonts w:ascii="宋体" w:eastAsia="宋体" w:cs="宋体"/>
                <w:sz w:val="21"/>
                <w:szCs w:val="21"/>
              </w:rPr>
            </w:pPr>
          </w:p>
        </w:tc>
        <w:tc>
          <w:tcPr>
            <w:tcW w:w="805" w:type="dxa"/>
            <w:vAlign w:val="center"/>
          </w:tcPr>
          <w:p>
            <w:pPr>
              <w:pStyle w:val="9"/>
              <w:numPr>
                <w:ilvl w:val="0"/>
                <w:numId w:val="0"/>
              </w:numPr>
              <w:jc w:val="center"/>
              <w:rPr>
                <w:rFonts w:ascii="宋体" w:eastAsia="宋体" w:cs="宋体"/>
                <w:sz w:val="21"/>
                <w:szCs w:val="21"/>
              </w:rPr>
            </w:pPr>
          </w:p>
        </w:tc>
        <w:tc>
          <w:tcPr>
            <w:tcW w:w="967" w:type="dxa"/>
            <w:vAlign w:val="center"/>
          </w:tcPr>
          <w:p>
            <w:pPr>
              <w:pStyle w:val="9"/>
              <w:numPr>
                <w:ilvl w:val="0"/>
                <w:numId w:val="0"/>
              </w:numPr>
              <w:jc w:val="center"/>
              <w:rPr>
                <w:rFonts w:ascii="宋体" w:eastAsia="宋体" w:cs="宋体"/>
                <w:sz w:val="21"/>
                <w:szCs w:val="21"/>
              </w:rPr>
            </w:pPr>
          </w:p>
        </w:tc>
        <w:tc>
          <w:tcPr>
            <w:tcW w:w="926" w:type="dxa"/>
            <w:vAlign w:val="center"/>
          </w:tcPr>
          <w:p>
            <w:pPr>
              <w:pStyle w:val="9"/>
              <w:numPr>
                <w:ilvl w:val="0"/>
                <w:numId w:val="0"/>
              </w:numPr>
              <w:jc w:val="center"/>
              <w:rPr>
                <w:rFonts w:ascii="宋体" w:eastAsia="宋体" w:cs="宋体"/>
                <w:sz w:val="21"/>
                <w:szCs w:val="21"/>
              </w:rPr>
            </w:pPr>
          </w:p>
        </w:tc>
        <w:tc>
          <w:tcPr>
            <w:tcW w:w="906" w:type="dxa"/>
            <w:vAlign w:val="center"/>
          </w:tcPr>
          <w:p>
            <w:pPr>
              <w:pStyle w:val="9"/>
              <w:numPr>
                <w:ilvl w:val="0"/>
                <w:numId w:val="0"/>
              </w:numPr>
              <w:jc w:val="center"/>
              <w:rPr>
                <w:rFonts w:asci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524" w:hRule="atLeast"/>
        </w:trPr>
        <w:tc>
          <w:tcPr>
            <w:tcW w:w="683" w:type="dxa"/>
            <w:vAlign w:val="center"/>
          </w:tcPr>
          <w:p>
            <w:pPr>
              <w:jc w:val="center"/>
              <w:rPr>
                <w:rFonts w:ascii="宋体" w:cs="宋体"/>
                <w:szCs w:val="21"/>
              </w:rPr>
            </w:pPr>
            <w:r>
              <w:rPr>
                <w:rFonts w:hint="eastAsia" w:ascii="宋体" w:cs="宋体"/>
                <w:szCs w:val="21"/>
              </w:rPr>
              <w:t>……</w:t>
            </w:r>
          </w:p>
        </w:tc>
        <w:tc>
          <w:tcPr>
            <w:tcW w:w="1330" w:type="dxa"/>
            <w:vAlign w:val="center"/>
          </w:tcPr>
          <w:p>
            <w:pPr>
              <w:jc w:val="center"/>
              <w:rPr>
                <w:rFonts w:ascii="宋体" w:cs="宋体"/>
                <w:szCs w:val="21"/>
              </w:rPr>
            </w:pPr>
          </w:p>
        </w:tc>
        <w:tc>
          <w:tcPr>
            <w:tcW w:w="2371" w:type="dxa"/>
            <w:vAlign w:val="center"/>
          </w:tcPr>
          <w:p>
            <w:pPr>
              <w:pStyle w:val="9"/>
              <w:numPr>
                <w:ilvl w:val="0"/>
                <w:numId w:val="0"/>
              </w:numPr>
              <w:jc w:val="center"/>
              <w:rPr>
                <w:rFonts w:ascii="宋体" w:eastAsia="宋体" w:cs="宋体"/>
                <w:sz w:val="21"/>
                <w:szCs w:val="21"/>
              </w:rPr>
            </w:pPr>
          </w:p>
        </w:tc>
        <w:tc>
          <w:tcPr>
            <w:tcW w:w="1000" w:type="dxa"/>
            <w:vAlign w:val="center"/>
          </w:tcPr>
          <w:p>
            <w:pPr>
              <w:pStyle w:val="9"/>
              <w:numPr>
                <w:ilvl w:val="0"/>
                <w:numId w:val="0"/>
              </w:numPr>
              <w:jc w:val="center"/>
              <w:rPr>
                <w:rFonts w:ascii="宋体" w:eastAsia="宋体" w:cs="宋体"/>
                <w:sz w:val="21"/>
                <w:szCs w:val="21"/>
              </w:rPr>
            </w:pPr>
          </w:p>
        </w:tc>
        <w:tc>
          <w:tcPr>
            <w:tcW w:w="805" w:type="dxa"/>
            <w:vAlign w:val="center"/>
          </w:tcPr>
          <w:p>
            <w:pPr>
              <w:pStyle w:val="9"/>
              <w:numPr>
                <w:ilvl w:val="0"/>
                <w:numId w:val="0"/>
              </w:numPr>
              <w:jc w:val="center"/>
              <w:rPr>
                <w:rFonts w:ascii="宋体" w:eastAsia="宋体" w:cs="宋体"/>
                <w:sz w:val="21"/>
                <w:szCs w:val="21"/>
              </w:rPr>
            </w:pPr>
          </w:p>
        </w:tc>
        <w:tc>
          <w:tcPr>
            <w:tcW w:w="967" w:type="dxa"/>
            <w:vAlign w:val="center"/>
          </w:tcPr>
          <w:p>
            <w:pPr>
              <w:pStyle w:val="9"/>
              <w:numPr>
                <w:ilvl w:val="0"/>
                <w:numId w:val="0"/>
              </w:numPr>
              <w:jc w:val="center"/>
              <w:rPr>
                <w:rFonts w:ascii="宋体" w:eastAsia="宋体" w:cs="宋体"/>
                <w:sz w:val="21"/>
                <w:szCs w:val="21"/>
              </w:rPr>
            </w:pPr>
          </w:p>
        </w:tc>
        <w:tc>
          <w:tcPr>
            <w:tcW w:w="926" w:type="dxa"/>
            <w:vAlign w:val="center"/>
          </w:tcPr>
          <w:p>
            <w:pPr>
              <w:pStyle w:val="9"/>
              <w:numPr>
                <w:ilvl w:val="0"/>
                <w:numId w:val="0"/>
              </w:numPr>
              <w:jc w:val="center"/>
              <w:rPr>
                <w:rFonts w:ascii="宋体" w:eastAsia="宋体" w:cs="宋体"/>
                <w:sz w:val="21"/>
                <w:szCs w:val="21"/>
              </w:rPr>
            </w:pPr>
          </w:p>
        </w:tc>
        <w:tc>
          <w:tcPr>
            <w:tcW w:w="906" w:type="dxa"/>
            <w:vAlign w:val="center"/>
          </w:tcPr>
          <w:p>
            <w:pPr>
              <w:pStyle w:val="9"/>
              <w:numPr>
                <w:ilvl w:val="0"/>
                <w:numId w:val="0"/>
              </w:numPr>
              <w:jc w:val="center"/>
              <w:rPr>
                <w:rFonts w:asci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524" w:hRule="atLeast"/>
        </w:trPr>
        <w:tc>
          <w:tcPr>
            <w:tcW w:w="2013" w:type="dxa"/>
            <w:gridSpan w:val="2"/>
            <w:vAlign w:val="center"/>
          </w:tcPr>
          <w:p>
            <w:pPr>
              <w:jc w:val="center"/>
              <w:rPr>
                <w:rFonts w:ascii="宋体" w:cs="宋体"/>
                <w:szCs w:val="21"/>
              </w:rPr>
            </w:pPr>
            <w:r>
              <w:rPr>
                <w:rFonts w:hint="eastAsia" w:ascii="宋体" w:cs="宋体"/>
                <w:sz w:val="24"/>
              </w:rPr>
              <w:t>供货时间</w:t>
            </w:r>
          </w:p>
        </w:tc>
        <w:tc>
          <w:tcPr>
            <w:tcW w:w="6975" w:type="dxa"/>
            <w:gridSpan w:val="6"/>
            <w:vAlign w:val="center"/>
          </w:tcPr>
          <w:p>
            <w:pPr>
              <w:pStyle w:val="9"/>
              <w:numPr>
                <w:ilvl w:val="0"/>
                <w:numId w:val="0"/>
              </w:numPr>
              <w:jc w:val="center"/>
              <w:rPr>
                <w:rFonts w:asci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534" w:hRule="atLeast"/>
        </w:trPr>
        <w:tc>
          <w:tcPr>
            <w:tcW w:w="2013" w:type="dxa"/>
            <w:gridSpan w:val="2"/>
            <w:vAlign w:val="center"/>
          </w:tcPr>
          <w:p>
            <w:pPr>
              <w:jc w:val="center"/>
              <w:rPr>
                <w:rFonts w:ascii="宋体" w:cs="宋体"/>
                <w:sz w:val="24"/>
              </w:rPr>
            </w:pPr>
            <w:r>
              <w:rPr>
                <w:rFonts w:hint="eastAsia"/>
                <w:sz w:val="24"/>
              </w:rPr>
              <w:t>投标人名称</w:t>
            </w:r>
          </w:p>
        </w:tc>
        <w:tc>
          <w:tcPr>
            <w:tcW w:w="6975" w:type="dxa"/>
            <w:gridSpan w:val="6"/>
            <w:vAlign w:val="center"/>
          </w:tcPr>
          <w:p>
            <w:pPr>
              <w:pStyle w:val="9"/>
              <w:numPr>
                <w:ilvl w:val="0"/>
                <w:numId w:val="0"/>
              </w:numPr>
              <w:jc w:val="center"/>
              <w:rPr>
                <w:rFonts w:ascii="宋体" w:eastAsia="宋体" w:cs="宋体"/>
                <w:sz w:val="21"/>
                <w:szCs w:val="21"/>
              </w:rPr>
            </w:pPr>
          </w:p>
        </w:tc>
      </w:tr>
    </w:tbl>
    <w:p>
      <w:pPr>
        <w:spacing w:line="360" w:lineRule="auto"/>
        <w:rPr>
          <w:rFonts w:ascii="宋体" w:cs="宋体"/>
          <w:szCs w:val="21"/>
        </w:rPr>
      </w:pPr>
      <w:r>
        <w:rPr>
          <w:rFonts w:hint="eastAsia" w:ascii="宋体" w:cs="宋体"/>
          <w:b/>
          <w:bCs/>
          <w:szCs w:val="21"/>
        </w:rPr>
        <w:t>说明：</w:t>
      </w:r>
      <w:r>
        <w:rPr>
          <w:rFonts w:hint="eastAsia" w:ascii="宋体" w:cs="宋体"/>
          <w:szCs w:val="21"/>
        </w:rPr>
        <w:t>1、投标报价均用人民币表示，单位为元。</w:t>
      </w:r>
    </w:p>
    <w:p>
      <w:pPr>
        <w:spacing w:line="360" w:lineRule="auto"/>
        <w:ind w:firstLine="630" w:firstLineChars="300"/>
        <w:rPr>
          <w:rFonts w:ascii="宋体" w:cs="宋体"/>
          <w:bCs/>
          <w:szCs w:val="21"/>
        </w:rPr>
      </w:pPr>
      <w:r>
        <w:rPr>
          <w:rFonts w:hint="eastAsia" w:ascii="宋体" w:cs="宋体"/>
          <w:szCs w:val="21"/>
        </w:rPr>
        <w:t>2、本项目投标人所投标产品只能报一个</w:t>
      </w:r>
      <w:r>
        <w:rPr>
          <w:rFonts w:hint="eastAsia" w:ascii="宋体" w:cs="宋体"/>
          <w:bCs/>
          <w:szCs w:val="21"/>
        </w:rPr>
        <w:t>投标价</w:t>
      </w:r>
      <w:r>
        <w:rPr>
          <w:rFonts w:hint="eastAsia" w:ascii="宋体" w:cs="宋体"/>
          <w:szCs w:val="21"/>
        </w:rPr>
        <w:t>，且所报价格不得高于最高限价。</w:t>
      </w:r>
    </w:p>
    <w:p>
      <w:pPr>
        <w:spacing w:line="360" w:lineRule="auto"/>
        <w:ind w:firstLine="630" w:firstLineChars="300"/>
        <w:rPr>
          <w:rFonts w:ascii="宋体" w:cs="宋体"/>
          <w:szCs w:val="21"/>
        </w:rPr>
      </w:pPr>
      <w:r>
        <w:rPr>
          <w:rFonts w:hint="eastAsia" w:ascii="宋体" w:cs="宋体"/>
          <w:szCs w:val="21"/>
        </w:rPr>
        <w:t>3、投标人对所投产品报价为，对应本项目需求的全部货物及所需附件购置费（货款）及相关辅助材料、包装费、运杂费（含装卸费）、人工费、风险费、保险费、安装测试费、检测费（含各类特殊检测费用）、技术培训费、各种税费、利润、资料费、货到采购人指定地点的所有费用、售后服务开支及完成项目应有的全部费用。</w:t>
      </w:r>
    </w:p>
    <w:p>
      <w:pPr>
        <w:spacing w:line="360" w:lineRule="auto"/>
        <w:ind w:firstLine="630" w:firstLineChars="300"/>
        <w:rPr>
          <w:rFonts w:ascii="宋体" w:cs="宋体"/>
          <w:b/>
          <w:szCs w:val="21"/>
        </w:rPr>
      </w:pPr>
      <w:r>
        <w:rPr>
          <w:rFonts w:hint="eastAsia" w:ascii="宋体" w:cs="宋体"/>
          <w:szCs w:val="21"/>
        </w:rPr>
        <w:t>4、</w:t>
      </w:r>
      <w:r>
        <w:rPr>
          <w:rFonts w:hint="eastAsia" w:ascii="宋体" w:cs="宋体"/>
          <w:b/>
          <w:szCs w:val="21"/>
        </w:rPr>
        <w:t>所有优惠均体现在投标报价中，额外标明或承诺提供其他费用或物品均不予认可。</w:t>
      </w:r>
    </w:p>
    <w:p>
      <w:pPr>
        <w:pStyle w:val="12"/>
        <w:tabs>
          <w:tab w:val="left" w:pos="5580"/>
        </w:tabs>
        <w:spacing w:line="360" w:lineRule="auto"/>
        <w:ind w:firstLine="3120" w:firstLineChars="1300"/>
        <w:rPr>
          <w:sz w:val="24"/>
        </w:rPr>
      </w:pPr>
      <w:r>
        <w:rPr>
          <w:rFonts w:hint="eastAsia"/>
          <w:sz w:val="24"/>
        </w:rPr>
        <w:t>投标人（盖</w:t>
      </w:r>
      <w:r>
        <w:rPr>
          <w:sz w:val="24"/>
        </w:rPr>
        <w:t>章）：</w:t>
      </w:r>
    </w:p>
    <w:p>
      <w:pPr>
        <w:pStyle w:val="12"/>
        <w:tabs>
          <w:tab w:val="left" w:pos="5580"/>
        </w:tabs>
        <w:spacing w:line="360" w:lineRule="auto"/>
        <w:ind w:firstLine="3120" w:firstLineChars="1300"/>
        <w:rPr>
          <w:rFonts w:cs="宋体"/>
          <w:kern w:val="0"/>
          <w:sz w:val="24"/>
          <w:u w:val="single"/>
        </w:rPr>
      </w:pPr>
      <w:r>
        <w:rPr>
          <w:rFonts w:hint="eastAsia"/>
          <w:sz w:val="24"/>
        </w:rPr>
        <w:t>法定代表人或</w:t>
      </w:r>
      <w:r>
        <w:rPr>
          <w:rFonts w:hint="eastAsia" w:cs="宋体"/>
          <w:kern w:val="0"/>
          <w:sz w:val="24"/>
        </w:rPr>
        <w:t>委托代理人</w:t>
      </w:r>
      <w:r>
        <w:rPr>
          <w:rFonts w:hint="eastAsia"/>
          <w:sz w:val="24"/>
        </w:rPr>
        <w:t>（签字）</w:t>
      </w:r>
      <w:r>
        <w:rPr>
          <w:rFonts w:hint="eastAsia" w:cs="宋体"/>
          <w:kern w:val="0"/>
          <w:sz w:val="24"/>
        </w:rPr>
        <w:t>：</w:t>
      </w:r>
    </w:p>
    <w:p>
      <w:pPr>
        <w:spacing w:line="360" w:lineRule="auto"/>
        <w:ind w:firstLine="3120" w:firstLineChars="1300"/>
        <w:rPr>
          <w:rFonts w:ascii="宋体" w:cs="宋体"/>
          <w:sz w:val="24"/>
        </w:rPr>
      </w:pPr>
      <w:r>
        <w:rPr>
          <w:rFonts w:hint="eastAsia" w:ascii="宋体" w:cs="宋体"/>
          <w:sz w:val="24"/>
        </w:rPr>
        <w:t>日期：       年   月   日</w:t>
      </w:r>
    </w:p>
    <w:p/>
    <w:p>
      <w:r>
        <w:rPr>
          <w:rFonts w:hint="eastAsia"/>
        </w:rPr>
        <w:br w:type="page"/>
      </w:r>
    </w:p>
    <w:p>
      <w:pPr>
        <w:widowControl/>
        <w:jc w:val="left"/>
        <w:textAlignment w:val="center"/>
        <w:rPr>
          <w:rFonts w:ascii="宋体" w:cs="宋体"/>
          <w:b/>
          <w:sz w:val="30"/>
          <w:szCs w:val="30"/>
        </w:rPr>
      </w:pPr>
      <w:r>
        <w:rPr>
          <w:rFonts w:hint="eastAsia" w:ascii="宋体"/>
          <w:b/>
          <w:bCs/>
          <w:kern w:val="0"/>
          <w:sz w:val="24"/>
        </w:rPr>
        <w:t>7.2.3  法定代表人资格证明书</w:t>
      </w:r>
    </w:p>
    <w:p>
      <w:pPr>
        <w:jc w:val="center"/>
        <w:rPr>
          <w:b/>
          <w:bCs/>
          <w:sz w:val="32"/>
          <w:szCs w:val="32"/>
        </w:rPr>
      </w:pPr>
    </w:p>
    <w:p>
      <w:pPr>
        <w:jc w:val="center"/>
        <w:rPr>
          <w:b/>
          <w:bCs/>
          <w:sz w:val="32"/>
          <w:szCs w:val="32"/>
        </w:rPr>
      </w:pPr>
      <w:r>
        <w:rPr>
          <w:rFonts w:hint="eastAsia"/>
          <w:b/>
          <w:bCs/>
          <w:sz w:val="32"/>
          <w:szCs w:val="32"/>
        </w:rPr>
        <w:t>法定代表人身份证明书</w:t>
      </w:r>
    </w:p>
    <w:p>
      <w:pPr>
        <w:jc w:val="center"/>
        <w:rPr>
          <w:b/>
          <w:bCs/>
          <w:sz w:val="32"/>
          <w:szCs w:val="32"/>
        </w:rPr>
      </w:pPr>
    </w:p>
    <w:p>
      <w:pPr>
        <w:spacing w:line="360" w:lineRule="auto"/>
        <w:rPr>
          <w:rFonts w:ascii="宋体" w:cs="宋体"/>
          <w:sz w:val="24"/>
        </w:rPr>
      </w:pPr>
      <w:r>
        <w:rPr>
          <w:rFonts w:hint="eastAsia" w:ascii="宋体" w:cs="宋体"/>
          <w:sz w:val="24"/>
        </w:rPr>
        <w:t xml:space="preserve">单位名称：                              </w:t>
      </w:r>
    </w:p>
    <w:p>
      <w:pPr>
        <w:spacing w:line="360" w:lineRule="auto"/>
        <w:rPr>
          <w:rFonts w:ascii="宋体" w:cs="宋体"/>
          <w:sz w:val="24"/>
        </w:rPr>
      </w:pPr>
      <w:r>
        <w:rPr>
          <w:rFonts w:hint="eastAsia" w:ascii="宋体" w:cs="宋体"/>
          <w:sz w:val="24"/>
        </w:rPr>
        <w:t xml:space="preserve">单位性质：                              </w:t>
      </w:r>
    </w:p>
    <w:p>
      <w:pPr>
        <w:spacing w:line="360" w:lineRule="auto"/>
        <w:rPr>
          <w:rFonts w:ascii="宋体" w:cs="宋体"/>
          <w:sz w:val="24"/>
        </w:rPr>
      </w:pPr>
      <w:r>
        <w:rPr>
          <w:rFonts w:hint="eastAsia" w:ascii="宋体" w:cs="宋体"/>
          <w:sz w:val="24"/>
        </w:rPr>
        <w:t xml:space="preserve">地    址：                              </w:t>
      </w:r>
    </w:p>
    <w:p>
      <w:pPr>
        <w:spacing w:line="360" w:lineRule="auto"/>
        <w:rPr>
          <w:rFonts w:ascii="宋体" w:cs="宋体"/>
          <w:sz w:val="24"/>
        </w:rPr>
      </w:pPr>
      <w:r>
        <w:rPr>
          <w:rFonts w:hint="eastAsia" w:ascii="宋体" w:cs="宋体"/>
          <w:sz w:val="24"/>
        </w:rPr>
        <w:t>成立时间：           年       月       日</w:t>
      </w:r>
    </w:p>
    <w:p>
      <w:pPr>
        <w:spacing w:line="360" w:lineRule="auto"/>
        <w:rPr>
          <w:rFonts w:ascii="宋体" w:cs="宋体"/>
          <w:sz w:val="24"/>
        </w:rPr>
      </w:pPr>
      <w:r>
        <w:rPr>
          <w:rFonts w:hint="eastAsia" w:ascii="宋体" w:cs="宋体"/>
          <w:sz w:val="24"/>
        </w:rPr>
        <w:t xml:space="preserve">经营期限：                              </w:t>
      </w:r>
    </w:p>
    <w:p>
      <w:pPr>
        <w:spacing w:line="360" w:lineRule="auto"/>
        <w:rPr>
          <w:rFonts w:ascii="宋体" w:cs="宋体"/>
          <w:sz w:val="24"/>
        </w:rPr>
      </w:pPr>
    </w:p>
    <w:p>
      <w:pPr>
        <w:spacing w:line="360" w:lineRule="auto"/>
        <w:ind w:firstLine="720" w:firstLineChars="300"/>
        <w:rPr>
          <w:rFonts w:ascii="宋体" w:cs="宋体"/>
          <w:sz w:val="24"/>
        </w:rPr>
      </w:pPr>
      <w:r>
        <w:rPr>
          <w:rFonts w:hint="eastAsia" w:ascii="宋体" w:cs="宋体"/>
          <w:sz w:val="24"/>
        </w:rPr>
        <w:t>姓名：性别：年龄：职务：系（投标人名称）的法定代表人。为参加本项目，签署上述的投标文件、进行合同谈判、签署合同和处理与之有关的一切事物。</w:t>
      </w:r>
    </w:p>
    <w:p>
      <w:pPr>
        <w:spacing w:line="360" w:lineRule="auto"/>
        <w:rPr>
          <w:rFonts w:ascii="宋体" w:cs="宋体"/>
          <w:sz w:val="24"/>
        </w:rPr>
      </w:pPr>
      <w:r>
        <w:rPr>
          <w:rFonts w:hint="eastAsia" w:ascii="宋体" w:cs="宋体"/>
          <w:sz w:val="24"/>
        </w:rPr>
        <w:t>特此证明。</w:t>
      </w:r>
    </w:p>
    <w:p>
      <w:pPr>
        <w:spacing w:line="360" w:lineRule="auto"/>
        <w:rPr>
          <w:rFonts w:ascii="宋体" w:cs="宋体"/>
          <w:sz w:val="24"/>
        </w:rPr>
      </w:pPr>
      <w:r>
        <w:rPr>
          <w:rFonts w:hint="eastAsia" w:ascii="宋体" w:cs="宋体"/>
          <w:sz w:val="24"/>
        </w:rPr>
        <w:t>附：法定代表人身份证明</w:t>
      </w:r>
    </w:p>
    <w:p>
      <w:pPr>
        <w:spacing w:line="360" w:lineRule="auto"/>
        <w:rPr>
          <w:rFonts w:ascii="宋体" w:cs="宋体"/>
          <w:sz w:val="24"/>
        </w:rPr>
      </w:pPr>
      <w:r>
        <w:rPr>
          <w:rFonts w:ascii="仿宋" w:eastAsia="仿宋" w:cs="仿宋"/>
        </w:rPr>
        <mc:AlternateContent>
          <mc:Choice Requires="wps">
            <w:drawing>
              <wp:anchor distT="0" distB="0" distL="75565" distR="75565" simplePos="0" relativeHeight="251659264" behindDoc="0" locked="0" layoutInCell="1" allowOverlap="1">
                <wp:simplePos x="0" y="0"/>
                <wp:positionH relativeFrom="column">
                  <wp:posOffset>2872740</wp:posOffset>
                </wp:positionH>
                <wp:positionV relativeFrom="paragraph">
                  <wp:posOffset>2540</wp:posOffset>
                </wp:positionV>
                <wp:extent cx="2710180" cy="1793875"/>
                <wp:effectExtent l="0" t="0" r="0" b="0"/>
                <wp:wrapNone/>
                <wp:docPr id="7" name="圆角矩形 10"/>
                <wp:cNvGraphicFramePr/>
                <a:graphic xmlns:a="http://schemas.openxmlformats.org/drawingml/2006/main">
                  <a:graphicData uri="http://schemas.microsoft.com/office/word/2010/wordprocessingShape">
                    <wps:wsp>
                      <wps:cNvSpPr/>
                      <wps:spPr>
                        <a:xfrm>
                          <a:off x="0" y="0"/>
                          <a:ext cx="2710180" cy="1793875"/>
                        </a:xfrm>
                        <a:prstGeom prst="roundRect">
                          <a:avLst>
                            <a:gd name="adj" fmla="val 4037"/>
                          </a:avLst>
                        </a:prstGeom>
                        <a:noFill/>
                        <a:ln w="25400" cap="flat" cmpd="sng">
                          <a:solidFill>
                            <a:srgbClr val="000000"/>
                          </a:solidFill>
                          <a:prstDash val="solid"/>
                          <a:round/>
                        </a:ln>
                      </wps:spPr>
                      <wps:txbx>
                        <w:txbxContent>
                          <w:p>
                            <w:pPr>
                              <w:pStyle w:val="31"/>
                              <w:spacing w:line="360" w:lineRule="auto"/>
                              <w:ind w:firstLine="0" w:firstLineChars="0"/>
                              <w:jc w:val="center"/>
                              <w:rPr>
                                <w:rFonts w:ascii="仿宋" w:eastAsia="仿宋"/>
                                <w:color w:val="000000"/>
                              </w:rPr>
                            </w:pPr>
                          </w:p>
                          <w:p>
                            <w:pPr>
                              <w:pStyle w:val="31"/>
                              <w:spacing w:line="360" w:lineRule="auto"/>
                              <w:ind w:firstLine="0" w:firstLineChars="0"/>
                              <w:jc w:val="center"/>
                              <w:rPr>
                                <w:rFonts w:ascii="仿宋" w:eastAsia="仿宋"/>
                                <w:color w:val="000000"/>
                              </w:rPr>
                            </w:pPr>
                          </w:p>
                          <w:p>
                            <w:pPr>
                              <w:pStyle w:val="31"/>
                              <w:spacing w:line="360" w:lineRule="auto"/>
                              <w:ind w:firstLine="0" w:firstLineChars="0"/>
                              <w:jc w:val="center"/>
                              <w:rPr>
                                <w:rFonts w:ascii="仿宋" w:eastAsia="仿宋"/>
                                <w:color w:val="000000"/>
                              </w:rPr>
                            </w:pPr>
                            <w:r>
                              <w:rPr>
                                <w:rFonts w:hint="eastAsia" w:ascii="仿宋" w:eastAsia="仿宋"/>
                                <w:color w:val="000000"/>
                              </w:rPr>
                              <w:t>法定代表人身份证反面</w:t>
                            </w:r>
                          </w:p>
                          <w:p>
                            <w:pPr>
                              <w:jc w:val="center"/>
                            </w:pPr>
                          </w:p>
                        </w:txbxContent>
                      </wps:txbx>
                      <wps:bodyPr vert="horz" wrap="square" lIns="91440" tIns="45720" rIns="91440" bIns="45720" anchor="ctr" anchorCtr="0">
                        <a:noAutofit/>
                      </wps:bodyPr>
                    </wps:wsp>
                  </a:graphicData>
                </a:graphic>
              </wp:anchor>
            </w:drawing>
          </mc:Choice>
          <mc:Fallback>
            <w:pict>
              <v:roundrect id="圆角矩形 10" o:spid="_x0000_s1026" o:spt="2" style="position:absolute;left:0pt;margin-left:226.2pt;margin-top:0.2pt;height:141.25pt;width:213.4pt;z-index:251659264;v-text-anchor:middle;mso-width-relative:page;mso-height-relative:page;" filled="f" stroked="t" coordsize="21600,21600" arcsize="0.0403703703703704" o:gfxdata="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GSdXzPVAAAA&#10;CAEAAA8AAAAAAAAAAQAgAAAAIgAAAGRycy9kb3ducmV2LnhtbFBLAQIUABQAAAAIAIdO4kAycTmD&#10;IAIAAA4EAAAOAAAAAAAAAAEAIAAAACQBAABkcnMvZTJvRG9jLnhtbFBLBQYAAAAABgAGAFkBAAC2&#10;BQAAAAA=&#10;">
                <v:fill on="f" focussize="0,0"/>
                <v:stroke weight="2pt" color="#000000" joinstyle="round"/>
                <v:imagedata o:title=""/>
                <o:lock v:ext="edit" aspectratio="f"/>
                <v:textbox>
                  <w:txbxContent>
                    <w:p>
                      <w:pPr>
                        <w:pStyle w:val="31"/>
                        <w:spacing w:line="360" w:lineRule="auto"/>
                        <w:ind w:firstLine="0" w:firstLineChars="0"/>
                        <w:jc w:val="center"/>
                        <w:rPr>
                          <w:rFonts w:ascii="仿宋" w:eastAsia="仿宋"/>
                          <w:color w:val="000000"/>
                        </w:rPr>
                      </w:pPr>
                    </w:p>
                    <w:p>
                      <w:pPr>
                        <w:pStyle w:val="31"/>
                        <w:spacing w:line="360" w:lineRule="auto"/>
                        <w:ind w:firstLine="0" w:firstLineChars="0"/>
                        <w:jc w:val="center"/>
                        <w:rPr>
                          <w:rFonts w:ascii="仿宋" w:eastAsia="仿宋"/>
                          <w:color w:val="000000"/>
                        </w:rPr>
                      </w:pPr>
                    </w:p>
                    <w:p>
                      <w:pPr>
                        <w:pStyle w:val="31"/>
                        <w:spacing w:line="360" w:lineRule="auto"/>
                        <w:ind w:firstLine="0" w:firstLineChars="0"/>
                        <w:jc w:val="center"/>
                        <w:rPr>
                          <w:rFonts w:ascii="仿宋" w:eastAsia="仿宋"/>
                          <w:color w:val="000000"/>
                        </w:rPr>
                      </w:pPr>
                      <w:r>
                        <w:rPr>
                          <w:rFonts w:hint="eastAsia" w:ascii="仿宋" w:eastAsia="仿宋"/>
                          <w:color w:val="000000"/>
                        </w:rPr>
                        <w:t>法定代表人身份证反面</w:t>
                      </w:r>
                    </w:p>
                    <w:p>
                      <w:pPr>
                        <w:jc w:val="center"/>
                      </w:pPr>
                    </w:p>
                  </w:txbxContent>
                </v:textbox>
              </v:roundrect>
            </w:pict>
          </mc:Fallback>
        </mc:AlternateContent>
      </w:r>
      <w:r>
        <w:rPr>
          <w:rFonts w:ascii="仿宋" w:eastAsia="仿宋" w:cs="仿宋"/>
        </w:rPr>
        <mc:AlternateContent>
          <mc:Choice Requires="wps">
            <w:drawing>
              <wp:anchor distT="0" distB="0" distL="75565" distR="75565" simplePos="0" relativeHeight="251660288" behindDoc="0" locked="0" layoutInCell="1" allowOverlap="1">
                <wp:simplePos x="0" y="0"/>
                <wp:positionH relativeFrom="column">
                  <wp:posOffset>68580</wp:posOffset>
                </wp:positionH>
                <wp:positionV relativeFrom="paragraph">
                  <wp:posOffset>2540</wp:posOffset>
                </wp:positionV>
                <wp:extent cx="2710180" cy="1793875"/>
                <wp:effectExtent l="0" t="0" r="0" b="0"/>
                <wp:wrapNone/>
                <wp:docPr id="10" name="圆角矩形 13"/>
                <wp:cNvGraphicFramePr/>
                <a:graphic xmlns:a="http://schemas.openxmlformats.org/drawingml/2006/main">
                  <a:graphicData uri="http://schemas.microsoft.com/office/word/2010/wordprocessingShape">
                    <wps:wsp>
                      <wps:cNvSpPr/>
                      <wps:spPr>
                        <a:xfrm>
                          <a:off x="0" y="0"/>
                          <a:ext cx="2710180" cy="1793875"/>
                        </a:xfrm>
                        <a:prstGeom prst="roundRect">
                          <a:avLst>
                            <a:gd name="adj" fmla="val 4037"/>
                          </a:avLst>
                        </a:prstGeom>
                        <a:noFill/>
                        <a:ln w="25400" cap="flat" cmpd="sng">
                          <a:solidFill>
                            <a:srgbClr val="000000"/>
                          </a:solidFill>
                          <a:prstDash val="solid"/>
                          <a:round/>
                        </a:ln>
                      </wps:spPr>
                      <wps:txbx>
                        <w:txbxContent>
                          <w:p>
                            <w:pPr>
                              <w:pStyle w:val="31"/>
                              <w:spacing w:line="360" w:lineRule="auto"/>
                              <w:ind w:firstLine="0" w:firstLineChars="0"/>
                              <w:jc w:val="center"/>
                              <w:rPr>
                                <w:rFonts w:ascii="仿宋" w:eastAsia="仿宋"/>
                                <w:color w:val="000000"/>
                              </w:rPr>
                            </w:pPr>
                          </w:p>
                          <w:p>
                            <w:pPr>
                              <w:pStyle w:val="31"/>
                              <w:spacing w:line="360" w:lineRule="auto"/>
                              <w:ind w:firstLine="0" w:firstLineChars="0"/>
                              <w:jc w:val="center"/>
                              <w:rPr>
                                <w:rFonts w:ascii="仿宋" w:eastAsia="仿宋"/>
                                <w:color w:val="000000"/>
                              </w:rPr>
                            </w:pPr>
                          </w:p>
                          <w:p>
                            <w:pPr>
                              <w:pStyle w:val="31"/>
                              <w:spacing w:line="360" w:lineRule="auto"/>
                              <w:ind w:firstLine="0" w:firstLineChars="0"/>
                              <w:jc w:val="center"/>
                              <w:rPr>
                                <w:rFonts w:ascii="仿宋" w:eastAsia="仿宋"/>
                                <w:color w:val="000000"/>
                              </w:rPr>
                            </w:pPr>
                            <w:r>
                              <w:rPr>
                                <w:rFonts w:hint="eastAsia" w:ascii="仿宋" w:eastAsia="仿宋"/>
                                <w:color w:val="000000"/>
                              </w:rPr>
                              <w:t>法定代表人身份证正面</w:t>
                            </w:r>
                          </w:p>
                          <w:p>
                            <w:pPr>
                              <w:jc w:val="center"/>
                            </w:pPr>
                          </w:p>
                        </w:txbxContent>
                      </wps:txbx>
                      <wps:bodyPr vert="horz" wrap="square" lIns="91440" tIns="45720" rIns="91440" bIns="45720" anchor="ctr" anchorCtr="0">
                        <a:noAutofit/>
                      </wps:bodyPr>
                    </wps:wsp>
                  </a:graphicData>
                </a:graphic>
              </wp:anchor>
            </w:drawing>
          </mc:Choice>
          <mc:Fallback>
            <w:pict>
              <v:roundrect id="圆角矩形 13" o:spid="_x0000_s1026" o:spt="2" style="position:absolute;left:0pt;margin-left:5.4pt;margin-top:0.2pt;height:141.25pt;width:213.4pt;z-index:251660288;v-text-anchor:middle;mso-width-relative:page;mso-height-relative:page;" filled="f" stroked="t" coordsize="21600,21600" arcsize="0.0403703703703704" o:gfxdata="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Kg7Y0/SAAAABwEA&#10;AA8AAAAAAAAAAQAgAAAAIgAAAGRycy9kb3ducmV2LnhtbFBLAQIUABQAAAAIAIdO4kAANy8YIAIA&#10;AA8EAAAOAAAAAAAAAAEAIAAAACEBAABkcnMvZTJvRG9jLnhtbFBLBQYAAAAABgAGAFkBAACzBQAA&#10;AAA=&#10;">
                <v:fill on="f" focussize="0,0"/>
                <v:stroke weight="2pt" color="#000000" joinstyle="round"/>
                <v:imagedata o:title=""/>
                <o:lock v:ext="edit" aspectratio="f"/>
                <v:textbox>
                  <w:txbxContent>
                    <w:p>
                      <w:pPr>
                        <w:pStyle w:val="31"/>
                        <w:spacing w:line="360" w:lineRule="auto"/>
                        <w:ind w:firstLine="0" w:firstLineChars="0"/>
                        <w:jc w:val="center"/>
                        <w:rPr>
                          <w:rFonts w:ascii="仿宋" w:eastAsia="仿宋"/>
                          <w:color w:val="000000"/>
                        </w:rPr>
                      </w:pPr>
                    </w:p>
                    <w:p>
                      <w:pPr>
                        <w:pStyle w:val="31"/>
                        <w:spacing w:line="360" w:lineRule="auto"/>
                        <w:ind w:firstLine="0" w:firstLineChars="0"/>
                        <w:jc w:val="center"/>
                        <w:rPr>
                          <w:rFonts w:ascii="仿宋" w:eastAsia="仿宋"/>
                          <w:color w:val="000000"/>
                        </w:rPr>
                      </w:pPr>
                    </w:p>
                    <w:p>
                      <w:pPr>
                        <w:pStyle w:val="31"/>
                        <w:spacing w:line="360" w:lineRule="auto"/>
                        <w:ind w:firstLine="0" w:firstLineChars="0"/>
                        <w:jc w:val="center"/>
                        <w:rPr>
                          <w:rFonts w:ascii="仿宋" w:eastAsia="仿宋"/>
                          <w:color w:val="000000"/>
                        </w:rPr>
                      </w:pPr>
                      <w:r>
                        <w:rPr>
                          <w:rFonts w:hint="eastAsia" w:ascii="仿宋" w:eastAsia="仿宋"/>
                          <w:color w:val="000000"/>
                        </w:rPr>
                        <w:t>法定代表人身份证正面</w:t>
                      </w:r>
                    </w:p>
                    <w:p>
                      <w:pPr>
                        <w:jc w:val="center"/>
                      </w:pPr>
                    </w:p>
                  </w:txbxContent>
                </v:textbox>
              </v:roundrect>
            </w:pict>
          </mc:Fallback>
        </mc:AlternateContent>
      </w:r>
    </w:p>
    <w:p>
      <w:pPr>
        <w:spacing w:line="360" w:lineRule="auto"/>
        <w:rPr>
          <w:rFonts w:ascii="宋体" w:cs="宋体"/>
          <w:sz w:val="24"/>
        </w:rPr>
      </w:pPr>
    </w:p>
    <w:p>
      <w:pPr>
        <w:pStyle w:val="9"/>
        <w:numPr>
          <w:ilvl w:val="0"/>
          <w:numId w:val="0"/>
        </w:numPr>
        <w:rPr>
          <w:rFonts w:ascii="宋体" w:hAnsi="宋体" w:cs="宋体"/>
          <w:sz w:val="24"/>
        </w:rPr>
      </w:pPr>
    </w:p>
    <w:p>
      <w:pPr>
        <w:pStyle w:val="9"/>
        <w:numPr>
          <w:ilvl w:val="0"/>
          <w:numId w:val="0"/>
        </w:numPr>
        <w:rPr>
          <w:rFonts w:ascii="宋体" w:hAnsi="宋体" w:cs="宋体"/>
          <w:sz w:val="24"/>
        </w:rPr>
      </w:pPr>
    </w:p>
    <w:p>
      <w:pPr>
        <w:pStyle w:val="9"/>
        <w:numPr>
          <w:ilvl w:val="0"/>
          <w:numId w:val="0"/>
        </w:numPr>
        <w:rPr>
          <w:rFonts w:ascii="宋体" w:hAnsi="宋体" w:cs="宋体"/>
          <w:sz w:val="24"/>
        </w:rPr>
      </w:pPr>
    </w:p>
    <w:p>
      <w:pPr>
        <w:pStyle w:val="9"/>
        <w:numPr>
          <w:ilvl w:val="0"/>
          <w:numId w:val="0"/>
        </w:numPr>
        <w:rPr>
          <w:rFonts w:ascii="宋体" w:hAnsi="宋体" w:cs="宋体"/>
          <w:sz w:val="24"/>
        </w:rPr>
      </w:pPr>
    </w:p>
    <w:p>
      <w:pPr>
        <w:spacing w:line="360" w:lineRule="auto"/>
        <w:rPr>
          <w:rFonts w:ascii="宋体" w:cs="宋体"/>
          <w:sz w:val="24"/>
        </w:rPr>
      </w:pPr>
    </w:p>
    <w:p>
      <w:pPr>
        <w:pStyle w:val="12"/>
        <w:tabs>
          <w:tab w:val="left" w:pos="5580"/>
        </w:tabs>
        <w:spacing w:line="360" w:lineRule="auto"/>
        <w:ind w:left="-540" w:leftChars="-257" w:firstLine="900" w:firstLineChars="375"/>
        <w:rPr>
          <w:sz w:val="24"/>
        </w:rPr>
      </w:pPr>
    </w:p>
    <w:p>
      <w:pPr>
        <w:spacing w:line="360" w:lineRule="auto"/>
        <w:ind w:firstLine="720" w:firstLineChars="300"/>
        <w:rPr>
          <w:rFonts w:ascii="宋体" w:cs="宋体"/>
          <w:sz w:val="24"/>
        </w:rPr>
      </w:pPr>
    </w:p>
    <w:p>
      <w:pPr>
        <w:pStyle w:val="9"/>
        <w:numPr>
          <w:ilvl w:val="0"/>
          <w:numId w:val="0"/>
        </w:numPr>
      </w:pPr>
    </w:p>
    <w:p>
      <w:pPr>
        <w:pStyle w:val="12"/>
        <w:tabs>
          <w:tab w:val="left" w:pos="5580"/>
        </w:tabs>
        <w:spacing w:line="360" w:lineRule="auto"/>
        <w:ind w:firstLine="3600" w:firstLineChars="1500"/>
        <w:rPr>
          <w:sz w:val="24"/>
        </w:rPr>
      </w:pPr>
      <w:r>
        <w:rPr>
          <w:rFonts w:hint="eastAsia"/>
          <w:sz w:val="24"/>
        </w:rPr>
        <w:t>投标人（盖</w:t>
      </w:r>
      <w:r>
        <w:rPr>
          <w:sz w:val="24"/>
        </w:rPr>
        <w:t>章）：</w:t>
      </w:r>
    </w:p>
    <w:p>
      <w:pPr>
        <w:pStyle w:val="12"/>
        <w:tabs>
          <w:tab w:val="left" w:pos="5580"/>
        </w:tabs>
        <w:spacing w:line="360" w:lineRule="auto"/>
        <w:ind w:firstLine="3600" w:firstLineChars="1500"/>
        <w:rPr>
          <w:sz w:val="24"/>
          <w:u w:val="single"/>
        </w:rPr>
      </w:pPr>
      <w:r>
        <w:rPr>
          <w:rFonts w:hint="eastAsia"/>
          <w:sz w:val="24"/>
        </w:rPr>
        <w:t>法定代表人（签章）：</w:t>
      </w:r>
    </w:p>
    <w:p>
      <w:pPr>
        <w:spacing w:line="360" w:lineRule="auto"/>
        <w:ind w:firstLine="3600" w:firstLineChars="1500"/>
        <w:rPr>
          <w:sz w:val="24"/>
          <w:u w:val="single"/>
        </w:rPr>
      </w:pPr>
      <w:r>
        <w:rPr>
          <w:rFonts w:hint="eastAsia"/>
          <w:sz w:val="24"/>
        </w:rPr>
        <w:t>日期：</w:t>
      </w:r>
    </w:p>
    <w:p>
      <w:pPr>
        <w:rPr>
          <w:rFonts w:ascii="宋体"/>
          <w:b/>
          <w:bCs/>
          <w:kern w:val="0"/>
          <w:sz w:val="24"/>
        </w:rPr>
      </w:pPr>
    </w:p>
    <w:p>
      <w:pPr>
        <w:rPr>
          <w:rFonts w:ascii="宋体"/>
          <w:b/>
          <w:bCs/>
          <w:kern w:val="0"/>
          <w:sz w:val="24"/>
        </w:rPr>
      </w:pPr>
      <w:r>
        <w:rPr>
          <w:rFonts w:hint="eastAsia" w:ascii="宋体"/>
          <w:b/>
          <w:bCs/>
          <w:kern w:val="0"/>
          <w:sz w:val="24"/>
        </w:rPr>
        <w:br w:type="page"/>
      </w:r>
    </w:p>
    <w:p>
      <w:pPr>
        <w:rPr>
          <w:rFonts w:ascii="宋体"/>
          <w:kern w:val="0"/>
          <w:sz w:val="24"/>
        </w:rPr>
      </w:pPr>
      <w:r>
        <w:rPr>
          <w:rFonts w:hint="eastAsia" w:ascii="宋体"/>
          <w:b/>
          <w:bCs/>
          <w:kern w:val="0"/>
          <w:sz w:val="24"/>
        </w:rPr>
        <w:t>7.2.4.  授权委托书</w:t>
      </w:r>
    </w:p>
    <w:p>
      <w:pPr>
        <w:jc w:val="center"/>
        <w:rPr>
          <w:rFonts w:ascii="宋体"/>
          <w:kern w:val="0"/>
          <w:sz w:val="24"/>
        </w:rPr>
      </w:pPr>
      <w:r>
        <w:rPr>
          <w:rFonts w:hint="eastAsia"/>
          <w:b/>
          <w:bCs/>
          <w:sz w:val="32"/>
          <w:szCs w:val="32"/>
        </w:rPr>
        <w:t>授权委托书</w:t>
      </w:r>
    </w:p>
    <w:p>
      <w:pPr>
        <w:widowControl/>
        <w:shd w:val="clear" w:color="auto" w:fill="FFFFFF"/>
        <w:snapToGrid w:val="0"/>
        <w:spacing w:line="360" w:lineRule="auto"/>
        <w:ind w:firstLine="480" w:firstLineChars="200"/>
        <w:jc w:val="left"/>
        <w:rPr>
          <w:rFonts w:ascii="宋体" w:cs="宋体"/>
          <w:kern w:val="0"/>
          <w:sz w:val="24"/>
        </w:rPr>
      </w:pPr>
      <w:r>
        <w:rPr>
          <w:rFonts w:hint="eastAsia" w:ascii="宋体" w:cs="宋体"/>
          <w:kern w:val="0"/>
          <w:sz w:val="24"/>
        </w:rPr>
        <w:t>本授权委托书声明：注册于</w:t>
      </w:r>
      <w:r>
        <w:rPr>
          <w:rFonts w:hint="eastAsia" w:ascii="宋体" w:cs="宋体"/>
          <w:kern w:val="0"/>
          <w:sz w:val="24"/>
          <w:u w:val="single"/>
        </w:rPr>
        <w:t xml:space="preserve">         </w:t>
      </w:r>
      <w:r>
        <w:rPr>
          <w:rFonts w:hint="eastAsia" w:ascii="宋体" w:cs="宋体"/>
          <w:kern w:val="0"/>
          <w:sz w:val="24"/>
        </w:rPr>
        <w:t>（注册地址）的</w:t>
      </w:r>
      <w:r>
        <w:rPr>
          <w:rFonts w:hint="eastAsia" w:ascii="宋体" w:cs="宋体"/>
          <w:kern w:val="0"/>
          <w:sz w:val="24"/>
          <w:u w:val="single"/>
        </w:rPr>
        <w:t xml:space="preserve">              </w:t>
      </w:r>
      <w:r>
        <w:rPr>
          <w:rFonts w:hint="eastAsia" w:ascii="宋体" w:cs="宋体"/>
          <w:kern w:val="0"/>
          <w:sz w:val="24"/>
        </w:rPr>
        <w:t>（投标人名称）的在下面签字的</w:t>
      </w:r>
      <w:r>
        <w:rPr>
          <w:rFonts w:hint="eastAsia" w:ascii="宋体" w:cs="宋体"/>
          <w:kern w:val="0"/>
          <w:sz w:val="24"/>
          <w:u w:val="single"/>
        </w:rPr>
        <w:t xml:space="preserve">                      </w:t>
      </w:r>
      <w:r>
        <w:rPr>
          <w:rFonts w:hint="eastAsia" w:ascii="宋体" w:cs="宋体"/>
          <w:kern w:val="0"/>
          <w:sz w:val="24"/>
        </w:rPr>
        <w:t xml:space="preserve">（法定代表姓名、职务），代表我单位授权在下面签字的 </w:t>
      </w:r>
      <w:r>
        <w:rPr>
          <w:rFonts w:hint="eastAsia" w:ascii="宋体" w:cs="宋体"/>
          <w:kern w:val="0"/>
          <w:sz w:val="24"/>
          <w:u w:val="single"/>
        </w:rPr>
        <w:t xml:space="preserve">                       </w:t>
      </w:r>
      <w:r>
        <w:rPr>
          <w:rFonts w:hint="eastAsia" w:ascii="宋体" w:cs="宋体"/>
          <w:kern w:val="0"/>
          <w:sz w:val="24"/>
        </w:rPr>
        <w:t xml:space="preserve"> （被授权人的姓名、职务）为我公司的委托代理人。委托代理人根据授权，就</w:t>
      </w:r>
      <w:r>
        <w:rPr>
          <w:rFonts w:hint="eastAsia" w:ascii="宋体" w:cs="宋体"/>
          <w:kern w:val="0"/>
          <w:sz w:val="24"/>
          <w:u w:val="single"/>
        </w:rPr>
        <w:t xml:space="preserve">                 </w:t>
      </w:r>
      <w:r>
        <w:rPr>
          <w:rFonts w:hint="eastAsia" w:ascii="宋体" w:cs="宋体"/>
          <w:kern w:val="0"/>
          <w:sz w:val="24"/>
        </w:rPr>
        <w:t>（招标项目名称、项目编号）的投标活动，代理人在开标、评标、合同谈判过程中所签署的一切文件和处理与之有关的事务，我公司均予以承认，其法律后果由我公司承担。</w:t>
      </w:r>
    </w:p>
    <w:p>
      <w:pPr>
        <w:pStyle w:val="9"/>
        <w:numPr>
          <w:ilvl w:val="0"/>
          <w:numId w:val="0"/>
        </w:numPr>
        <w:spacing w:line="360" w:lineRule="auto"/>
        <w:rPr>
          <w:rFonts w:ascii="宋体" w:eastAsia="宋体" w:cs="宋体"/>
          <w:sz w:val="24"/>
        </w:rPr>
      </w:pPr>
      <w:r>
        <w:rPr>
          <w:rFonts w:hint="eastAsia" w:ascii="宋体" w:eastAsia="宋体" w:cs="宋体"/>
          <w:kern w:val="0"/>
          <w:sz w:val="24"/>
        </w:rPr>
        <w:t xml:space="preserve">    代理人无转委托权，特此委托！</w:t>
      </w:r>
    </w:p>
    <w:p>
      <w:pPr>
        <w:widowControl/>
        <w:shd w:val="clear" w:color="auto" w:fill="FFFFFF"/>
        <w:snapToGrid w:val="0"/>
        <w:spacing w:line="360" w:lineRule="auto"/>
        <w:ind w:firstLine="480" w:firstLineChars="200"/>
        <w:jc w:val="left"/>
        <w:rPr>
          <w:rFonts w:ascii="宋体" w:cs="宋体"/>
          <w:kern w:val="0"/>
          <w:sz w:val="24"/>
          <w:u w:val="single"/>
        </w:rPr>
      </w:pPr>
      <w:r>
        <w:rPr>
          <w:rFonts w:hint="eastAsia" w:ascii="宋体" w:cs="宋体"/>
          <w:kern w:val="0"/>
          <w:sz w:val="24"/>
        </w:rPr>
        <w:t>代理人：性别： 年龄：</w:t>
      </w:r>
    </w:p>
    <w:p>
      <w:pPr>
        <w:widowControl/>
        <w:shd w:val="clear" w:color="auto" w:fill="FFFFFF"/>
        <w:snapToGrid w:val="0"/>
        <w:spacing w:line="360" w:lineRule="auto"/>
        <w:ind w:firstLine="480" w:firstLineChars="200"/>
        <w:jc w:val="left"/>
        <w:rPr>
          <w:rFonts w:ascii="宋体"/>
          <w:kern w:val="0"/>
          <w:sz w:val="24"/>
        </w:rPr>
      </w:pPr>
      <w:r>
        <w:rPr>
          <w:rFonts w:hint="eastAsia" w:ascii="宋体" w:cs="宋体"/>
          <w:kern w:val="0"/>
          <w:sz w:val="24"/>
        </w:rPr>
        <w:t>身份证号码：部门：</w:t>
      </w:r>
      <w:r>
        <w:rPr>
          <w:rFonts w:hint="eastAsia" w:ascii="宋体"/>
          <w:kern w:val="0"/>
          <w:sz w:val="24"/>
        </w:rPr>
        <w:t>职务：</w:t>
      </w:r>
    </w:p>
    <w:p>
      <w:pPr>
        <w:widowControl/>
        <w:shd w:val="clear" w:color="auto" w:fill="FFFFFF"/>
        <w:snapToGrid w:val="0"/>
        <w:spacing w:line="360" w:lineRule="auto"/>
        <w:ind w:firstLine="480" w:firstLineChars="200"/>
        <w:jc w:val="left"/>
        <w:rPr>
          <w:rFonts w:ascii="宋体"/>
          <w:kern w:val="0"/>
          <w:sz w:val="24"/>
        </w:rPr>
      </w:pPr>
      <w:r>
        <w:rPr>
          <w:rFonts w:hint="eastAsia" w:ascii="宋体"/>
          <w:kern w:val="0"/>
          <w:sz w:val="24"/>
        </w:rPr>
        <w:t>附：法定代表人及授权委托代理人身份证明。</w:t>
      </w:r>
    </w:p>
    <w:p>
      <w:pPr>
        <w:widowControl/>
        <w:shd w:val="clear" w:color="auto" w:fill="FFFFFF"/>
        <w:snapToGrid w:val="0"/>
        <w:spacing w:line="360" w:lineRule="auto"/>
        <w:jc w:val="left"/>
        <w:rPr>
          <w:rFonts w:ascii="宋体"/>
          <w:kern w:val="0"/>
          <w:sz w:val="24"/>
        </w:rPr>
      </w:pPr>
      <w:r>
        <w:rPr>
          <w:rFonts w:ascii="仿宋" w:eastAsia="仿宋" w:cs="仿宋"/>
        </w:rPr>
        <mc:AlternateContent>
          <mc:Choice Requires="wps">
            <w:drawing>
              <wp:anchor distT="0" distB="0" distL="75565" distR="75565" simplePos="0" relativeHeight="251661312" behindDoc="0" locked="0" layoutInCell="1" allowOverlap="1">
                <wp:simplePos x="0" y="0"/>
                <wp:positionH relativeFrom="column">
                  <wp:posOffset>2976245</wp:posOffset>
                </wp:positionH>
                <wp:positionV relativeFrom="paragraph">
                  <wp:posOffset>19050</wp:posOffset>
                </wp:positionV>
                <wp:extent cx="2710180" cy="1588770"/>
                <wp:effectExtent l="0" t="0" r="0" b="0"/>
                <wp:wrapNone/>
                <wp:docPr id="13" name="圆角矩形 16"/>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2398"/>
                          </a:avLst>
                        </a:prstGeom>
                        <a:noFill/>
                        <a:ln w="25400" cap="flat" cmpd="sng">
                          <a:solidFill>
                            <a:srgbClr val="000000"/>
                          </a:solidFill>
                          <a:prstDash val="solid"/>
                          <a:round/>
                        </a:ln>
                      </wps:spPr>
                      <wps:txbx>
                        <w:txbxContent>
                          <w:p>
                            <w:pPr>
                              <w:pStyle w:val="31"/>
                              <w:spacing w:line="360" w:lineRule="auto"/>
                              <w:ind w:firstLine="0" w:firstLineChars="0"/>
                              <w:jc w:val="center"/>
                              <w:rPr>
                                <w:rFonts w:ascii="仿宋" w:eastAsia="仿宋"/>
                                <w:color w:val="000000"/>
                              </w:rPr>
                            </w:pPr>
                          </w:p>
                          <w:p>
                            <w:pPr>
                              <w:pStyle w:val="31"/>
                              <w:spacing w:line="360" w:lineRule="auto"/>
                              <w:ind w:firstLine="0" w:firstLineChars="0"/>
                              <w:jc w:val="center"/>
                              <w:rPr>
                                <w:rFonts w:ascii="仿宋" w:eastAsia="仿宋"/>
                                <w:color w:val="000000"/>
                              </w:rPr>
                            </w:pPr>
                          </w:p>
                          <w:p>
                            <w:pPr>
                              <w:pStyle w:val="31"/>
                              <w:spacing w:line="360" w:lineRule="auto"/>
                              <w:ind w:firstLine="0" w:firstLineChars="0"/>
                              <w:jc w:val="center"/>
                              <w:rPr>
                                <w:rFonts w:ascii="仿宋" w:eastAsia="仿宋"/>
                                <w:color w:val="000000"/>
                              </w:rPr>
                            </w:pPr>
                            <w:r>
                              <w:rPr>
                                <w:rFonts w:hint="eastAsia" w:ascii="仿宋" w:eastAsia="仿宋"/>
                                <w:color w:val="000000"/>
                              </w:rPr>
                              <w:t>法</w:t>
                            </w:r>
                            <w:r>
                              <w:rPr>
                                <w:rFonts w:hint="eastAsia" w:ascii="宋体" w:hAnsi="宋体"/>
                                <w:kern w:val="0"/>
                                <w:sz w:val="24"/>
                              </w:rPr>
                              <w:t>定代表</w:t>
                            </w:r>
                            <w:r>
                              <w:rPr>
                                <w:rFonts w:hint="eastAsia" w:ascii="仿宋" w:eastAsia="仿宋"/>
                                <w:color w:val="000000"/>
                              </w:rPr>
                              <w:t>人身份证反面</w:t>
                            </w:r>
                          </w:p>
                          <w:p>
                            <w:pPr>
                              <w:jc w:val="center"/>
                            </w:pPr>
                          </w:p>
                        </w:txbxContent>
                      </wps:txbx>
                      <wps:bodyPr vert="horz" wrap="square" lIns="91440" tIns="45720" rIns="91440" bIns="45720" anchor="ctr" anchorCtr="0">
                        <a:noAutofit/>
                      </wps:bodyPr>
                    </wps:wsp>
                  </a:graphicData>
                </a:graphic>
              </wp:anchor>
            </w:drawing>
          </mc:Choice>
          <mc:Fallback>
            <w:pict>
              <v:roundrect id="圆角矩形 16" o:spid="_x0000_s1026" o:spt="2" style="position:absolute;left:0pt;margin-left:234.35pt;margin-top:1.5pt;height:125.1pt;width:213.4pt;z-index:251661312;v-text-anchor:middle;mso-width-relative:page;mso-height-relative:page;" filled="f" stroked="t" coordsize="21600,21600" arcsize="0.0239814814814815" o:gfxdata="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n4yf&#10;hdgAAAAJAQAADwAAAAAAAAABACAAAAAiAAAAZHJzL2Rvd25yZXYueG1sUEsBAhQAFAAAAAgAh07i&#10;QEV+PZgiAgAADwQAAA4AAAAAAAAAAQAgAAAAJwEAAGRycy9lMm9Eb2MueG1sUEsFBgAAAAAGAAYA&#10;WQEAALsFAAAAAA==&#10;">
                <v:fill on="f" focussize="0,0"/>
                <v:stroke weight="2pt" color="#000000" joinstyle="round"/>
                <v:imagedata o:title=""/>
                <o:lock v:ext="edit" aspectratio="f"/>
                <v:textbox>
                  <w:txbxContent>
                    <w:p>
                      <w:pPr>
                        <w:pStyle w:val="31"/>
                        <w:spacing w:line="360" w:lineRule="auto"/>
                        <w:ind w:firstLine="0" w:firstLineChars="0"/>
                        <w:jc w:val="center"/>
                        <w:rPr>
                          <w:rFonts w:ascii="仿宋" w:eastAsia="仿宋"/>
                          <w:color w:val="000000"/>
                        </w:rPr>
                      </w:pPr>
                    </w:p>
                    <w:p>
                      <w:pPr>
                        <w:pStyle w:val="31"/>
                        <w:spacing w:line="360" w:lineRule="auto"/>
                        <w:ind w:firstLine="0" w:firstLineChars="0"/>
                        <w:jc w:val="center"/>
                        <w:rPr>
                          <w:rFonts w:ascii="仿宋" w:eastAsia="仿宋"/>
                          <w:color w:val="000000"/>
                        </w:rPr>
                      </w:pPr>
                    </w:p>
                    <w:p>
                      <w:pPr>
                        <w:pStyle w:val="31"/>
                        <w:spacing w:line="360" w:lineRule="auto"/>
                        <w:ind w:firstLine="0" w:firstLineChars="0"/>
                        <w:jc w:val="center"/>
                        <w:rPr>
                          <w:rFonts w:ascii="仿宋" w:eastAsia="仿宋"/>
                          <w:color w:val="000000"/>
                        </w:rPr>
                      </w:pPr>
                      <w:r>
                        <w:rPr>
                          <w:rFonts w:hint="eastAsia" w:ascii="仿宋" w:eastAsia="仿宋"/>
                          <w:color w:val="000000"/>
                        </w:rPr>
                        <w:t>法</w:t>
                      </w:r>
                      <w:r>
                        <w:rPr>
                          <w:rFonts w:hint="eastAsia" w:ascii="宋体" w:hAnsi="宋体"/>
                          <w:kern w:val="0"/>
                          <w:sz w:val="24"/>
                        </w:rPr>
                        <w:t>定代表</w:t>
                      </w:r>
                      <w:r>
                        <w:rPr>
                          <w:rFonts w:hint="eastAsia" w:ascii="仿宋" w:eastAsia="仿宋"/>
                          <w:color w:val="000000"/>
                        </w:rPr>
                        <w:t>人身份证反面</w:t>
                      </w:r>
                    </w:p>
                    <w:p>
                      <w:pPr>
                        <w:jc w:val="center"/>
                      </w:pPr>
                    </w:p>
                  </w:txbxContent>
                </v:textbox>
              </v:roundrect>
            </w:pict>
          </mc:Fallback>
        </mc:AlternateContent>
      </w:r>
      <w:r>
        <w:rPr>
          <w:rFonts w:ascii="仿宋" w:eastAsia="仿宋" w:cs="仿宋"/>
        </w:rPr>
        <mc:AlternateContent>
          <mc:Choice Requires="wps">
            <w:drawing>
              <wp:anchor distT="0" distB="0" distL="75565" distR="75565" simplePos="0" relativeHeight="251662336" behindDoc="0" locked="0" layoutInCell="1" allowOverlap="1">
                <wp:simplePos x="0" y="0"/>
                <wp:positionH relativeFrom="column">
                  <wp:posOffset>77470</wp:posOffset>
                </wp:positionH>
                <wp:positionV relativeFrom="paragraph">
                  <wp:posOffset>10795</wp:posOffset>
                </wp:positionV>
                <wp:extent cx="2710180" cy="1588770"/>
                <wp:effectExtent l="0" t="0" r="0" b="0"/>
                <wp:wrapNone/>
                <wp:docPr id="16" name="圆角矩形 17"/>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4037"/>
                          </a:avLst>
                        </a:prstGeom>
                        <a:noFill/>
                        <a:ln w="25400" cap="flat" cmpd="sng">
                          <a:solidFill>
                            <a:srgbClr val="000000"/>
                          </a:solidFill>
                          <a:prstDash val="solid"/>
                          <a:round/>
                        </a:ln>
                      </wps:spPr>
                      <wps:txbx>
                        <w:txbxContent>
                          <w:p>
                            <w:pPr>
                              <w:pStyle w:val="31"/>
                              <w:spacing w:line="360" w:lineRule="auto"/>
                              <w:ind w:firstLine="0" w:firstLineChars="0"/>
                              <w:jc w:val="center"/>
                              <w:rPr>
                                <w:rFonts w:ascii="仿宋" w:eastAsia="仿宋"/>
                                <w:color w:val="000000"/>
                              </w:rPr>
                            </w:pPr>
                          </w:p>
                          <w:p>
                            <w:pPr>
                              <w:pStyle w:val="31"/>
                              <w:spacing w:line="360" w:lineRule="auto"/>
                              <w:ind w:firstLine="0" w:firstLineChars="0"/>
                              <w:jc w:val="center"/>
                              <w:rPr>
                                <w:rFonts w:ascii="仿宋" w:eastAsia="仿宋"/>
                                <w:color w:val="000000"/>
                              </w:rPr>
                            </w:pPr>
                          </w:p>
                          <w:p>
                            <w:pPr>
                              <w:pStyle w:val="31"/>
                              <w:spacing w:line="360" w:lineRule="auto"/>
                              <w:ind w:firstLine="0" w:firstLineChars="0"/>
                              <w:jc w:val="center"/>
                              <w:rPr>
                                <w:rFonts w:ascii="仿宋" w:eastAsia="仿宋"/>
                                <w:color w:val="000000"/>
                              </w:rPr>
                            </w:pPr>
                            <w:r>
                              <w:rPr>
                                <w:rFonts w:hint="eastAsia" w:ascii="仿宋" w:eastAsia="仿宋"/>
                                <w:color w:val="000000"/>
                              </w:rPr>
                              <w:t>法</w:t>
                            </w:r>
                            <w:r>
                              <w:rPr>
                                <w:rFonts w:hint="eastAsia" w:ascii="宋体" w:hAnsi="宋体"/>
                                <w:kern w:val="0"/>
                                <w:sz w:val="24"/>
                              </w:rPr>
                              <w:t>定代表</w:t>
                            </w:r>
                            <w:r>
                              <w:rPr>
                                <w:rFonts w:hint="eastAsia" w:ascii="仿宋" w:eastAsia="仿宋"/>
                                <w:color w:val="000000"/>
                              </w:rPr>
                              <w:t>人身份证正面</w:t>
                            </w:r>
                          </w:p>
                          <w:p>
                            <w:pPr>
                              <w:jc w:val="center"/>
                            </w:pPr>
                          </w:p>
                        </w:txbxContent>
                      </wps:txbx>
                      <wps:bodyPr vert="horz" wrap="square" lIns="91440" tIns="45720" rIns="91440" bIns="45720" anchor="ctr" anchorCtr="0">
                        <a:noAutofit/>
                      </wps:bodyPr>
                    </wps:wsp>
                  </a:graphicData>
                </a:graphic>
              </wp:anchor>
            </w:drawing>
          </mc:Choice>
          <mc:Fallback>
            <w:pict>
              <v:roundrect id="圆角矩形 17" o:spid="_x0000_s1026" o:spt="2" style="position:absolute;left:0pt;margin-left:6.1pt;margin-top:0.85pt;height:125.1pt;width:213.4pt;z-index:251662336;v-text-anchor:middle;mso-width-relative:page;mso-height-relative:page;" filled="f" stroked="t" coordsize="21600,21600" arcsize="0.0403703703703704" o:gfxdata="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Ny7agdMAAAAI&#10;AQAADwAAAAAAAAABACAAAAAiAAAAZHJzL2Rvd25yZXYueG1sUEsBAhQAFAAAAAgAh07iQPtW760h&#10;AgAADwQAAA4AAAAAAAAAAQAgAAAAIgEAAGRycy9lMm9Eb2MueG1sUEsFBgAAAAAGAAYAWQEAALUF&#10;AAAAAA==&#10;">
                <v:fill on="f" focussize="0,0"/>
                <v:stroke weight="2pt" color="#000000" joinstyle="round"/>
                <v:imagedata o:title=""/>
                <o:lock v:ext="edit" aspectratio="f"/>
                <v:textbox>
                  <w:txbxContent>
                    <w:p>
                      <w:pPr>
                        <w:pStyle w:val="31"/>
                        <w:spacing w:line="360" w:lineRule="auto"/>
                        <w:ind w:firstLine="0" w:firstLineChars="0"/>
                        <w:jc w:val="center"/>
                        <w:rPr>
                          <w:rFonts w:ascii="仿宋" w:eastAsia="仿宋"/>
                          <w:color w:val="000000"/>
                        </w:rPr>
                      </w:pPr>
                    </w:p>
                    <w:p>
                      <w:pPr>
                        <w:pStyle w:val="31"/>
                        <w:spacing w:line="360" w:lineRule="auto"/>
                        <w:ind w:firstLine="0" w:firstLineChars="0"/>
                        <w:jc w:val="center"/>
                        <w:rPr>
                          <w:rFonts w:ascii="仿宋" w:eastAsia="仿宋"/>
                          <w:color w:val="000000"/>
                        </w:rPr>
                      </w:pPr>
                    </w:p>
                    <w:p>
                      <w:pPr>
                        <w:pStyle w:val="31"/>
                        <w:spacing w:line="360" w:lineRule="auto"/>
                        <w:ind w:firstLine="0" w:firstLineChars="0"/>
                        <w:jc w:val="center"/>
                        <w:rPr>
                          <w:rFonts w:ascii="仿宋" w:eastAsia="仿宋"/>
                          <w:color w:val="000000"/>
                        </w:rPr>
                      </w:pPr>
                      <w:r>
                        <w:rPr>
                          <w:rFonts w:hint="eastAsia" w:ascii="仿宋" w:eastAsia="仿宋"/>
                          <w:color w:val="000000"/>
                        </w:rPr>
                        <w:t>法</w:t>
                      </w:r>
                      <w:r>
                        <w:rPr>
                          <w:rFonts w:hint="eastAsia" w:ascii="宋体" w:hAnsi="宋体"/>
                          <w:kern w:val="0"/>
                          <w:sz w:val="24"/>
                        </w:rPr>
                        <w:t>定代表</w:t>
                      </w:r>
                      <w:r>
                        <w:rPr>
                          <w:rFonts w:hint="eastAsia" w:ascii="仿宋" w:eastAsia="仿宋"/>
                          <w:color w:val="000000"/>
                        </w:rPr>
                        <w:t>人身份证正面</w:t>
                      </w:r>
                    </w:p>
                    <w:p>
                      <w:pPr>
                        <w:jc w:val="center"/>
                      </w:pPr>
                    </w:p>
                  </w:txbxContent>
                </v:textbox>
              </v:roundrect>
            </w:pict>
          </mc:Fallback>
        </mc:AlternateContent>
      </w:r>
    </w:p>
    <w:p>
      <w:pPr>
        <w:widowControl/>
        <w:shd w:val="clear" w:color="auto" w:fill="FFFFFF"/>
        <w:snapToGrid w:val="0"/>
        <w:spacing w:line="360" w:lineRule="auto"/>
        <w:jc w:val="left"/>
        <w:rPr>
          <w:rFonts w:ascii="宋体"/>
          <w:kern w:val="0"/>
          <w:sz w:val="24"/>
        </w:rPr>
      </w:pPr>
    </w:p>
    <w:p>
      <w:pPr>
        <w:pStyle w:val="12"/>
        <w:tabs>
          <w:tab w:val="left" w:pos="5580"/>
        </w:tabs>
        <w:spacing w:line="360" w:lineRule="auto"/>
        <w:ind w:firstLine="480" w:firstLineChars="200"/>
        <w:rPr>
          <w:sz w:val="24"/>
          <w:u w:val="single" w:color="FFFFFF"/>
        </w:rPr>
      </w:pPr>
    </w:p>
    <w:p>
      <w:pPr>
        <w:pStyle w:val="12"/>
        <w:tabs>
          <w:tab w:val="left" w:pos="5580"/>
        </w:tabs>
        <w:spacing w:line="360" w:lineRule="auto"/>
        <w:ind w:firstLine="480" w:firstLineChars="200"/>
        <w:rPr>
          <w:sz w:val="24"/>
          <w:u w:val="single" w:color="FFFFFF"/>
        </w:rPr>
      </w:pPr>
    </w:p>
    <w:p>
      <w:pPr>
        <w:pStyle w:val="12"/>
        <w:tabs>
          <w:tab w:val="left" w:pos="5580"/>
        </w:tabs>
        <w:spacing w:line="360" w:lineRule="auto"/>
        <w:ind w:firstLine="480" w:firstLineChars="200"/>
        <w:rPr>
          <w:sz w:val="24"/>
          <w:u w:val="single" w:color="FFFFFF"/>
        </w:rPr>
      </w:pPr>
    </w:p>
    <w:p>
      <w:pPr>
        <w:pStyle w:val="12"/>
        <w:tabs>
          <w:tab w:val="left" w:pos="5580"/>
        </w:tabs>
        <w:spacing w:line="360" w:lineRule="auto"/>
        <w:ind w:firstLine="420" w:firstLineChars="200"/>
        <w:rPr>
          <w:sz w:val="24"/>
          <w:u w:val="single" w:color="FFFFFF"/>
        </w:rPr>
      </w:pPr>
      <w:r>
        <w:rPr>
          <w:rFonts w:ascii="仿宋" w:eastAsia="仿宋" w:cs="仿宋"/>
        </w:rPr>
        <mc:AlternateContent>
          <mc:Choice Requires="wps">
            <w:drawing>
              <wp:anchor distT="0" distB="0" distL="75565" distR="75565" simplePos="0" relativeHeight="251663360" behindDoc="0" locked="0" layoutInCell="1" allowOverlap="1">
                <wp:simplePos x="0" y="0"/>
                <wp:positionH relativeFrom="column">
                  <wp:posOffset>70485</wp:posOffset>
                </wp:positionH>
                <wp:positionV relativeFrom="paragraph">
                  <wp:posOffset>292100</wp:posOffset>
                </wp:positionV>
                <wp:extent cx="2710180" cy="1588770"/>
                <wp:effectExtent l="0" t="0" r="0" b="0"/>
                <wp:wrapNone/>
                <wp:docPr id="19" name="圆角矩形 18"/>
                <wp:cNvGraphicFramePr/>
                <a:graphic xmlns:a="http://schemas.openxmlformats.org/drawingml/2006/main">
                  <a:graphicData uri="http://schemas.microsoft.com/office/word/2010/wordprocessingShape">
                    <wps:wsp>
                      <wps:cNvSpPr/>
                      <wps:spPr>
                        <a:xfrm>
                          <a:off x="0" y="0"/>
                          <a:ext cx="2710180" cy="1588769"/>
                        </a:xfrm>
                        <a:prstGeom prst="roundRect">
                          <a:avLst>
                            <a:gd name="adj" fmla="val 4037"/>
                          </a:avLst>
                        </a:prstGeom>
                        <a:noFill/>
                        <a:ln w="25400" cap="flat" cmpd="sng">
                          <a:solidFill>
                            <a:srgbClr val="000000"/>
                          </a:solidFill>
                          <a:prstDash val="solid"/>
                          <a:round/>
                        </a:ln>
                      </wps:spPr>
                      <wps:txbx>
                        <w:txbxContent>
                          <w:p>
                            <w:pPr>
                              <w:pStyle w:val="31"/>
                              <w:spacing w:line="360" w:lineRule="auto"/>
                              <w:ind w:firstLine="0" w:firstLineChars="0"/>
                              <w:jc w:val="center"/>
                              <w:rPr>
                                <w:rFonts w:ascii="仿宋" w:eastAsia="仿宋"/>
                                <w:color w:val="000000"/>
                              </w:rPr>
                            </w:pPr>
                          </w:p>
                          <w:p>
                            <w:pPr>
                              <w:pStyle w:val="31"/>
                              <w:spacing w:line="360" w:lineRule="auto"/>
                              <w:ind w:firstLine="0" w:firstLineChars="0"/>
                              <w:jc w:val="center"/>
                              <w:rPr>
                                <w:rFonts w:ascii="仿宋" w:eastAsia="仿宋"/>
                                <w:color w:val="000000"/>
                              </w:rPr>
                            </w:pPr>
                          </w:p>
                          <w:p>
                            <w:pPr>
                              <w:pStyle w:val="31"/>
                              <w:spacing w:line="360" w:lineRule="auto"/>
                              <w:ind w:firstLine="0" w:firstLineChars="0"/>
                              <w:jc w:val="center"/>
                              <w:rPr>
                                <w:rFonts w:ascii="仿宋" w:eastAsia="仿宋"/>
                                <w:color w:val="000000"/>
                              </w:rPr>
                            </w:pPr>
                            <w:r>
                              <w:rPr>
                                <w:rFonts w:hint="eastAsia" w:ascii="仿宋" w:eastAsia="仿宋"/>
                                <w:color w:val="000000"/>
                              </w:rPr>
                              <w:t>委托代理人身份证正面</w:t>
                            </w:r>
                          </w:p>
                          <w:p>
                            <w:pPr>
                              <w:jc w:val="center"/>
                            </w:pPr>
                          </w:p>
                        </w:txbxContent>
                      </wps:txbx>
                      <wps:bodyPr vert="horz" wrap="square" lIns="91440" tIns="45720" rIns="91440" bIns="45720" anchor="ctr" anchorCtr="0">
                        <a:noAutofit/>
                      </wps:bodyPr>
                    </wps:wsp>
                  </a:graphicData>
                </a:graphic>
              </wp:anchor>
            </w:drawing>
          </mc:Choice>
          <mc:Fallback>
            <w:pict>
              <v:roundrect id="圆角矩形 18" o:spid="_x0000_s1026" o:spt="2" style="position:absolute;left:0pt;margin-left:5.55pt;margin-top:23pt;height:125.1pt;width:213.4pt;z-index:251663360;v-text-anchor:middle;mso-width-relative:page;mso-height-relative:page;" filled="f" stroked="t" coordsize="21600,21600" arcsize="0.0403703703703704" o:gfxdata="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HR4yDrUAAAA&#10;CQEAAA8AAAAAAAAAAQAgAAAAIgAAAGRycy9kb3ducmV2LnhtbFBLAQIUABQAAAAIAIdO4kDrnw0j&#10;IQIAAA8EAAAOAAAAAAAAAAEAIAAAACMBAABkcnMvZTJvRG9jLnhtbFBLBQYAAAAABgAGAFkBAAC2&#10;BQAAAAA=&#10;">
                <v:fill on="f" focussize="0,0"/>
                <v:stroke weight="2pt" color="#000000" joinstyle="round"/>
                <v:imagedata o:title=""/>
                <o:lock v:ext="edit" aspectratio="f"/>
                <v:textbox>
                  <w:txbxContent>
                    <w:p>
                      <w:pPr>
                        <w:pStyle w:val="31"/>
                        <w:spacing w:line="360" w:lineRule="auto"/>
                        <w:ind w:firstLine="0" w:firstLineChars="0"/>
                        <w:jc w:val="center"/>
                        <w:rPr>
                          <w:rFonts w:ascii="仿宋" w:eastAsia="仿宋"/>
                          <w:color w:val="000000"/>
                        </w:rPr>
                      </w:pPr>
                    </w:p>
                    <w:p>
                      <w:pPr>
                        <w:pStyle w:val="31"/>
                        <w:spacing w:line="360" w:lineRule="auto"/>
                        <w:ind w:firstLine="0" w:firstLineChars="0"/>
                        <w:jc w:val="center"/>
                        <w:rPr>
                          <w:rFonts w:ascii="仿宋" w:eastAsia="仿宋"/>
                          <w:color w:val="000000"/>
                        </w:rPr>
                      </w:pPr>
                    </w:p>
                    <w:p>
                      <w:pPr>
                        <w:pStyle w:val="31"/>
                        <w:spacing w:line="360" w:lineRule="auto"/>
                        <w:ind w:firstLine="0" w:firstLineChars="0"/>
                        <w:jc w:val="center"/>
                        <w:rPr>
                          <w:rFonts w:ascii="仿宋" w:eastAsia="仿宋"/>
                          <w:color w:val="000000"/>
                        </w:rPr>
                      </w:pPr>
                      <w:r>
                        <w:rPr>
                          <w:rFonts w:hint="eastAsia" w:ascii="仿宋" w:eastAsia="仿宋"/>
                          <w:color w:val="000000"/>
                        </w:rPr>
                        <w:t>委托代理人身份证正面</w:t>
                      </w:r>
                    </w:p>
                    <w:p>
                      <w:pPr>
                        <w:jc w:val="center"/>
                      </w:pPr>
                    </w:p>
                  </w:txbxContent>
                </v:textbox>
              </v:roundrect>
            </w:pict>
          </mc:Fallback>
        </mc:AlternateContent>
      </w:r>
    </w:p>
    <w:p>
      <w:pPr>
        <w:pStyle w:val="12"/>
        <w:tabs>
          <w:tab w:val="left" w:pos="5580"/>
        </w:tabs>
        <w:spacing w:line="360" w:lineRule="auto"/>
        <w:ind w:firstLine="420" w:firstLineChars="200"/>
        <w:rPr>
          <w:sz w:val="24"/>
          <w:u w:val="single" w:color="FFFFFF"/>
        </w:rPr>
      </w:pPr>
      <w:r>
        <w:rPr>
          <w:rFonts w:ascii="仿宋" w:eastAsia="仿宋" w:cs="仿宋"/>
        </w:rPr>
        <mc:AlternateContent>
          <mc:Choice Requires="wps">
            <w:drawing>
              <wp:anchor distT="0" distB="0" distL="75565" distR="75565" simplePos="0" relativeHeight="251664384" behindDoc="0" locked="0" layoutInCell="1" allowOverlap="1">
                <wp:simplePos x="0" y="0"/>
                <wp:positionH relativeFrom="column">
                  <wp:posOffset>2969895</wp:posOffset>
                </wp:positionH>
                <wp:positionV relativeFrom="paragraph">
                  <wp:posOffset>15240</wp:posOffset>
                </wp:positionV>
                <wp:extent cx="2710180" cy="1588770"/>
                <wp:effectExtent l="0" t="0" r="0" b="0"/>
                <wp:wrapNone/>
                <wp:docPr id="22" name="圆角矩形 19"/>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4037"/>
                          </a:avLst>
                        </a:prstGeom>
                        <a:noFill/>
                        <a:ln w="25400" cap="flat" cmpd="sng">
                          <a:solidFill>
                            <a:srgbClr val="000000"/>
                          </a:solidFill>
                          <a:prstDash val="solid"/>
                          <a:round/>
                        </a:ln>
                      </wps:spPr>
                      <wps:txbx>
                        <w:txbxContent>
                          <w:p>
                            <w:pPr>
                              <w:pStyle w:val="31"/>
                              <w:spacing w:line="360" w:lineRule="auto"/>
                              <w:ind w:firstLine="0" w:firstLineChars="0"/>
                              <w:jc w:val="center"/>
                              <w:rPr>
                                <w:rFonts w:ascii="仿宋" w:eastAsia="仿宋"/>
                                <w:color w:val="000000"/>
                              </w:rPr>
                            </w:pPr>
                          </w:p>
                          <w:p>
                            <w:pPr>
                              <w:pStyle w:val="31"/>
                              <w:spacing w:line="360" w:lineRule="auto"/>
                              <w:ind w:firstLine="0" w:firstLineChars="0"/>
                              <w:jc w:val="center"/>
                              <w:rPr>
                                <w:rFonts w:ascii="仿宋" w:eastAsia="仿宋"/>
                                <w:color w:val="000000"/>
                              </w:rPr>
                            </w:pPr>
                          </w:p>
                          <w:p>
                            <w:pPr>
                              <w:pStyle w:val="31"/>
                              <w:spacing w:line="360" w:lineRule="auto"/>
                              <w:ind w:firstLine="0" w:firstLineChars="0"/>
                              <w:jc w:val="center"/>
                              <w:rPr>
                                <w:rFonts w:ascii="仿宋" w:eastAsia="仿宋"/>
                                <w:color w:val="000000"/>
                              </w:rPr>
                            </w:pPr>
                            <w:r>
                              <w:rPr>
                                <w:rFonts w:hint="eastAsia" w:ascii="仿宋" w:eastAsia="仿宋"/>
                                <w:color w:val="000000"/>
                              </w:rPr>
                              <w:t>委托代理人身份证反面</w:t>
                            </w:r>
                          </w:p>
                          <w:p>
                            <w:pPr>
                              <w:jc w:val="center"/>
                            </w:pPr>
                          </w:p>
                        </w:txbxContent>
                      </wps:txbx>
                      <wps:bodyPr vert="horz" wrap="square" lIns="91440" tIns="45720" rIns="91440" bIns="45720" anchor="ctr" anchorCtr="0">
                        <a:noAutofit/>
                      </wps:bodyPr>
                    </wps:wsp>
                  </a:graphicData>
                </a:graphic>
              </wp:anchor>
            </w:drawing>
          </mc:Choice>
          <mc:Fallback>
            <w:pict>
              <v:roundrect id="圆角矩形 19" o:spid="_x0000_s1026" o:spt="2" style="position:absolute;left:0pt;margin-left:233.85pt;margin-top:1.2pt;height:125.1pt;width:213.4pt;z-index:251664384;v-text-anchor:middle;mso-width-relative:page;mso-height-relative:page;" filled="f" stroked="t" coordsize="21600,21600" arcsize="0.0403703703703704" o:gfxdata="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QDRLK1QAA&#10;AAkBAAAPAAAAAAAAAAEAIAAAACIAAABkcnMvZG93bnJldi54bWxQSwECFAAUAAAACACHTuJA2cGQ&#10;oCECAAAPBAAADgAAAAAAAAABACAAAAAkAQAAZHJzL2Uyb0RvYy54bWxQSwUGAAAAAAYABgBZAQAA&#10;twUAAAAA&#10;">
                <v:fill on="f" focussize="0,0"/>
                <v:stroke weight="2pt" color="#000000" joinstyle="round"/>
                <v:imagedata o:title=""/>
                <o:lock v:ext="edit" aspectratio="f"/>
                <v:textbox>
                  <w:txbxContent>
                    <w:p>
                      <w:pPr>
                        <w:pStyle w:val="31"/>
                        <w:spacing w:line="360" w:lineRule="auto"/>
                        <w:ind w:firstLine="0" w:firstLineChars="0"/>
                        <w:jc w:val="center"/>
                        <w:rPr>
                          <w:rFonts w:ascii="仿宋" w:eastAsia="仿宋"/>
                          <w:color w:val="000000"/>
                        </w:rPr>
                      </w:pPr>
                    </w:p>
                    <w:p>
                      <w:pPr>
                        <w:pStyle w:val="31"/>
                        <w:spacing w:line="360" w:lineRule="auto"/>
                        <w:ind w:firstLine="0" w:firstLineChars="0"/>
                        <w:jc w:val="center"/>
                        <w:rPr>
                          <w:rFonts w:ascii="仿宋" w:eastAsia="仿宋"/>
                          <w:color w:val="000000"/>
                        </w:rPr>
                      </w:pPr>
                    </w:p>
                    <w:p>
                      <w:pPr>
                        <w:pStyle w:val="31"/>
                        <w:spacing w:line="360" w:lineRule="auto"/>
                        <w:ind w:firstLine="0" w:firstLineChars="0"/>
                        <w:jc w:val="center"/>
                        <w:rPr>
                          <w:rFonts w:ascii="仿宋" w:eastAsia="仿宋"/>
                          <w:color w:val="000000"/>
                        </w:rPr>
                      </w:pPr>
                      <w:r>
                        <w:rPr>
                          <w:rFonts w:hint="eastAsia" w:ascii="仿宋" w:eastAsia="仿宋"/>
                          <w:color w:val="000000"/>
                        </w:rPr>
                        <w:t>委托代理人身份证反面</w:t>
                      </w:r>
                    </w:p>
                    <w:p>
                      <w:pPr>
                        <w:jc w:val="center"/>
                      </w:pPr>
                    </w:p>
                  </w:txbxContent>
                </v:textbox>
              </v:roundrect>
            </w:pict>
          </mc:Fallback>
        </mc:AlternateContent>
      </w:r>
    </w:p>
    <w:p>
      <w:pPr>
        <w:pStyle w:val="12"/>
        <w:tabs>
          <w:tab w:val="left" w:pos="5580"/>
        </w:tabs>
        <w:spacing w:line="360" w:lineRule="auto"/>
        <w:ind w:firstLine="480" w:firstLineChars="200"/>
        <w:rPr>
          <w:sz w:val="24"/>
          <w:u w:val="single" w:color="FFFFFF"/>
        </w:rPr>
      </w:pPr>
    </w:p>
    <w:p>
      <w:pPr>
        <w:pStyle w:val="12"/>
        <w:tabs>
          <w:tab w:val="left" w:pos="5580"/>
        </w:tabs>
        <w:spacing w:line="360" w:lineRule="auto"/>
        <w:ind w:firstLine="480" w:firstLineChars="200"/>
        <w:rPr>
          <w:sz w:val="24"/>
          <w:u w:val="single" w:color="FFFFFF"/>
        </w:rPr>
      </w:pPr>
    </w:p>
    <w:p>
      <w:pPr>
        <w:pStyle w:val="12"/>
        <w:tabs>
          <w:tab w:val="left" w:pos="5580"/>
        </w:tabs>
        <w:spacing w:line="360" w:lineRule="auto"/>
        <w:ind w:firstLine="480" w:firstLineChars="200"/>
        <w:rPr>
          <w:sz w:val="24"/>
          <w:u w:val="single" w:color="FFFFFF"/>
        </w:rPr>
      </w:pPr>
    </w:p>
    <w:p>
      <w:pPr>
        <w:pStyle w:val="12"/>
        <w:tabs>
          <w:tab w:val="left" w:pos="5580"/>
        </w:tabs>
        <w:spacing w:line="360" w:lineRule="auto"/>
        <w:ind w:firstLine="480" w:firstLineChars="200"/>
        <w:rPr>
          <w:sz w:val="24"/>
          <w:u w:val="single" w:color="FFFFFF"/>
        </w:rPr>
      </w:pPr>
    </w:p>
    <w:p>
      <w:pPr>
        <w:pStyle w:val="12"/>
        <w:tabs>
          <w:tab w:val="left" w:pos="5580"/>
        </w:tabs>
        <w:spacing w:line="360" w:lineRule="auto"/>
        <w:ind w:firstLine="480" w:firstLineChars="200"/>
        <w:rPr>
          <w:sz w:val="24"/>
          <w:u w:val="single" w:color="FFFFFF"/>
        </w:rPr>
      </w:pPr>
    </w:p>
    <w:p>
      <w:pPr>
        <w:spacing w:line="360" w:lineRule="auto"/>
        <w:ind w:firstLine="720" w:firstLineChars="300"/>
        <w:rPr>
          <w:sz w:val="24"/>
        </w:rPr>
      </w:pPr>
      <w:r>
        <w:rPr>
          <w:rFonts w:hint="eastAsia"/>
          <w:sz w:val="24"/>
        </w:rPr>
        <w:t>投标人（盖</w:t>
      </w:r>
      <w:r>
        <w:rPr>
          <w:sz w:val="24"/>
        </w:rPr>
        <w:t>章）：</w:t>
      </w:r>
    </w:p>
    <w:p>
      <w:pPr>
        <w:pStyle w:val="12"/>
        <w:tabs>
          <w:tab w:val="left" w:pos="5580"/>
        </w:tabs>
        <w:spacing w:line="360" w:lineRule="auto"/>
        <w:ind w:firstLine="3600" w:firstLineChars="1500"/>
        <w:rPr>
          <w:sz w:val="24"/>
          <w:u w:val="single"/>
        </w:rPr>
      </w:pPr>
      <w:r>
        <w:rPr>
          <w:rFonts w:hint="eastAsia"/>
          <w:sz w:val="24"/>
        </w:rPr>
        <w:t>法定代表人（签章）：</w:t>
      </w:r>
    </w:p>
    <w:p>
      <w:pPr>
        <w:pStyle w:val="12"/>
        <w:tabs>
          <w:tab w:val="left" w:pos="5580"/>
        </w:tabs>
        <w:spacing w:line="360" w:lineRule="auto"/>
        <w:ind w:firstLine="3600" w:firstLineChars="1500"/>
        <w:rPr>
          <w:rFonts w:cs="宋体"/>
          <w:kern w:val="0"/>
          <w:sz w:val="24"/>
          <w:u w:val="single"/>
        </w:rPr>
      </w:pPr>
      <w:r>
        <w:rPr>
          <w:rFonts w:hint="eastAsia" w:cs="宋体"/>
          <w:kern w:val="0"/>
          <w:sz w:val="24"/>
        </w:rPr>
        <w:t>委托代理人</w:t>
      </w:r>
      <w:r>
        <w:rPr>
          <w:rFonts w:hint="eastAsia"/>
          <w:sz w:val="24"/>
        </w:rPr>
        <w:t>（签字）</w:t>
      </w:r>
      <w:r>
        <w:rPr>
          <w:rFonts w:hint="eastAsia" w:cs="宋体"/>
          <w:kern w:val="0"/>
          <w:sz w:val="24"/>
        </w:rPr>
        <w:t>：</w:t>
      </w:r>
    </w:p>
    <w:p>
      <w:pPr>
        <w:spacing w:line="360" w:lineRule="auto"/>
        <w:ind w:firstLine="3600" w:firstLineChars="1500"/>
        <w:rPr>
          <w:sz w:val="24"/>
          <w:u w:val="single"/>
        </w:rPr>
      </w:pPr>
      <w:r>
        <w:rPr>
          <w:rFonts w:hint="eastAsia"/>
          <w:sz w:val="24"/>
        </w:rPr>
        <w:t>委托日期：</w:t>
      </w:r>
    </w:p>
    <w:p>
      <w:pPr>
        <w:rPr>
          <w:rFonts w:ascii="宋体" w:cs="宋体"/>
          <w:b/>
          <w:bCs/>
          <w:sz w:val="24"/>
        </w:rPr>
      </w:pPr>
      <w:r>
        <w:rPr>
          <w:rFonts w:hint="eastAsia" w:ascii="宋体" w:cs="宋体"/>
          <w:b/>
          <w:bCs/>
          <w:sz w:val="24"/>
        </w:rPr>
        <w:br w:type="page"/>
      </w:r>
    </w:p>
    <w:p>
      <w:pPr>
        <w:rPr>
          <w:rFonts w:ascii="宋体"/>
          <w:b/>
          <w:bCs/>
          <w:kern w:val="0"/>
          <w:sz w:val="24"/>
        </w:rPr>
      </w:pPr>
      <w:r>
        <w:rPr>
          <w:rFonts w:hint="eastAsia" w:ascii="宋体"/>
          <w:b/>
          <w:bCs/>
          <w:kern w:val="0"/>
          <w:sz w:val="24"/>
        </w:rPr>
        <w:t>7.2.5. 投标人概况</w:t>
      </w:r>
    </w:p>
    <w:p>
      <w:pPr>
        <w:jc w:val="center"/>
        <w:rPr>
          <w:b/>
          <w:bCs/>
          <w:sz w:val="32"/>
          <w:szCs w:val="32"/>
        </w:rPr>
      </w:pPr>
      <w:bookmarkStart w:id="33" w:name="_Toc505078023"/>
      <w:r>
        <w:rPr>
          <w:rFonts w:hint="eastAsia"/>
          <w:b/>
          <w:bCs/>
          <w:sz w:val="32"/>
          <w:szCs w:val="32"/>
        </w:rPr>
        <w:t>投标人概况</w:t>
      </w:r>
      <w:bookmarkEnd w:id="33"/>
    </w:p>
    <w:p>
      <w:pPr>
        <w:spacing w:line="360" w:lineRule="auto"/>
        <w:rPr>
          <w:rFonts w:ascii="宋体" w:cs="宋体"/>
          <w:sz w:val="24"/>
        </w:rPr>
      </w:pPr>
      <w:r>
        <w:rPr>
          <w:rFonts w:hint="eastAsia" w:ascii="宋体" w:cs="宋体"/>
          <w:sz w:val="24"/>
        </w:rPr>
        <w:t>1、投标人名称</w:t>
      </w:r>
    </w:p>
    <w:p>
      <w:pPr>
        <w:spacing w:line="360" w:lineRule="auto"/>
        <w:rPr>
          <w:rFonts w:ascii="宋体" w:cs="宋体"/>
          <w:sz w:val="24"/>
        </w:rPr>
      </w:pPr>
      <w:r>
        <w:rPr>
          <w:rFonts w:hint="eastAsia" w:ascii="宋体" w:cs="宋体"/>
          <w:sz w:val="24"/>
        </w:rPr>
        <w:t>2、营业执照</w:t>
      </w:r>
    </w:p>
    <w:p>
      <w:pPr>
        <w:spacing w:line="360" w:lineRule="auto"/>
        <w:rPr>
          <w:rFonts w:ascii="宋体" w:cs="宋体"/>
          <w:sz w:val="24"/>
        </w:rPr>
      </w:pPr>
      <w:r>
        <w:rPr>
          <w:rFonts w:hint="eastAsia" w:ascii="宋体" w:cs="宋体"/>
          <w:sz w:val="24"/>
        </w:rPr>
        <w:t>3、投标人地址</w:t>
      </w:r>
    </w:p>
    <w:p>
      <w:pPr>
        <w:spacing w:line="360" w:lineRule="auto"/>
        <w:rPr>
          <w:rFonts w:ascii="宋体" w:cs="宋体"/>
          <w:sz w:val="24"/>
        </w:rPr>
      </w:pPr>
      <w:r>
        <w:rPr>
          <w:rFonts w:hint="eastAsia" w:ascii="宋体" w:cs="宋体"/>
          <w:sz w:val="24"/>
        </w:rPr>
        <w:t>4、经营范围</w:t>
      </w:r>
    </w:p>
    <w:p>
      <w:pPr>
        <w:spacing w:line="360" w:lineRule="auto"/>
        <w:rPr>
          <w:rFonts w:ascii="宋体" w:cs="宋体"/>
          <w:sz w:val="24"/>
        </w:rPr>
      </w:pPr>
      <w:r>
        <w:rPr>
          <w:rFonts w:hint="eastAsia" w:ascii="宋体" w:cs="宋体"/>
          <w:sz w:val="24"/>
        </w:rPr>
        <w:t>5、营业场所</w:t>
      </w:r>
    </w:p>
    <w:p>
      <w:pPr>
        <w:spacing w:line="360" w:lineRule="auto"/>
        <w:rPr>
          <w:rFonts w:ascii="宋体" w:cs="宋体"/>
          <w:sz w:val="24"/>
        </w:rPr>
      </w:pPr>
      <w:r>
        <w:rPr>
          <w:rFonts w:hint="eastAsia" w:ascii="宋体" w:cs="宋体"/>
          <w:sz w:val="24"/>
        </w:rPr>
        <w:t>6、单位综合情况一览表</w:t>
      </w:r>
    </w:p>
    <w:p>
      <w:pPr>
        <w:spacing w:line="360" w:lineRule="auto"/>
        <w:rPr>
          <w:rFonts w:ascii="宋体" w:cs="宋体"/>
          <w:sz w:val="24"/>
        </w:rPr>
      </w:pPr>
    </w:p>
    <w:p>
      <w:pPr>
        <w:spacing w:line="360" w:lineRule="auto"/>
        <w:rPr>
          <w:rFonts w:ascii="宋体" w:cs="宋体"/>
          <w:b/>
          <w:bCs/>
          <w:color w:val="000000" w:themeColor="text1"/>
          <w:sz w:val="24"/>
          <w14:textFill>
            <w14:solidFill>
              <w14:schemeClr w14:val="tx1"/>
            </w14:solidFill>
          </w14:textFill>
        </w:rPr>
      </w:pPr>
      <w:r>
        <w:rPr>
          <w:rFonts w:hint="eastAsia" w:ascii="宋体" w:cs="宋体"/>
          <w:b/>
          <w:bCs/>
          <w:color w:val="000000" w:themeColor="text1"/>
          <w:sz w:val="24"/>
          <w14:textFill>
            <w14:solidFill>
              <w14:schemeClr w14:val="tx1"/>
            </w14:solidFill>
          </w14:textFill>
        </w:rPr>
        <w:t>注：须附</w:t>
      </w:r>
    </w:p>
    <w:p>
      <w:pPr>
        <w:spacing w:line="360" w:lineRule="auto"/>
        <w:ind w:firstLine="482" w:firstLineChars="200"/>
        <w:rPr>
          <w:rFonts w:asci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①</w:t>
      </w:r>
      <w:r>
        <w:rPr>
          <w:rFonts w:hint="eastAsia" w:ascii="宋体" w:cs="宋体"/>
          <w:b/>
          <w:bCs/>
          <w:color w:val="000000" w:themeColor="text1"/>
          <w:sz w:val="24"/>
          <w14:textFill>
            <w14:solidFill>
              <w14:schemeClr w14:val="tx1"/>
            </w14:solidFill>
          </w14:textFill>
        </w:rPr>
        <w:t>营业执照副本；</w:t>
      </w:r>
    </w:p>
    <w:p>
      <w:pPr>
        <w:spacing w:line="360" w:lineRule="auto"/>
        <w:ind w:firstLine="482" w:firstLineChars="200"/>
        <w:rPr>
          <w:rFonts w:ascii="宋体"/>
          <w:sz w:val="24"/>
        </w:rPr>
      </w:pPr>
      <w:r>
        <w:rPr>
          <w:rFonts w:hint="eastAsia" w:ascii="宋体" w:hAnsi="宋体" w:cs="宋体"/>
          <w:b/>
          <w:bCs/>
          <w:color w:val="000000" w:themeColor="text1"/>
          <w:sz w:val="24"/>
          <w14:textFill>
            <w14:solidFill>
              <w14:schemeClr w14:val="tx1"/>
            </w14:solidFill>
          </w14:textFill>
        </w:rPr>
        <w:t>②</w:t>
      </w:r>
      <w:r>
        <w:rPr>
          <w:rFonts w:hint="eastAsia" w:ascii="宋体" w:cs="宋体"/>
          <w:b/>
          <w:bCs/>
          <w:color w:val="000000" w:themeColor="text1"/>
          <w:sz w:val="24"/>
          <w14:textFill>
            <w14:solidFill>
              <w14:schemeClr w14:val="tx1"/>
            </w14:solidFill>
          </w14:textFill>
        </w:rPr>
        <w:t>通过网站等渠道查询未被“信用中国”（www.creditchina.gov.cn）、中国政府采购网（www.ccgp.gov.cn）列入失信被执行人、重大税收违法案件当事人名单、政府采购严重违法失信行为记录名单的截图。</w:t>
      </w:r>
      <w:r>
        <w:rPr>
          <w:rFonts w:ascii="宋体"/>
          <w:kern w:val="0"/>
          <w:sz w:val="24"/>
        </w:rPr>
        <w:br w:type="page"/>
      </w:r>
    </w:p>
    <w:p>
      <w:pPr>
        <w:widowControl/>
        <w:jc w:val="center"/>
        <w:textAlignment w:val="center"/>
        <w:rPr>
          <w:rFonts w:ascii="宋体" w:cs="宋体"/>
          <w:b/>
          <w:sz w:val="30"/>
          <w:szCs w:val="30"/>
        </w:rPr>
      </w:pPr>
    </w:p>
    <w:p>
      <w:pPr>
        <w:rPr>
          <w:rFonts w:ascii="宋体"/>
          <w:b/>
          <w:bCs/>
          <w:kern w:val="0"/>
          <w:sz w:val="24"/>
        </w:rPr>
      </w:pPr>
      <w:r>
        <w:rPr>
          <w:rFonts w:hint="eastAsia" w:ascii="宋体"/>
          <w:b/>
          <w:bCs/>
          <w:kern w:val="0"/>
          <w:sz w:val="24"/>
        </w:rPr>
        <w:t>7.2.6. 技术条款偏离表</w:t>
      </w:r>
    </w:p>
    <w:p>
      <w:pPr>
        <w:spacing w:line="360" w:lineRule="auto"/>
        <w:jc w:val="center"/>
        <w:rPr>
          <w:rFonts w:ascii="宋体"/>
          <w:b/>
          <w:bCs/>
          <w:sz w:val="32"/>
          <w:szCs w:val="32"/>
        </w:rPr>
      </w:pPr>
      <w:bookmarkStart w:id="34" w:name="_Toc16454"/>
      <w:bookmarkStart w:id="35" w:name="_Toc568"/>
    </w:p>
    <w:p>
      <w:pPr>
        <w:spacing w:line="360" w:lineRule="auto"/>
        <w:jc w:val="center"/>
        <w:rPr>
          <w:rFonts w:ascii="宋体"/>
          <w:b/>
          <w:bCs/>
          <w:sz w:val="32"/>
          <w:szCs w:val="32"/>
        </w:rPr>
      </w:pPr>
      <w:r>
        <w:rPr>
          <w:rFonts w:hint="eastAsia" w:ascii="宋体"/>
          <w:b/>
          <w:bCs/>
          <w:sz w:val="32"/>
          <w:szCs w:val="32"/>
        </w:rPr>
        <w:t>技术条款偏离表</w:t>
      </w:r>
    </w:p>
    <w:tbl>
      <w:tblPr>
        <w:tblStyle w:val="23"/>
        <w:tblW w:w="8894"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5"/>
        <w:gridCol w:w="1357"/>
        <w:gridCol w:w="1326"/>
        <w:gridCol w:w="1326"/>
        <w:gridCol w:w="1326"/>
        <w:gridCol w:w="1327"/>
        <w:gridCol w:w="13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05" w:type="dxa"/>
            <w:noWrap/>
            <w:vAlign w:val="center"/>
          </w:tcPr>
          <w:p>
            <w:pPr>
              <w:jc w:val="center"/>
              <w:rPr>
                <w:rFonts w:ascii="宋体" w:cs="宋体"/>
                <w:bCs/>
                <w:sz w:val="24"/>
              </w:rPr>
            </w:pPr>
            <w:r>
              <w:rPr>
                <w:rFonts w:hint="eastAsia" w:ascii="宋体" w:cs="宋体"/>
                <w:bCs/>
                <w:sz w:val="24"/>
              </w:rPr>
              <w:t>序号</w:t>
            </w:r>
          </w:p>
        </w:tc>
        <w:tc>
          <w:tcPr>
            <w:tcW w:w="1357" w:type="dxa"/>
            <w:noWrap/>
            <w:vAlign w:val="center"/>
          </w:tcPr>
          <w:p>
            <w:pPr>
              <w:jc w:val="center"/>
              <w:rPr>
                <w:rFonts w:ascii="宋体" w:cs="宋体"/>
                <w:bCs/>
                <w:sz w:val="24"/>
              </w:rPr>
            </w:pPr>
            <w:r>
              <w:rPr>
                <w:rFonts w:hint="eastAsia" w:ascii="宋体" w:cs="宋体"/>
                <w:bCs/>
                <w:sz w:val="24"/>
              </w:rPr>
              <w:t>货物名称</w:t>
            </w:r>
          </w:p>
        </w:tc>
        <w:tc>
          <w:tcPr>
            <w:tcW w:w="1326" w:type="dxa"/>
            <w:noWrap/>
            <w:vAlign w:val="center"/>
          </w:tcPr>
          <w:p>
            <w:pPr>
              <w:jc w:val="center"/>
              <w:rPr>
                <w:rFonts w:ascii="宋体" w:cs="宋体"/>
                <w:bCs/>
                <w:sz w:val="24"/>
              </w:rPr>
            </w:pPr>
            <w:r>
              <w:rPr>
                <w:rFonts w:hint="eastAsia" w:ascii="宋体" w:cs="宋体"/>
                <w:bCs/>
                <w:sz w:val="24"/>
              </w:rPr>
              <w:t>招标文件条目号</w:t>
            </w:r>
          </w:p>
        </w:tc>
        <w:tc>
          <w:tcPr>
            <w:tcW w:w="1326" w:type="dxa"/>
            <w:noWrap/>
            <w:vAlign w:val="center"/>
          </w:tcPr>
          <w:p>
            <w:pPr>
              <w:jc w:val="center"/>
              <w:rPr>
                <w:rFonts w:ascii="宋体" w:cs="宋体"/>
                <w:bCs/>
                <w:sz w:val="24"/>
              </w:rPr>
            </w:pPr>
            <w:r>
              <w:rPr>
                <w:rFonts w:hint="eastAsia" w:ascii="宋体" w:cs="宋体"/>
                <w:bCs/>
                <w:sz w:val="24"/>
              </w:rPr>
              <w:t>招标文件要求规格</w:t>
            </w:r>
          </w:p>
        </w:tc>
        <w:tc>
          <w:tcPr>
            <w:tcW w:w="1326" w:type="dxa"/>
            <w:noWrap/>
            <w:vAlign w:val="center"/>
          </w:tcPr>
          <w:p>
            <w:pPr>
              <w:jc w:val="center"/>
              <w:rPr>
                <w:rFonts w:ascii="宋体" w:cs="宋体"/>
                <w:bCs/>
                <w:sz w:val="24"/>
              </w:rPr>
            </w:pPr>
            <w:r>
              <w:rPr>
                <w:rFonts w:hint="eastAsia" w:ascii="宋体" w:cs="宋体"/>
                <w:bCs/>
                <w:sz w:val="24"/>
              </w:rPr>
              <w:t>投标规格</w:t>
            </w:r>
          </w:p>
        </w:tc>
        <w:tc>
          <w:tcPr>
            <w:tcW w:w="1327" w:type="dxa"/>
            <w:noWrap/>
            <w:vAlign w:val="center"/>
          </w:tcPr>
          <w:p>
            <w:pPr>
              <w:jc w:val="center"/>
              <w:rPr>
                <w:rFonts w:ascii="宋体" w:cs="宋体"/>
                <w:bCs/>
                <w:sz w:val="24"/>
              </w:rPr>
            </w:pPr>
            <w:r>
              <w:rPr>
                <w:rFonts w:hint="eastAsia" w:ascii="宋体" w:cs="宋体"/>
                <w:bCs/>
                <w:sz w:val="24"/>
              </w:rPr>
              <w:t>偏离</w:t>
            </w:r>
          </w:p>
        </w:tc>
        <w:tc>
          <w:tcPr>
            <w:tcW w:w="1327" w:type="dxa"/>
            <w:noWrap/>
            <w:vAlign w:val="center"/>
          </w:tcPr>
          <w:p>
            <w:pPr>
              <w:jc w:val="center"/>
              <w:rPr>
                <w:rFonts w:ascii="宋体" w:cs="宋体"/>
                <w:bCs/>
                <w:sz w:val="24"/>
              </w:rPr>
            </w:pPr>
            <w:r>
              <w:rPr>
                <w:rFonts w:hint="eastAsia" w:ascii="宋体" w:cs="宋体"/>
                <w:bCs/>
                <w:sz w:val="24"/>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05" w:type="dxa"/>
            <w:noWrap/>
          </w:tcPr>
          <w:p>
            <w:pPr>
              <w:jc w:val="center"/>
              <w:rPr>
                <w:rFonts w:ascii="宋体" w:cs="宋体"/>
                <w:b/>
                <w:bCs/>
                <w:sz w:val="24"/>
              </w:rPr>
            </w:pPr>
          </w:p>
        </w:tc>
        <w:tc>
          <w:tcPr>
            <w:tcW w:w="1357" w:type="dxa"/>
            <w:noWrap/>
          </w:tcPr>
          <w:p>
            <w:pPr>
              <w:jc w:val="center"/>
              <w:rPr>
                <w:rFonts w:ascii="宋体" w:cs="宋体"/>
                <w:b/>
                <w:bCs/>
                <w:sz w:val="24"/>
              </w:rPr>
            </w:pPr>
          </w:p>
        </w:tc>
        <w:tc>
          <w:tcPr>
            <w:tcW w:w="1326" w:type="dxa"/>
            <w:noWrap/>
          </w:tcPr>
          <w:p>
            <w:pPr>
              <w:jc w:val="center"/>
              <w:rPr>
                <w:rFonts w:ascii="宋体" w:cs="宋体"/>
                <w:b/>
                <w:bCs/>
                <w:sz w:val="24"/>
              </w:rPr>
            </w:pPr>
          </w:p>
        </w:tc>
        <w:tc>
          <w:tcPr>
            <w:tcW w:w="1326" w:type="dxa"/>
            <w:noWrap/>
          </w:tcPr>
          <w:p>
            <w:pPr>
              <w:jc w:val="center"/>
              <w:rPr>
                <w:rFonts w:ascii="宋体" w:cs="宋体"/>
                <w:b/>
                <w:bCs/>
                <w:sz w:val="24"/>
              </w:rPr>
            </w:pPr>
          </w:p>
        </w:tc>
        <w:tc>
          <w:tcPr>
            <w:tcW w:w="1326" w:type="dxa"/>
            <w:noWrap/>
          </w:tcPr>
          <w:p>
            <w:pPr>
              <w:jc w:val="center"/>
              <w:rPr>
                <w:rFonts w:ascii="宋体" w:cs="宋体"/>
                <w:b/>
                <w:bCs/>
                <w:sz w:val="24"/>
              </w:rPr>
            </w:pPr>
          </w:p>
        </w:tc>
        <w:tc>
          <w:tcPr>
            <w:tcW w:w="1327" w:type="dxa"/>
            <w:noWrap/>
          </w:tcPr>
          <w:p>
            <w:pPr>
              <w:jc w:val="center"/>
              <w:rPr>
                <w:rFonts w:ascii="宋体" w:cs="宋体"/>
                <w:b/>
                <w:bCs/>
                <w:sz w:val="24"/>
              </w:rPr>
            </w:pPr>
          </w:p>
        </w:tc>
        <w:tc>
          <w:tcPr>
            <w:tcW w:w="1327" w:type="dxa"/>
            <w:noWrap/>
          </w:tcPr>
          <w:p>
            <w:pPr>
              <w:jc w:val="center"/>
              <w:rPr>
                <w:rFonts w:ascii="宋体" w:cs="宋体"/>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05" w:type="dxa"/>
            <w:noWrap/>
          </w:tcPr>
          <w:p>
            <w:pPr>
              <w:jc w:val="center"/>
              <w:rPr>
                <w:rFonts w:ascii="宋体" w:cs="宋体"/>
                <w:b/>
                <w:bCs/>
                <w:sz w:val="24"/>
              </w:rPr>
            </w:pPr>
          </w:p>
        </w:tc>
        <w:tc>
          <w:tcPr>
            <w:tcW w:w="1357" w:type="dxa"/>
            <w:noWrap/>
          </w:tcPr>
          <w:p>
            <w:pPr>
              <w:jc w:val="center"/>
              <w:rPr>
                <w:rFonts w:ascii="宋体" w:cs="宋体"/>
                <w:b/>
                <w:bCs/>
                <w:sz w:val="24"/>
              </w:rPr>
            </w:pPr>
          </w:p>
        </w:tc>
        <w:tc>
          <w:tcPr>
            <w:tcW w:w="1326" w:type="dxa"/>
            <w:noWrap/>
          </w:tcPr>
          <w:p>
            <w:pPr>
              <w:jc w:val="center"/>
              <w:rPr>
                <w:rFonts w:ascii="宋体" w:cs="宋体"/>
                <w:b/>
                <w:bCs/>
                <w:sz w:val="24"/>
              </w:rPr>
            </w:pPr>
          </w:p>
        </w:tc>
        <w:tc>
          <w:tcPr>
            <w:tcW w:w="1326" w:type="dxa"/>
            <w:noWrap/>
          </w:tcPr>
          <w:p>
            <w:pPr>
              <w:jc w:val="center"/>
              <w:rPr>
                <w:rFonts w:ascii="宋体" w:cs="宋体"/>
                <w:b/>
                <w:bCs/>
                <w:sz w:val="24"/>
              </w:rPr>
            </w:pPr>
          </w:p>
        </w:tc>
        <w:tc>
          <w:tcPr>
            <w:tcW w:w="1326" w:type="dxa"/>
            <w:noWrap/>
          </w:tcPr>
          <w:p>
            <w:pPr>
              <w:jc w:val="center"/>
              <w:rPr>
                <w:rFonts w:ascii="宋体" w:cs="宋体"/>
                <w:b/>
                <w:bCs/>
                <w:sz w:val="24"/>
              </w:rPr>
            </w:pPr>
          </w:p>
        </w:tc>
        <w:tc>
          <w:tcPr>
            <w:tcW w:w="1327" w:type="dxa"/>
            <w:noWrap/>
          </w:tcPr>
          <w:p>
            <w:pPr>
              <w:jc w:val="center"/>
              <w:rPr>
                <w:rFonts w:ascii="宋体" w:cs="宋体"/>
                <w:b/>
                <w:bCs/>
                <w:sz w:val="24"/>
              </w:rPr>
            </w:pPr>
          </w:p>
        </w:tc>
        <w:tc>
          <w:tcPr>
            <w:tcW w:w="1327" w:type="dxa"/>
            <w:noWrap/>
          </w:tcPr>
          <w:p>
            <w:pPr>
              <w:jc w:val="center"/>
              <w:rPr>
                <w:rFonts w:ascii="宋体" w:cs="宋体"/>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05" w:type="dxa"/>
            <w:noWrap/>
          </w:tcPr>
          <w:p>
            <w:pPr>
              <w:jc w:val="center"/>
              <w:rPr>
                <w:rFonts w:ascii="宋体" w:cs="宋体"/>
                <w:b/>
                <w:bCs/>
                <w:sz w:val="24"/>
              </w:rPr>
            </w:pPr>
          </w:p>
        </w:tc>
        <w:tc>
          <w:tcPr>
            <w:tcW w:w="1357" w:type="dxa"/>
            <w:noWrap/>
          </w:tcPr>
          <w:p>
            <w:pPr>
              <w:jc w:val="center"/>
              <w:rPr>
                <w:rFonts w:ascii="宋体" w:cs="宋体"/>
                <w:b/>
                <w:bCs/>
                <w:sz w:val="24"/>
              </w:rPr>
            </w:pPr>
          </w:p>
        </w:tc>
        <w:tc>
          <w:tcPr>
            <w:tcW w:w="1326" w:type="dxa"/>
            <w:noWrap/>
          </w:tcPr>
          <w:p>
            <w:pPr>
              <w:jc w:val="center"/>
              <w:rPr>
                <w:rFonts w:ascii="宋体" w:cs="宋体"/>
                <w:b/>
                <w:bCs/>
                <w:sz w:val="24"/>
              </w:rPr>
            </w:pPr>
          </w:p>
        </w:tc>
        <w:tc>
          <w:tcPr>
            <w:tcW w:w="1326" w:type="dxa"/>
            <w:noWrap/>
          </w:tcPr>
          <w:p>
            <w:pPr>
              <w:jc w:val="center"/>
              <w:rPr>
                <w:rFonts w:ascii="宋体" w:cs="宋体"/>
                <w:b/>
                <w:bCs/>
                <w:sz w:val="24"/>
              </w:rPr>
            </w:pPr>
          </w:p>
        </w:tc>
        <w:tc>
          <w:tcPr>
            <w:tcW w:w="1326" w:type="dxa"/>
            <w:noWrap/>
          </w:tcPr>
          <w:p>
            <w:pPr>
              <w:jc w:val="center"/>
              <w:rPr>
                <w:rFonts w:ascii="宋体" w:cs="宋体"/>
                <w:b/>
                <w:bCs/>
                <w:sz w:val="24"/>
              </w:rPr>
            </w:pPr>
          </w:p>
        </w:tc>
        <w:tc>
          <w:tcPr>
            <w:tcW w:w="1327" w:type="dxa"/>
            <w:noWrap/>
          </w:tcPr>
          <w:p>
            <w:pPr>
              <w:jc w:val="center"/>
              <w:rPr>
                <w:rFonts w:ascii="宋体" w:cs="宋体"/>
                <w:b/>
                <w:bCs/>
                <w:sz w:val="24"/>
              </w:rPr>
            </w:pPr>
          </w:p>
        </w:tc>
        <w:tc>
          <w:tcPr>
            <w:tcW w:w="1327" w:type="dxa"/>
            <w:noWrap/>
          </w:tcPr>
          <w:p>
            <w:pPr>
              <w:jc w:val="center"/>
              <w:rPr>
                <w:rFonts w:ascii="宋体" w:cs="宋体"/>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05" w:type="dxa"/>
            <w:noWrap/>
          </w:tcPr>
          <w:p>
            <w:pPr>
              <w:jc w:val="center"/>
              <w:rPr>
                <w:rFonts w:ascii="宋体" w:cs="宋体"/>
                <w:b/>
                <w:bCs/>
                <w:sz w:val="24"/>
              </w:rPr>
            </w:pPr>
          </w:p>
        </w:tc>
        <w:tc>
          <w:tcPr>
            <w:tcW w:w="1357" w:type="dxa"/>
            <w:noWrap/>
          </w:tcPr>
          <w:p>
            <w:pPr>
              <w:jc w:val="center"/>
              <w:rPr>
                <w:rFonts w:ascii="宋体" w:cs="宋体"/>
                <w:b/>
                <w:bCs/>
                <w:sz w:val="24"/>
              </w:rPr>
            </w:pPr>
          </w:p>
        </w:tc>
        <w:tc>
          <w:tcPr>
            <w:tcW w:w="1326" w:type="dxa"/>
            <w:noWrap/>
          </w:tcPr>
          <w:p>
            <w:pPr>
              <w:jc w:val="center"/>
              <w:rPr>
                <w:rFonts w:ascii="宋体" w:cs="宋体"/>
                <w:b/>
                <w:bCs/>
                <w:sz w:val="24"/>
              </w:rPr>
            </w:pPr>
          </w:p>
        </w:tc>
        <w:tc>
          <w:tcPr>
            <w:tcW w:w="1326" w:type="dxa"/>
            <w:noWrap/>
          </w:tcPr>
          <w:p>
            <w:pPr>
              <w:jc w:val="center"/>
              <w:rPr>
                <w:rFonts w:ascii="宋体" w:cs="宋体"/>
                <w:b/>
                <w:bCs/>
                <w:sz w:val="24"/>
              </w:rPr>
            </w:pPr>
          </w:p>
        </w:tc>
        <w:tc>
          <w:tcPr>
            <w:tcW w:w="1326" w:type="dxa"/>
            <w:noWrap/>
          </w:tcPr>
          <w:p>
            <w:pPr>
              <w:jc w:val="center"/>
              <w:rPr>
                <w:rFonts w:ascii="宋体" w:cs="宋体"/>
                <w:b/>
                <w:bCs/>
                <w:sz w:val="24"/>
              </w:rPr>
            </w:pPr>
          </w:p>
        </w:tc>
        <w:tc>
          <w:tcPr>
            <w:tcW w:w="1327" w:type="dxa"/>
            <w:noWrap/>
          </w:tcPr>
          <w:p>
            <w:pPr>
              <w:jc w:val="center"/>
              <w:rPr>
                <w:rFonts w:ascii="宋体" w:cs="宋体"/>
                <w:b/>
                <w:bCs/>
                <w:sz w:val="24"/>
              </w:rPr>
            </w:pPr>
          </w:p>
        </w:tc>
        <w:tc>
          <w:tcPr>
            <w:tcW w:w="1327" w:type="dxa"/>
            <w:noWrap/>
          </w:tcPr>
          <w:p>
            <w:pPr>
              <w:jc w:val="center"/>
              <w:rPr>
                <w:rFonts w:ascii="宋体" w:cs="宋体"/>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05" w:type="dxa"/>
            <w:noWrap/>
          </w:tcPr>
          <w:p>
            <w:pPr>
              <w:jc w:val="center"/>
              <w:rPr>
                <w:rFonts w:ascii="宋体" w:cs="宋体"/>
                <w:b/>
                <w:bCs/>
                <w:sz w:val="24"/>
              </w:rPr>
            </w:pPr>
          </w:p>
        </w:tc>
        <w:tc>
          <w:tcPr>
            <w:tcW w:w="1357" w:type="dxa"/>
            <w:noWrap/>
          </w:tcPr>
          <w:p>
            <w:pPr>
              <w:jc w:val="center"/>
              <w:rPr>
                <w:rFonts w:ascii="宋体" w:cs="宋体"/>
                <w:b/>
                <w:bCs/>
                <w:sz w:val="24"/>
              </w:rPr>
            </w:pPr>
          </w:p>
        </w:tc>
        <w:tc>
          <w:tcPr>
            <w:tcW w:w="1326" w:type="dxa"/>
            <w:noWrap/>
          </w:tcPr>
          <w:p>
            <w:pPr>
              <w:jc w:val="center"/>
              <w:rPr>
                <w:rFonts w:ascii="宋体" w:cs="宋体"/>
                <w:b/>
                <w:bCs/>
                <w:sz w:val="24"/>
              </w:rPr>
            </w:pPr>
          </w:p>
        </w:tc>
        <w:tc>
          <w:tcPr>
            <w:tcW w:w="1326" w:type="dxa"/>
            <w:noWrap/>
          </w:tcPr>
          <w:p>
            <w:pPr>
              <w:jc w:val="center"/>
              <w:rPr>
                <w:rFonts w:ascii="宋体" w:cs="宋体"/>
                <w:b/>
                <w:bCs/>
                <w:sz w:val="24"/>
              </w:rPr>
            </w:pPr>
          </w:p>
        </w:tc>
        <w:tc>
          <w:tcPr>
            <w:tcW w:w="1326" w:type="dxa"/>
            <w:noWrap/>
          </w:tcPr>
          <w:p>
            <w:pPr>
              <w:jc w:val="center"/>
              <w:rPr>
                <w:rFonts w:ascii="宋体" w:cs="宋体"/>
                <w:b/>
                <w:bCs/>
                <w:sz w:val="24"/>
              </w:rPr>
            </w:pPr>
          </w:p>
        </w:tc>
        <w:tc>
          <w:tcPr>
            <w:tcW w:w="1327" w:type="dxa"/>
            <w:noWrap/>
          </w:tcPr>
          <w:p>
            <w:pPr>
              <w:jc w:val="center"/>
              <w:rPr>
                <w:rFonts w:ascii="宋体" w:cs="宋体"/>
                <w:b/>
                <w:bCs/>
                <w:sz w:val="24"/>
              </w:rPr>
            </w:pPr>
          </w:p>
        </w:tc>
        <w:tc>
          <w:tcPr>
            <w:tcW w:w="1327" w:type="dxa"/>
            <w:noWrap/>
          </w:tcPr>
          <w:p>
            <w:pPr>
              <w:jc w:val="center"/>
              <w:rPr>
                <w:rFonts w:ascii="宋体" w:cs="宋体"/>
                <w:b/>
                <w:bCs/>
                <w:sz w:val="24"/>
              </w:rPr>
            </w:pPr>
          </w:p>
        </w:tc>
      </w:tr>
    </w:tbl>
    <w:p>
      <w:pPr>
        <w:spacing w:line="360" w:lineRule="auto"/>
        <w:ind w:firstLine="475" w:firstLineChars="198"/>
        <w:jc w:val="left"/>
        <w:rPr>
          <w:rFonts w:ascii="宋体"/>
          <w:sz w:val="24"/>
        </w:rPr>
      </w:pPr>
      <w:r>
        <w:rPr>
          <w:rFonts w:hint="eastAsia" w:ascii="宋体"/>
          <w:sz w:val="24"/>
        </w:rPr>
        <w:t>备注：投标人应根据其提供的货物，对照招标文件“技术标准和要求”中的要求，有差异的，则在此表中列明实际响应的内容提要并加以说明，以便查对。本表包括所有的技术响应及差异。无差异说明表示完全响应。</w:t>
      </w:r>
    </w:p>
    <w:p>
      <w:pPr>
        <w:widowControl/>
        <w:shd w:val="clear" w:color="auto" w:fill="FFFFFF"/>
        <w:snapToGrid w:val="0"/>
        <w:spacing w:line="384" w:lineRule="auto"/>
        <w:jc w:val="left"/>
        <w:rPr>
          <w:rFonts w:ascii="宋体"/>
          <w:kern w:val="0"/>
          <w:sz w:val="24"/>
        </w:rPr>
      </w:pPr>
    </w:p>
    <w:p>
      <w:pPr>
        <w:spacing w:line="360" w:lineRule="auto"/>
        <w:rPr>
          <w:rFonts w:ascii="宋体" w:cs="宋体"/>
          <w:sz w:val="24"/>
        </w:rPr>
      </w:pPr>
    </w:p>
    <w:p>
      <w:pPr>
        <w:pStyle w:val="12"/>
        <w:tabs>
          <w:tab w:val="left" w:pos="5580"/>
        </w:tabs>
        <w:spacing w:line="360" w:lineRule="auto"/>
        <w:ind w:firstLine="3120" w:firstLineChars="1300"/>
        <w:rPr>
          <w:sz w:val="24"/>
        </w:rPr>
      </w:pPr>
      <w:r>
        <w:rPr>
          <w:rFonts w:hint="eastAsia"/>
          <w:sz w:val="24"/>
        </w:rPr>
        <w:t>投标人（盖</w:t>
      </w:r>
      <w:r>
        <w:rPr>
          <w:sz w:val="24"/>
        </w:rPr>
        <w:t>章）：</w:t>
      </w:r>
    </w:p>
    <w:p>
      <w:pPr>
        <w:pStyle w:val="12"/>
        <w:tabs>
          <w:tab w:val="left" w:pos="5580"/>
        </w:tabs>
        <w:spacing w:line="360" w:lineRule="auto"/>
        <w:ind w:firstLine="3120" w:firstLineChars="1300"/>
        <w:rPr>
          <w:rFonts w:cs="宋体"/>
          <w:kern w:val="0"/>
          <w:sz w:val="24"/>
          <w:u w:val="single"/>
        </w:rPr>
      </w:pPr>
      <w:r>
        <w:rPr>
          <w:rFonts w:hint="eastAsia"/>
          <w:sz w:val="24"/>
        </w:rPr>
        <w:t>法定代表人或</w:t>
      </w:r>
      <w:r>
        <w:rPr>
          <w:rFonts w:hint="eastAsia" w:cs="宋体"/>
          <w:kern w:val="0"/>
          <w:sz w:val="24"/>
        </w:rPr>
        <w:t>委托代理人</w:t>
      </w:r>
      <w:r>
        <w:rPr>
          <w:rFonts w:hint="eastAsia"/>
          <w:sz w:val="24"/>
        </w:rPr>
        <w:t>（签字）</w:t>
      </w:r>
      <w:r>
        <w:rPr>
          <w:rFonts w:hint="eastAsia" w:cs="宋体"/>
          <w:kern w:val="0"/>
          <w:sz w:val="24"/>
        </w:rPr>
        <w:t>：</w:t>
      </w:r>
    </w:p>
    <w:p>
      <w:pPr>
        <w:spacing w:line="360" w:lineRule="auto"/>
        <w:ind w:firstLine="3120" w:firstLineChars="1300"/>
        <w:rPr>
          <w:rFonts w:ascii="宋体" w:cs="宋体"/>
          <w:sz w:val="24"/>
        </w:rPr>
      </w:pPr>
      <w:r>
        <w:rPr>
          <w:rFonts w:hint="eastAsia" w:ascii="宋体" w:cs="宋体"/>
          <w:sz w:val="24"/>
        </w:rPr>
        <w:t>日期：       年   月   日</w:t>
      </w:r>
    </w:p>
    <w:p>
      <w:pPr>
        <w:spacing w:line="360" w:lineRule="auto"/>
        <w:rPr>
          <w:rFonts w:ascii="宋体" w:cs="宋体"/>
          <w:sz w:val="24"/>
        </w:rPr>
      </w:pPr>
    </w:p>
    <w:p>
      <w:pPr>
        <w:pStyle w:val="6"/>
        <w:rPr>
          <w:rFonts w:ascii="宋体" w:cs="宋体"/>
          <w:b/>
          <w:sz w:val="24"/>
        </w:rPr>
      </w:pPr>
    </w:p>
    <w:p>
      <w:pPr>
        <w:pStyle w:val="6"/>
        <w:rPr>
          <w:rFonts w:ascii="宋体" w:cs="宋体"/>
          <w:b/>
          <w:sz w:val="24"/>
        </w:rPr>
      </w:pPr>
    </w:p>
    <w:p>
      <w:pPr>
        <w:pStyle w:val="6"/>
        <w:rPr>
          <w:rFonts w:ascii="宋体" w:cs="宋体"/>
          <w:b/>
          <w:sz w:val="24"/>
        </w:rPr>
      </w:pPr>
    </w:p>
    <w:p>
      <w:pPr>
        <w:pStyle w:val="6"/>
        <w:rPr>
          <w:rFonts w:ascii="宋体" w:cs="宋体"/>
          <w:b/>
          <w:sz w:val="24"/>
        </w:rPr>
      </w:pPr>
    </w:p>
    <w:p>
      <w:pPr>
        <w:pStyle w:val="6"/>
        <w:rPr>
          <w:rFonts w:ascii="宋体" w:cs="宋体"/>
          <w:b/>
          <w:sz w:val="24"/>
        </w:rPr>
      </w:pPr>
    </w:p>
    <w:p>
      <w:pPr>
        <w:pStyle w:val="6"/>
        <w:rPr>
          <w:rFonts w:ascii="宋体" w:cs="宋体"/>
          <w:b/>
          <w:sz w:val="24"/>
        </w:rPr>
      </w:pPr>
    </w:p>
    <w:p>
      <w:pPr>
        <w:pStyle w:val="6"/>
        <w:rPr>
          <w:rFonts w:ascii="宋体" w:cs="宋体"/>
          <w:b/>
          <w:sz w:val="24"/>
        </w:rPr>
      </w:pPr>
    </w:p>
    <w:p>
      <w:pPr>
        <w:pStyle w:val="6"/>
        <w:rPr>
          <w:rFonts w:ascii="宋体" w:cs="宋体"/>
          <w:b/>
          <w:sz w:val="24"/>
        </w:rPr>
      </w:pPr>
    </w:p>
    <w:p>
      <w:pPr>
        <w:pStyle w:val="6"/>
        <w:rPr>
          <w:rFonts w:ascii="宋体" w:cs="宋体"/>
          <w:b/>
          <w:sz w:val="24"/>
        </w:rPr>
      </w:pPr>
    </w:p>
    <w:p>
      <w:pPr>
        <w:pStyle w:val="6"/>
        <w:rPr>
          <w:rFonts w:ascii="宋体" w:cs="宋体"/>
          <w:b/>
          <w:sz w:val="24"/>
        </w:rPr>
      </w:pPr>
    </w:p>
    <w:p>
      <w:pPr>
        <w:pStyle w:val="6"/>
        <w:rPr>
          <w:rFonts w:ascii="宋体" w:cs="宋体"/>
          <w:b/>
          <w:sz w:val="24"/>
        </w:rPr>
      </w:pPr>
    </w:p>
    <w:p>
      <w:pPr>
        <w:pStyle w:val="6"/>
        <w:rPr>
          <w:rFonts w:ascii="宋体" w:cs="宋体"/>
          <w:b/>
          <w:sz w:val="24"/>
        </w:rPr>
      </w:pPr>
    </w:p>
    <w:p>
      <w:pPr>
        <w:tabs>
          <w:tab w:val="center" w:pos="4832"/>
          <w:tab w:val="left" w:pos="7140"/>
        </w:tabs>
        <w:jc w:val="center"/>
        <w:outlineLvl w:val="1"/>
        <w:rPr>
          <w:rFonts w:ascii="宋体" w:cs="宋体"/>
          <w:b/>
          <w:sz w:val="24"/>
        </w:rPr>
      </w:pPr>
    </w:p>
    <w:p>
      <w:pPr>
        <w:widowControl/>
        <w:jc w:val="center"/>
        <w:textAlignment w:val="center"/>
        <w:rPr>
          <w:rFonts w:ascii="宋体" w:cs="宋体"/>
          <w:b/>
          <w:sz w:val="30"/>
          <w:szCs w:val="30"/>
        </w:rPr>
      </w:pPr>
    </w:p>
    <w:p>
      <w:pPr>
        <w:rPr>
          <w:rFonts w:ascii="宋体"/>
          <w:b/>
          <w:bCs/>
          <w:kern w:val="0"/>
          <w:sz w:val="24"/>
        </w:rPr>
      </w:pPr>
      <w:r>
        <w:rPr>
          <w:rFonts w:hint="eastAsia" w:ascii="宋体"/>
          <w:b/>
          <w:bCs/>
          <w:kern w:val="0"/>
          <w:sz w:val="24"/>
        </w:rPr>
        <w:br w:type="page"/>
      </w:r>
    </w:p>
    <w:p>
      <w:pPr>
        <w:rPr>
          <w:rFonts w:ascii="宋体"/>
          <w:b/>
          <w:bCs/>
          <w:kern w:val="0"/>
          <w:sz w:val="24"/>
        </w:rPr>
      </w:pPr>
      <w:r>
        <w:rPr>
          <w:rFonts w:hint="eastAsia" w:ascii="宋体"/>
          <w:b/>
          <w:bCs/>
          <w:kern w:val="0"/>
          <w:sz w:val="24"/>
        </w:rPr>
        <w:t>7.2.7. 商务条款偏离表</w:t>
      </w:r>
    </w:p>
    <w:p>
      <w:pPr>
        <w:spacing w:line="360" w:lineRule="auto"/>
        <w:ind w:firstLine="643" w:firstLineChars="200"/>
        <w:jc w:val="center"/>
        <w:rPr>
          <w:rFonts w:ascii="宋体"/>
          <w:b/>
          <w:bCs/>
          <w:sz w:val="32"/>
          <w:szCs w:val="32"/>
        </w:rPr>
      </w:pPr>
    </w:p>
    <w:p>
      <w:pPr>
        <w:spacing w:line="360" w:lineRule="auto"/>
        <w:ind w:firstLine="643" w:firstLineChars="200"/>
        <w:jc w:val="center"/>
        <w:rPr>
          <w:rFonts w:ascii="宋体"/>
          <w:b/>
          <w:bCs/>
          <w:sz w:val="32"/>
          <w:szCs w:val="32"/>
        </w:rPr>
      </w:pPr>
      <w:r>
        <w:rPr>
          <w:rFonts w:hint="eastAsia" w:ascii="宋体"/>
          <w:b/>
          <w:bCs/>
          <w:sz w:val="32"/>
          <w:szCs w:val="32"/>
        </w:rPr>
        <w:t>商务条款偏离表</w:t>
      </w:r>
    </w:p>
    <w:bookmarkEnd w:id="34"/>
    <w:bookmarkEnd w:id="35"/>
    <w:tbl>
      <w:tblPr>
        <w:tblStyle w:val="23"/>
        <w:tblW w:w="9039"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6"/>
        <w:gridCol w:w="2070"/>
        <w:gridCol w:w="2052"/>
        <w:gridCol w:w="2126"/>
        <w:gridCol w:w="19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jc w:val="center"/>
        </w:trPr>
        <w:tc>
          <w:tcPr>
            <w:tcW w:w="806" w:type="dxa"/>
            <w:noWrap/>
            <w:vAlign w:val="center"/>
          </w:tcPr>
          <w:p>
            <w:pPr>
              <w:jc w:val="center"/>
              <w:rPr>
                <w:rFonts w:ascii="宋体" w:cs="宋体"/>
                <w:bCs/>
                <w:sz w:val="24"/>
              </w:rPr>
            </w:pPr>
            <w:r>
              <w:rPr>
                <w:rFonts w:hint="eastAsia" w:ascii="宋体" w:cs="宋体"/>
                <w:bCs/>
                <w:sz w:val="24"/>
              </w:rPr>
              <w:t>序号</w:t>
            </w:r>
          </w:p>
        </w:tc>
        <w:tc>
          <w:tcPr>
            <w:tcW w:w="2070" w:type="dxa"/>
            <w:noWrap/>
            <w:vAlign w:val="center"/>
          </w:tcPr>
          <w:p>
            <w:pPr>
              <w:jc w:val="center"/>
              <w:rPr>
                <w:rFonts w:ascii="宋体" w:cs="宋体"/>
                <w:bCs/>
                <w:sz w:val="24"/>
              </w:rPr>
            </w:pPr>
            <w:r>
              <w:rPr>
                <w:rFonts w:hint="eastAsia" w:ascii="宋体" w:cs="宋体"/>
                <w:bCs/>
                <w:sz w:val="24"/>
              </w:rPr>
              <w:t>招标文件条目号</w:t>
            </w:r>
          </w:p>
        </w:tc>
        <w:tc>
          <w:tcPr>
            <w:tcW w:w="2052" w:type="dxa"/>
            <w:noWrap/>
            <w:vAlign w:val="center"/>
          </w:tcPr>
          <w:p>
            <w:pPr>
              <w:jc w:val="center"/>
              <w:rPr>
                <w:rFonts w:ascii="宋体" w:cs="宋体"/>
                <w:bCs/>
                <w:sz w:val="24"/>
              </w:rPr>
            </w:pPr>
            <w:r>
              <w:rPr>
                <w:rFonts w:hint="eastAsia" w:ascii="宋体" w:cs="宋体"/>
                <w:bCs/>
                <w:sz w:val="24"/>
              </w:rPr>
              <w:t>招标文件的商务条款</w:t>
            </w:r>
          </w:p>
        </w:tc>
        <w:tc>
          <w:tcPr>
            <w:tcW w:w="2126" w:type="dxa"/>
            <w:noWrap/>
            <w:vAlign w:val="center"/>
          </w:tcPr>
          <w:p>
            <w:pPr>
              <w:jc w:val="center"/>
              <w:rPr>
                <w:rFonts w:ascii="宋体" w:cs="宋体"/>
                <w:bCs/>
                <w:sz w:val="24"/>
              </w:rPr>
            </w:pPr>
            <w:r>
              <w:rPr>
                <w:rFonts w:hint="eastAsia" w:ascii="宋体" w:cs="宋体"/>
                <w:bCs/>
                <w:sz w:val="24"/>
              </w:rPr>
              <w:t>投标文件的商务条款</w:t>
            </w:r>
          </w:p>
        </w:tc>
        <w:tc>
          <w:tcPr>
            <w:tcW w:w="1985" w:type="dxa"/>
            <w:noWrap/>
            <w:vAlign w:val="center"/>
          </w:tcPr>
          <w:p>
            <w:pPr>
              <w:jc w:val="center"/>
              <w:rPr>
                <w:rFonts w:ascii="宋体" w:cs="宋体"/>
                <w:bCs/>
                <w:sz w:val="24"/>
              </w:rPr>
            </w:pPr>
            <w:r>
              <w:rPr>
                <w:rFonts w:hint="eastAsia" w:ascii="宋体" w:cs="宋体"/>
                <w:bCs/>
                <w:sz w:val="24"/>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0" w:hRule="atLeast"/>
          <w:jc w:val="center"/>
        </w:trPr>
        <w:tc>
          <w:tcPr>
            <w:tcW w:w="806" w:type="dxa"/>
            <w:noWrap/>
          </w:tcPr>
          <w:p>
            <w:pPr>
              <w:jc w:val="center"/>
              <w:rPr>
                <w:rFonts w:ascii="宋体" w:cs="宋体"/>
                <w:b/>
                <w:bCs/>
                <w:sz w:val="24"/>
              </w:rPr>
            </w:pPr>
          </w:p>
        </w:tc>
        <w:tc>
          <w:tcPr>
            <w:tcW w:w="2070" w:type="dxa"/>
            <w:noWrap/>
          </w:tcPr>
          <w:p>
            <w:pPr>
              <w:jc w:val="center"/>
              <w:rPr>
                <w:rFonts w:ascii="宋体" w:cs="宋体"/>
                <w:b/>
                <w:bCs/>
                <w:sz w:val="24"/>
              </w:rPr>
            </w:pPr>
          </w:p>
        </w:tc>
        <w:tc>
          <w:tcPr>
            <w:tcW w:w="2052" w:type="dxa"/>
            <w:noWrap/>
          </w:tcPr>
          <w:p>
            <w:pPr>
              <w:jc w:val="center"/>
              <w:rPr>
                <w:rFonts w:ascii="宋体" w:cs="宋体"/>
                <w:b/>
                <w:bCs/>
                <w:sz w:val="24"/>
              </w:rPr>
            </w:pPr>
          </w:p>
        </w:tc>
        <w:tc>
          <w:tcPr>
            <w:tcW w:w="2126" w:type="dxa"/>
            <w:noWrap/>
          </w:tcPr>
          <w:p>
            <w:pPr>
              <w:jc w:val="center"/>
              <w:rPr>
                <w:rFonts w:ascii="宋体" w:cs="宋体"/>
                <w:b/>
                <w:bCs/>
                <w:sz w:val="24"/>
              </w:rPr>
            </w:pPr>
          </w:p>
        </w:tc>
        <w:tc>
          <w:tcPr>
            <w:tcW w:w="1985" w:type="dxa"/>
            <w:noWrap/>
          </w:tcPr>
          <w:p>
            <w:pPr>
              <w:jc w:val="center"/>
              <w:rPr>
                <w:rFonts w:ascii="宋体" w:cs="宋体"/>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0" w:hRule="atLeast"/>
          <w:jc w:val="center"/>
        </w:trPr>
        <w:tc>
          <w:tcPr>
            <w:tcW w:w="806" w:type="dxa"/>
            <w:noWrap/>
          </w:tcPr>
          <w:p>
            <w:pPr>
              <w:jc w:val="center"/>
              <w:rPr>
                <w:rFonts w:ascii="宋体" w:cs="宋体"/>
                <w:b/>
                <w:bCs/>
                <w:sz w:val="24"/>
              </w:rPr>
            </w:pPr>
          </w:p>
        </w:tc>
        <w:tc>
          <w:tcPr>
            <w:tcW w:w="2070" w:type="dxa"/>
            <w:noWrap/>
          </w:tcPr>
          <w:p>
            <w:pPr>
              <w:jc w:val="center"/>
              <w:rPr>
                <w:rFonts w:ascii="宋体" w:cs="宋体"/>
                <w:b/>
                <w:bCs/>
                <w:sz w:val="24"/>
              </w:rPr>
            </w:pPr>
          </w:p>
        </w:tc>
        <w:tc>
          <w:tcPr>
            <w:tcW w:w="2052" w:type="dxa"/>
            <w:noWrap/>
          </w:tcPr>
          <w:p>
            <w:pPr>
              <w:jc w:val="center"/>
              <w:rPr>
                <w:rFonts w:ascii="宋体" w:cs="宋体"/>
                <w:b/>
                <w:bCs/>
                <w:sz w:val="24"/>
              </w:rPr>
            </w:pPr>
          </w:p>
        </w:tc>
        <w:tc>
          <w:tcPr>
            <w:tcW w:w="2126" w:type="dxa"/>
            <w:noWrap/>
          </w:tcPr>
          <w:p>
            <w:pPr>
              <w:jc w:val="center"/>
              <w:rPr>
                <w:rFonts w:ascii="宋体" w:cs="宋体"/>
                <w:b/>
                <w:bCs/>
                <w:sz w:val="24"/>
              </w:rPr>
            </w:pPr>
          </w:p>
        </w:tc>
        <w:tc>
          <w:tcPr>
            <w:tcW w:w="1985" w:type="dxa"/>
            <w:noWrap/>
          </w:tcPr>
          <w:p>
            <w:pPr>
              <w:jc w:val="center"/>
              <w:rPr>
                <w:rFonts w:ascii="宋体" w:cs="宋体"/>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0" w:hRule="atLeast"/>
          <w:jc w:val="center"/>
        </w:trPr>
        <w:tc>
          <w:tcPr>
            <w:tcW w:w="806" w:type="dxa"/>
            <w:noWrap/>
          </w:tcPr>
          <w:p>
            <w:pPr>
              <w:jc w:val="center"/>
              <w:rPr>
                <w:rFonts w:ascii="宋体" w:cs="宋体"/>
                <w:b/>
                <w:bCs/>
                <w:sz w:val="24"/>
              </w:rPr>
            </w:pPr>
          </w:p>
        </w:tc>
        <w:tc>
          <w:tcPr>
            <w:tcW w:w="2070" w:type="dxa"/>
            <w:noWrap/>
          </w:tcPr>
          <w:p>
            <w:pPr>
              <w:jc w:val="center"/>
              <w:rPr>
                <w:rFonts w:ascii="宋体" w:cs="宋体"/>
                <w:b/>
                <w:bCs/>
                <w:sz w:val="24"/>
              </w:rPr>
            </w:pPr>
          </w:p>
        </w:tc>
        <w:tc>
          <w:tcPr>
            <w:tcW w:w="2052" w:type="dxa"/>
            <w:noWrap/>
          </w:tcPr>
          <w:p>
            <w:pPr>
              <w:jc w:val="center"/>
              <w:rPr>
                <w:rFonts w:ascii="宋体" w:cs="宋体"/>
                <w:b/>
                <w:bCs/>
                <w:sz w:val="24"/>
              </w:rPr>
            </w:pPr>
          </w:p>
        </w:tc>
        <w:tc>
          <w:tcPr>
            <w:tcW w:w="2126" w:type="dxa"/>
            <w:noWrap/>
          </w:tcPr>
          <w:p>
            <w:pPr>
              <w:jc w:val="center"/>
              <w:rPr>
                <w:rFonts w:ascii="宋体" w:cs="宋体"/>
                <w:b/>
                <w:bCs/>
                <w:sz w:val="24"/>
              </w:rPr>
            </w:pPr>
          </w:p>
        </w:tc>
        <w:tc>
          <w:tcPr>
            <w:tcW w:w="1985" w:type="dxa"/>
            <w:noWrap/>
          </w:tcPr>
          <w:p>
            <w:pPr>
              <w:jc w:val="center"/>
              <w:rPr>
                <w:rFonts w:ascii="宋体" w:cs="宋体"/>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0" w:hRule="atLeast"/>
          <w:jc w:val="center"/>
        </w:trPr>
        <w:tc>
          <w:tcPr>
            <w:tcW w:w="806" w:type="dxa"/>
            <w:noWrap/>
          </w:tcPr>
          <w:p>
            <w:pPr>
              <w:jc w:val="center"/>
              <w:rPr>
                <w:rFonts w:ascii="宋体" w:cs="宋体"/>
                <w:b/>
                <w:bCs/>
                <w:sz w:val="24"/>
              </w:rPr>
            </w:pPr>
          </w:p>
        </w:tc>
        <w:tc>
          <w:tcPr>
            <w:tcW w:w="2070" w:type="dxa"/>
            <w:noWrap/>
          </w:tcPr>
          <w:p>
            <w:pPr>
              <w:jc w:val="center"/>
              <w:rPr>
                <w:rFonts w:ascii="宋体" w:cs="宋体"/>
                <w:b/>
                <w:bCs/>
                <w:sz w:val="24"/>
              </w:rPr>
            </w:pPr>
          </w:p>
        </w:tc>
        <w:tc>
          <w:tcPr>
            <w:tcW w:w="2052" w:type="dxa"/>
            <w:noWrap/>
          </w:tcPr>
          <w:p>
            <w:pPr>
              <w:jc w:val="center"/>
              <w:rPr>
                <w:rFonts w:ascii="宋体" w:cs="宋体"/>
                <w:b/>
                <w:bCs/>
                <w:sz w:val="24"/>
              </w:rPr>
            </w:pPr>
          </w:p>
        </w:tc>
        <w:tc>
          <w:tcPr>
            <w:tcW w:w="2126" w:type="dxa"/>
            <w:noWrap/>
          </w:tcPr>
          <w:p>
            <w:pPr>
              <w:jc w:val="center"/>
              <w:rPr>
                <w:rFonts w:ascii="宋体" w:cs="宋体"/>
                <w:b/>
                <w:bCs/>
                <w:sz w:val="24"/>
              </w:rPr>
            </w:pPr>
          </w:p>
        </w:tc>
        <w:tc>
          <w:tcPr>
            <w:tcW w:w="1985" w:type="dxa"/>
            <w:noWrap/>
          </w:tcPr>
          <w:p>
            <w:pPr>
              <w:jc w:val="center"/>
              <w:rPr>
                <w:rFonts w:ascii="宋体" w:cs="宋体"/>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0" w:hRule="atLeast"/>
          <w:jc w:val="center"/>
        </w:trPr>
        <w:tc>
          <w:tcPr>
            <w:tcW w:w="806" w:type="dxa"/>
            <w:noWrap/>
          </w:tcPr>
          <w:p>
            <w:pPr>
              <w:jc w:val="center"/>
              <w:rPr>
                <w:rFonts w:ascii="宋体" w:cs="宋体"/>
                <w:b/>
                <w:bCs/>
                <w:sz w:val="24"/>
              </w:rPr>
            </w:pPr>
          </w:p>
        </w:tc>
        <w:tc>
          <w:tcPr>
            <w:tcW w:w="2070" w:type="dxa"/>
            <w:noWrap/>
          </w:tcPr>
          <w:p>
            <w:pPr>
              <w:jc w:val="center"/>
              <w:rPr>
                <w:rFonts w:ascii="宋体" w:cs="宋体"/>
                <w:b/>
                <w:bCs/>
                <w:sz w:val="24"/>
              </w:rPr>
            </w:pPr>
          </w:p>
        </w:tc>
        <w:tc>
          <w:tcPr>
            <w:tcW w:w="2052" w:type="dxa"/>
            <w:noWrap/>
          </w:tcPr>
          <w:p>
            <w:pPr>
              <w:jc w:val="center"/>
              <w:rPr>
                <w:rFonts w:ascii="宋体" w:cs="宋体"/>
                <w:b/>
                <w:bCs/>
                <w:sz w:val="24"/>
              </w:rPr>
            </w:pPr>
          </w:p>
        </w:tc>
        <w:tc>
          <w:tcPr>
            <w:tcW w:w="2126" w:type="dxa"/>
            <w:noWrap/>
          </w:tcPr>
          <w:p>
            <w:pPr>
              <w:jc w:val="center"/>
              <w:rPr>
                <w:rFonts w:ascii="宋体" w:cs="宋体"/>
                <w:b/>
                <w:bCs/>
                <w:sz w:val="24"/>
              </w:rPr>
            </w:pPr>
          </w:p>
        </w:tc>
        <w:tc>
          <w:tcPr>
            <w:tcW w:w="1985" w:type="dxa"/>
            <w:noWrap/>
          </w:tcPr>
          <w:p>
            <w:pPr>
              <w:jc w:val="center"/>
              <w:rPr>
                <w:rFonts w:ascii="宋体" w:cs="宋体"/>
                <w:b/>
                <w:bCs/>
                <w:sz w:val="24"/>
              </w:rPr>
            </w:pPr>
          </w:p>
        </w:tc>
      </w:tr>
    </w:tbl>
    <w:p>
      <w:pPr>
        <w:spacing w:line="360" w:lineRule="auto"/>
        <w:ind w:firstLine="480" w:firstLineChars="200"/>
        <w:jc w:val="left"/>
        <w:rPr>
          <w:rFonts w:ascii="宋体"/>
          <w:sz w:val="24"/>
        </w:rPr>
      </w:pPr>
      <w:r>
        <w:rPr>
          <w:rFonts w:hint="eastAsia" w:ascii="宋体"/>
          <w:sz w:val="24"/>
        </w:rPr>
        <w:t>备注：投标人商务条款有差异的，则在此表中列明实际响应的内容提要并加以说明，以便查对。无差异说明表示完全响应。</w:t>
      </w:r>
    </w:p>
    <w:p>
      <w:pPr>
        <w:spacing w:line="360" w:lineRule="auto"/>
        <w:jc w:val="left"/>
        <w:rPr>
          <w:rFonts w:ascii="宋体"/>
          <w:sz w:val="24"/>
        </w:rPr>
      </w:pPr>
    </w:p>
    <w:p>
      <w:pPr>
        <w:spacing w:line="360" w:lineRule="auto"/>
        <w:rPr>
          <w:rFonts w:ascii="宋体" w:cs="宋体"/>
          <w:sz w:val="24"/>
        </w:rPr>
      </w:pPr>
    </w:p>
    <w:p>
      <w:pPr>
        <w:pStyle w:val="12"/>
        <w:tabs>
          <w:tab w:val="left" w:pos="5580"/>
        </w:tabs>
        <w:spacing w:line="360" w:lineRule="auto"/>
        <w:ind w:firstLine="3120" w:firstLineChars="1300"/>
        <w:rPr>
          <w:sz w:val="24"/>
        </w:rPr>
      </w:pPr>
      <w:r>
        <w:rPr>
          <w:rFonts w:hint="eastAsia"/>
          <w:sz w:val="24"/>
        </w:rPr>
        <w:t>投标人（盖</w:t>
      </w:r>
      <w:r>
        <w:rPr>
          <w:sz w:val="24"/>
        </w:rPr>
        <w:t>章）：</w:t>
      </w:r>
    </w:p>
    <w:p>
      <w:pPr>
        <w:pStyle w:val="12"/>
        <w:tabs>
          <w:tab w:val="left" w:pos="5580"/>
        </w:tabs>
        <w:spacing w:line="360" w:lineRule="auto"/>
        <w:ind w:firstLine="3120" w:firstLineChars="1300"/>
        <w:rPr>
          <w:rFonts w:cs="宋体"/>
          <w:kern w:val="0"/>
          <w:sz w:val="24"/>
          <w:u w:val="single"/>
        </w:rPr>
      </w:pPr>
      <w:r>
        <w:rPr>
          <w:rFonts w:hint="eastAsia"/>
          <w:sz w:val="24"/>
        </w:rPr>
        <w:t>法定代表人或</w:t>
      </w:r>
      <w:r>
        <w:rPr>
          <w:rFonts w:hint="eastAsia" w:cs="宋体"/>
          <w:kern w:val="0"/>
          <w:sz w:val="24"/>
        </w:rPr>
        <w:t>委托代理人</w:t>
      </w:r>
      <w:r>
        <w:rPr>
          <w:rFonts w:hint="eastAsia"/>
          <w:sz w:val="24"/>
        </w:rPr>
        <w:t>（签字）</w:t>
      </w:r>
      <w:r>
        <w:rPr>
          <w:rFonts w:hint="eastAsia" w:cs="宋体"/>
          <w:kern w:val="0"/>
          <w:sz w:val="24"/>
        </w:rPr>
        <w:t>：</w:t>
      </w:r>
    </w:p>
    <w:p>
      <w:pPr>
        <w:spacing w:line="360" w:lineRule="auto"/>
        <w:ind w:firstLine="3120" w:firstLineChars="1300"/>
        <w:rPr>
          <w:rFonts w:ascii="宋体" w:cs="宋体"/>
          <w:sz w:val="24"/>
        </w:rPr>
      </w:pPr>
      <w:r>
        <w:rPr>
          <w:rFonts w:hint="eastAsia" w:ascii="宋体" w:cs="宋体"/>
          <w:sz w:val="24"/>
        </w:rPr>
        <w:t>日期：       年   月   日</w:t>
      </w:r>
    </w:p>
    <w:p>
      <w:pPr>
        <w:spacing w:line="360" w:lineRule="auto"/>
        <w:rPr>
          <w:rFonts w:ascii="宋体" w:cs="宋体"/>
          <w:sz w:val="24"/>
        </w:rPr>
      </w:pPr>
    </w:p>
    <w:p>
      <w:pPr>
        <w:pStyle w:val="6"/>
        <w:ind w:left="150" w:firstLine="0"/>
      </w:pPr>
    </w:p>
    <w:p>
      <w:pPr>
        <w:pStyle w:val="6"/>
        <w:ind w:left="150" w:firstLine="0"/>
      </w:pPr>
    </w:p>
    <w:p>
      <w:pPr>
        <w:pStyle w:val="6"/>
        <w:ind w:left="150" w:firstLine="0"/>
      </w:pPr>
    </w:p>
    <w:p>
      <w:pPr>
        <w:pStyle w:val="6"/>
        <w:ind w:left="150" w:firstLine="0"/>
      </w:pPr>
    </w:p>
    <w:p>
      <w:pPr>
        <w:pStyle w:val="6"/>
        <w:ind w:left="150" w:firstLine="0"/>
      </w:pPr>
    </w:p>
    <w:p>
      <w:pPr>
        <w:pStyle w:val="6"/>
        <w:ind w:left="150" w:firstLine="0"/>
      </w:pPr>
    </w:p>
    <w:p>
      <w:pPr>
        <w:pStyle w:val="6"/>
        <w:ind w:left="150" w:firstLine="0"/>
      </w:pPr>
    </w:p>
    <w:p>
      <w:pPr>
        <w:pStyle w:val="6"/>
        <w:ind w:left="150" w:firstLine="0"/>
      </w:pPr>
    </w:p>
    <w:p>
      <w:pPr>
        <w:pStyle w:val="6"/>
        <w:ind w:left="150" w:firstLine="0"/>
      </w:pPr>
    </w:p>
    <w:p>
      <w:pPr>
        <w:pStyle w:val="6"/>
        <w:ind w:left="150" w:firstLine="0"/>
      </w:pPr>
    </w:p>
    <w:p>
      <w:pPr>
        <w:pStyle w:val="6"/>
        <w:ind w:left="150" w:firstLine="0"/>
      </w:pPr>
    </w:p>
    <w:p>
      <w:pPr>
        <w:widowControl/>
        <w:jc w:val="center"/>
        <w:textAlignment w:val="center"/>
        <w:rPr>
          <w:rFonts w:ascii="宋体" w:cs="宋体"/>
          <w:b/>
          <w:sz w:val="30"/>
          <w:szCs w:val="30"/>
        </w:rPr>
      </w:pPr>
    </w:p>
    <w:p>
      <w:pPr>
        <w:rPr>
          <w:rFonts w:ascii="宋体"/>
          <w:b/>
          <w:bCs/>
          <w:kern w:val="0"/>
          <w:sz w:val="24"/>
        </w:rPr>
      </w:pPr>
      <w:r>
        <w:rPr>
          <w:rFonts w:hint="eastAsia" w:ascii="宋体"/>
          <w:b/>
          <w:bCs/>
          <w:kern w:val="0"/>
          <w:sz w:val="24"/>
        </w:rPr>
        <w:br w:type="page"/>
      </w:r>
    </w:p>
    <w:p>
      <w:pPr>
        <w:rPr>
          <w:rFonts w:ascii="宋体"/>
          <w:b/>
          <w:bCs/>
          <w:kern w:val="0"/>
          <w:sz w:val="24"/>
        </w:rPr>
      </w:pPr>
      <w:r>
        <w:rPr>
          <w:rFonts w:hint="eastAsia" w:ascii="宋体"/>
          <w:b/>
          <w:bCs/>
          <w:kern w:val="0"/>
          <w:sz w:val="24"/>
        </w:rPr>
        <w:t>7.2.8.  反商业贿赂承诺书</w:t>
      </w:r>
    </w:p>
    <w:p>
      <w:pPr>
        <w:spacing w:line="360" w:lineRule="auto"/>
        <w:jc w:val="center"/>
        <w:rPr>
          <w:rFonts w:ascii="宋体" w:cs="宋体"/>
          <w:b/>
          <w:bCs/>
          <w:sz w:val="24"/>
        </w:rPr>
      </w:pPr>
      <w:r>
        <w:rPr>
          <w:rFonts w:hint="eastAsia" w:ascii="宋体" w:cs="宋体"/>
          <w:b/>
          <w:bCs/>
          <w:sz w:val="24"/>
        </w:rPr>
        <w:t>（一）反商业贿赂承诺书</w:t>
      </w:r>
    </w:p>
    <w:p>
      <w:pPr>
        <w:widowControl/>
        <w:spacing w:before="100" w:beforeAutospacing="1" w:after="100" w:afterAutospacing="1" w:line="360" w:lineRule="auto"/>
        <w:ind w:firstLine="480" w:firstLineChars="200"/>
        <w:jc w:val="left"/>
        <w:rPr>
          <w:rFonts w:ascii="宋体" w:cs="宋体"/>
          <w:sz w:val="24"/>
        </w:rPr>
      </w:pPr>
      <w:r>
        <w:rPr>
          <w:rFonts w:hint="eastAsia" w:ascii="宋体" w:cs="宋体"/>
          <w:sz w:val="24"/>
        </w:rPr>
        <w:t>我公司承诺在</w:t>
      </w:r>
      <w:r>
        <w:rPr>
          <w:rFonts w:hint="eastAsia" w:ascii="宋体" w:cs="宋体"/>
          <w:sz w:val="24"/>
          <w:u w:val="single"/>
        </w:rPr>
        <w:t xml:space="preserve">  （项目编号、项目名称）  </w:t>
      </w:r>
      <w:r>
        <w:rPr>
          <w:rFonts w:hint="eastAsia" w:ascii="宋体" w:cs="宋体"/>
          <w:sz w:val="24"/>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pPr>
        <w:pStyle w:val="12"/>
        <w:tabs>
          <w:tab w:val="left" w:pos="5580"/>
        </w:tabs>
        <w:spacing w:line="360" w:lineRule="auto"/>
        <w:ind w:firstLine="3600" w:firstLineChars="1500"/>
        <w:rPr>
          <w:sz w:val="24"/>
        </w:rPr>
      </w:pPr>
      <w:r>
        <w:rPr>
          <w:rFonts w:hint="eastAsia"/>
          <w:sz w:val="24"/>
        </w:rPr>
        <w:t>投标人（盖</w:t>
      </w:r>
      <w:r>
        <w:rPr>
          <w:sz w:val="24"/>
        </w:rPr>
        <w:t>章）：</w:t>
      </w:r>
    </w:p>
    <w:p>
      <w:pPr>
        <w:pStyle w:val="12"/>
        <w:tabs>
          <w:tab w:val="left" w:pos="5580"/>
        </w:tabs>
        <w:spacing w:line="360" w:lineRule="auto"/>
        <w:ind w:firstLine="3600" w:firstLineChars="1500"/>
        <w:rPr>
          <w:sz w:val="24"/>
          <w:u w:val="single"/>
        </w:rPr>
      </w:pPr>
      <w:r>
        <w:rPr>
          <w:rFonts w:hint="eastAsia"/>
          <w:sz w:val="24"/>
        </w:rPr>
        <w:t>法定代表人（签章）：</w:t>
      </w:r>
    </w:p>
    <w:p>
      <w:pPr>
        <w:pStyle w:val="12"/>
        <w:tabs>
          <w:tab w:val="left" w:pos="5580"/>
        </w:tabs>
        <w:spacing w:line="360" w:lineRule="auto"/>
        <w:ind w:firstLine="3600" w:firstLineChars="1500"/>
        <w:rPr>
          <w:rFonts w:cs="宋体"/>
          <w:kern w:val="0"/>
          <w:sz w:val="24"/>
          <w:u w:val="single"/>
        </w:rPr>
      </w:pPr>
      <w:r>
        <w:rPr>
          <w:rFonts w:hint="eastAsia" w:cs="宋体"/>
          <w:kern w:val="0"/>
          <w:sz w:val="24"/>
        </w:rPr>
        <w:t>委托代理人</w:t>
      </w:r>
      <w:r>
        <w:rPr>
          <w:rFonts w:hint="eastAsia"/>
          <w:sz w:val="24"/>
        </w:rPr>
        <w:t>（签字）</w:t>
      </w:r>
      <w:r>
        <w:rPr>
          <w:rFonts w:hint="eastAsia" w:cs="宋体"/>
          <w:kern w:val="0"/>
          <w:sz w:val="24"/>
        </w:rPr>
        <w:t>：</w:t>
      </w:r>
    </w:p>
    <w:p>
      <w:pPr>
        <w:spacing w:line="360" w:lineRule="auto"/>
        <w:ind w:firstLine="4080" w:firstLineChars="1700"/>
        <w:rPr>
          <w:rFonts w:ascii="宋体" w:cs="宋体"/>
          <w:sz w:val="24"/>
        </w:rPr>
      </w:pPr>
      <w:r>
        <w:rPr>
          <w:rFonts w:hint="eastAsia"/>
          <w:sz w:val="24"/>
        </w:rPr>
        <w:t>日期：</w:t>
      </w:r>
    </w:p>
    <w:p>
      <w:pPr>
        <w:pStyle w:val="6"/>
        <w:rPr>
          <w:rFonts w:ascii="宋体" w:cs="宋体"/>
          <w:sz w:val="24"/>
        </w:rPr>
      </w:pPr>
    </w:p>
    <w:p>
      <w:pPr>
        <w:spacing w:line="360" w:lineRule="auto"/>
        <w:rPr>
          <w:rFonts w:ascii="宋体" w:cs="宋体"/>
          <w:sz w:val="24"/>
        </w:rPr>
      </w:pPr>
    </w:p>
    <w:p>
      <w:pPr>
        <w:spacing w:line="360" w:lineRule="auto"/>
        <w:jc w:val="center"/>
        <w:rPr>
          <w:rFonts w:ascii="宋体" w:cs="宋体"/>
          <w:sz w:val="24"/>
        </w:rPr>
      </w:pPr>
      <w:r>
        <w:rPr>
          <w:rFonts w:hint="eastAsia" w:ascii="宋体" w:cs="宋体"/>
          <w:b/>
          <w:bCs/>
          <w:sz w:val="24"/>
        </w:rPr>
        <w:t>（二）参加政府采购活动前3年内</w:t>
      </w:r>
      <w:bookmarkStart w:id="36" w:name="_Toc518923113"/>
      <w:r>
        <w:rPr>
          <w:rFonts w:hint="eastAsia" w:ascii="宋体" w:cs="宋体"/>
          <w:b/>
          <w:bCs/>
          <w:sz w:val="24"/>
        </w:rPr>
        <w:t>在经营活动中没有重大违法记录的承诺书</w:t>
      </w:r>
      <w:bookmarkEnd w:id="36"/>
    </w:p>
    <w:p>
      <w:pPr>
        <w:spacing w:line="360" w:lineRule="auto"/>
        <w:rPr>
          <w:rFonts w:ascii="宋体" w:cs="宋体"/>
          <w:sz w:val="24"/>
        </w:rPr>
      </w:pPr>
      <w:r>
        <w:rPr>
          <w:rFonts w:hint="eastAsia" w:ascii="宋体" w:cs="宋体"/>
          <w:sz w:val="24"/>
        </w:rPr>
        <w:t>致：（采购人）         ：</w:t>
      </w:r>
    </w:p>
    <w:p>
      <w:pPr>
        <w:spacing w:line="360" w:lineRule="auto"/>
        <w:ind w:firstLine="960" w:firstLineChars="400"/>
        <w:rPr>
          <w:rFonts w:ascii="宋体" w:cs="宋体"/>
          <w:sz w:val="24"/>
        </w:rPr>
      </w:pPr>
      <w:r>
        <w:rPr>
          <w:rFonts w:hint="eastAsia" w:ascii="宋体" w:cs="宋体"/>
          <w:sz w:val="24"/>
        </w:rPr>
        <w:t>我公司参与（项目名称标包号、项目编号）投标，本公司郑重声明，我方参加本项目政府采购活动前三年内无重大违法记录，符合《政府采购法》规定的投标人条件。若贵方在本项目采购过程中发现我方政府采购活动前三年内有重大违法记录，我公司将无条件退出本项目的投标，并承担因此引起的一切后果。我方对此声明负全部法律责任。</w:t>
      </w:r>
    </w:p>
    <w:p>
      <w:pPr>
        <w:spacing w:line="360" w:lineRule="auto"/>
        <w:rPr>
          <w:rFonts w:ascii="宋体" w:cs="宋体"/>
          <w:sz w:val="24"/>
        </w:rPr>
      </w:pPr>
      <w:r>
        <w:rPr>
          <w:rFonts w:hint="eastAsia" w:ascii="宋体" w:cs="宋体"/>
          <w:sz w:val="24"/>
        </w:rPr>
        <w:t xml:space="preserve">特此声明  </w:t>
      </w:r>
    </w:p>
    <w:p>
      <w:pPr>
        <w:pStyle w:val="12"/>
        <w:tabs>
          <w:tab w:val="left" w:pos="5580"/>
        </w:tabs>
        <w:spacing w:line="360" w:lineRule="auto"/>
        <w:ind w:firstLine="3120" w:firstLineChars="1300"/>
        <w:rPr>
          <w:sz w:val="24"/>
        </w:rPr>
      </w:pPr>
      <w:r>
        <w:rPr>
          <w:rFonts w:hint="eastAsia"/>
          <w:sz w:val="24"/>
        </w:rPr>
        <w:t>投标人（盖</w:t>
      </w:r>
      <w:r>
        <w:rPr>
          <w:sz w:val="24"/>
        </w:rPr>
        <w:t>章）：</w:t>
      </w:r>
    </w:p>
    <w:p>
      <w:pPr>
        <w:pStyle w:val="12"/>
        <w:tabs>
          <w:tab w:val="left" w:pos="5580"/>
        </w:tabs>
        <w:spacing w:line="360" w:lineRule="auto"/>
        <w:ind w:firstLine="3120" w:firstLineChars="1300"/>
        <w:rPr>
          <w:rFonts w:cs="宋体"/>
          <w:kern w:val="0"/>
          <w:sz w:val="24"/>
          <w:u w:val="single"/>
        </w:rPr>
      </w:pPr>
      <w:r>
        <w:rPr>
          <w:rFonts w:hint="eastAsia"/>
          <w:sz w:val="24"/>
        </w:rPr>
        <w:t>法定代表人或</w:t>
      </w:r>
      <w:r>
        <w:rPr>
          <w:rFonts w:hint="eastAsia" w:cs="宋体"/>
          <w:kern w:val="0"/>
          <w:sz w:val="24"/>
        </w:rPr>
        <w:t>委托代理人</w:t>
      </w:r>
      <w:r>
        <w:rPr>
          <w:rFonts w:hint="eastAsia"/>
          <w:sz w:val="24"/>
        </w:rPr>
        <w:t>（签字）</w:t>
      </w:r>
      <w:r>
        <w:rPr>
          <w:rFonts w:hint="eastAsia" w:cs="宋体"/>
          <w:kern w:val="0"/>
          <w:sz w:val="24"/>
        </w:rPr>
        <w:t>：</w:t>
      </w:r>
    </w:p>
    <w:p>
      <w:pPr>
        <w:spacing w:line="360" w:lineRule="auto"/>
        <w:ind w:firstLine="3120" w:firstLineChars="1300"/>
        <w:rPr>
          <w:rFonts w:ascii="宋体" w:cs="宋体"/>
          <w:sz w:val="24"/>
        </w:rPr>
      </w:pPr>
      <w:r>
        <w:rPr>
          <w:rFonts w:hint="eastAsia" w:ascii="宋体" w:cs="宋体"/>
          <w:sz w:val="24"/>
        </w:rPr>
        <w:t>日期：       年   月   日</w:t>
      </w:r>
    </w:p>
    <w:p>
      <w:pPr>
        <w:spacing w:line="360" w:lineRule="auto"/>
        <w:rPr>
          <w:rFonts w:ascii="宋体" w:cs="宋体"/>
          <w:sz w:val="24"/>
        </w:rPr>
      </w:pPr>
      <w:r>
        <w:rPr>
          <w:rFonts w:hint="eastAsia" w:ascii="宋体" w:cs="宋体"/>
          <w:sz w:val="24"/>
        </w:rPr>
        <w:t>说明：1.投标人应按照相关法规规定如实作出说明。</w:t>
      </w:r>
    </w:p>
    <w:p>
      <w:pPr>
        <w:spacing w:line="360" w:lineRule="auto"/>
        <w:ind w:firstLine="720" w:firstLineChars="300"/>
        <w:rPr>
          <w:rFonts w:ascii="宋体" w:cs="宋体"/>
          <w:sz w:val="24"/>
        </w:rPr>
      </w:pPr>
      <w:r>
        <w:rPr>
          <w:rFonts w:hint="eastAsia" w:ascii="宋体" w:cs="宋体"/>
          <w:sz w:val="24"/>
        </w:rPr>
        <w:t>2．按照招标文件的规定盖章（自然人投标的无需盖章，需要签字）。</w:t>
      </w:r>
    </w:p>
    <w:p>
      <w:pPr>
        <w:spacing w:line="360" w:lineRule="auto"/>
        <w:ind w:firstLine="720" w:firstLineChars="300"/>
        <w:rPr>
          <w:rFonts w:ascii="宋体" w:cs="宋体"/>
          <w:sz w:val="24"/>
        </w:rPr>
      </w:pPr>
      <w:r>
        <w:rPr>
          <w:rFonts w:hint="eastAsia" w:ascii="宋体" w:cs="宋体"/>
          <w:sz w:val="24"/>
        </w:rPr>
        <w:t>3.如果是联合体投标，联合体各方均需提供上述证明。</w:t>
      </w:r>
    </w:p>
    <w:p>
      <w:pPr>
        <w:rPr>
          <w:rFonts w:ascii="宋体" w:cs="宋体"/>
          <w:b/>
          <w:bCs/>
          <w:kern w:val="0"/>
          <w:sz w:val="24"/>
        </w:rPr>
      </w:pPr>
    </w:p>
    <w:p>
      <w:pPr>
        <w:spacing w:line="360" w:lineRule="auto"/>
        <w:rPr>
          <w:rFonts w:ascii="宋体" w:cs="宋体"/>
          <w:b/>
          <w:bCs/>
          <w:sz w:val="24"/>
        </w:rPr>
      </w:pPr>
      <w:r>
        <w:rPr>
          <w:rFonts w:hint="eastAsia" w:ascii="宋体" w:cs="宋体"/>
          <w:b/>
          <w:bCs/>
          <w:kern w:val="0"/>
          <w:sz w:val="24"/>
        </w:rPr>
        <w:t>7.2.9</w:t>
      </w:r>
      <w:bookmarkStart w:id="37" w:name="_Toc37868813"/>
      <w:r>
        <w:rPr>
          <w:rFonts w:hint="eastAsia" w:ascii="宋体" w:cs="宋体"/>
          <w:b/>
          <w:bCs/>
          <w:sz w:val="24"/>
        </w:rPr>
        <w:t>中小企业声明函</w:t>
      </w:r>
      <w:r>
        <w:rPr>
          <w:rFonts w:hint="eastAsia" w:asciiTheme="minorEastAsia" w:hAnsiTheme="minorEastAsia" w:eastAsiaTheme="minorEastAsia" w:cstheme="minorEastAsia"/>
          <w:b/>
          <w:bCs/>
          <w:kern w:val="0"/>
          <w:sz w:val="24"/>
        </w:rPr>
        <w:t>（如不是可不附）</w:t>
      </w:r>
    </w:p>
    <w:p>
      <w:pPr>
        <w:spacing w:line="360" w:lineRule="auto"/>
        <w:jc w:val="center"/>
        <w:rPr>
          <w:rFonts w:ascii="宋体" w:cs="宋体"/>
          <w:sz w:val="24"/>
        </w:rPr>
      </w:pPr>
      <w:r>
        <w:rPr>
          <w:rFonts w:hint="eastAsia" w:ascii="宋体" w:cs="宋体"/>
          <w:b/>
          <w:bCs/>
          <w:sz w:val="24"/>
        </w:rPr>
        <w:t>（一）中小企业声明函（货物）</w:t>
      </w:r>
    </w:p>
    <w:p>
      <w:pPr>
        <w:spacing w:line="360" w:lineRule="auto"/>
        <w:ind w:firstLine="480" w:firstLineChars="200"/>
        <w:rPr>
          <w:rFonts w:ascii="宋体" w:cs="宋体"/>
          <w:sz w:val="24"/>
        </w:rPr>
      </w:pPr>
      <w:r>
        <w:rPr>
          <w:rFonts w:hint="eastAsia" w:ascii="宋体" w:cs="宋体"/>
          <w:sz w:val="24"/>
        </w:rPr>
        <w:t>本公司（联合体）郑重声明，根据《政府采购促进中小企业发展管理办法》（财库[2020]46号）的规定，本公司（联合体）参加</w:t>
      </w:r>
      <w:r>
        <w:rPr>
          <w:rFonts w:hint="eastAsia" w:ascii="宋体" w:cs="宋体"/>
          <w:sz w:val="24"/>
          <w:u w:val="single"/>
        </w:rPr>
        <w:t xml:space="preserve">       </w:t>
      </w:r>
      <w:r>
        <w:rPr>
          <w:rFonts w:hint="eastAsia" w:ascii="宋体" w:cs="宋体"/>
          <w:sz w:val="24"/>
        </w:rPr>
        <w:t>（单位名称）的</w:t>
      </w:r>
      <w:r>
        <w:rPr>
          <w:rFonts w:hint="eastAsia" w:ascii="宋体" w:cs="宋体"/>
          <w:sz w:val="24"/>
          <w:u w:val="single"/>
        </w:rPr>
        <w:t xml:space="preserve">      </w:t>
      </w:r>
      <w:r>
        <w:rPr>
          <w:rFonts w:hint="eastAsia" w:ascii="宋体" w:cs="宋体"/>
          <w:sz w:val="24"/>
        </w:rPr>
        <w:t>（项目名称）采购活动，提供的货物全部由符合政策要求的中小企业制造。相关企业（含联合体中的中小企业、签订分包意向协议的中小企业）的具体情况如下：</w:t>
      </w:r>
    </w:p>
    <w:p>
      <w:pPr>
        <w:spacing w:line="360" w:lineRule="auto"/>
        <w:ind w:firstLine="480" w:firstLineChars="200"/>
        <w:rPr>
          <w:rFonts w:ascii="宋体" w:cs="宋体"/>
          <w:sz w:val="24"/>
        </w:rPr>
      </w:pPr>
      <w:r>
        <w:rPr>
          <w:rFonts w:hint="eastAsia" w:ascii="宋体" w:hAnsi="宋体" w:cs="宋体"/>
          <w:sz w:val="24"/>
        </w:rPr>
        <w:t>⑴</w:t>
      </w:r>
      <w:r>
        <w:rPr>
          <w:rFonts w:hint="eastAsia" w:ascii="宋体" w:cs="宋体"/>
          <w:sz w:val="24"/>
          <w:u w:val="single"/>
        </w:rPr>
        <w:t xml:space="preserve">         </w:t>
      </w:r>
      <w:r>
        <w:rPr>
          <w:rFonts w:hint="eastAsia" w:ascii="宋体" w:cs="宋体"/>
          <w:sz w:val="24"/>
        </w:rPr>
        <w:t>（标的名称），属于</w:t>
      </w:r>
      <w:r>
        <w:rPr>
          <w:rFonts w:hint="eastAsia" w:ascii="宋体" w:cs="宋体"/>
          <w:sz w:val="24"/>
          <w:u w:val="single"/>
        </w:rPr>
        <w:t xml:space="preserve">          </w:t>
      </w:r>
      <w:r>
        <w:rPr>
          <w:rFonts w:hint="eastAsia" w:ascii="宋体" w:cs="宋体"/>
          <w:sz w:val="24"/>
        </w:rPr>
        <w:t>(采购文件中明确的所属行业）；制造商为</w:t>
      </w:r>
      <w:r>
        <w:rPr>
          <w:rFonts w:hint="eastAsia" w:ascii="宋体" w:cs="宋体"/>
          <w:sz w:val="24"/>
          <w:u w:val="single"/>
        </w:rPr>
        <w:t xml:space="preserve">           </w:t>
      </w:r>
      <w:r>
        <w:rPr>
          <w:rFonts w:hint="eastAsia" w:ascii="宋体" w:cs="宋体"/>
          <w:sz w:val="24"/>
        </w:rPr>
        <w:t>企业名称，从业人员</w:t>
      </w:r>
      <w:r>
        <w:rPr>
          <w:rFonts w:hint="eastAsia" w:ascii="宋体" w:cs="宋体"/>
          <w:sz w:val="24"/>
          <w:u w:val="single"/>
        </w:rPr>
        <w:t xml:space="preserve">     </w:t>
      </w:r>
      <w:r>
        <w:rPr>
          <w:rFonts w:hint="eastAsia" w:ascii="宋体" w:cs="宋体"/>
          <w:sz w:val="24"/>
        </w:rPr>
        <w:t>人，营业收入为</w:t>
      </w:r>
      <w:r>
        <w:rPr>
          <w:rFonts w:hint="eastAsia" w:ascii="宋体" w:cs="宋体"/>
          <w:sz w:val="24"/>
          <w:u w:val="single"/>
        </w:rPr>
        <w:t xml:space="preserve">      </w:t>
      </w:r>
      <w:r>
        <w:rPr>
          <w:rFonts w:hint="eastAsia" w:ascii="宋体" w:cs="宋体"/>
          <w:sz w:val="24"/>
        </w:rPr>
        <w:t>万元，资产总额为</w:t>
      </w:r>
      <w:r>
        <w:rPr>
          <w:rFonts w:hint="eastAsia" w:ascii="宋体" w:cs="宋体"/>
          <w:sz w:val="24"/>
          <w:u w:val="single"/>
        </w:rPr>
        <w:t xml:space="preserve">        </w:t>
      </w:r>
      <w:r>
        <w:rPr>
          <w:rFonts w:hint="eastAsia" w:ascii="宋体" w:cs="宋体"/>
          <w:sz w:val="24"/>
        </w:rPr>
        <w:t>万元，属于</w:t>
      </w:r>
      <w:r>
        <w:rPr>
          <w:rFonts w:hint="eastAsia" w:ascii="宋体" w:cs="宋体"/>
          <w:sz w:val="24"/>
          <w:u w:val="single"/>
        </w:rPr>
        <w:t xml:space="preserve">           </w:t>
      </w:r>
      <w:r>
        <w:rPr>
          <w:rFonts w:hint="eastAsia" w:ascii="宋体" w:cs="宋体"/>
          <w:sz w:val="24"/>
        </w:rPr>
        <w:t>（中型企业、小型企业、微型企业）；</w:t>
      </w:r>
    </w:p>
    <w:p>
      <w:pPr>
        <w:spacing w:line="360" w:lineRule="auto"/>
        <w:ind w:firstLine="480" w:firstLineChars="200"/>
        <w:rPr>
          <w:rFonts w:ascii="宋体" w:cs="宋体"/>
          <w:sz w:val="24"/>
        </w:rPr>
      </w:pPr>
      <w:r>
        <w:rPr>
          <w:rFonts w:hint="eastAsia" w:ascii="宋体" w:hAnsi="宋体" w:cs="宋体"/>
          <w:sz w:val="24"/>
        </w:rPr>
        <w:t>⑵</w:t>
      </w:r>
      <w:r>
        <w:rPr>
          <w:rFonts w:hint="eastAsia" w:ascii="宋体" w:cs="宋体"/>
          <w:sz w:val="24"/>
          <w:u w:val="single"/>
        </w:rPr>
        <w:t xml:space="preserve">        </w:t>
      </w:r>
      <w:r>
        <w:rPr>
          <w:rFonts w:hint="eastAsia" w:ascii="宋体" w:cs="宋体"/>
          <w:sz w:val="24"/>
        </w:rPr>
        <w:t>（标的名称），属于</w:t>
      </w:r>
      <w:r>
        <w:rPr>
          <w:rFonts w:hint="eastAsia" w:ascii="宋体" w:cs="宋体"/>
          <w:sz w:val="24"/>
          <w:u w:val="single"/>
        </w:rPr>
        <w:t xml:space="preserve">          </w:t>
      </w:r>
      <w:r>
        <w:rPr>
          <w:rFonts w:hint="eastAsia" w:ascii="宋体" w:cs="宋体"/>
          <w:sz w:val="24"/>
        </w:rPr>
        <w:t>(采购文件中明确的所属行业）；制造商为</w:t>
      </w:r>
      <w:r>
        <w:rPr>
          <w:rFonts w:hint="eastAsia" w:ascii="宋体" w:cs="宋体"/>
          <w:sz w:val="24"/>
          <w:u w:val="single"/>
        </w:rPr>
        <w:t xml:space="preserve">           </w:t>
      </w:r>
      <w:r>
        <w:rPr>
          <w:rFonts w:hint="eastAsia" w:ascii="宋体" w:cs="宋体"/>
          <w:sz w:val="24"/>
        </w:rPr>
        <w:t>企业名称，从业人员</w:t>
      </w:r>
      <w:r>
        <w:rPr>
          <w:rFonts w:hint="eastAsia" w:ascii="宋体" w:cs="宋体"/>
          <w:sz w:val="24"/>
          <w:u w:val="single"/>
        </w:rPr>
        <w:t xml:space="preserve">     </w:t>
      </w:r>
      <w:r>
        <w:rPr>
          <w:rFonts w:hint="eastAsia" w:ascii="宋体" w:cs="宋体"/>
          <w:sz w:val="24"/>
        </w:rPr>
        <w:t>人，营业收入为</w:t>
      </w:r>
      <w:r>
        <w:rPr>
          <w:rFonts w:hint="eastAsia" w:ascii="宋体" w:cs="宋体"/>
          <w:sz w:val="24"/>
          <w:u w:val="single"/>
        </w:rPr>
        <w:t xml:space="preserve">      </w:t>
      </w:r>
      <w:r>
        <w:rPr>
          <w:rFonts w:hint="eastAsia" w:ascii="宋体" w:cs="宋体"/>
          <w:sz w:val="24"/>
        </w:rPr>
        <w:t>万元，资产总额为</w:t>
      </w:r>
      <w:r>
        <w:rPr>
          <w:rFonts w:hint="eastAsia" w:ascii="宋体" w:cs="宋体"/>
          <w:sz w:val="24"/>
          <w:u w:val="single"/>
        </w:rPr>
        <w:t xml:space="preserve">        </w:t>
      </w:r>
      <w:r>
        <w:rPr>
          <w:rFonts w:hint="eastAsia" w:ascii="宋体" w:cs="宋体"/>
          <w:sz w:val="24"/>
        </w:rPr>
        <w:t>万元，属于</w:t>
      </w:r>
      <w:r>
        <w:rPr>
          <w:rFonts w:hint="eastAsia" w:ascii="宋体" w:cs="宋体"/>
          <w:sz w:val="24"/>
          <w:u w:val="single"/>
        </w:rPr>
        <w:t xml:space="preserve">           </w:t>
      </w:r>
      <w:r>
        <w:rPr>
          <w:rFonts w:hint="eastAsia" w:ascii="宋体" w:cs="宋体"/>
          <w:sz w:val="24"/>
        </w:rPr>
        <w:t>（中型企业、小型企业、微型企业）；</w:t>
      </w:r>
    </w:p>
    <w:p>
      <w:pPr>
        <w:spacing w:line="360" w:lineRule="auto"/>
        <w:ind w:firstLine="480" w:firstLineChars="200"/>
        <w:rPr>
          <w:rFonts w:ascii="宋体" w:cs="宋体"/>
          <w:sz w:val="24"/>
        </w:rPr>
      </w:pPr>
      <w:r>
        <w:rPr>
          <w:rFonts w:hint="eastAsia" w:ascii="宋体" w:hAnsi="宋体" w:cs="宋体"/>
          <w:sz w:val="24"/>
        </w:rPr>
        <w:t>⑶</w:t>
      </w:r>
      <w:r>
        <w:rPr>
          <w:rFonts w:hint="eastAsia" w:ascii="宋体" w:cs="宋体"/>
          <w:sz w:val="24"/>
        </w:rPr>
        <w:t xml:space="preserve"> </w:t>
      </w:r>
      <w:r>
        <w:rPr>
          <w:rFonts w:hint="eastAsia" w:ascii="宋体" w:hAnsi="宋体" w:cs="宋体"/>
          <w:sz w:val="24"/>
        </w:rPr>
        <w:t>……</w:t>
      </w:r>
      <w:r>
        <w:rPr>
          <w:rFonts w:hint="eastAsia" w:ascii="宋体" w:cs="宋体"/>
          <w:sz w:val="24"/>
        </w:rPr>
        <w:t>。</w:t>
      </w:r>
    </w:p>
    <w:p>
      <w:pPr>
        <w:spacing w:line="360" w:lineRule="auto"/>
        <w:ind w:firstLine="480" w:firstLineChars="200"/>
        <w:rPr>
          <w:rFonts w:ascii="宋体" w:cs="宋体"/>
          <w:sz w:val="24"/>
        </w:rPr>
      </w:pPr>
      <w:r>
        <w:rPr>
          <w:rFonts w:hint="eastAsia" w:ascii="宋体" w:cs="宋体"/>
          <w:sz w:val="24"/>
        </w:rPr>
        <w:t>以上企业，不属于大企业的分支机构，不存在控股股东为大企业的情形，也不存在与大企业的负责人为同一人的情形。</w:t>
      </w:r>
    </w:p>
    <w:p>
      <w:pPr>
        <w:spacing w:line="360" w:lineRule="auto"/>
        <w:ind w:firstLine="480" w:firstLineChars="200"/>
        <w:rPr>
          <w:rFonts w:ascii="宋体" w:cs="宋体"/>
          <w:sz w:val="24"/>
        </w:rPr>
      </w:pPr>
      <w:r>
        <w:rPr>
          <w:rFonts w:hint="eastAsia" w:ascii="宋体" w:cs="宋体"/>
          <w:sz w:val="24"/>
        </w:rPr>
        <w:t>本企业对上述声明的真实性负责。如有虚假，将依法承担相应责任。</w:t>
      </w:r>
    </w:p>
    <w:p>
      <w:pPr>
        <w:spacing w:line="360" w:lineRule="auto"/>
        <w:ind w:firstLine="5280" w:firstLineChars="2200"/>
        <w:rPr>
          <w:rFonts w:ascii="宋体" w:cs="宋体"/>
          <w:sz w:val="24"/>
        </w:rPr>
      </w:pPr>
      <w:r>
        <w:rPr>
          <w:rFonts w:hint="eastAsia" w:ascii="宋体" w:cs="宋体"/>
          <w:sz w:val="24"/>
        </w:rPr>
        <w:t>投标人（盖章）：</w:t>
      </w:r>
    </w:p>
    <w:p>
      <w:pPr>
        <w:spacing w:line="360" w:lineRule="auto"/>
        <w:ind w:firstLine="4560" w:firstLineChars="1900"/>
        <w:rPr>
          <w:rFonts w:ascii="宋体" w:cs="宋体"/>
          <w:sz w:val="24"/>
        </w:rPr>
      </w:pPr>
      <w:r>
        <w:rPr>
          <w:rFonts w:hint="eastAsia" w:ascii="宋体" w:cs="宋体"/>
          <w:sz w:val="24"/>
        </w:rPr>
        <w:t>法定代表人或委托代理人（签字）：</w:t>
      </w:r>
    </w:p>
    <w:p>
      <w:pPr>
        <w:spacing w:line="360" w:lineRule="auto"/>
        <w:ind w:firstLine="4800" w:firstLineChars="2000"/>
        <w:rPr>
          <w:rFonts w:ascii="宋体" w:cs="宋体"/>
          <w:sz w:val="24"/>
        </w:rPr>
      </w:pPr>
      <w:r>
        <w:rPr>
          <w:rFonts w:hint="eastAsia" w:ascii="宋体" w:cs="宋体"/>
          <w:sz w:val="24"/>
        </w:rPr>
        <w:t>日期：       年   月   日</w:t>
      </w:r>
    </w:p>
    <w:p>
      <w:pPr>
        <w:spacing w:line="360" w:lineRule="auto"/>
        <w:ind w:firstLine="4800" w:firstLineChars="2000"/>
        <w:rPr>
          <w:rFonts w:ascii="宋体" w:cs="宋体"/>
          <w:sz w:val="24"/>
        </w:rPr>
      </w:pPr>
    </w:p>
    <w:p>
      <w:pPr>
        <w:spacing w:line="360" w:lineRule="auto"/>
        <w:jc w:val="center"/>
        <w:rPr>
          <w:rFonts w:ascii="宋体" w:cs="宋体"/>
          <w:sz w:val="24"/>
        </w:rPr>
      </w:pPr>
      <w:r>
        <w:rPr>
          <w:rFonts w:hint="eastAsia" w:ascii="宋体" w:cs="宋体"/>
          <w:b/>
          <w:bCs/>
          <w:sz w:val="24"/>
        </w:rPr>
        <w:t>（二）中小企业声明函（工程、服务）</w:t>
      </w:r>
    </w:p>
    <w:p>
      <w:pPr>
        <w:spacing w:line="360" w:lineRule="auto"/>
        <w:ind w:firstLine="480" w:firstLineChars="200"/>
        <w:rPr>
          <w:rFonts w:ascii="宋体" w:cs="宋体"/>
          <w:sz w:val="24"/>
        </w:rPr>
      </w:pPr>
      <w:r>
        <w:rPr>
          <w:rFonts w:hint="eastAsia" w:ascii="宋体" w:cs="宋体"/>
          <w:sz w:val="24"/>
        </w:rPr>
        <w:t>本公司（联合体）郑重声明，根据《政府采购促进中小企业发展管理办法》（财库[2020]46号）的规定，本公司（联合体）参加</w:t>
      </w:r>
      <w:r>
        <w:rPr>
          <w:rFonts w:hint="eastAsia" w:ascii="宋体" w:cs="宋体"/>
          <w:sz w:val="24"/>
          <w:u w:val="single"/>
        </w:rPr>
        <w:t xml:space="preserve">       </w:t>
      </w:r>
      <w:r>
        <w:rPr>
          <w:rFonts w:hint="eastAsia" w:ascii="宋体" w:cs="宋体"/>
          <w:sz w:val="24"/>
        </w:rPr>
        <w:t>（单位名称）的</w:t>
      </w:r>
      <w:r>
        <w:rPr>
          <w:rFonts w:hint="eastAsia" w:ascii="宋体" w:cs="宋体"/>
          <w:sz w:val="24"/>
          <w:u w:val="single"/>
        </w:rPr>
        <w:t xml:space="preserve">      </w:t>
      </w:r>
      <w:r>
        <w:rPr>
          <w:rFonts w:hint="eastAsia" w:ascii="宋体" w:cs="宋体"/>
          <w:sz w:val="24"/>
        </w:rPr>
        <w:t>（项目名称）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480" w:firstLineChars="200"/>
        <w:rPr>
          <w:rFonts w:ascii="宋体" w:cs="宋体"/>
          <w:sz w:val="24"/>
        </w:rPr>
      </w:pPr>
      <w:r>
        <w:rPr>
          <w:rFonts w:hint="eastAsia" w:ascii="宋体" w:hAnsi="宋体" w:cs="宋体"/>
          <w:sz w:val="24"/>
        </w:rPr>
        <w:t>⑴</w:t>
      </w:r>
      <w:r>
        <w:rPr>
          <w:rFonts w:hint="eastAsia" w:ascii="宋体" w:cs="宋体"/>
          <w:sz w:val="24"/>
          <w:u w:val="single"/>
        </w:rPr>
        <w:t xml:space="preserve">         </w:t>
      </w:r>
      <w:r>
        <w:rPr>
          <w:rFonts w:hint="eastAsia" w:ascii="宋体" w:cs="宋体"/>
          <w:sz w:val="24"/>
        </w:rPr>
        <w:t>（标的名称），属于</w:t>
      </w:r>
      <w:r>
        <w:rPr>
          <w:rFonts w:hint="eastAsia" w:ascii="宋体" w:cs="宋体"/>
          <w:sz w:val="24"/>
          <w:u w:val="single"/>
        </w:rPr>
        <w:t xml:space="preserve">          </w:t>
      </w:r>
      <w:r>
        <w:rPr>
          <w:rFonts w:hint="eastAsia" w:ascii="宋体" w:cs="宋体"/>
          <w:sz w:val="24"/>
        </w:rPr>
        <w:t>(采购文件中明确的所属行业）；承建（承接）企业为</w:t>
      </w:r>
      <w:r>
        <w:rPr>
          <w:rFonts w:hint="eastAsia" w:ascii="宋体" w:cs="宋体"/>
          <w:sz w:val="24"/>
          <w:u w:val="single"/>
        </w:rPr>
        <w:t xml:space="preserve">           </w:t>
      </w:r>
      <w:r>
        <w:rPr>
          <w:rFonts w:hint="eastAsia" w:ascii="宋体" w:cs="宋体"/>
          <w:sz w:val="24"/>
        </w:rPr>
        <w:t>（企业名称），从业人员</w:t>
      </w:r>
      <w:r>
        <w:rPr>
          <w:rFonts w:hint="eastAsia" w:ascii="宋体" w:cs="宋体"/>
          <w:sz w:val="24"/>
          <w:u w:val="single"/>
        </w:rPr>
        <w:t xml:space="preserve">     </w:t>
      </w:r>
      <w:r>
        <w:rPr>
          <w:rFonts w:hint="eastAsia" w:ascii="宋体" w:cs="宋体"/>
          <w:sz w:val="24"/>
        </w:rPr>
        <w:t>人，营业收入为</w:t>
      </w:r>
      <w:r>
        <w:rPr>
          <w:rFonts w:hint="eastAsia" w:ascii="宋体" w:cs="宋体"/>
          <w:sz w:val="24"/>
          <w:u w:val="single"/>
        </w:rPr>
        <w:t xml:space="preserve">      </w:t>
      </w:r>
      <w:r>
        <w:rPr>
          <w:rFonts w:hint="eastAsia" w:ascii="宋体" w:cs="宋体"/>
          <w:sz w:val="24"/>
        </w:rPr>
        <w:t>万元，资产总额为</w:t>
      </w:r>
      <w:r>
        <w:rPr>
          <w:rFonts w:hint="eastAsia" w:ascii="宋体" w:cs="宋体"/>
          <w:sz w:val="24"/>
          <w:u w:val="single"/>
        </w:rPr>
        <w:t xml:space="preserve">        </w:t>
      </w:r>
      <w:r>
        <w:rPr>
          <w:rFonts w:hint="eastAsia" w:ascii="宋体" w:cs="宋体"/>
          <w:sz w:val="24"/>
        </w:rPr>
        <w:t>万元，属于</w:t>
      </w:r>
      <w:r>
        <w:rPr>
          <w:rFonts w:hint="eastAsia" w:ascii="宋体" w:cs="宋体"/>
          <w:sz w:val="24"/>
          <w:u w:val="single"/>
        </w:rPr>
        <w:t xml:space="preserve">           </w:t>
      </w:r>
      <w:r>
        <w:rPr>
          <w:rFonts w:hint="eastAsia" w:ascii="宋体" w:cs="宋体"/>
          <w:sz w:val="24"/>
        </w:rPr>
        <w:t>（中型企业、小型企业、微型企业）；</w:t>
      </w:r>
    </w:p>
    <w:p>
      <w:pPr>
        <w:spacing w:line="360" w:lineRule="auto"/>
        <w:ind w:firstLine="480" w:firstLineChars="200"/>
        <w:rPr>
          <w:rFonts w:ascii="宋体" w:cs="宋体"/>
          <w:sz w:val="24"/>
        </w:rPr>
      </w:pPr>
      <w:r>
        <w:rPr>
          <w:rFonts w:hint="eastAsia" w:ascii="宋体" w:hAnsi="宋体" w:cs="宋体"/>
          <w:sz w:val="24"/>
        </w:rPr>
        <w:t>⑵</w:t>
      </w:r>
      <w:r>
        <w:rPr>
          <w:rFonts w:hint="eastAsia" w:ascii="宋体" w:cs="宋体"/>
          <w:sz w:val="24"/>
          <w:u w:val="single"/>
        </w:rPr>
        <w:t xml:space="preserve">         </w:t>
      </w:r>
      <w:r>
        <w:rPr>
          <w:rFonts w:hint="eastAsia" w:ascii="宋体" w:cs="宋体"/>
          <w:sz w:val="24"/>
        </w:rPr>
        <w:t>（标的名称），属于</w:t>
      </w:r>
      <w:r>
        <w:rPr>
          <w:rFonts w:hint="eastAsia" w:ascii="宋体" w:cs="宋体"/>
          <w:sz w:val="24"/>
          <w:u w:val="single"/>
        </w:rPr>
        <w:t xml:space="preserve">          </w:t>
      </w:r>
      <w:r>
        <w:rPr>
          <w:rFonts w:hint="eastAsia" w:ascii="宋体" w:cs="宋体"/>
          <w:sz w:val="24"/>
        </w:rPr>
        <w:t>(采购文件中明确的所属行业）；承建（承接）企业为</w:t>
      </w:r>
      <w:r>
        <w:rPr>
          <w:rFonts w:hint="eastAsia" w:ascii="宋体" w:cs="宋体"/>
          <w:sz w:val="24"/>
          <w:u w:val="single"/>
        </w:rPr>
        <w:t xml:space="preserve">           </w:t>
      </w:r>
      <w:r>
        <w:rPr>
          <w:rFonts w:hint="eastAsia" w:ascii="宋体" w:cs="宋体"/>
          <w:sz w:val="24"/>
        </w:rPr>
        <w:t>（企业名称），从业人员</w:t>
      </w:r>
      <w:r>
        <w:rPr>
          <w:rFonts w:hint="eastAsia" w:ascii="宋体" w:cs="宋体"/>
          <w:sz w:val="24"/>
          <w:u w:val="single"/>
        </w:rPr>
        <w:t xml:space="preserve">     </w:t>
      </w:r>
      <w:r>
        <w:rPr>
          <w:rFonts w:hint="eastAsia" w:ascii="宋体" w:cs="宋体"/>
          <w:sz w:val="24"/>
        </w:rPr>
        <w:t>人，营业收入为</w:t>
      </w:r>
      <w:r>
        <w:rPr>
          <w:rFonts w:hint="eastAsia" w:ascii="宋体" w:cs="宋体"/>
          <w:sz w:val="24"/>
          <w:u w:val="single"/>
        </w:rPr>
        <w:t xml:space="preserve">      </w:t>
      </w:r>
      <w:r>
        <w:rPr>
          <w:rFonts w:hint="eastAsia" w:ascii="宋体" w:cs="宋体"/>
          <w:sz w:val="24"/>
        </w:rPr>
        <w:t>万元，资产总额为</w:t>
      </w:r>
      <w:r>
        <w:rPr>
          <w:rFonts w:hint="eastAsia" w:ascii="宋体" w:cs="宋体"/>
          <w:sz w:val="24"/>
          <w:u w:val="single"/>
        </w:rPr>
        <w:t xml:space="preserve">        </w:t>
      </w:r>
      <w:r>
        <w:rPr>
          <w:rFonts w:hint="eastAsia" w:ascii="宋体" w:cs="宋体"/>
          <w:sz w:val="24"/>
        </w:rPr>
        <w:t>万元，属于</w:t>
      </w:r>
      <w:r>
        <w:rPr>
          <w:rFonts w:hint="eastAsia" w:ascii="宋体" w:cs="宋体"/>
          <w:sz w:val="24"/>
          <w:u w:val="single"/>
        </w:rPr>
        <w:t xml:space="preserve">           </w:t>
      </w:r>
      <w:r>
        <w:rPr>
          <w:rFonts w:hint="eastAsia" w:ascii="宋体" w:cs="宋体"/>
          <w:sz w:val="24"/>
        </w:rPr>
        <w:t>（中型企业、小型企业、微型企业）；</w:t>
      </w:r>
    </w:p>
    <w:p>
      <w:pPr>
        <w:spacing w:line="360" w:lineRule="auto"/>
        <w:ind w:firstLine="480" w:firstLineChars="200"/>
        <w:rPr>
          <w:rFonts w:ascii="宋体" w:cs="宋体"/>
          <w:sz w:val="24"/>
        </w:rPr>
      </w:pPr>
      <w:r>
        <w:rPr>
          <w:rFonts w:hint="eastAsia" w:ascii="宋体" w:hAnsi="宋体" w:cs="宋体"/>
          <w:sz w:val="24"/>
        </w:rPr>
        <w:t>⑶</w:t>
      </w:r>
      <w:r>
        <w:rPr>
          <w:rFonts w:hint="eastAsia" w:ascii="宋体" w:cs="宋体"/>
          <w:sz w:val="24"/>
        </w:rPr>
        <w:t xml:space="preserve"> </w:t>
      </w:r>
      <w:r>
        <w:rPr>
          <w:rFonts w:hint="eastAsia" w:ascii="宋体" w:hAnsi="宋体" w:cs="宋体"/>
          <w:sz w:val="24"/>
        </w:rPr>
        <w:t>……</w:t>
      </w:r>
      <w:r>
        <w:rPr>
          <w:rFonts w:hint="eastAsia" w:ascii="宋体" w:cs="宋体"/>
          <w:sz w:val="24"/>
        </w:rPr>
        <w:t>。</w:t>
      </w:r>
    </w:p>
    <w:p>
      <w:pPr>
        <w:spacing w:line="360" w:lineRule="auto"/>
        <w:ind w:firstLine="480" w:firstLineChars="200"/>
        <w:rPr>
          <w:rFonts w:ascii="宋体" w:cs="宋体"/>
          <w:sz w:val="24"/>
        </w:rPr>
      </w:pPr>
      <w:r>
        <w:rPr>
          <w:rFonts w:hint="eastAsia" w:ascii="宋体" w:cs="宋体"/>
          <w:sz w:val="24"/>
        </w:rPr>
        <w:t>以上企业，不属于大企业的分支机构，不存在控股股东为大企业的情形，也不存在与大企业的负责人为同一人的情形。</w:t>
      </w:r>
    </w:p>
    <w:p>
      <w:pPr>
        <w:spacing w:line="360" w:lineRule="auto"/>
        <w:ind w:firstLine="480" w:firstLineChars="200"/>
        <w:rPr>
          <w:rFonts w:ascii="宋体" w:cs="宋体"/>
          <w:sz w:val="24"/>
        </w:rPr>
      </w:pPr>
      <w:r>
        <w:rPr>
          <w:rFonts w:hint="eastAsia" w:ascii="宋体" w:cs="宋体"/>
          <w:sz w:val="24"/>
        </w:rPr>
        <w:t>本企业对上述声明的真实性负责。如有虚假，将依法承担相应责任。</w:t>
      </w:r>
    </w:p>
    <w:p>
      <w:pPr>
        <w:spacing w:line="360" w:lineRule="auto"/>
        <w:ind w:firstLine="5280" w:firstLineChars="2200"/>
        <w:rPr>
          <w:rFonts w:ascii="宋体" w:cs="宋体"/>
          <w:sz w:val="24"/>
        </w:rPr>
      </w:pPr>
      <w:r>
        <w:rPr>
          <w:rFonts w:hint="eastAsia" w:ascii="宋体" w:cs="宋体"/>
          <w:sz w:val="24"/>
        </w:rPr>
        <w:t>投标人（盖章）：</w:t>
      </w:r>
    </w:p>
    <w:p>
      <w:pPr>
        <w:spacing w:line="360" w:lineRule="auto"/>
        <w:ind w:firstLine="4560" w:firstLineChars="1900"/>
        <w:rPr>
          <w:rFonts w:ascii="宋体" w:cs="宋体"/>
          <w:sz w:val="24"/>
        </w:rPr>
      </w:pPr>
      <w:r>
        <w:rPr>
          <w:rFonts w:hint="eastAsia" w:ascii="宋体" w:cs="宋体"/>
          <w:sz w:val="24"/>
        </w:rPr>
        <w:t>法定代表人或委托代理人（签字）：</w:t>
      </w:r>
    </w:p>
    <w:p>
      <w:pPr>
        <w:spacing w:line="360" w:lineRule="auto"/>
        <w:ind w:firstLine="4800" w:firstLineChars="2000"/>
        <w:rPr>
          <w:rFonts w:ascii="宋体" w:cs="宋体"/>
          <w:sz w:val="24"/>
        </w:rPr>
      </w:pPr>
      <w:r>
        <w:rPr>
          <w:rFonts w:hint="eastAsia" w:ascii="宋体" w:cs="宋体"/>
          <w:sz w:val="24"/>
        </w:rPr>
        <w:t>日期：       年   月   日</w:t>
      </w:r>
    </w:p>
    <w:p>
      <w:pPr>
        <w:spacing w:line="360" w:lineRule="auto"/>
        <w:rPr>
          <w:rFonts w:ascii="宋体" w:cs="宋体"/>
          <w:sz w:val="24"/>
        </w:rPr>
      </w:pPr>
    </w:p>
    <w:p>
      <w:pPr>
        <w:jc w:val="center"/>
        <w:rPr>
          <w:rFonts w:ascii="宋体"/>
          <w:b/>
          <w:kern w:val="0"/>
          <w:sz w:val="24"/>
          <w:szCs w:val="20"/>
        </w:rPr>
      </w:pPr>
      <w:bookmarkStart w:id="38" w:name="_Toc37868812"/>
      <w:r>
        <w:rPr>
          <w:rFonts w:hint="eastAsia"/>
          <w:b/>
          <w:bCs/>
          <w:sz w:val="24"/>
        </w:rPr>
        <w:t>（三）</w:t>
      </w:r>
      <w:r>
        <w:rPr>
          <w:b/>
          <w:bCs/>
          <w:sz w:val="24"/>
        </w:rPr>
        <w:t>投标人</w:t>
      </w:r>
      <w:r>
        <w:rPr>
          <w:rFonts w:hint="eastAsia"/>
          <w:b/>
          <w:bCs/>
          <w:sz w:val="24"/>
        </w:rPr>
        <w:t>监狱企业</w:t>
      </w:r>
      <w:r>
        <w:rPr>
          <w:b/>
          <w:bCs/>
          <w:sz w:val="24"/>
        </w:rPr>
        <w:t>声明函</w:t>
      </w:r>
      <w:bookmarkEnd w:id="38"/>
    </w:p>
    <w:p>
      <w:pPr>
        <w:spacing w:line="360" w:lineRule="auto"/>
        <w:ind w:firstLine="480" w:firstLineChars="200"/>
        <w:rPr>
          <w:rFonts w:ascii="宋体" w:cs="宋体"/>
          <w:sz w:val="24"/>
        </w:rPr>
      </w:pPr>
      <w:r>
        <w:rPr>
          <w:rFonts w:hint="eastAsia" w:ascii="宋体" w:cs="宋体"/>
          <w:sz w:val="24"/>
        </w:rPr>
        <w:t>本企业（单位）郑重声明下列事项（按照实际情况勾选或填空）：</w:t>
      </w:r>
    </w:p>
    <w:p>
      <w:pPr>
        <w:spacing w:line="360" w:lineRule="auto"/>
        <w:ind w:firstLine="480" w:firstLineChars="200"/>
        <w:rPr>
          <w:rFonts w:ascii="宋体" w:cs="宋体"/>
          <w:sz w:val="24"/>
        </w:rPr>
      </w:pPr>
      <w:r>
        <w:rPr>
          <w:rFonts w:hint="eastAsia" w:ascii="宋体" w:cs="宋体"/>
          <w:sz w:val="24"/>
        </w:rPr>
        <w:t>本企业（单位）为直接投标人，提供本企业（单位）服务。</w:t>
      </w:r>
    </w:p>
    <w:p>
      <w:pPr>
        <w:spacing w:line="360" w:lineRule="auto"/>
        <w:ind w:firstLine="480" w:firstLineChars="200"/>
        <w:rPr>
          <w:rFonts w:ascii="宋体" w:cs="宋体"/>
          <w:color w:val="FF0000"/>
          <w:sz w:val="24"/>
        </w:rPr>
      </w:pPr>
      <w:r>
        <w:rPr>
          <w:rFonts w:hint="eastAsia" w:ascii="宋体" w:cs="宋体"/>
          <w:sz w:val="24"/>
        </w:rPr>
        <w:t>（1）本企业（单位）（请填写：是、不是）监狱企业。</w:t>
      </w:r>
    </w:p>
    <w:p>
      <w:pPr>
        <w:spacing w:line="360" w:lineRule="auto"/>
        <w:ind w:firstLine="480" w:firstLineChars="200"/>
        <w:rPr>
          <w:rFonts w:ascii="宋体" w:cs="宋体"/>
          <w:sz w:val="24"/>
        </w:rPr>
      </w:pPr>
      <w:r>
        <w:rPr>
          <w:rFonts w:hint="eastAsia" w:ascii="宋体" w:cs="宋体"/>
          <w:sz w:val="24"/>
        </w:rPr>
        <w:t>（2）本企业（单位）（请填写：是、不是）为联合体一方，提供本企业（单位）的服务。本企业（单位）提供协议合同金额占到共同投标协议合同总金额的比例为。</w:t>
      </w:r>
    </w:p>
    <w:p>
      <w:pPr>
        <w:spacing w:line="360" w:lineRule="auto"/>
        <w:rPr>
          <w:rFonts w:ascii="宋体" w:cs="宋体"/>
          <w:sz w:val="24"/>
        </w:rPr>
      </w:pPr>
      <w:r>
        <w:rPr>
          <w:rFonts w:hint="eastAsia" w:ascii="宋体" w:cs="宋体"/>
          <w:sz w:val="24"/>
        </w:rPr>
        <w:t>本企业（单位）对上述声明的真实性负责。如有虚假，将依法承担相应责任。</w:t>
      </w:r>
      <w:r>
        <w:rPr>
          <w:rFonts w:ascii="宋体"/>
          <w:b/>
          <w:kern w:val="0"/>
          <w:sz w:val="24"/>
          <w:szCs w:val="20"/>
        </w:rPr>
        <w:t>　</w:t>
      </w:r>
    </w:p>
    <w:p>
      <w:pPr>
        <w:pStyle w:val="12"/>
        <w:tabs>
          <w:tab w:val="left" w:pos="5580"/>
        </w:tabs>
        <w:spacing w:line="360" w:lineRule="auto"/>
        <w:ind w:firstLine="3120" w:firstLineChars="1300"/>
        <w:rPr>
          <w:sz w:val="24"/>
        </w:rPr>
      </w:pPr>
      <w:r>
        <w:rPr>
          <w:rFonts w:hint="eastAsia"/>
          <w:sz w:val="24"/>
        </w:rPr>
        <w:t>投标人（盖</w:t>
      </w:r>
      <w:r>
        <w:rPr>
          <w:sz w:val="24"/>
        </w:rPr>
        <w:t>章）：</w:t>
      </w:r>
    </w:p>
    <w:p>
      <w:pPr>
        <w:pStyle w:val="12"/>
        <w:tabs>
          <w:tab w:val="left" w:pos="5580"/>
        </w:tabs>
        <w:spacing w:line="360" w:lineRule="auto"/>
        <w:ind w:firstLine="3120" w:firstLineChars="1300"/>
        <w:rPr>
          <w:rFonts w:cs="宋体"/>
          <w:kern w:val="0"/>
          <w:sz w:val="24"/>
          <w:u w:val="single"/>
        </w:rPr>
      </w:pPr>
      <w:r>
        <w:rPr>
          <w:rFonts w:hint="eastAsia"/>
          <w:sz w:val="24"/>
        </w:rPr>
        <w:t>法定代表人或</w:t>
      </w:r>
      <w:r>
        <w:rPr>
          <w:rFonts w:hint="eastAsia" w:cs="宋体"/>
          <w:kern w:val="0"/>
          <w:sz w:val="24"/>
        </w:rPr>
        <w:t>委托代理人</w:t>
      </w:r>
      <w:r>
        <w:rPr>
          <w:rFonts w:hint="eastAsia"/>
          <w:sz w:val="24"/>
        </w:rPr>
        <w:t>（签字）</w:t>
      </w:r>
      <w:r>
        <w:rPr>
          <w:rFonts w:hint="eastAsia" w:cs="宋体"/>
          <w:kern w:val="0"/>
          <w:sz w:val="24"/>
        </w:rPr>
        <w:t>：</w:t>
      </w:r>
    </w:p>
    <w:p>
      <w:pPr>
        <w:spacing w:line="360" w:lineRule="auto"/>
        <w:ind w:firstLine="3120" w:firstLineChars="1300"/>
        <w:rPr>
          <w:rFonts w:ascii="宋体" w:cs="宋体"/>
          <w:sz w:val="24"/>
        </w:rPr>
      </w:pPr>
      <w:r>
        <w:rPr>
          <w:rFonts w:hint="eastAsia" w:ascii="宋体" w:cs="宋体"/>
          <w:sz w:val="24"/>
        </w:rPr>
        <w:t>日期：       年   月   日</w:t>
      </w:r>
    </w:p>
    <w:p>
      <w:pPr>
        <w:spacing w:line="360" w:lineRule="auto"/>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注：在政府采购活动中，监狱企业视同小型、微型企业。监狱企业参加政府采购活动时，应当提供由省级以上监狱管理局、戒毒管理局（含新疆生产建设兵团）出具的属于监狱企业的证明文件。</w:t>
      </w:r>
    </w:p>
    <w:p>
      <w:pPr>
        <w:spacing w:line="360" w:lineRule="auto"/>
        <w:rPr>
          <w:rFonts w:ascii="宋体" w:cs="宋体"/>
          <w:sz w:val="24"/>
        </w:rPr>
      </w:pPr>
    </w:p>
    <w:p>
      <w:pPr>
        <w:jc w:val="center"/>
        <w:rPr>
          <w:b/>
          <w:bCs/>
          <w:sz w:val="24"/>
        </w:rPr>
      </w:pPr>
      <w:r>
        <w:rPr>
          <w:rFonts w:hint="eastAsia"/>
          <w:b/>
          <w:bCs/>
          <w:sz w:val="24"/>
        </w:rPr>
        <w:t>（四）残疾人福利性单位声明函</w:t>
      </w:r>
      <w:bookmarkEnd w:id="37"/>
    </w:p>
    <w:p>
      <w:pPr>
        <w:spacing w:line="360" w:lineRule="auto"/>
        <w:ind w:firstLine="567"/>
        <w:rPr>
          <w:rFonts w:ascii="宋体"/>
          <w:kern w:val="0"/>
          <w:sz w:val="24"/>
          <w:szCs w:val="20"/>
        </w:rPr>
      </w:pPr>
      <w:r>
        <w:rPr>
          <w:rFonts w:hint="eastAsia" w:ascii="宋体"/>
          <w:kern w:val="0"/>
          <w:sz w:val="24"/>
          <w:szCs w:val="20"/>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w:t>
      </w:r>
      <w:r>
        <w:rPr>
          <w:rFonts w:hint="eastAsia" w:ascii="宋体" w:cs="宋体"/>
          <w:kern w:val="0"/>
          <w:sz w:val="24"/>
        </w:rPr>
        <w:t>（由本单位承担工程/提供服务）</w:t>
      </w:r>
      <w:r>
        <w:rPr>
          <w:rFonts w:hint="eastAsia" w:ascii="宋体"/>
          <w:kern w:val="0"/>
          <w:sz w:val="24"/>
          <w:szCs w:val="20"/>
        </w:rPr>
        <w:t>，或者提供其他残疾人福利性单位制造的货物（不包括使用非残疾人福利性单位注册商标的货物）。</w:t>
      </w:r>
    </w:p>
    <w:p>
      <w:pPr>
        <w:spacing w:line="360" w:lineRule="auto"/>
        <w:ind w:left="1080" w:leftChars="257" w:hanging="540"/>
        <w:rPr>
          <w:rFonts w:ascii="宋体"/>
          <w:kern w:val="0"/>
          <w:sz w:val="24"/>
          <w:szCs w:val="20"/>
        </w:rPr>
      </w:pPr>
      <w:r>
        <w:rPr>
          <w:rFonts w:hint="eastAsia" w:ascii="宋体"/>
          <w:kern w:val="0"/>
          <w:sz w:val="24"/>
          <w:szCs w:val="20"/>
        </w:rPr>
        <w:t>本单位对上述声明的真实性负责。如有虚假，将依法承担相应责任。</w:t>
      </w:r>
    </w:p>
    <w:p>
      <w:pPr>
        <w:spacing w:line="360" w:lineRule="auto"/>
        <w:ind w:left="1080" w:leftChars="257" w:hanging="540"/>
        <w:jc w:val="center"/>
        <w:rPr>
          <w:rFonts w:ascii="宋体"/>
          <w:kern w:val="0"/>
          <w:sz w:val="24"/>
          <w:szCs w:val="20"/>
        </w:rPr>
      </w:pPr>
    </w:p>
    <w:p>
      <w:pPr>
        <w:spacing w:line="360" w:lineRule="auto"/>
        <w:ind w:left="1080" w:leftChars="257" w:hanging="540"/>
        <w:jc w:val="center"/>
        <w:rPr>
          <w:rFonts w:ascii="宋体"/>
          <w:kern w:val="0"/>
          <w:sz w:val="24"/>
          <w:szCs w:val="20"/>
          <w:u w:val="single"/>
        </w:rPr>
      </w:pPr>
      <w:r>
        <w:rPr>
          <w:rFonts w:hint="eastAsia" w:ascii="宋体"/>
          <w:kern w:val="0"/>
          <w:sz w:val="24"/>
          <w:szCs w:val="20"/>
        </w:rPr>
        <w:t xml:space="preserve">              残疾人</w:t>
      </w:r>
      <w:r>
        <w:rPr>
          <w:rFonts w:ascii="宋体"/>
          <w:kern w:val="0"/>
          <w:sz w:val="24"/>
          <w:szCs w:val="20"/>
        </w:rPr>
        <w:t>福利性单位</w:t>
      </w:r>
      <w:r>
        <w:rPr>
          <w:rFonts w:hint="eastAsia" w:ascii="宋体"/>
          <w:kern w:val="0"/>
          <w:sz w:val="24"/>
          <w:szCs w:val="20"/>
        </w:rPr>
        <w:t>名称（盖公章）：</w:t>
      </w:r>
    </w:p>
    <w:p>
      <w:pPr>
        <w:spacing w:line="360" w:lineRule="auto"/>
        <w:ind w:left="645" w:leftChars="307" w:firstLine="3600" w:firstLineChars="1500"/>
        <w:rPr>
          <w:rFonts w:ascii="宋体" w:cs="宋体"/>
          <w:color w:val="FF0000"/>
          <w:kern w:val="0"/>
          <w:sz w:val="24"/>
        </w:rPr>
      </w:pPr>
      <w:r>
        <w:rPr>
          <w:rFonts w:hint="eastAsia" w:ascii="宋体"/>
          <w:kern w:val="0"/>
          <w:sz w:val="24"/>
          <w:szCs w:val="20"/>
        </w:rPr>
        <w:t>日  期：</w:t>
      </w:r>
    </w:p>
    <w:p>
      <w:pPr>
        <w:pStyle w:val="2"/>
      </w:pPr>
    </w:p>
    <w:p>
      <w:pPr>
        <w:rPr>
          <w:rFonts w:ascii="宋体"/>
          <w:b/>
          <w:bCs/>
          <w:kern w:val="0"/>
          <w:sz w:val="24"/>
        </w:rPr>
      </w:pPr>
      <w:r>
        <w:rPr>
          <w:rFonts w:hint="eastAsia" w:ascii="宋体"/>
          <w:b/>
          <w:bCs/>
          <w:kern w:val="0"/>
          <w:sz w:val="24"/>
        </w:rPr>
        <w:t>7.2.10. 投标人近3年类似项目情况表</w:t>
      </w:r>
    </w:p>
    <w:p/>
    <w:p>
      <w:pPr>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投标人近3年类似项目情况表</w:t>
      </w:r>
    </w:p>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（格式自拟）</w:t>
      </w:r>
    </w:p>
    <w:tbl>
      <w:tblPr>
        <w:tblStyle w:val="23"/>
        <w:tblW w:w="9180"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73"/>
        <w:gridCol w:w="2867"/>
        <w:gridCol w:w="1433"/>
        <w:gridCol w:w="1417"/>
        <w:gridCol w:w="1416"/>
        <w:gridCol w:w="117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17" w:hRule="atLeast"/>
          <w:jc w:val="center"/>
        </w:trPr>
        <w:tc>
          <w:tcPr>
            <w:tcW w:w="873" w:type="dxa"/>
            <w:tcBorders>
              <w:right w:val="single" w:color="auto" w:sz="4" w:space="0"/>
            </w:tcBorders>
            <w:noWrap/>
            <w:vAlign w:val="center"/>
          </w:tcPr>
          <w:p>
            <w:pPr>
              <w:jc w:val="center"/>
              <w:rPr>
                <w:rFonts w:ascii="宋体"/>
                <w:sz w:val="24"/>
              </w:rPr>
            </w:pPr>
            <w:r>
              <w:rPr>
                <w:rFonts w:hint="eastAsia" w:ascii="宋体"/>
                <w:sz w:val="24"/>
              </w:rPr>
              <w:t>序号</w:t>
            </w:r>
          </w:p>
        </w:tc>
        <w:tc>
          <w:tcPr>
            <w:tcW w:w="2867" w:type="dxa"/>
            <w:tcBorders>
              <w:left w:val="single" w:color="auto" w:sz="4" w:space="0"/>
            </w:tcBorders>
            <w:noWrap/>
            <w:vAlign w:val="center"/>
          </w:tcPr>
          <w:p>
            <w:pPr>
              <w:jc w:val="center"/>
              <w:rPr>
                <w:rFonts w:ascii="宋体"/>
                <w:sz w:val="24"/>
              </w:rPr>
            </w:pPr>
            <w:r>
              <w:rPr>
                <w:rFonts w:hint="eastAsia" w:ascii="宋体"/>
                <w:sz w:val="24"/>
              </w:rPr>
              <w:t>项目名称</w:t>
            </w:r>
          </w:p>
        </w:tc>
        <w:tc>
          <w:tcPr>
            <w:tcW w:w="1433" w:type="dxa"/>
            <w:tcBorders>
              <w:right w:val="single" w:color="auto" w:sz="4" w:space="0"/>
            </w:tcBorders>
            <w:noWrap/>
            <w:vAlign w:val="center"/>
          </w:tcPr>
          <w:p>
            <w:pPr>
              <w:jc w:val="center"/>
              <w:rPr>
                <w:rFonts w:ascii="宋体"/>
                <w:sz w:val="24"/>
              </w:rPr>
            </w:pPr>
            <w:r>
              <w:rPr>
                <w:rFonts w:hint="eastAsia" w:ascii="宋体"/>
                <w:sz w:val="24"/>
              </w:rPr>
              <w:t>采购人</w:t>
            </w:r>
          </w:p>
        </w:tc>
        <w:tc>
          <w:tcPr>
            <w:tcW w:w="1417" w:type="dxa"/>
            <w:tcBorders>
              <w:left w:val="single" w:color="auto" w:sz="4" w:space="0"/>
              <w:right w:val="single" w:color="auto" w:sz="4" w:space="0"/>
            </w:tcBorders>
            <w:noWrap/>
            <w:vAlign w:val="center"/>
          </w:tcPr>
          <w:p>
            <w:pPr>
              <w:jc w:val="center"/>
              <w:rPr>
                <w:rFonts w:ascii="宋体"/>
                <w:sz w:val="24"/>
              </w:rPr>
            </w:pPr>
            <w:r>
              <w:rPr>
                <w:rFonts w:hint="eastAsia" w:ascii="宋体"/>
                <w:sz w:val="24"/>
              </w:rPr>
              <w:t>合同金额</w:t>
            </w:r>
          </w:p>
        </w:tc>
        <w:tc>
          <w:tcPr>
            <w:tcW w:w="1416" w:type="dxa"/>
            <w:tcBorders>
              <w:left w:val="single" w:color="auto" w:sz="4" w:space="0"/>
              <w:right w:val="single" w:color="auto" w:sz="4" w:space="0"/>
            </w:tcBorders>
            <w:noWrap/>
            <w:vAlign w:val="center"/>
          </w:tcPr>
          <w:p>
            <w:pPr>
              <w:jc w:val="center"/>
              <w:rPr>
                <w:rFonts w:ascii="宋体"/>
                <w:sz w:val="24"/>
              </w:rPr>
            </w:pPr>
            <w:r>
              <w:rPr>
                <w:rFonts w:hint="eastAsia" w:ascii="宋体"/>
                <w:sz w:val="24"/>
              </w:rPr>
              <w:t>签约日期</w:t>
            </w:r>
          </w:p>
        </w:tc>
        <w:tc>
          <w:tcPr>
            <w:tcW w:w="1174" w:type="dxa"/>
            <w:tcBorders>
              <w:left w:val="single" w:color="auto" w:sz="4" w:space="0"/>
            </w:tcBorders>
            <w:noWrap/>
            <w:vAlign w:val="center"/>
          </w:tcPr>
          <w:p>
            <w:pPr>
              <w:jc w:val="center"/>
              <w:rPr>
                <w:rFonts w:ascii="宋体"/>
                <w:sz w:val="24"/>
              </w:rPr>
            </w:pPr>
            <w:r>
              <w:rPr>
                <w:rFonts w:hint="eastAsia" w:ascii="宋体"/>
                <w:sz w:val="24"/>
              </w:rPr>
              <w:t>附页码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17" w:hRule="atLeast"/>
          <w:jc w:val="center"/>
        </w:trPr>
        <w:tc>
          <w:tcPr>
            <w:tcW w:w="873" w:type="dxa"/>
            <w:tcBorders>
              <w:right w:val="single" w:color="auto" w:sz="4" w:space="0"/>
            </w:tcBorders>
            <w:noWrap/>
            <w:vAlign w:val="center"/>
          </w:tcPr>
          <w:p>
            <w:pPr>
              <w:jc w:val="center"/>
              <w:rPr>
                <w:rFonts w:ascii="宋体"/>
                <w:sz w:val="24"/>
              </w:rPr>
            </w:pPr>
            <w:r>
              <w:rPr>
                <w:rFonts w:hint="eastAsia" w:ascii="宋体"/>
                <w:sz w:val="24"/>
              </w:rPr>
              <w:t>1</w:t>
            </w:r>
          </w:p>
        </w:tc>
        <w:tc>
          <w:tcPr>
            <w:tcW w:w="2867" w:type="dxa"/>
            <w:tcBorders>
              <w:left w:val="single" w:color="auto" w:sz="4" w:space="0"/>
            </w:tcBorders>
            <w:noWrap/>
            <w:vAlign w:val="center"/>
          </w:tcPr>
          <w:p>
            <w:pPr>
              <w:jc w:val="center"/>
              <w:rPr>
                <w:rFonts w:ascii="宋体"/>
                <w:sz w:val="24"/>
              </w:rPr>
            </w:pPr>
          </w:p>
        </w:tc>
        <w:tc>
          <w:tcPr>
            <w:tcW w:w="1433" w:type="dxa"/>
            <w:tcBorders>
              <w:right w:val="single" w:color="auto" w:sz="4" w:space="0"/>
            </w:tcBorders>
            <w:noWrap/>
            <w:vAlign w:val="center"/>
          </w:tcPr>
          <w:p>
            <w:pPr>
              <w:jc w:val="center"/>
              <w:rPr>
                <w:rFonts w:ascii="宋体"/>
                <w:sz w:val="24"/>
              </w:rPr>
            </w:pPr>
          </w:p>
        </w:tc>
        <w:tc>
          <w:tcPr>
            <w:tcW w:w="1417" w:type="dxa"/>
            <w:tcBorders>
              <w:left w:val="single" w:color="auto" w:sz="4" w:space="0"/>
              <w:right w:val="single" w:color="auto" w:sz="4" w:space="0"/>
            </w:tcBorders>
            <w:noWrap/>
            <w:vAlign w:val="center"/>
          </w:tcPr>
          <w:p>
            <w:pPr>
              <w:jc w:val="center"/>
              <w:rPr>
                <w:rFonts w:ascii="宋体"/>
                <w:sz w:val="24"/>
              </w:rPr>
            </w:pPr>
          </w:p>
        </w:tc>
        <w:tc>
          <w:tcPr>
            <w:tcW w:w="1416" w:type="dxa"/>
            <w:tcBorders>
              <w:left w:val="single" w:color="auto" w:sz="4" w:space="0"/>
              <w:right w:val="single" w:color="auto" w:sz="4" w:space="0"/>
            </w:tcBorders>
            <w:noWrap/>
            <w:vAlign w:val="center"/>
          </w:tcPr>
          <w:p>
            <w:pPr>
              <w:jc w:val="center"/>
              <w:rPr>
                <w:rFonts w:ascii="宋体"/>
                <w:sz w:val="24"/>
              </w:rPr>
            </w:pPr>
          </w:p>
        </w:tc>
        <w:tc>
          <w:tcPr>
            <w:tcW w:w="1174" w:type="dxa"/>
            <w:tcBorders>
              <w:left w:val="single" w:color="auto" w:sz="4" w:space="0"/>
            </w:tcBorders>
            <w:noWrap/>
            <w:vAlign w:val="center"/>
          </w:tcPr>
          <w:p>
            <w:pPr>
              <w:jc w:val="center"/>
              <w:rPr>
                <w:rFonts w:ascii="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17" w:hRule="atLeast"/>
          <w:jc w:val="center"/>
        </w:trPr>
        <w:tc>
          <w:tcPr>
            <w:tcW w:w="873" w:type="dxa"/>
            <w:tcBorders>
              <w:right w:val="single" w:color="auto" w:sz="4" w:space="0"/>
            </w:tcBorders>
            <w:noWrap/>
            <w:vAlign w:val="center"/>
          </w:tcPr>
          <w:p>
            <w:pPr>
              <w:jc w:val="center"/>
              <w:rPr>
                <w:rFonts w:ascii="宋体"/>
                <w:sz w:val="24"/>
              </w:rPr>
            </w:pPr>
            <w:r>
              <w:rPr>
                <w:rFonts w:hint="eastAsia" w:ascii="宋体"/>
                <w:sz w:val="24"/>
              </w:rPr>
              <w:t>2</w:t>
            </w:r>
          </w:p>
        </w:tc>
        <w:tc>
          <w:tcPr>
            <w:tcW w:w="2867" w:type="dxa"/>
            <w:tcBorders>
              <w:left w:val="single" w:color="auto" w:sz="4" w:space="0"/>
            </w:tcBorders>
            <w:noWrap/>
            <w:vAlign w:val="center"/>
          </w:tcPr>
          <w:p>
            <w:pPr>
              <w:jc w:val="center"/>
              <w:rPr>
                <w:rFonts w:ascii="宋体"/>
                <w:sz w:val="24"/>
              </w:rPr>
            </w:pPr>
          </w:p>
        </w:tc>
        <w:tc>
          <w:tcPr>
            <w:tcW w:w="1433" w:type="dxa"/>
            <w:tcBorders>
              <w:right w:val="single" w:color="auto" w:sz="4" w:space="0"/>
            </w:tcBorders>
            <w:noWrap/>
            <w:vAlign w:val="center"/>
          </w:tcPr>
          <w:p>
            <w:pPr>
              <w:jc w:val="center"/>
              <w:rPr>
                <w:rFonts w:ascii="宋体"/>
                <w:sz w:val="24"/>
              </w:rPr>
            </w:pPr>
          </w:p>
        </w:tc>
        <w:tc>
          <w:tcPr>
            <w:tcW w:w="1417" w:type="dxa"/>
            <w:tcBorders>
              <w:left w:val="single" w:color="auto" w:sz="4" w:space="0"/>
              <w:right w:val="single" w:color="auto" w:sz="4" w:space="0"/>
            </w:tcBorders>
            <w:noWrap/>
            <w:vAlign w:val="center"/>
          </w:tcPr>
          <w:p>
            <w:pPr>
              <w:jc w:val="center"/>
              <w:rPr>
                <w:rFonts w:ascii="宋体"/>
                <w:sz w:val="24"/>
              </w:rPr>
            </w:pPr>
          </w:p>
        </w:tc>
        <w:tc>
          <w:tcPr>
            <w:tcW w:w="1416" w:type="dxa"/>
            <w:tcBorders>
              <w:left w:val="single" w:color="auto" w:sz="4" w:space="0"/>
              <w:right w:val="single" w:color="auto" w:sz="4" w:space="0"/>
            </w:tcBorders>
            <w:noWrap/>
            <w:vAlign w:val="center"/>
          </w:tcPr>
          <w:p>
            <w:pPr>
              <w:jc w:val="center"/>
              <w:rPr>
                <w:rFonts w:ascii="宋体"/>
                <w:sz w:val="24"/>
              </w:rPr>
            </w:pPr>
          </w:p>
        </w:tc>
        <w:tc>
          <w:tcPr>
            <w:tcW w:w="1174" w:type="dxa"/>
            <w:tcBorders>
              <w:left w:val="single" w:color="auto" w:sz="4" w:space="0"/>
            </w:tcBorders>
            <w:noWrap/>
            <w:vAlign w:val="center"/>
          </w:tcPr>
          <w:p>
            <w:pPr>
              <w:jc w:val="center"/>
              <w:rPr>
                <w:rFonts w:ascii="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17" w:hRule="atLeast"/>
          <w:jc w:val="center"/>
        </w:trPr>
        <w:tc>
          <w:tcPr>
            <w:tcW w:w="873" w:type="dxa"/>
            <w:tcBorders>
              <w:right w:val="single" w:color="auto" w:sz="4" w:space="0"/>
            </w:tcBorders>
            <w:noWrap/>
            <w:vAlign w:val="center"/>
          </w:tcPr>
          <w:p>
            <w:pPr>
              <w:jc w:val="center"/>
              <w:rPr>
                <w:rFonts w:ascii="宋体"/>
                <w:sz w:val="24"/>
              </w:rPr>
            </w:pPr>
            <w:r>
              <w:rPr>
                <w:rFonts w:hint="eastAsia" w:ascii="宋体" w:cs="宋体"/>
                <w:sz w:val="24"/>
              </w:rPr>
              <w:t>……</w:t>
            </w:r>
          </w:p>
        </w:tc>
        <w:tc>
          <w:tcPr>
            <w:tcW w:w="2867" w:type="dxa"/>
            <w:tcBorders>
              <w:left w:val="single" w:color="auto" w:sz="4" w:space="0"/>
            </w:tcBorders>
            <w:noWrap/>
            <w:vAlign w:val="center"/>
          </w:tcPr>
          <w:p>
            <w:pPr>
              <w:jc w:val="center"/>
              <w:rPr>
                <w:rFonts w:ascii="宋体"/>
                <w:sz w:val="24"/>
              </w:rPr>
            </w:pPr>
          </w:p>
        </w:tc>
        <w:tc>
          <w:tcPr>
            <w:tcW w:w="1433" w:type="dxa"/>
            <w:tcBorders>
              <w:right w:val="single" w:color="auto" w:sz="4" w:space="0"/>
            </w:tcBorders>
            <w:noWrap/>
            <w:vAlign w:val="center"/>
          </w:tcPr>
          <w:p>
            <w:pPr>
              <w:jc w:val="center"/>
              <w:rPr>
                <w:rFonts w:ascii="宋体"/>
                <w:sz w:val="24"/>
              </w:rPr>
            </w:pPr>
          </w:p>
        </w:tc>
        <w:tc>
          <w:tcPr>
            <w:tcW w:w="1417" w:type="dxa"/>
            <w:tcBorders>
              <w:left w:val="single" w:color="auto" w:sz="4" w:space="0"/>
              <w:right w:val="single" w:color="auto" w:sz="4" w:space="0"/>
            </w:tcBorders>
            <w:noWrap/>
            <w:vAlign w:val="center"/>
          </w:tcPr>
          <w:p>
            <w:pPr>
              <w:jc w:val="center"/>
              <w:rPr>
                <w:rFonts w:ascii="宋体"/>
                <w:sz w:val="24"/>
              </w:rPr>
            </w:pPr>
          </w:p>
        </w:tc>
        <w:tc>
          <w:tcPr>
            <w:tcW w:w="1416" w:type="dxa"/>
            <w:tcBorders>
              <w:left w:val="single" w:color="auto" w:sz="4" w:space="0"/>
              <w:right w:val="single" w:color="auto" w:sz="4" w:space="0"/>
            </w:tcBorders>
            <w:noWrap/>
            <w:vAlign w:val="center"/>
          </w:tcPr>
          <w:p>
            <w:pPr>
              <w:jc w:val="center"/>
              <w:rPr>
                <w:rFonts w:ascii="宋体"/>
                <w:sz w:val="24"/>
              </w:rPr>
            </w:pPr>
          </w:p>
        </w:tc>
        <w:tc>
          <w:tcPr>
            <w:tcW w:w="1174" w:type="dxa"/>
            <w:tcBorders>
              <w:left w:val="single" w:color="auto" w:sz="4" w:space="0"/>
            </w:tcBorders>
            <w:noWrap/>
            <w:vAlign w:val="center"/>
          </w:tcPr>
          <w:p>
            <w:pPr>
              <w:jc w:val="center"/>
              <w:rPr>
                <w:rFonts w:ascii="宋体"/>
                <w:sz w:val="24"/>
              </w:rPr>
            </w:pPr>
          </w:p>
        </w:tc>
      </w:tr>
    </w:tbl>
    <w:p>
      <w:pPr>
        <w:spacing w:line="360" w:lineRule="auto"/>
        <w:jc w:val="left"/>
        <w:rPr>
          <w:rFonts w:ascii="宋体"/>
          <w:sz w:val="24"/>
        </w:rPr>
      </w:pPr>
      <w:r>
        <w:rPr>
          <w:rFonts w:hint="eastAsia" w:ascii="宋体"/>
          <w:sz w:val="24"/>
        </w:rPr>
        <w:t>备注：</w:t>
      </w:r>
    </w:p>
    <w:p>
      <w:pPr>
        <w:spacing w:line="360" w:lineRule="auto"/>
        <w:jc w:val="left"/>
        <w:rPr>
          <w:rFonts w:ascii="宋体"/>
          <w:sz w:val="24"/>
        </w:rPr>
      </w:pPr>
      <w:r>
        <w:rPr>
          <w:rFonts w:hint="eastAsia" w:ascii="宋体"/>
          <w:sz w:val="24"/>
        </w:rPr>
        <w:t>1、本表后须附</w:t>
      </w:r>
      <w:r>
        <w:rPr>
          <w:rFonts w:hint="eastAsia" w:ascii="宋体"/>
          <w:color w:val="auto"/>
          <w:sz w:val="24"/>
          <w:lang w:val="en-US" w:eastAsia="zh-CN"/>
        </w:rPr>
        <w:t>自</w:t>
      </w:r>
      <w:r>
        <w:rPr>
          <w:rFonts w:hint="eastAsia" w:ascii="宋体" w:cs="宋体"/>
          <w:color w:val="auto"/>
          <w:sz w:val="24"/>
          <w:lang w:val="en-US" w:eastAsia="zh-CN"/>
        </w:rPr>
        <w:t>2019年6月1日至今政府采购类的同类项目业绩证明</w:t>
      </w:r>
      <w:r>
        <w:rPr>
          <w:rFonts w:hint="eastAsia" w:ascii="宋体"/>
          <w:sz w:val="24"/>
        </w:rPr>
        <w:t>资料（中标通知书或合同复印件）</w:t>
      </w:r>
    </w:p>
    <w:p>
      <w:pPr>
        <w:spacing w:line="360" w:lineRule="auto"/>
        <w:jc w:val="left"/>
      </w:pPr>
      <w:r>
        <w:rPr>
          <w:rFonts w:hint="eastAsia" w:ascii="宋体"/>
          <w:sz w:val="24"/>
        </w:rPr>
        <w:t>2、表格填写项目信息，并注明序号、页码。</w:t>
      </w:r>
    </w:p>
    <w:p>
      <w:r>
        <w:rPr>
          <w:rFonts w:hint="eastAsia" w:ascii="宋体"/>
          <w:b/>
          <w:bCs/>
          <w:kern w:val="0"/>
          <w:sz w:val="24"/>
        </w:rPr>
        <w:t>7.2.11. 其他需要提交的资料</w:t>
      </w:r>
    </w:p>
    <w:p>
      <w:pPr>
        <w:shd w:val="clear" w:color="auto" w:fill="FFFFFF"/>
        <w:snapToGrid w:val="0"/>
        <w:spacing w:line="384" w:lineRule="auto"/>
        <w:jc w:val="center"/>
        <w:rPr>
          <w:rFonts w:ascii="宋体"/>
          <w:sz w:val="24"/>
        </w:rPr>
      </w:pPr>
      <w:r>
        <w:rPr>
          <w:rFonts w:hint="eastAsia" w:ascii="宋体"/>
          <w:b/>
          <w:bCs/>
          <w:sz w:val="24"/>
        </w:rPr>
        <w:t>（一）资格声明（制造商、代理商或经销商）</w:t>
      </w:r>
    </w:p>
    <w:p>
      <w:pPr>
        <w:shd w:val="clear" w:color="auto" w:fill="FFFFFF"/>
        <w:snapToGrid w:val="0"/>
        <w:spacing w:line="384" w:lineRule="auto"/>
        <w:rPr>
          <w:rFonts w:ascii="宋体"/>
          <w:sz w:val="24"/>
        </w:rPr>
      </w:pPr>
      <w:r>
        <w:rPr>
          <w:rFonts w:hint="eastAsia" w:ascii="宋体"/>
          <w:sz w:val="24"/>
        </w:rPr>
        <w:t>致：（采购人名称）</w:t>
      </w:r>
    </w:p>
    <w:p>
      <w:pPr>
        <w:shd w:val="clear" w:color="auto" w:fill="FFFFFF"/>
        <w:snapToGrid w:val="0"/>
        <w:spacing w:line="384" w:lineRule="auto"/>
        <w:ind w:firstLine="420"/>
        <w:rPr>
          <w:rFonts w:ascii="宋体"/>
          <w:sz w:val="24"/>
        </w:rPr>
      </w:pPr>
      <w:r>
        <w:rPr>
          <w:rFonts w:hint="eastAsia" w:ascii="宋体"/>
          <w:sz w:val="24"/>
        </w:rPr>
        <w:t>为响应（招标项目标段名称）招标文件的要求，我方作为本次投标货物的</w:t>
      </w:r>
      <w:r>
        <w:rPr>
          <w:rFonts w:hint="eastAsia" w:ascii="宋体"/>
          <w:b/>
          <w:sz w:val="24"/>
          <w:u w:val="single"/>
        </w:rPr>
        <w:t>（制造商、代理商或经销商）</w:t>
      </w:r>
      <w:r>
        <w:rPr>
          <w:rFonts w:hint="eastAsia" w:ascii="宋体"/>
          <w:sz w:val="24"/>
        </w:rPr>
        <w:t>，提交如下资料和信息，并声明下述全部资料和信息是真实和准确的。</w:t>
      </w:r>
    </w:p>
    <w:p>
      <w:pPr>
        <w:shd w:val="clear" w:color="auto" w:fill="FFFFFF"/>
        <w:snapToGrid w:val="0"/>
        <w:spacing w:line="384" w:lineRule="auto"/>
        <w:rPr>
          <w:rFonts w:ascii="宋体"/>
          <w:sz w:val="24"/>
        </w:rPr>
      </w:pPr>
      <w:r>
        <w:rPr>
          <w:rFonts w:hint="eastAsia" w:ascii="宋体"/>
          <w:sz w:val="24"/>
        </w:rPr>
        <w:t>1、投标人基本情况表</w:t>
      </w:r>
    </w:p>
    <w:p>
      <w:pPr>
        <w:shd w:val="clear" w:color="auto" w:fill="FFFFFF"/>
        <w:snapToGrid w:val="0"/>
        <w:spacing w:line="384" w:lineRule="auto"/>
        <w:rPr>
          <w:rFonts w:ascii="宋体"/>
          <w:sz w:val="24"/>
        </w:rPr>
      </w:pPr>
      <w:r>
        <w:rPr>
          <w:rFonts w:hint="eastAsia" w:ascii="宋体"/>
          <w:sz w:val="24"/>
        </w:rPr>
        <w:t>2、投标货物生产能力说明（如有时，制造商提供）</w:t>
      </w:r>
    </w:p>
    <w:p>
      <w:pPr>
        <w:shd w:val="clear" w:color="auto" w:fill="FFFFFF"/>
        <w:snapToGrid w:val="0"/>
        <w:spacing w:line="384" w:lineRule="auto"/>
        <w:rPr>
          <w:rFonts w:ascii="宋体"/>
          <w:sz w:val="24"/>
        </w:rPr>
      </w:pPr>
      <w:r>
        <w:rPr>
          <w:rFonts w:hint="eastAsia" w:ascii="宋体"/>
          <w:sz w:val="24"/>
        </w:rPr>
        <w:t>3、制造商授权书（如有时，代理商或经销商提供）</w:t>
      </w:r>
    </w:p>
    <w:p>
      <w:pPr>
        <w:shd w:val="clear" w:color="auto" w:fill="FFFFFF"/>
        <w:snapToGrid w:val="0"/>
        <w:spacing w:line="384" w:lineRule="auto"/>
        <w:rPr>
          <w:rFonts w:ascii="宋体" w:hAnsi="宋体"/>
          <w:kern w:val="0"/>
          <w:sz w:val="24"/>
        </w:rPr>
      </w:pPr>
      <w:r>
        <w:rPr>
          <w:rFonts w:hint="eastAsia" w:ascii="宋体"/>
          <w:sz w:val="24"/>
        </w:rPr>
        <w:t>4、投标人近年类似供货项目情况表</w:t>
      </w:r>
    </w:p>
    <w:p>
      <w:pPr>
        <w:spacing w:line="360" w:lineRule="auto"/>
        <w:jc w:val="center"/>
        <w:rPr>
          <w:b/>
          <w:bCs/>
          <w:sz w:val="24"/>
        </w:rPr>
      </w:pPr>
      <w:r>
        <w:rPr>
          <w:rFonts w:hint="eastAsia"/>
          <w:b/>
          <w:bCs/>
          <w:sz w:val="24"/>
        </w:rPr>
        <w:t>（二）供货计划</w:t>
      </w:r>
    </w:p>
    <w:p>
      <w:pPr>
        <w:spacing w:line="360" w:lineRule="auto"/>
        <w:rPr>
          <w:rFonts w:ascii="宋体" w:cs="宋体"/>
          <w:b/>
          <w:sz w:val="30"/>
          <w:szCs w:val="30"/>
        </w:rPr>
      </w:pPr>
      <w:r>
        <w:rPr>
          <w:rFonts w:hint="eastAsia"/>
          <w:sz w:val="24"/>
        </w:rPr>
        <w:t>投标人根据企业自身情况编制供货详则。</w:t>
      </w:r>
    </w:p>
    <w:p>
      <w:pPr>
        <w:pStyle w:val="12"/>
        <w:jc w:val="center"/>
        <w:rPr>
          <w:sz w:val="24"/>
        </w:rPr>
      </w:pPr>
      <w:r>
        <w:rPr>
          <w:rFonts w:hint="eastAsia"/>
          <w:b/>
          <w:bCs/>
          <w:sz w:val="24"/>
        </w:rPr>
        <w:t>（三）服务方案</w:t>
      </w:r>
    </w:p>
    <w:p>
      <w:pPr>
        <w:pStyle w:val="12"/>
        <w:ind w:firstLine="480" w:firstLineChars="200"/>
        <w:rPr>
          <w:rFonts w:cs="宋体"/>
          <w:b/>
          <w:sz w:val="30"/>
          <w:szCs w:val="30"/>
        </w:rPr>
      </w:pPr>
      <w:r>
        <w:rPr>
          <w:rFonts w:hint="eastAsia" w:cs="宋体"/>
          <w:bCs/>
          <w:sz w:val="24"/>
        </w:rPr>
        <w:t>投标人根据此次项目实际需求，制定具体的供货服务方案。</w:t>
      </w:r>
    </w:p>
    <w:p/>
    <w:p>
      <w:pPr>
        <w:pStyle w:val="9"/>
        <w:numPr>
          <w:ilvl w:val="0"/>
          <w:numId w:val="0"/>
        </w:numPr>
        <w:spacing w:line="360" w:lineRule="auto"/>
        <w:rPr>
          <w:rFonts w:ascii="宋体" w:eastAsia="宋体" w:cs="宋体"/>
          <w:sz w:val="24"/>
        </w:rPr>
      </w:pPr>
    </w:p>
    <w:sectPr>
      <w:footerReference r:id="rId5" w:type="default"/>
      <w:pgSz w:w="11906" w:h="16838"/>
      <w:pgMar w:top="1701" w:right="1417" w:bottom="1701" w:left="1701"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75565" distR="75565" simplePos="0" relativeHeight="251664384" behindDoc="0" locked="0" layoutInCell="1" allowOverlap="1">
              <wp:simplePos x="0" y="0"/>
              <wp:positionH relativeFrom="margin">
                <wp:align>right</wp:align>
              </wp:positionH>
              <wp:positionV relativeFrom="paragraph">
                <wp:posOffset>0</wp:posOffset>
              </wp:positionV>
              <wp:extent cx="237490" cy="139700"/>
              <wp:effectExtent l="0" t="0" r="0" b="0"/>
              <wp:wrapNone/>
              <wp:docPr id="3" name="文本框 3"/>
              <wp:cNvGraphicFramePr/>
              <a:graphic xmlns:a="http://schemas.openxmlformats.org/drawingml/2006/main">
                <a:graphicData uri="http://schemas.microsoft.com/office/word/2010/wordprocessingShape">
                  <wps:wsp>
                    <wps:cNvSpPr/>
                    <wps:spPr>
                      <a:xfrm>
                        <a:off x="0" y="0"/>
                        <a:ext cx="237515" cy="139674"/>
                      </a:xfrm>
                      <a:prstGeom prst="rect">
                        <a:avLst/>
                      </a:prstGeom>
                      <a:noFill/>
                      <a:ln w="6350" cap="flat" cmpd="sng">
                        <a:noFill/>
                        <a:prstDash val="solid"/>
                        <a:round/>
                      </a:ln>
                    </wps:spPr>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t>- 35 -</w:t>
                          </w:r>
                          <w:r>
                            <w:rPr>
                              <w:rFonts w:hint="eastAsia"/>
                            </w:rPr>
                            <w:fldChar w:fldCharType="end"/>
                          </w:r>
                        </w:p>
                      </w:txbxContent>
                    </wps:txbx>
                    <wps:bodyPr vert="horz" wrap="none" lIns="0" tIns="0" rIns="0" bIns="0" anchor="t" anchorCtr="0">
                      <a:spAutoFit/>
                    </wps:bodyPr>
                  </wps:wsp>
                </a:graphicData>
              </a:graphic>
            </wp:anchor>
          </w:drawing>
        </mc:Choice>
        <mc:Fallback>
          <w:pict>
            <v:rect id="文本框 3" o:spid="_x0000_s1026" o:spt="1" style="position:absolute;left:0pt;margin-top:0pt;height:11pt;width:18.7pt;mso-position-horizontal:right;mso-position-horizontal-relative:margin;mso-wrap-style:none;z-index:251664384;mso-width-relative:page;mso-height-relative:page;" filled="f" stroked="f" coordsize="21600,21600" o:gfxdata="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Zno959cAAAADAQAA&#10;DwAAAAAAAAABACAAAAAiAAAAZHJzL2Rvd25yZXYueG1sUEsBAhQAFAAAAAgAh07iQNMRTi3hAQAA&#10;mgMAAA4AAAAAAAAAAQAgAAAAJgEAAGRycy9lMm9Eb2MueG1sUEsFBgAAAAAGAAYAWQEAAHkFAAAA&#10;AA==&#10;">
              <v:fill on="f" focussize="0,0"/>
              <v:stroke on="f" weight="0.5pt" joinstyle="round"/>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t>- 35 -</w:t>
                    </w:r>
                    <w:r>
                      <w:rPr>
                        <w:rFonts w:hint="eastAsia"/>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10FBA7"/>
    <w:multiLevelType w:val="singleLevel"/>
    <w:tmpl w:val="8710FBA7"/>
    <w:lvl w:ilvl="0" w:tentative="0">
      <w:start w:val="1"/>
      <w:numFmt w:val="decimal"/>
      <w:suff w:val="space"/>
      <w:lvlText w:val="%1."/>
      <w:lvlJc w:val="left"/>
      <w:pPr>
        <w:tabs>
          <w:tab w:val="left" w:pos="0"/>
        </w:tabs>
        <w:ind w:left="0" w:firstLine="0"/>
      </w:pPr>
    </w:lvl>
  </w:abstractNum>
  <w:abstractNum w:abstractNumId="1">
    <w:nsid w:val="88C80209"/>
    <w:multiLevelType w:val="singleLevel"/>
    <w:tmpl w:val="88C80209"/>
    <w:lvl w:ilvl="0" w:tentative="0">
      <w:start w:val="1"/>
      <w:numFmt w:val="decimal"/>
      <w:suff w:val="space"/>
      <w:lvlText w:val="%1."/>
      <w:lvlJc w:val="left"/>
      <w:pPr>
        <w:tabs>
          <w:tab w:val="left" w:pos="0"/>
        </w:tabs>
        <w:ind w:left="0" w:firstLine="0"/>
      </w:pPr>
    </w:lvl>
  </w:abstractNum>
  <w:abstractNum w:abstractNumId="2">
    <w:nsid w:val="91F4BAC3"/>
    <w:multiLevelType w:val="singleLevel"/>
    <w:tmpl w:val="91F4BAC3"/>
    <w:lvl w:ilvl="0" w:tentative="0">
      <w:start w:val="1"/>
      <w:numFmt w:val="decimal"/>
      <w:suff w:val="space"/>
      <w:lvlText w:val="%1."/>
      <w:lvlJc w:val="left"/>
      <w:pPr>
        <w:tabs>
          <w:tab w:val="left" w:pos="0"/>
        </w:tabs>
        <w:ind w:left="0" w:firstLine="0"/>
      </w:pPr>
    </w:lvl>
  </w:abstractNum>
  <w:abstractNum w:abstractNumId="3">
    <w:nsid w:val="97DE66B2"/>
    <w:multiLevelType w:val="singleLevel"/>
    <w:tmpl w:val="97DE66B2"/>
    <w:lvl w:ilvl="0" w:tentative="0">
      <w:start w:val="1"/>
      <w:numFmt w:val="decimal"/>
      <w:suff w:val="space"/>
      <w:lvlText w:val="%1."/>
      <w:lvlJc w:val="left"/>
      <w:pPr>
        <w:tabs>
          <w:tab w:val="left" w:pos="0"/>
        </w:tabs>
        <w:ind w:left="0" w:firstLine="0"/>
      </w:pPr>
    </w:lvl>
  </w:abstractNum>
  <w:abstractNum w:abstractNumId="4">
    <w:nsid w:val="AFB285A2"/>
    <w:multiLevelType w:val="singleLevel"/>
    <w:tmpl w:val="AFB285A2"/>
    <w:lvl w:ilvl="0" w:tentative="0">
      <w:start w:val="1"/>
      <w:numFmt w:val="decimal"/>
      <w:suff w:val="space"/>
      <w:lvlText w:val="%1."/>
      <w:lvlJc w:val="left"/>
      <w:pPr>
        <w:tabs>
          <w:tab w:val="left" w:pos="0"/>
        </w:tabs>
        <w:ind w:left="0" w:firstLine="0"/>
      </w:pPr>
    </w:lvl>
  </w:abstractNum>
  <w:abstractNum w:abstractNumId="5">
    <w:nsid w:val="B5140D93"/>
    <w:multiLevelType w:val="singleLevel"/>
    <w:tmpl w:val="B5140D93"/>
    <w:lvl w:ilvl="0" w:tentative="0">
      <w:start w:val="1"/>
      <w:numFmt w:val="decimal"/>
      <w:suff w:val="space"/>
      <w:lvlText w:val="%1."/>
      <w:lvlJc w:val="left"/>
      <w:pPr>
        <w:tabs>
          <w:tab w:val="left" w:pos="0"/>
        </w:tabs>
        <w:ind w:left="0" w:firstLine="0"/>
      </w:pPr>
    </w:lvl>
  </w:abstractNum>
  <w:abstractNum w:abstractNumId="6">
    <w:nsid w:val="C3541CCF"/>
    <w:multiLevelType w:val="singleLevel"/>
    <w:tmpl w:val="C3541CCF"/>
    <w:lvl w:ilvl="0" w:tentative="0">
      <w:start w:val="1"/>
      <w:numFmt w:val="decimal"/>
      <w:suff w:val="space"/>
      <w:lvlText w:val="%1."/>
      <w:lvlJc w:val="left"/>
      <w:pPr>
        <w:tabs>
          <w:tab w:val="left" w:pos="0"/>
        </w:tabs>
        <w:ind w:left="0" w:firstLine="0"/>
      </w:pPr>
    </w:lvl>
  </w:abstractNum>
  <w:abstractNum w:abstractNumId="7">
    <w:nsid w:val="DE5AD6A2"/>
    <w:multiLevelType w:val="singleLevel"/>
    <w:tmpl w:val="DE5AD6A2"/>
    <w:lvl w:ilvl="0" w:tentative="0">
      <w:start w:val="1"/>
      <w:numFmt w:val="decimal"/>
      <w:suff w:val="space"/>
      <w:lvlText w:val="%1."/>
      <w:lvlJc w:val="left"/>
      <w:pPr>
        <w:tabs>
          <w:tab w:val="left" w:pos="0"/>
        </w:tabs>
        <w:ind w:left="0" w:firstLine="0"/>
      </w:pPr>
    </w:lvl>
  </w:abstractNum>
  <w:abstractNum w:abstractNumId="8">
    <w:nsid w:val="E9499619"/>
    <w:multiLevelType w:val="singleLevel"/>
    <w:tmpl w:val="E9499619"/>
    <w:lvl w:ilvl="0" w:tentative="0">
      <w:start w:val="1"/>
      <w:numFmt w:val="decimal"/>
      <w:suff w:val="space"/>
      <w:lvlText w:val="%1."/>
      <w:lvlJc w:val="left"/>
      <w:pPr>
        <w:tabs>
          <w:tab w:val="left" w:pos="0"/>
        </w:tabs>
        <w:ind w:left="0" w:firstLine="0"/>
      </w:pPr>
    </w:lvl>
  </w:abstractNum>
  <w:abstractNum w:abstractNumId="9">
    <w:nsid w:val="EB2C0B08"/>
    <w:multiLevelType w:val="singleLevel"/>
    <w:tmpl w:val="EB2C0B08"/>
    <w:lvl w:ilvl="0" w:tentative="0">
      <w:start w:val="1"/>
      <w:numFmt w:val="decimal"/>
      <w:suff w:val="space"/>
      <w:lvlText w:val="%1."/>
      <w:lvlJc w:val="left"/>
      <w:pPr>
        <w:tabs>
          <w:tab w:val="left" w:pos="0"/>
        </w:tabs>
        <w:ind w:left="0" w:firstLine="0"/>
      </w:pPr>
    </w:lvl>
  </w:abstractNum>
  <w:abstractNum w:abstractNumId="10">
    <w:nsid w:val="EEECDF6D"/>
    <w:multiLevelType w:val="singleLevel"/>
    <w:tmpl w:val="EEECDF6D"/>
    <w:lvl w:ilvl="0" w:tentative="0">
      <w:start w:val="9"/>
      <w:numFmt w:val="decimal"/>
      <w:suff w:val="space"/>
      <w:lvlText w:val="%1."/>
      <w:lvlJc w:val="left"/>
      <w:pPr>
        <w:tabs>
          <w:tab w:val="left" w:pos="0"/>
        </w:tabs>
        <w:ind w:left="0" w:firstLine="0"/>
      </w:pPr>
    </w:lvl>
  </w:abstractNum>
  <w:abstractNum w:abstractNumId="11">
    <w:nsid w:val="0000000D"/>
    <w:multiLevelType w:val="multilevel"/>
    <w:tmpl w:val="0000000D"/>
    <w:lvl w:ilvl="0" w:tentative="0">
      <w:start w:val="1"/>
      <w:numFmt w:val="decimal"/>
      <w:pStyle w:val="9"/>
      <w:lvlText w:val="%1."/>
      <w:lvlJc w:val="left"/>
      <w:pPr>
        <w:tabs>
          <w:tab w:val="left" w:pos="0"/>
        </w:tabs>
        <w:ind w:left="790" w:hanging="430"/>
      </w:pPr>
      <w:rPr>
        <w:rFonts w:hint="eastAsia"/>
      </w:rPr>
    </w:lvl>
    <w:lvl w:ilvl="1" w:tentative="0">
      <w:start w:val="1"/>
      <w:numFmt w:val="decimal"/>
      <w:lvlText w:val="%1.%2"/>
      <w:lvlJc w:val="left"/>
      <w:pPr>
        <w:tabs>
          <w:tab w:val="left" w:pos="0"/>
        </w:tabs>
        <w:ind w:left="880" w:hanging="700"/>
      </w:pPr>
      <w:rPr>
        <w:rFonts w:ascii="宋体" w:hAnsi="宋体" w:eastAsia="宋体" w:cs="Times New Roman"/>
      </w:rPr>
    </w:lvl>
    <w:lvl w:ilvl="2" w:tentative="0">
      <w:start w:val="1"/>
      <w:numFmt w:val="decimal"/>
      <w:lvlText w:val="%1.%2.%3"/>
      <w:lvlJc w:val="left"/>
      <w:pPr>
        <w:tabs>
          <w:tab w:val="left" w:pos="0"/>
        </w:tabs>
        <w:ind w:left="1360" w:hanging="1000"/>
      </w:pPr>
      <w:rPr>
        <w:rFonts w:hint="eastAsia"/>
      </w:rPr>
    </w:lvl>
    <w:lvl w:ilvl="3" w:tentative="0">
      <w:start w:val="1"/>
      <w:numFmt w:val="decimal"/>
      <w:lvlText w:val="%1.%2.%3.%4"/>
      <w:lvlJc w:val="left"/>
      <w:pPr>
        <w:tabs>
          <w:tab w:val="left" w:pos="0"/>
        </w:tabs>
        <w:ind w:left="2344" w:hanging="1984"/>
      </w:pPr>
      <w:rPr>
        <w:rFonts w:hint="eastAsia"/>
      </w:rPr>
    </w:lvl>
    <w:lvl w:ilvl="4" w:tentative="0">
      <w:start w:val="1"/>
      <w:numFmt w:val="decimal"/>
      <w:lvlText w:val="%1.%2.%3.%4.%5"/>
      <w:lvlJc w:val="left"/>
      <w:pPr>
        <w:tabs>
          <w:tab w:val="left" w:pos="0"/>
        </w:tabs>
        <w:ind w:left="2911" w:hanging="850"/>
      </w:pPr>
      <w:rPr>
        <w:rFonts w:hint="eastAsia"/>
      </w:rPr>
    </w:lvl>
    <w:lvl w:ilvl="5" w:tentative="0">
      <w:start w:val="1"/>
      <w:numFmt w:val="decimal"/>
      <w:lvlText w:val="%1.%2.%3.%4.%5.%6"/>
      <w:lvlJc w:val="left"/>
      <w:pPr>
        <w:tabs>
          <w:tab w:val="left" w:pos="0"/>
        </w:tabs>
        <w:ind w:left="3620" w:hanging="1134"/>
      </w:pPr>
      <w:rPr>
        <w:rFonts w:hint="eastAsia"/>
      </w:rPr>
    </w:lvl>
    <w:lvl w:ilvl="6" w:tentative="0">
      <w:start w:val="1"/>
      <w:numFmt w:val="decimal"/>
      <w:lvlText w:val="%1.%2.%3.%4.%5.%6.%7"/>
      <w:lvlJc w:val="left"/>
      <w:pPr>
        <w:tabs>
          <w:tab w:val="left" w:pos="0"/>
        </w:tabs>
        <w:ind w:left="4187" w:hanging="1276"/>
      </w:pPr>
      <w:rPr>
        <w:rFonts w:hint="eastAsia"/>
      </w:rPr>
    </w:lvl>
    <w:lvl w:ilvl="7" w:tentative="0">
      <w:start w:val="1"/>
      <w:numFmt w:val="decimal"/>
      <w:lvlText w:val="%1.%2.%3.%4.%5.%6.%7.%8"/>
      <w:lvlJc w:val="left"/>
      <w:pPr>
        <w:tabs>
          <w:tab w:val="left" w:pos="0"/>
        </w:tabs>
        <w:ind w:left="4754" w:hanging="1418"/>
      </w:pPr>
      <w:rPr>
        <w:rFonts w:hint="eastAsia"/>
      </w:rPr>
    </w:lvl>
    <w:lvl w:ilvl="8" w:tentative="0">
      <w:start w:val="1"/>
      <w:numFmt w:val="decimal"/>
      <w:lvlText w:val="%1.%2.%3.%4.%5.%6.%7.%8.%9"/>
      <w:lvlJc w:val="left"/>
      <w:pPr>
        <w:tabs>
          <w:tab w:val="left" w:pos="0"/>
        </w:tabs>
        <w:ind w:left="5462" w:hanging="1700"/>
      </w:pPr>
      <w:rPr>
        <w:rFonts w:hint="eastAsia"/>
      </w:rPr>
    </w:lvl>
  </w:abstractNum>
  <w:abstractNum w:abstractNumId="12">
    <w:nsid w:val="047FD5ED"/>
    <w:multiLevelType w:val="singleLevel"/>
    <w:tmpl w:val="047FD5ED"/>
    <w:lvl w:ilvl="0" w:tentative="0">
      <w:start w:val="6"/>
      <w:numFmt w:val="decimal"/>
      <w:suff w:val="space"/>
      <w:lvlText w:val="%1."/>
      <w:lvlJc w:val="left"/>
      <w:pPr>
        <w:tabs>
          <w:tab w:val="left" w:pos="0"/>
        </w:tabs>
        <w:ind w:left="0" w:firstLine="0"/>
      </w:pPr>
    </w:lvl>
  </w:abstractNum>
  <w:abstractNum w:abstractNumId="13">
    <w:nsid w:val="164DC775"/>
    <w:multiLevelType w:val="singleLevel"/>
    <w:tmpl w:val="164DC775"/>
    <w:lvl w:ilvl="0" w:tentative="0">
      <w:start w:val="1"/>
      <w:numFmt w:val="decimal"/>
      <w:suff w:val="space"/>
      <w:lvlText w:val="%1."/>
      <w:lvlJc w:val="left"/>
      <w:pPr>
        <w:tabs>
          <w:tab w:val="left" w:pos="0"/>
        </w:tabs>
        <w:ind w:left="0" w:firstLine="0"/>
      </w:pPr>
    </w:lvl>
  </w:abstractNum>
  <w:abstractNum w:abstractNumId="14">
    <w:nsid w:val="20EDC6E9"/>
    <w:multiLevelType w:val="singleLevel"/>
    <w:tmpl w:val="20EDC6E9"/>
    <w:lvl w:ilvl="0" w:tentative="0">
      <w:start w:val="1"/>
      <w:numFmt w:val="decimal"/>
      <w:lvlText w:val="%1."/>
      <w:lvlJc w:val="left"/>
      <w:pPr>
        <w:tabs>
          <w:tab w:val="left" w:pos="0"/>
        </w:tabs>
        <w:ind w:left="0" w:firstLine="0"/>
      </w:pPr>
    </w:lvl>
  </w:abstractNum>
  <w:abstractNum w:abstractNumId="15">
    <w:nsid w:val="51F992F4"/>
    <w:multiLevelType w:val="singleLevel"/>
    <w:tmpl w:val="51F992F4"/>
    <w:lvl w:ilvl="0" w:tentative="0">
      <w:start w:val="1"/>
      <w:numFmt w:val="decimal"/>
      <w:suff w:val="space"/>
      <w:lvlText w:val="%1."/>
      <w:lvlJc w:val="left"/>
      <w:pPr>
        <w:tabs>
          <w:tab w:val="left" w:pos="0"/>
        </w:tabs>
        <w:ind w:left="0" w:firstLine="0"/>
      </w:pPr>
    </w:lvl>
  </w:abstractNum>
  <w:abstractNum w:abstractNumId="16">
    <w:nsid w:val="593EB446"/>
    <w:multiLevelType w:val="singleLevel"/>
    <w:tmpl w:val="593EB446"/>
    <w:lvl w:ilvl="0" w:tentative="0">
      <w:start w:val="1"/>
      <w:numFmt w:val="decimal"/>
      <w:suff w:val="space"/>
      <w:lvlText w:val="%1."/>
      <w:lvlJc w:val="left"/>
      <w:pPr>
        <w:tabs>
          <w:tab w:val="left" w:pos="0"/>
        </w:tabs>
        <w:ind w:left="0" w:firstLine="0"/>
      </w:pPr>
    </w:lvl>
  </w:abstractNum>
  <w:abstractNum w:abstractNumId="17">
    <w:nsid w:val="6842B421"/>
    <w:multiLevelType w:val="singleLevel"/>
    <w:tmpl w:val="6842B421"/>
    <w:lvl w:ilvl="0" w:tentative="0">
      <w:start w:val="1"/>
      <w:numFmt w:val="decimal"/>
      <w:suff w:val="space"/>
      <w:lvlText w:val="%1."/>
      <w:lvlJc w:val="left"/>
      <w:pPr>
        <w:tabs>
          <w:tab w:val="left" w:pos="0"/>
        </w:tabs>
        <w:ind w:left="0" w:firstLine="0"/>
      </w:pPr>
    </w:lvl>
  </w:abstractNum>
  <w:num w:numId="1">
    <w:abstractNumId w:val="11"/>
  </w:num>
  <w:num w:numId="2">
    <w:abstractNumId w:val="14"/>
  </w:num>
  <w:num w:numId="3">
    <w:abstractNumId w:val="6"/>
  </w:num>
  <w:num w:numId="4">
    <w:abstractNumId w:val="5"/>
  </w:num>
  <w:num w:numId="5">
    <w:abstractNumId w:val="17"/>
  </w:num>
  <w:num w:numId="6">
    <w:abstractNumId w:val="8"/>
  </w:num>
  <w:num w:numId="7">
    <w:abstractNumId w:val="15"/>
  </w:num>
  <w:num w:numId="8">
    <w:abstractNumId w:val="12"/>
  </w:num>
  <w:num w:numId="9">
    <w:abstractNumId w:val="10"/>
  </w:num>
  <w:num w:numId="10">
    <w:abstractNumId w:val="9"/>
  </w:num>
  <w:num w:numId="11">
    <w:abstractNumId w:val="0"/>
  </w:num>
  <w:num w:numId="12">
    <w:abstractNumId w:val="7"/>
  </w:num>
  <w:num w:numId="13">
    <w:abstractNumId w:val="4"/>
  </w:num>
  <w:num w:numId="14">
    <w:abstractNumId w:val="2"/>
  </w:num>
  <w:num w:numId="15">
    <w:abstractNumId w:val="3"/>
  </w:num>
  <w:num w:numId="16">
    <w:abstractNumId w:val="13"/>
  </w:num>
  <w:num w:numId="17">
    <w:abstractNumId w:val="16"/>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ulTrailSpace/>
    <w:doNotExpandShiftReturn/>
    <w:adjustLineHeightInTable/>
    <w:doNotWrapTextWithPunct/>
    <w:doNotUseEastAsianBreakRules/>
    <w:growAutofit/>
    <w:useFELayout/>
    <w:doNotUseIndentAsNumberingTabStop/>
    <w:useAltKinsokuLineBreakRules/>
    <w:compatSetting w:name="compatibilityMode" w:uri="http://schemas.microsoft.com/office/word" w:val="14"/>
  </w:compat>
  <w:docVars>
    <w:docVar w:name="commondata" w:val="eyJoZGlkIjoiNTNlYzU2NDZlZWRhZGY1YzdjNGExMDUwNGJjODllMjkifQ=="/>
  </w:docVars>
  <w:rsids>
    <w:rsidRoot w:val="00C82633"/>
    <w:rsid w:val="00122163"/>
    <w:rsid w:val="00150BED"/>
    <w:rsid w:val="001A0EDC"/>
    <w:rsid w:val="003B0935"/>
    <w:rsid w:val="004148F1"/>
    <w:rsid w:val="004F11F6"/>
    <w:rsid w:val="005573D0"/>
    <w:rsid w:val="007E6D93"/>
    <w:rsid w:val="008200C5"/>
    <w:rsid w:val="0089382E"/>
    <w:rsid w:val="008E64B7"/>
    <w:rsid w:val="009264AB"/>
    <w:rsid w:val="00986DDF"/>
    <w:rsid w:val="00A455BC"/>
    <w:rsid w:val="00B03348"/>
    <w:rsid w:val="00BE6E42"/>
    <w:rsid w:val="00C82633"/>
    <w:rsid w:val="00D57DD3"/>
    <w:rsid w:val="00DB7A6A"/>
    <w:rsid w:val="01925061"/>
    <w:rsid w:val="02190F75"/>
    <w:rsid w:val="04456357"/>
    <w:rsid w:val="06627F0C"/>
    <w:rsid w:val="07541B26"/>
    <w:rsid w:val="0796514E"/>
    <w:rsid w:val="07CF5DFE"/>
    <w:rsid w:val="0A115049"/>
    <w:rsid w:val="0A71609E"/>
    <w:rsid w:val="0C952CDC"/>
    <w:rsid w:val="0E58367E"/>
    <w:rsid w:val="0F445417"/>
    <w:rsid w:val="103F2CFF"/>
    <w:rsid w:val="10E402D0"/>
    <w:rsid w:val="10F551A7"/>
    <w:rsid w:val="112948FE"/>
    <w:rsid w:val="117C29F7"/>
    <w:rsid w:val="12045579"/>
    <w:rsid w:val="124F2E70"/>
    <w:rsid w:val="12A5323A"/>
    <w:rsid w:val="130E78FA"/>
    <w:rsid w:val="150A4BB7"/>
    <w:rsid w:val="150D2643"/>
    <w:rsid w:val="16981289"/>
    <w:rsid w:val="1705520B"/>
    <w:rsid w:val="19AF63D9"/>
    <w:rsid w:val="19C523AD"/>
    <w:rsid w:val="1A347745"/>
    <w:rsid w:val="1A9B43C0"/>
    <w:rsid w:val="1AE006BF"/>
    <w:rsid w:val="1D8316F5"/>
    <w:rsid w:val="1E1026A7"/>
    <w:rsid w:val="1E994359"/>
    <w:rsid w:val="1F5C75D8"/>
    <w:rsid w:val="1F7C137C"/>
    <w:rsid w:val="20086066"/>
    <w:rsid w:val="20580320"/>
    <w:rsid w:val="215D3FFB"/>
    <w:rsid w:val="22924BB2"/>
    <w:rsid w:val="239868F0"/>
    <w:rsid w:val="2532233F"/>
    <w:rsid w:val="26934A78"/>
    <w:rsid w:val="2702424A"/>
    <w:rsid w:val="283368EC"/>
    <w:rsid w:val="288258A6"/>
    <w:rsid w:val="29034989"/>
    <w:rsid w:val="2910039D"/>
    <w:rsid w:val="29B83C18"/>
    <w:rsid w:val="2B467A22"/>
    <w:rsid w:val="2BCD696C"/>
    <w:rsid w:val="2C537C9C"/>
    <w:rsid w:val="2E2B767C"/>
    <w:rsid w:val="2E654C8F"/>
    <w:rsid w:val="2E9F6C1C"/>
    <w:rsid w:val="2ECF3F2A"/>
    <w:rsid w:val="302D04E7"/>
    <w:rsid w:val="306500FD"/>
    <w:rsid w:val="30A21B4B"/>
    <w:rsid w:val="31DD7ECB"/>
    <w:rsid w:val="33B645CD"/>
    <w:rsid w:val="33EA7BF4"/>
    <w:rsid w:val="343861DF"/>
    <w:rsid w:val="349132F4"/>
    <w:rsid w:val="35A7406E"/>
    <w:rsid w:val="368E0E62"/>
    <w:rsid w:val="370936BF"/>
    <w:rsid w:val="37264926"/>
    <w:rsid w:val="37682107"/>
    <w:rsid w:val="37D34D09"/>
    <w:rsid w:val="380B2965"/>
    <w:rsid w:val="38F164ED"/>
    <w:rsid w:val="39D453E0"/>
    <w:rsid w:val="3B06426C"/>
    <w:rsid w:val="3B3B0CEC"/>
    <w:rsid w:val="3B757BA5"/>
    <w:rsid w:val="3CA23C96"/>
    <w:rsid w:val="41C86F92"/>
    <w:rsid w:val="41DC16E2"/>
    <w:rsid w:val="41FD7F75"/>
    <w:rsid w:val="42C82200"/>
    <w:rsid w:val="43540A91"/>
    <w:rsid w:val="43792ACE"/>
    <w:rsid w:val="446217C9"/>
    <w:rsid w:val="46B003E1"/>
    <w:rsid w:val="47773C5E"/>
    <w:rsid w:val="48B836CD"/>
    <w:rsid w:val="4ABB2DB1"/>
    <w:rsid w:val="4AF4658F"/>
    <w:rsid w:val="4AF659A7"/>
    <w:rsid w:val="4B494A4A"/>
    <w:rsid w:val="4CB02D55"/>
    <w:rsid w:val="4CD811D0"/>
    <w:rsid w:val="4D6D51A1"/>
    <w:rsid w:val="4E672315"/>
    <w:rsid w:val="4E892CAA"/>
    <w:rsid w:val="4ED5775D"/>
    <w:rsid w:val="4ED8051C"/>
    <w:rsid w:val="4F8533F9"/>
    <w:rsid w:val="52030D15"/>
    <w:rsid w:val="5344293C"/>
    <w:rsid w:val="53466851"/>
    <w:rsid w:val="55D73ED0"/>
    <w:rsid w:val="563B663C"/>
    <w:rsid w:val="56DD7F5E"/>
    <w:rsid w:val="57283E84"/>
    <w:rsid w:val="5742244D"/>
    <w:rsid w:val="579D6934"/>
    <w:rsid w:val="58423B0A"/>
    <w:rsid w:val="5A094AFD"/>
    <w:rsid w:val="5A9F5585"/>
    <w:rsid w:val="5B66405F"/>
    <w:rsid w:val="5C49297F"/>
    <w:rsid w:val="5D632F08"/>
    <w:rsid w:val="5DB45B12"/>
    <w:rsid w:val="5F23633C"/>
    <w:rsid w:val="5FB87653"/>
    <w:rsid w:val="5FC37576"/>
    <w:rsid w:val="60083EA6"/>
    <w:rsid w:val="605D51FE"/>
    <w:rsid w:val="62945B08"/>
    <w:rsid w:val="630E1905"/>
    <w:rsid w:val="671422E2"/>
    <w:rsid w:val="687141FF"/>
    <w:rsid w:val="6B305563"/>
    <w:rsid w:val="6FA25CBB"/>
    <w:rsid w:val="6FCD23D9"/>
    <w:rsid w:val="6FF21F5B"/>
    <w:rsid w:val="70A51970"/>
    <w:rsid w:val="70A639D8"/>
    <w:rsid w:val="70C95B25"/>
    <w:rsid w:val="710A52AE"/>
    <w:rsid w:val="71E62233"/>
    <w:rsid w:val="72D65967"/>
    <w:rsid w:val="73A572E7"/>
    <w:rsid w:val="74400B67"/>
    <w:rsid w:val="758945D9"/>
    <w:rsid w:val="758C486F"/>
    <w:rsid w:val="761B378A"/>
    <w:rsid w:val="76655BD7"/>
    <w:rsid w:val="76694216"/>
    <w:rsid w:val="76A947BB"/>
    <w:rsid w:val="773B40B1"/>
    <w:rsid w:val="78D61675"/>
    <w:rsid w:val="790D1662"/>
    <w:rsid w:val="7A276032"/>
    <w:rsid w:val="7B665C5B"/>
    <w:rsid w:val="7CFF15F5"/>
    <w:rsid w:val="7E210296"/>
    <w:rsid w:val="7E8022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4"/>
      <w:lang w:val="en-US" w:eastAsia="zh-CN" w:bidi="ar-SA"/>
    </w:rPr>
  </w:style>
  <w:style w:type="paragraph" w:styleId="3">
    <w:name w:val="heading 1"/>
    <w:basedOn w:val="1"/>
    <w:next w:val="1"/>
    <w:qFormat/>
    <w:uiPriority w:val="0"/>
    <w:pPr>
      <w:keepNext/>
      <w:keepLines/>
      <w:spacing w:line="576" w:lineRule="auto"/>
      <w:outlineLvl w:val="0"/>
    </w:pPr>
    <w:rPr>
      <w:b/>
      <w:kern w:val="44"/>
      <w:sz w:val="44"/>
    </w:rPr>
  </w:style>
  <w:style w:type="paragraph" w:styleId="4">
    <w:name w:val="heading 2"/>
    <w:basedOn w:val="1"/>
    <w:next w:val="5"/>
    <w:qFormat/>
    <w:uiPriority w:val="0"/>
    <w:pPr>
      <w:spacing w:beforeAutospacing="1" w:afterAutospacing="1"/>
      <w:jc w:val="left"/>
      <w:outlineLvl w:val="1"/>
    </w:pPr>
    <w:rPr>
      <w:rFonts w:ascii="宋体" w:cs="Times New Roman"/>
      <w:b/>
      <w:kern w:val="0"/>
      <w:sz w:val="36"/>
      <w:szCs w:val="36"/>
    </w:rPr>
  </w:style>
  <w:style w:type="paragraph" w:styleId="2">
    <w:name w:val="heading 3"/>
    <w:basedOn w:val="1"/>
    <w:next w:val="1"/>
    <w:qFormat/>
    <w:uiPriority w:val="0"/>
    <w:pPr>
      <w:keepNext/>
      <w:keepLines/>
      <w:spacing w:line="413" w:lineRule="auto"/>
      <w:outlineLvl w:val="2"/>
    </w:pPr>
    <w:rPr>
      <w:b/>
      <w:sz w:val="32"/>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Layout w:type="fixed"/>
      <w:tblCellMar>
        <w:top w:w="0" w:type="dxa"/>
        <w:left w:w="108" w:type="dxa"/>
        <w:bottom w:w="0" w:type="dxa"/>
        <w:right w:w="108" w:type="dxa"/>
      </w:tblCellMar>
    </w:tblPr>
  </w:style>
  <w:style w:type="paragraph" w:customStyle="1" w:styleId="5">
    <w:name w:val="文档正文"/>
    <w:basedOn w:val="6"/>
    <w:qFormat/>
    <w:uiPriority w:val="0"/>
    <w:pPr>
      <w:spacing w:line="360" w:lineRule="auto"/>
    </w:pPr>
    <w:rPr>
      <w:rFonts w:ascii="宋体"/>
      <w:b/>
      <w:bCs/>
    </w:rPr>
  </w:style>
  <w:style w:type="paragraph" w:styleId="6">
    <w:name w:val="Normal Indent"/>
    <w:basedOn w:val="1"/>
    <w:next w:val="1"/>
    <w:qFormat/>
    <w:uiPriority w:val="0"/>
    <w:pPr>
      <w:ind w:firstLine="420"/>
    </w:pPr>
  </w:style>
  <w:style w:type="paragraph" w:styleId="7">
    <w:name w:val="index 8"/>
    <w:basedOn w:val="1"/>
    <w:next w:val="1"/>
    <w:qFormat/>
    <w:uiPriority w:val="0"/>
    <w:pPr>
      <w:ind w:left="1400" w:leftChars="1400"/>
    </w:pPr>
  </w:style>
  <w:style w:type="paragraph" w:styleId="8">
    <w:name w:val="annotation text"/>
    <w:basedOn w:val="1"/>
    <w:qFormat/>
    <w:uiPriority w:val="0"/>
    <w:pPr>
      <w:jc w:val="left"/>
    </w:pPr>
  </w:style>
  <w:style w:type="paragraph" w:styleId="9">
    <w:name w:val="Body Text"/>
    <w:basedOn w:val="1"/>
    <w:next w:val="10"/>
    <w:qFormat/>
    <w:uiPriority w:val="0"/>
    <w:pPr>
      <w:numPr>
        <w:ilvl w:val="0"/>
        <w:numId w:val="1"/>
      </w:numPr>
      <w:ind w:left="0" w:firstLine="0"/>
    </w:pPr>
    <w:rPr>
      <w:rFonts w:ascii="黑体" w:eastAsia="黑体"/>
      <w:sz w:val="22"/>
    </w:rPr>
  </w:style>
  <w:style w:type="paragraph" w:styleId="10">
    <w:name w:val="Date"/>
    <w:basedOn w:val="1"/>
    <w:next w:val="1"/>
    <w:qFormat/>
    <w:uiPriority w:val="0"/>
    <w:rPr>
      <w:szCs w:val="20"/>
    </w:rPr>
  </w:style>
  <w:style w:type="paragraph" w:styleId="11">
    <w:name w:val="toc 3"/>
    <w:basedOn w:val="1"/>
    <w:next w:val="1"/>
    <w:qFormat/>
    <w:uiPriority w:val="0"/>
    <w:pPr>
      <w:ind w:left="400" w:leftChars="400"/>
    </w:pPr>
  </w:style>
  <w:style w:type="paragraph" w:styleId="12">
    <w:name w:val="Plain Text"/>
    <w:basedOn w:val="1"/>
    <w:next w:val="13"/>
    <w:qFormat/>
    <w:uiPriority w:val="0"/>
    <w:rPr>
      <w:rFonts w:ascii="宋体"/>
    </w:rPr>
  </w:style>
  <w:style w:type="paragraph" w:styleId="13">
    <w:name w:val="index 7"/>
    <w:basedOn w:val="1"/>
    <w:next w:val="1"/>
    <w:qFormat/>
    <w:uiPriority w:val="0"/>
    <w:pPr>
      <w:ind w:left="1200" w:leftChars="1200"/>
    </w:pPr>
  </w:style>
  <w:style w:type="paragraph" w:styleId="14">
    <w:name w:val="Body Text Indent 2"/>
    <w:basedOn w:val="1"/>
    <w:qFormat/>
    <w:uiPriority w:val="0"/>
    <w:pPr>
      <w:spacing w:line="360" w:lineRule="auto"/>
      <w:ind w:firstLine="607"/>
    </w:pPr>
    <w:rPr>
      <w:rFonts w:ascii="楷体_GB2312" w:hAnsi="楷体_GB2312"/>
      <w:sz w:val="28"/>
      <w:szCs w:val="28"/>
    </w:rPr>
  </w:style>
  <w:style w:type="paragraph" w:styleId="15">
    <w:name w:val="Balloon Text"/>
    <w:basedOn w:val="1"/>
    <w:qFormat/>
    <w:uiPriority w:val="0"/>
    <w:rPr>
      <w:sz w:val="18"/>
      <w:szCs w:val="18"/>
    </w:r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qFormat/>
    <w:uiPriority w:val="0"/>
    <w:pPr>
      <w:tabs>
        <w:tab w:val="center" w:pos="4153"/>
        <w:tab w:val="right" w:pos="8306"/>
      </w:tabs>
      <w:snapToGrid w:val="0"/>
    </w:pPr>
    <w:rPr>
      <w:sz w:val="18"/>
    </w:rPr>
  </w:style>
  <w:style w:type="paragraph" w:styleId="18">
    <w:name w:val="toc 1"/>
    <w:basedOn w:val="1"/>
    <w:next w:val="1"/>
    <w:qFormat/>
    <w:uiPriority w:val="0"/>
  </w:style>
  <w:style w:type="paragraph" w:styleId="19">
    <w:name w:val="footnote text"/>
    <w:basedOn w:val="1"/>
    <w:qFormat/>
    <w:uiPriority w:val="0"/>
    <w:pPr>
      <w:snapToGrid w:val="0"/>
      <w:jc w:val="left"/>
    </w:pPr>
    <w:rPr>
      <w:sz w:val="18"/>
    </w:rPr>
  </w:style>
  <w:style w:type="paragraph" w:styleId="20">
    <w:name w:val="toc 2"/>
    <w:basedOn w:val="1"/>
    <w:next w:val="1"/>
    <w:qFormat/>
    <w:uiPriority w:val="0"/>
    <w:pPr>
      <w:ind w:left="200" w:leftChars="200"/>
    </w:pPr>
  </w:style>
  <w:style w:type="paragraph" w:styleId="21">
    <w:name w:val="Normal (Web)"/>
    <w:basedOn w:val="1"/>
    <w:qFormat/>
    <w:uiPriority w:val="0"/>
    <w:pPr>
      <w:widowControl/>
      <w:spacing w:before="100" w:beforeAutospacing="1" w:after="100" w:afterAutospacing="1"/>
      <w:jc w:val="left"/>
    </w:pPr>
    <w:rPr>
      <w:rFonts w:ascii="宋体" w:cs="宋体"/>
      <w:kern w:val="0"/>
      <w:sz w:val="24"/>
    </w:rPr>
  </w:style>
  <w:style w:type="paragraph" w:styleId="22">
    <w:name w:val="Body Text First Indent"/>
    <w:basedOn w:val="9"/>
    <w:qFormat/>
    <w:uiPriority w:val="99"/>
    <w:pPr>
      <w:ind w:firstLine="200" w:firstLineChars="200"/>
    </w:pPr>
  </w:style>
  <w:style w:type="character" w:styleId="25">
    <w:name w:val="Strong"/>
    <w:basedOn w:val="24"/>
    <w:qFormat/>
    <w:uiPriority w:val="0"/>
    <w:rPr>
      <w:rFonts w:cs="Times New Roman"/>
      <w:b/>
    </w:rPr>
  </w:style>
  <w:style w:type="character" w:styleId="26">
    <w:name w:val="Hyperlink"/>
    <w:basedOn w:val="24"/>
    <w:qFormat/>
    <w:uiPriority w:val="0"/>
    <w:rPr>
      <w:rFonts w:cs="Times New Roman"/>
      <w:color w:val="555555"/>
      <w:u w:val="none"/>
    </w:rPr>
  </w:style>
  <w:style w:type="paragraph" w:customStyle="1" w:styleId="27">
    <w:name w:val="WPSOffice手动目录 1"/>
    <w:qFormat/>
    <w:uiPriority w:val="0"/>
    <w:rPr>
      <w:rFonts w:ascii="Times New Roman" w:hAnsi="Times New Roman" w:eastAsia="宋体" w:cs="Times New Roman"/>
      <w:lang w:val="en-US" w:eastAsia="zh-CN" w:bidi="ar-SA"/>
    </w:rPr>
  </w:style>
  <w:style w:type="paragraph" w:customStyle="1" w:styleId="28">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9">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30">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1">
    <w:name w:val="5）标书正文 首行缩进2字符"/>
    <w:basedOn w:val="1"/>
    <w:qFormat/>
    <w:uiPriority w:val="0"/>
    <w:pPr>
      <w:spacing w:line="480" w:lineRule="exact"/>
      <w:ind w:firstLine="200" w:firstLineChars="200"/>
    </w:pPr>
    <w:rPr>
      <w:rFonts w:ascii="仿宋_GB2312" w:eastAsia="仿宋_GB2312"/>
      <w:sz w:val="28"/>
    </w:rPr>
  </w:style>
  <w:style w:type="character" w:customStyle="1" w:styleId="32">
    <w:name w:val="font21"/>
    <w:basedOn w:val="24"/>
    <w:qFormat/>
    <w:uiPriority w:val="0"/>
    <w:rPr>
      <w:rFonts w:ascii="宋体" w:eastAsia="宋体" w:cs="宋体"/>
      <w:color w:val="FF0000"/>
      <w:sz w:val="18"/>
      <w:szCs w:val="18"/>
      <w:u w:val="none"/>
    </w:rPr>
  </w:style>
  <w:style w:type="character" w:customStyle="1" w:styleId="33">
    <w:name w:val="font101"/>
    <w:basedOn w:val="24"/>
    <w:qFormat/>
    <w:uiPriority w:val="0"/>
    <w:rPr>
      <w:rFonts w:ascii="Calibri" w:hAnsi="Calibri" w:cs="Calibri"/>
      <w:color w:val="FF0000"/>
      <w:sz w:val="18"/>
      <w:szCs w:val="18"/>
      <w:u w:val="none"/>
    </w:rPr>
  </w:style>
  <w:style w:type="character" w:customStyle="1" w:styleId="34">
    <w:name w:val="font121"/>
    <w:basedOn w:val="24"/>
    <w:qFormat/>
    <w:uiPriority w:val="0"/>
    <w:rPr>
      <w:rFonts w:ascii="宋体" w:eastAsia="宋体" w:cs="宋体"/>
      <w:color w:val="FF0000"/>
      <w:sz w:val="22"/>
      <w:szCs w:val="22"/>
      <w:u w:val="none"/>
    </w:rPr>
  </w:style>
  <w:style w:type="character" w:customStyle="1" w:styleId="35">
    <w:name w:val="font11"/>
    <w:basedOn w:val="24"/>
    <w:qFormat/>
    <w:uiPriority w:val="0"/>
    <w:rPr>
      <w:rFonts w:ascii="Times New Roman" w:hAnsi="Times New Roman" w:cs="Times New Roman"/>
      <w:color w:val="FF0000"/>
      <w:sz w:val="22"/>
      <w:szCs w:val="22"/>
      <w:u w:val="none"/>
    </w:rPr>
  </w:style>
  <w:style w:type="character" w:customStyle="1" w:styleId="36">
    <w:name w:val="font41"/>
    <w:basedOn w:val="24"/>
    <w:qFormat/>
    <w:uiPriority w:val="0"/>
    <w:rPr>
      <w:rFonts w:ascii="宋体" w:eastAsia="宋体" w:cs="宋体"/>
      <w:color w:val="000000"/>
      <w:sz w:val="22"/>
      <w:szCs w:val="22"/>
      <w:u w:val="none"/>
    </w:rPr>
  </w:style>
  <w:style w:type="character" w:customStyle="1" w:styleId="37">
    <w:name w:val="font91"/>
    <w:basedOn w:val="24"/>
    <w:qFormat/>
    <w:uiPriority w:val="0"/>
    <w:rPr>
      <w:rFonts w:ascii="Times New Roman" w:hAnsi="Times New Roman" w:cs="Times New Roman"/>
      <w:color w:val="000000"/>
      <w:sz w:val="22"/>
      <w:szCs w:val="22"/>
      <w:u w:val="none"/>
    </w:rPr>
  </w:style>
  <w:style w:type="character" w:customStyle="1" w:styleId="38">
    <w:name w:val="font51"/>
    <w:basedOn w:val="24"/>
    <w:qFormat/>
    <w:uiPriority w:val="0"/>
    <w:rPr>
      <w:rFonts w:ascii="宋体" w:eastAsia="宋体" w:cs="宋体"/>
      <w:color w:val="000000"/>
      <w:sz w:val="18"/>
      <w:szCs w:val="18"/>
      <w:u w:val="none"/>
    </w:rPr>
  </w:style>
  <w:style w:type="character" w:customStyle="1" w:styleId="39">
    <w:name w:val="font01"/>
    <w:basedOn w:val="24"/>
    <w:qFormat/>
    <w:uiPriority w:val="0"/>
    <w:rPr>
      <w:rFonts w:ascii="宋体" w:eastAsia="宋体" w:cs="宋体"/>
      <w:b/>
      <w:color w:val="FF0000"/>
      <w:sz w:val="22"/>
      <w:szCs w:val="22"/>
      <w:u w:val="none"/>
    </w:rPr>
  </w:style>
  <w:style w:type="character" w:customStyle="1" w:styleId="40">
    <w:name w:val="font71"/>
    <w:basedOn w:val="24"/>
    <w:qFormat/>
    <w:uiPriority w:val="0"/>
    <w:rPr>
      <w:rFonts w:asci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80</Pages>
  <Words>42982</Words>
  <Characters>45679</Characters>
  <Lines>365</Lines>
  <Paragraphs>102</Paragraphs>
  <TotalTime>59</TotalTime>
  <ScaleCrop>false</ScaleCrop>
  <LinksUpToDate>false</LinksUpToDate>
  <CharactersWithSpaces>48043</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2022-05-11T11:22:00Z</dcterms:created>
  <dc:creator>Administrator</dc:creator>
  <cp:lastModifiedBy>Administrator</cp:lastModifiedBy>
  <cp:lastPrinted>2022-03-16T07:01:00Z</cp:lastPrinted>
  <dcterms:modified xsi:type="dcterms:W3CDTF">2022-06-06T09:47:04Z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33DB0FFEAF844B91956B75ED796D2069</vt:lpwstr>
  </property>
</Properties>
</file>