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rPr>
          <w:rFonts w:ascii="宋体" w:cs="宋体"/>
          <w:szCs w:val="21"/>
        </w:rPr>
      </w:pPr>
    </w:p>
    <w:p>
      <w:pPr>
        <w:spacing w:line="360" w:lineRule="auto"/>
        <w:jc w:val="center"/>
        <w:rPr>
          <w:rFonts w:ascii="宋体" w:cs="宋体"/>
          <w:b/>
          <w:bCs/>
          <w:sz w:val="36"/>
          <w:szCs w:val="36"/>
        </w:rPr>
      </w:pPr>
      <w:r>
        <w:rPr>
          <w:rFonts w:hint="eastAsia" w:ascii="宋体" w:cs="宋体"/>
          <w:b/>
          <w:bCs/>
          <w:sz w:val="36"/>
          <w:szCs w:val="36"/>
        </w:rPr>
        <w:t>新疆维吾尔自治区动物卫生监督所</w:t>
      </w:r>
    </w:p>
    <w:p>
      <w:pPr>
        <w:spacing w:line="360" w:lineRule="auto"/>
        <w:jc w:val="center"/>
        <w:rPr>
          <w:rFonts w:ascii="宋体" w:cs="宋体"/>
          <w:b/>
          <w:bCs/>
          <w:sz w:val="36"/>
          <w:szCs w:val="36"/>
        </w:rPr>
      </w:pPr>
      <w:r>
        <w:rPr>
          <w:rFonts w:hint="eastAsia" w:ascii="宋体" w:cs="宋体"/>
          <w:b/>
          <w:bCs/>
          <w:sz w:val="36"/>
          <w:szCs w:val="36"/>
        </w:rPr>
        <w:t>2022年实验室诊断试剂及耗材采购项目第四标包（</w:t>
      </w:r>
      <w:r>
        <w:rPr>
          <w:rFonts w:hint="eastAsia" w:ascii="宋体" w:cs="宋体"/>
          <w:b/>
          <w:bCs/>
          <w:sz w:val="36"/>
          <w:szCs w:val="36"/>
          <w:lang w:val="en-US" w:eastAsia="zh-CN"/>
        </w:rPr>
        <w:t>三</w:t>
      </w:r>
      <w:r>
        <w:rPr>
          <w:rFonts w:hint="eastAsia" w:ascii="宋体" w:cs="宋体"/>
          <w:b/>
          <w:bCs/>
          <w:sz w:val="36"/>
          <w:szCs w:val="36"/>
        </w:rPr>
        <w:t>次）</w:t>
      </w:r>
    </w:p>
    <w:p>
      <w:pPr>
        <w:spacing w:line="360" w:lineRule="auto"/>
        <w:jc w:val="center"/>
        <w:rPr>
          <w:rFonts w:hint="default" w:ascii="宋体" w:eastAsia="宋体" w:cs="宋体"/>
          <w:b/>
          <w:bCs/>
          <w:sz w:val="36"/>
          <w:szCs w:val="36"/>
          <w:lang w:val="en-US" w:eastAsia="zh-CN"/>
        </w:rPr>
      </w:pPr>
      <w:r>
        <w:rPr>
          <w:rFonts w:hint="eastAsia" w:ascii="宋体" w:cs="宋体"/>
          <w:b/>
          <w:bCs/>
          <w:sz w:val="36"/>
          <w:szCs w:val="36"/>
        </w:rPr>
        <w:t>XJHZ(GK)2022-1</w:t>
      </w:r>
      <w:r>
        <w:rPr>
          <w:rFonts w:hint="eastAsia" w:ascii="宋体" w:cs="宋体"/>
          <w:b/>
          <w:bCs/>
          <w:sz w:val="36"/>
          <w:szCs w:val="36"/>
          <w:lang w:val="en-US" w:eastAsia="zh-CN"/>
        </w:rPr>
        <w:t>19</w:t>
      </w: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rPr>
          <w:rFonts w:ascii="宋体" w:cs="宋体"/>
          <w:b/>
          <w:bCs/>
          <w:sz w:val="84"/>
          <w:szCs w:val="84"/>
        </w:rPr>
      </w:pPr>
      <w:r>
        <w:rPr>
          <w:rFonts w:hint="eastAsia" w:ascii="宋体" w:cs="宋体"/>
          <w:b/>
          <w:bCs/>
          <w:sz w:val="84"/>
          <w:szCs w:val="84"/>
        </w:rPr>
        <w:t>件</w:t>
      </w:r>
    </w:p>
    <w:p>
      <w:pPr>
        <w:pStyle w:val="2"/>
      </w:pPr>
    </w:p>
    <w:p>
      <w:pPr>
        <w:spacing w:line="360" w:lineRule="auto"/>
        <w:jc w:val="left"/>
        <w:rPr>
          <w:rFonts w:ascii="宋体" w:cs="宋体"/>
          <w:b/>
          <w:bCs/>
          <w:sz w:val="24"/>
        </w:rPr>
      </w:pPr>
      <w:r>
        <w:rPr>
          <w:rFonts w:hint="eastAsia" w:ascii="宋体" w:cs="宋体"/>
          <w:b/>
          <w:bCs/>
          <w:sz w:val="24"/>
        </w:rPr>
        <w:t>采购单位：新疆维吾尔自治区动物卫生监督所</w:t>
      </w:r>
    </w:p>
    <w:p>
      <w:pPr>
        <w:spacing w:line="360" w:lineRule="auto"/>
        <w:jc w:val="left"/>
        <w:rPr>
          <w:rFonts w:ascii="宋体" w:cs="宋体"/>
          <w:b/>
          <w:bCs/>
          <w:sz w:val="24"/>
        </w:rPr>
      </w:pPr>
      <w:r>
        <w:rPr>
          <w:rFonts w:hint="eastAsia" w:ascii="宋体" w:cs="宋体"/>
          <w:b/>
          <w:bCs/>
          <w:sz w:val="24"/>
        </w:rPr>
        <w:t>地址：乌鲁木齐市高新技术开发区蓝天路268号</w:t>
      </w:r>
    </w:p>
    <w:p>
      <w:pPr>
        <w:spacing w:line="360" w:lineRule="auto"/>
        <w:jc w:val="left"/>
        <w:rPr>
          <w:rFonts w:ascii="宋体" w:cs="宋体"/>
          <w:b/>
          <w:bCs/>
          <w:sz w:val="24"/>
        </w:rPr>
      </w:pPr>
      <w:r>
        <w:rPr>
          <w:rFonts w:hint="eastAsia" w:ascii="宋体" w:cs="宋体"/>
          <w:b/>
          <w:bCs/>
          <w:sz w:val="24"/>
        </w:rPr>
        <w:t>项目负责人：赵耀国</w:t>
      </w:r>
    </w:p>
    <w:p>
      <w:pPr>
        <w:spacing w:line="360" w:lineRule="auto"/>
        <w:jc w:val="left"/>
        <w:rPr>
          <w:rFonts w:ascii="宋体" w:cs="宋体"/>
          <w:b/>
          <w:bCs/>
          <w:sz w:val="24"/>
        </w:rPr>
      </w:pPr>
      <w:r>
        <w:rPr>
          <w:rFonts w:hint="eastAsia" w:ascii="宋体" w:cs="宋体"/>
          <w:b/>
          <w:bCs/>
          <w:sz w:val="24"/>
        </w:rPr>
        <w:t>联系方式：18899505068</w:t>
      </w:r>
    </w:p>
    <w:p>
      <w:pPr>
        <w:spacing w:line="360" w:lineRule="auto"/>
        <w:rPr>
          <w:rFonts w:ascii="宋体" w:cs="宋体"/>
          <w:szCs w:val="21"/>
        </w:rPr>
      </w:pPr>
    </w:p>
    <w:p>
      <w:pPr>
        <w:spacing w:line="360" w:lineRule="auto"/>
        <w:jc w:val="left"/>
        <w:rPr>
          <w:rFonts w:ascii="宋体" w:cs="宋体"/>
          <w:b/>
          <w:bCs/>
          <w:sz w:val="24"/>
        </w:rPr>
      </w:pPr>
      <w:r>
        <w:rPr>
          <w:rFonts w:hint="eastAsia" w:ascii="宋体" w:cs="宋体"/>
          <w:b/>
          <w:bCs/>
          <w:sz w:val="24"/>
        </w:rPr>
        <w:t>招标代理机构名称：新疆世纪华中工程项目管理有限公司</w:t>
      </w:r>
    </w:p>
    <w:p>
      <w:pPr>
        <w:spacing w:line="360" w:lineRule="auto"/>
        <w:jc w:val="left"/>
        <w:rPr>
          <w:rFonts w:ascii="宋体" w:cs="宋体"/>
          <w:b/>
          <w:bCs/>
          <w:sz w:val="24"/>
        </w:rPr>
      </w:pPr>
      <w:r>
        <w:rPr>
          <w:rFonts w:hint="eastAsia" w:ascii="宋体" w:cs="宋体"/>
          <w:b/>
          <w:bCs/>
          <w:sz w:val="24"/>
        </w:rPr>
        <w:t>招标代理机构地址：乌鲁木齐市米东区中颐北路公务员小区F区F14号楼3层</w:t>
      </w:r>
    </w:p>
    <w:p>
      <w:pPr>
        <w:spacing w:line="360" w:lineRule="auto"/>
        <w:jc w:val="left"/>
        <w:rPr>
          <w:rFonts w:ascii="宋体" w:cs="宋体"/>
          <w:b/>
          <w:bCs/>
          <w:sz w:val="24"/>
        </w:rPr>
      </w:pPr>
      <w:r>
        <w:rPr>
          <w:rFonts w:hint="eastAsia" w:ascii="宋体" w:cs="宋体"/>
          <w:b/>
          <w:bCs/>
          <w:sz w:val="24"/>
        </w:rPr>
        <w:t>联系人：孙共青</w:t>
      </w:r>
    </w:p>
    <w:p>
      <w:pPr>
        <w:spacing w:line="360" w:lineRule="auto"/>
        <w:jc w:val="left"/>
        <w:rPr>
          <w:rFonts w:ascii="宋体" w:cs="宋体"/>
          <w:b/>
          <w:bCs/>
          <w:sz w:val="24"/>
        </w:rPr>
      </w:pPr>
      <w:r>
        <w:rPr>
          <w:rFonts w:hint="eastAsia" w:ascii="宋体" w:cs="宋体"/>
          <w:b/>
          <w:bCs/>
          <w:sz w:val="24"/>
        </w:rPr>
        <w:t>联系电话：0991-3382836</w:t>
      </w:r>
    </w:p>
    <w:p>
      <w:pPr>
        <w:spacing w:line="360" w:lineRule="auto"/>
        <w:jc w:val="center"/>
        <w:rPr>
          <w:rFonts w:ascii="宋体" w:cs="宋体"/>
          <w:b/>
          <w:bCs/>
          <w:sz w:val="24"/>
        </w:rPr>
      </w:pPr>
      <w:r>
        <w:rPr>
          <w:rFonts w:hint="eastAsia" w:ascii="宋体" w:cs="宋体"/>
          <w:b/>
          <w:bCs/>
          <w:sz w:val="24"/>
        </w:rPr>
        <w:t>日期：2022年</w:t>
      </w:r>
      <w:r>
        <w:rPr>
          <w:rFonts w:hint="eastAsia" w:ascii="宋体" w:cs="宋体"/>
          <w:b/>
          <w:bCs/>
          <w:sz w:val="24"/>
          <w:lang w:val="en-US" w:eastAsia="zh-CN"/>
        </w:rPr>
        <w:t>6</w:t>
      </w:r>
      <w:r>
        <w:rPr>
          <w:rFonts w:hint="eastAsia" w:ascii="宋体" w:cs="宋体"/>
          <w:b/>
          <w:bCs/>
          <w:sz w:val="24"/>
        </w:rPr>
        <w:t>月</w:t>
      </w:r>
    </w:p>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招标公告</w:t>
      </w:r>
    </w:p>
    <w:tbl>
      <w:tblPr>
        <w:tblStyle w:val="22"/>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22" w:hRule="atLeast"/>
        </w:trPr>
        <w:tc>
          <w:tcPr>
            <w:tcW w:w="8485"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项目概况</w:t>
            </w:r>
          </w:p>
          <w:p>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宋体" w:cs="宋体"/>
                <w:color w:val="000000"/>
                <w:kern w:val="0"/>
                <w:szCs w:val="21"/>
              </w:rPr>
              <w:t>新疆维吾</w:t>
            </w:r>
            <w:r>
              <w:rPr>
                <w:rStyle w:val="24"/>
                <w:rFonts w:hint="eastAsia" w:ascii="宋体" w:cs="宋体"/>
                <w:b w:val="0"/>
                <w:bCs/>
                <w:color w:val="333333"/>
                <w:szCs w:val="21"/>
                <w:shd w:val="clear" w:color="auto" w:fill="FFFFFF"/>
              </w:rPr>
              <w:t>尔自治区动物卫生监督所2022年实验室诊断试剂及耗材采购项目第四标包</w:t>
            </w:r>
            <w:r>
              <w:rPr>
                <w:rFonts w:hint="eastAsia" w:ascii="宋体" w:cs="宋体"/>
                <w:color w:val="000000"/>
                <w:kern w:val="0"/>
                <w:szCs w:val="21"/>
              </w:rPr>
              <w:t>（</w:t>
            </w:r>
            <w:r>
              <w:rPr>
                <w:rFonts w:hint="eastAsia" w:ascii="宋体" w:cs="宋体"/>
                <w:color w:val="000000"/>
                <w:kern w:val="0"/>
                <w:szCs w:val="21"/>
                <w:lang w:val="en-US" w:eastAsia="zh-CN"/>
              </w:rPr>
              <w:t>三</w:t>
            </w:r>
            <w:r>
              <w:rPr>
                <w:rFonts w:hint="eastAsia" w:ascii="宋体" w:cs="宋体"/>
                <w:color w:val="000000"/>
                <w:kern w:val="0"/>
                <w:szCs w:val="21"/>
              </w:rPr>
              <w:t>次）</w:t>
            </w:r>
            <w:r>
              <w:rPr>
                <w:rFonts w:hint="eastAsia" w:asciiTheme="minorEastAsia" w:hAnsiTheme="minorEastAsia" w:eastAsiaTheme="minorEastAsia" w:cstheme="minorEastAsia"/>
                <w:b w:val="0"/>
                <w:bCs w:val="0"/>
                <w:kern w:val="0"/>
                <w:sz w:val="21"/>
                <w:szCs w:val="21"/>
                <w:lang w:val="en-US" w:eastAsia="zh-CN"/>
              </w:rPr>
              <w:t>的潜在投标人应在新疆世纪华中工程项目管理有限公司（</w:t>
            </w:r>
            <w:r>
              <w:rPr>
                <w:rFonts w:hint="eastAsia" w:asciiTheme="minorEastAsia" w:hAnsiTheme="minorEastAsia" w:eastAsiaTheme="minorEastAsia" w:cstheme="minorEastAsia"/>
                <w:b w:val="0"/>
                <w:bCs w:val="0"/>
                <w:kern w:val="0"/>
                <w:sz w:val="21"/>
                <w:szCs w:val="21"/>
              </w:rPr>
              <w:t>乌鲁木齐</w:t>
            </w:r>
            <w:r>
              <w:rPr>
                <w:rFonts w:hint="eastAsia" w:asciiTheme="minorEastAsia" w:hAnsiTheme="minorEastAsia" w:eastAsiaTheme="minorEastAsia" w:cstheme="minorEastAsia"/>
                <w:b w:val="0"/>
                <w:bCs w:val="0"/>
                <w:kern w:val="0"/>
                <w:sz w:val="21"/>
                <w:szCs w:val="21"/>
                <w:lang w:eastAsia="zh-CN"/>
              </w:rPr>
              <w:t>市</w:t>
            </w:r>
            <w:r>
              <w:rPr>
                <w:rFonts w:hint="eastAsia" w:asciiTheme="minorEastAsia" w:hAnsiTheme="minorEastAsia" w:eastAsiaTheme="minorEastAsia" w:cstheme="minorEastAsia"/>
                <w:b w:val="0"/>
                <w:bCs w:val="0"/>
                <w:kern w:val="0"/>
                <w:sz w:val="21"/>
                <w:szCs w:val="21"/>
              </w:rPr>
              <w:t>米东区中颐北路乾和家园F区F14号楼1-3单元30</w:t>
            </w: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rPr>
              <w:t>室</w:t>
            </w:r>
            <w:r>
              <w:rPr>
                <w:rFonts w:hint="eastAsia" w:asciiTheme="minorEastAsia" w:hAnsiTheme="minorEastAsia" w:eastAsiaTheme="minorEastAsia" w:cstheme="minorEastAsia"/>
                <w:b w:val="0"/>
                <w:bCs w:val="0"/>
                <w:color w:val="000000"/>
                <w:kern w:val="0"/>
                <w:sz w:val="21"/>
                <w:szCs w:val="21"/>
                <w:lang w:val="en-US" w:eastAsia="zh-CN" w:bidi="ar-SA"/>
              </w:rPr>
              <w:t>）获取招标文件，并于2022年6月</w:t>
            </w:r>
            <w:r>
              <w:rPr>
                <w:rFonts w:hint="eastAsia" w:asciiTheme="minorEastAsia" w:hAnsiTheme="minorEastAsia" w:eastAsiaTheme="minorEastAsia" w:cstheme="minorEastAsia"/>
                <w:b w:val="0"/>
                <w:bCs w:val="0"/>
                <w:color w:val="000000" w:themeColor="text1"/>
                <w:kern w:val="0"/>
                <w:sz w:val="21"/>
                <w:szCs w:val="21"/>
                <w:lang w:val="en-US" w:eastAsia="zh-CN" w:bidi="ar-SA"/>
                <w14:textFill>
                  <w14:solidFill>
                    <w14:schemeClr w14:val="tx1"/>
                  </w14:solidFill>
                </w14:textFill>
              </w:rPr>
              <w:t>27</w:t>
            </w:r>
            <w:r>
              <w:rPr>
                <w:rFonts w:hint="eastAsia" w:asciiTheme="minorEastAsia" w:hAnsiTheme="minorEastAsia" w:eastAsiaTheme="minorEastAsia" w:cstheme="minorEastAsia"/>
                <w:b w:val="0"/>
                <w:bCs w:val="0"/>
                <w:color w:val="000000"/>
                <w:kern w:val="0"/>
                <w:sz w:val="21"/>
                <w:szCs w:val="21"/>
                <w:lang w:val="en-US" w:eastAsia="zh-CN" w:bidi="ar-SA"/>
              </w:rPr>
              <w:t>日11：00（北京时间）前递交投标文件。</w:t>
            </w:r>
          </w:p>
        </w:tc>
      </w:tr>
    </w:tbl>
    <w:p>
      <w:pPr>
        <w:numPr>
          <w:ilvl w:val="0"/>
          <w:numId w:val="0"/>
        </w:numPr>
        <w:bidi w:val="0"/>
        <w:rPr>
          <w:rFonts w:hint="eastAsia" w:asciiTheme="minorEastAsia" w:hAnsiTheme="minorEastAsia" w:eastAsiaTheme="minorEastAsia" w:cstheme="minorEastAsia"/>
          <w:b/>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一、项目基本情况</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项目编号：XJHZ(GK)2022-119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lang w:val="en-US" w:eastAsia="zh-CN"/>
        </w:rPr>
        <w:t>名称：</w:t>
      </w:r>
      <w:r>
        <w:rPr>
          <w:rFonts w:hint="eastAsia" w:ascii="宋体" w:cs="宋体"/>
          <w:color w:val="000000"/>
          <w:kern w:val="0"/>
          <w:szCs w:val="21"/>
        </w:rPr>
        <w:t>新疆维吾</w:t>
      </w:r>
      <w:r>
        <w:rPr>
          <w:rStyle w:val="24"/>
          <w:rFonts w:hint="eastAsia" w:ascii="宋体" w:cs="宋体"/>
          <w:b w:val="0"/>
          <w:bCs/>
          <w:color w:val="333333"/>
          <w:szCs w:val="21"/>
          <w:shd w:val="clear" w:color="auto" w:fill="FFFFFF"/>
        </w:rPr>
        <w:t>尔自治区动物卫生监督所2022年实验室诊断试剂及耗材采购项目第四标包</w:t>
      </w:r>
      <w:r>
        <w:rPr>
          <w:rFonts w:hint="eastAsia" w:ascii="宋体" w:cs="宋体"/>
          <w:color w:val="000000"/>
          <w:kern w:val="0"/>
          <w:szCs w:val="21"/>
        </w:rPr>
        <w:t>（</w:t>
      </w:r>
      <w:r>
        <w:rPr>
          <w:rFonts w:hint="eastAsia" w:ascii="宋体" w:cs="宋体"/>
          <w:color w:val="000000"/>
          <w:kern w:val="0"/>
          <w:szCs w:val="21"/>
          <w:lang w:val="en-US" w:eastAsia="zh-CN"/>
        </w:rPr>
        <w:t>三</w:t>
      </w:r>
      <w:r>
        <w:rPr>
          <w:rFonts w:hint="eastAsia" w:ascii="宋体" w:cs="宋体"/>
          <w:color w:val="000000"/>
          <w:kern w:val="0"/>
          <w:szCs w:val="21"/>
        </w:rPr>
        <w:t>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lang w:eastAsia="zh-CN"/>
        </w:rPr>
        <w:t>方式：公开招标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预算金额：</w:t>
      </w:r>
      <w:r>
        <w:rPr>
          <w:rFonts w:hint="eastAsia" w:ascii="宋体" w:cs="宋体"/>
          <w:bCs/>
          <w:szCs w:val="21"/>
        </w:rPr>
        <w:t>705000</w:t>
      </w:r>
      <w:r>
        <w:rPr>
          <w:rFonts w:hint="eastAsia" w:asciiTheme="minorEastAsia" w:hAnsiTheme="minorEastAsia" w:eastAsiaTheme="minorEastAsia" w:cstheme="minorEastAsia"/>
          <w:sz w:val="21"/>
          <w:szCs w:val="21"/>
          <w:lang w:val="en-US" w:eastAsia="zh-CN"/>
        </w:rPr>
        <w:t>.00元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最高限价：</w:t>
      </w:r>
      <w:r>
        <w:rPr>
          <w:rFonts w:hint="eastAsia" w:ascii="宋体" w:cs="宋体"/>
          <w:bCs/>
          <w:szCs w:val="21"/>
        </w:rPr>
        <w:t>705000</w:t>
      </w:r>
      <w:r>
        <w:rPr>
          <w:rFonts w:hint="eastAsia" w:asciiTheme="minorEastAsia" w:hAnsiTheme="minorEastAsia" w:eastAsiaTheme="minorEastAsia" w:cstheme="minorEastAsia"/>
          <w:sz w:val="21"/>
          <w:szCs w:val="21"/>
          <w:lang w:val="en-US" w:eastAsia="zh-CN"/>
        </w:rPr>
        <w:t>.00元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数量：1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单位：项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Theme="minorEastAsia" w:hAnsiTheme="minorEastAsia" w:eastAsiaTheme="minorEastAsia" w:cstheme="minorEastAsia"/>
          <w:sz w:val="21"/>
          <w:szCs w:val="21"/>
          <w:lang w:val="en-US" w:eastAsia="zh-CN"/>
        </w:rPr>
        <w:t>采购内容：</w:t>
      </w:r>
      <w:r>
        <w:rPr>
          <w:rFonts w:hint="eastAsia" w:ascii="宋体" w:cs="宋体"/>
          <w:color w:val="000000"/>
          <w:kern w:val="0"/>
          <w:szCs w:val="21"/>
        </w:rPr>
        <w:t>新疆维吾</w:t>
      </w:r>
      <w:r>
        <w:rPr>
          <w:rStyle w:val="24"/>
          <w:rFonts w:hint="eastAsia" w:ascii="宋体" w:cs="宋体"/>
          <w:b w:val="0"/>
          <w:bCs/>
          <w:color w:val="333333"/>
          <w:szCs w:val="21"/>
          <w:shd w:val="clear" w:color="auto" w:fill="FFFFFF"/>
        </w:rPr>
        <w:t>尔自治区动物卫生监督所2022年实验室诊断试剂及耗材采购</w:t>
      </w:r>
      <w:r>
        <w:rPr>
          <w:rFonts w:hint="eastAsia" w:ascii="宋体" w:cs="宋体"/>
          <w:color w:val="000000"/>
          <w:kern w:val="0"/>
          <w:szCs w:val="21"/>
          <w:lang w:eastAsia="zh-CN"/>
        </w:rPr>
        <w:t>（</w:t>
      </w:r>
      <w:r>
        <w:rPr>
          <w:rFonts w:hint="eastAsia" w:ascii="宋体" w:cs="宋体"/>
          <w:color w:val="000000"/>
          <w:kern w:val="0"/>
          <w:szCs w:val="21"/>
          <w:lang w:val="en-US" w:eastAsia="zh-CN"/>
        </w:rPr>
        <w:t>具体</w:t>
      </w:r>
      <w:r>
        <w:rPr>
          <w:rFonts w:hint="eastAsia"/>
        </w:rPr>
        <w:t>详见采购文件</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asciiTheme="minorEastAsia" w:hAnsiTheme="minorEastAsia" w:cstheme="minorEastAsia"/>
          <w:sz w:val="21"/>
          <w:szCs w:val="21"/>
          <w:lang w:val="en-US" w:eastAsia="zh-CN"/>
        </w:rPr>
      </w:pPr>
      <w:r>
        <w:rPr>
          <w:rFonts w:hint="eastAsia"/>
          <w:lang w:val="en-US" w:eastAsia="zh-CN"/>
        </w:rPr>
        <w:t>供货期限：</w:t>
      </w:r>
      <w:r>
        <w:rPr>
          <w:rFonts w:hint="eastAsia"/>
        </w:rPr>
        <w:t>详见采购文件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w:t>
      </w:r>
      <w:r>
        <w:rPr>
          <w:rFonts w:hint="eastAsia" w:asciiTheme="minorEastAsia" w:hAnsiTheme="minorEastAsia" w:eastAsiaTheme="minorEastAsia" w:cstheme="minorEastAsia"/>
          <w:b/>
          <w:bCs/>
          <w:sz w:val="21"/>
          <w:szCs w:val="21"/>
          <w:lang w:eastAsia="zh-CN"/>
        </w:rPr>
        <w:t>投标</w:t>
      </w:r>
      <w:r>
        <w:rPr>
          <w:rFonts w:hint="eastAsia" w:asciiTheme="minorEastAsia" w:hAnsiTheme="minorEastAsia" w:eastAsiaTheme="minorEastAsia" w:cstheme="minorEastAsia"/>
          <w:b/>
          <w:bCs/>
          <w:sz w:val="21"/>
          <w:szCs w:val="21"/>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2.1 </w:t>
      </w:r>
      <w:r>
        <w:rPr>
          <w:rFonts w:hint="eastAsia" w:asciiTheme="minorEastAsia" w:hAnsiTheme="minorEastAsia" w:eastAsiaTheme="minorEastAsia" w:cstheme="minorEastAsia"/>
          <w:sz w:val="21"/>
          <w:szCs w:val="21"/>
        </w:rPr>
        <w:t>本项目的</w:t>
      </w:r>
      <w:r>
        <w:rPr>
          <w:rFonts w:hint="eastAsia" w:asciiTheme="minorEastAsia" w:hAnsiTheme="minorEastAsia" w:eastAsiaTheme="minorEastAsia" w:cstheme="minorEastAsia"/>
          <w:sz w:val="21"/>
          <w:szCs w:val="21"/>
          <w:lang w:eastAsia="zh-CN"/>
        </w:rPr>
        <w:t>一般</w:t>
      </w:r>
      <w:r>
        <w:rPr>
          <w:rFonts w:hint="eastAsia" w:asciiTheme="minorEastAsia" w:hAnsiTheme="minorEastAsia" w:eastAsiaTheme="minorEastAsia" w:cstheme="minorEastAsia"/>
          <w:sz w:val="21"/>
          <w:szCs w:val="21"/>
        </w:rPr>
        <w:t>资格要求：</w:t>
      </w:r>
    </w:p>
    <w:p>
      <w:pPr>
        <w:pStyle w:val="21"/>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⑴ 满足《中华人民共和国政府采购法》第二十二条规定；</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①具有独立承担民事责任的能力；</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②具有良好的商业信誉和健全的</w:t>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"http://www.so.com/s?q=%E8%B4%A2%E5%8A%A1%E4%BC%9A%E8%AE%A1%E5%88%B6%E5%BA%A6&amp;ie=utf-8&amp;src=internal_wenda_recommend_textn" \t "https://wenda.so.com/q/_blank"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kern w:val="2"/>
          <w:sz w:val="21"/>
          <w:szCs w:val="21"/>
          <w:lang w:val="en-US" w:eastAsia="zh-CN" w:bidi="ar-SA"/>
        </w:rPr>
        <w:t>财务会计制度</w: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③具有履行合同所必需的设备和专业技术能力；</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④有依法缴纳税收和</w:t>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"http://www.so.com/s?q=%E7%A4%BE%E4%BC%9A%E4%BF%9D%E9%9A%9C%E8%B5%84%E9%87%91&amp;ie=utf-8&amp;src=internal_wenda_recommend_textn" \t "https://wenda.so.com/q/_blank"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kern w:val="2"/>
          <w:sz w:val="21"/>
          <w:szCs w:val="21"/>
          <w:lang w:val="en-US" w:eastAsia="zh-CN" w:bidi="ar-SA"/>
        </w:rPr>
        <w:t>社会保障资金</w: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的良好记录；</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⑤参加政府采购活动前三年内，在经营活动中没有重大违法记录；</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⑥法律、行政法规规定的其他条件。</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⑵ 单位负责人为同一人或者存在直接控股、管理关系的不同投标人，不得参加本项目同一合同项下的政府采购活动。</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⑶</w:t>
      </w:r>
      <w:r>
        <w:rPr>
          <w:rFonts w:hint="eastAsia" w:asciiTheme="minorEastAsia" w:hAnsiTheme="minorEastAsia" w:eastAsiaTheme="minorEastAsia" w:cstheme="minorEastAsia"/>
          <w:kern w:val="2"/>
          <w:sz w:val="21"/>
          <w:szCs w:val="21"/>
          <w:lang w:val="en-US" w:eastAsia="zh-CN" w:bidi="ar-SA"/>
        </w:rPr>
        <w:t xml:space="preserve"> 为本采购项目提供整体设计、规范编制或者项目管理、监理、检测等服务的，不得再参加本项目的其他招标采购活动。</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⑷</w:t>
      </w:r>
      <w:r>
        <w:rPr>
          <w:rFonts w:hint="eastAsia" w:asciiTheme="minorEastAsia" w:hAnsiTheme="minorEastAsia" w:eastAsiaTheme="minorEastAsia" w:cstheme="minorEastAsia"/>
          <w:kern w:val="2"/>
          <w:sz w:val="21"/>
          <w:szCs w:val="21"/>
          <w:lang w:val="en-US" w:eastAsia="zh-CN" w:bidi="ar-SA"/>
        </w:rPr>
        <w:t xml:space="preserve"> 未被列入失信被执行人、重大税收违法案件当事人名单，未被列入政府采购严重违法失信行为记录名单。</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⑸</w:t>
      </w:r>
      <w:r>
        <w:rPr>
          <w:rFonts w:hint="eastAsia" w:asciiTheme="minorEastAsia" w:hAnsiTheme="minorEastAsia" w:eastAsiaTheme="minorEastAsia" w:cstheme="minorEastAsia"/>
          <w:kern w:val="2"/>
          <w:sz w:val="21"/>
          <w:szCs w:val="21"/>
          <w:lang w:val="en-US" w:eastAsia="zh-CN" w:bidi="ar-SA"/>
        </w:rPr>
        <w:t xml:space="preserve"> 落实政府采购政策需满足的资格要求：本项目为非专门面向中小企业采购的项目。符合政府采购优先（节约能源、保护环境）采购政策及促进中小企业（监狱企业、残疾人福利性单位）发展政策的，依据规定给予评审优惠。</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⑹</w:t>
      </w:r>
      <w:r>
        <w:rPr>
          <w:rFonts w:hint="eastAsia" w:asciiTheme="minorEastAsia" w:hAnsiTheme="minorEastAsia" w:eastAsiaTheme="minorEastAsia" w:cstheme="minorEastAsia"/>
          <w:kern w:val="2"/>
          <w:sz w:val="21"/>
          <w:szCs w:val="21"/>
          <w:lang w:val="en-US" w:eastAsia="zh-CN" w:bidi="ar-SA"/>
        </w:rPr>
        <w:t xml:space="preserve"> 本项目不接受联合体</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2.2 本项目的特定资格要求：投标人具有有效的</w:t>
      </w:r>
      <w:r>
        <w:rPr>
          <w:rFonts w:hint="eastAsia" w:asciiTheme="minorEastAsia" w:hAnsiTheme="minorEastAsia" w:eastAsiaTheme="minorEastAsia" w:cstheme="minorEastAsia"/>
          <w:color w:val="auto"/>
          <w:kern w:val="2"/>
          <w:sz w:val="21"/>
          <w:szCs w:val="21"/>
          <w:lang w:val="en-US" w:eastAsia="zh-CN" w:bidi="ar-SA"/>
        </w:rPr>
        <w:t>《兽药经营许可证》或《兽药生产许可证》</w:t>
      </w:r>
      <w:r>
        <w:rPr>
          <w:rFonts w:hint="eastAsia" w:asciiTheme="minorEastAsia" w:hAnsiTheme="minorEastAsia" w:eastAsiaTheme="minorEastAsia" w:cstheme="minorEastAsia"/>
          <w:kern w:val="2"/>
          <w:sz w:val="21"/>
          <w:szCs w:val="21"/>
          <w:lang w:val="en-US" w:eastAsia="zh-CN" w:bidi="ar-SA"/>
        </w:rPr>
        <w:t>原件；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三、获取</w:t>
      </w:r>
      <w:r>
        <w:rPr>
          <w:rFonts w:hint="eastAsia" w:asciiTheme="minorEastAsia" w:hAnsiTheme="minorEastAsia" w:eastAsiaTheme="minorEastAsia" w:cstheme="minorEastAsia"/>
          <w:b/>
          <w:bCs/>
          <w:sz w:val="21"/>
          <w:szCs w:val="21"/>
          <w:lang w:val="en-US" w:eastAsia="zh-CN"/>
        </w:rPr>
        <w:t>采购</w:t>
      </w:r>
      <w:r>
        <w:rPr>
          <w:rFonts w:hint="eastAsia" w:asciiTheme="minorEastAsia" w:hAnsiTheme="minorEastAsia" w:eastAsiaTheme="minorEastAsia" w:cstheme="minorEastAsia"/>
          <w:b/>
          <w:bCs/>
          <w:sz w:val="21"/>
          <w:szCs w:val="21"/>
        </w:rPr>
        <w:t>文件</w:t>
      </w:r>
      <w:r>
        <w:rPr>
          <w:rFonts w:hint="eastAsia" w:asciiTheme="minorEastAsia" w:hAnsiTheme="minorEastAsia" w:eastAsiaTheme="minorEastAsia" w:cstheme="minorEastAsia"/>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时间：</w:t>
      </w:r>
      <w:r>
        <w:rPr>
          <w:rFonts w:hint="eastAsia" w:asciiTheme="minorEastAsia" w:hAnsiTheme="minorEastAsia" w:eastAsiaTheme="minorEastAsia" w:cstheme="minorEastAsia"/>
          <w:sz w:val="21"/>
          <w:szCs w:val="21"/>
        </w:rPr>
        <w:t>2022年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日至2022年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13</w:t>
      </w:r>
      <w:r>
        <w:rPr>
          <w:rFonts w:hint="eastAsia" w:asciiTheme="minorEastAsia" w:hAnsiTheme="minorEastAsia" w:eastAsiaTheme="minorEastAsia" w:cstheme="minorEastAsia"/>
          <w:sz w:val="21"/>
          <w:szCs w:val="21"/>
        </w:rPr>
        <w:t>日（北京时间</w:t>
      </w:r>
      <w:r>
        <w:rPr>
          <w:rFonts w:hint="eastAsia" w:asciiTheme="minorEastAsia" w:hAnsiTheme="minorEastAsia" w:eastAsiaTheme="minorEastAsia" w:cstheme="minorEastAsia"/>
          <w:sz w:val="21"/>
          <w:szCs w:val="21"/>
          <w:lang w:eastAsia="zh-CN"/>
        </w:rPr>
        <w:t>，法定</w:t>
      </w:r>
      <w:r>
        <w:rPr>
          <w:rFonts w:hint="eastAsia" w:asciiTheme="minorEastAsia" w:hAnsiTheme="minorEastAsia" w:eastAsiaTheme="minorEastAsia" w:cstheme="minorEastAsia"/>
          <w:sz w:val="21"/>
          <w:szCs w:val="21"/>
        </w:rPr>
        <w:t>节假日除外）</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每天</w:t>
      </w:r>
      <w:r>
        <w:rPr>
          <w:rFonts w:hint="eastAsia" w:asciiTheme="minorEastAsia" w:hAnsiTheme="minorEastAsia" w:eastAsiaTheme="minorEastAsia" w:cstheme="minorEastAsia"/>
          <w:sz w:val="21"/>
          <w:szCs w:val="21"/>
        </w:rPr>
        <w:t>上午10:00-13:30，下午15:30-18:00，</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地点：</w:t>
      </w:r>
      <w:r>
        <w:rPr>
          <w:rFonts w:hint="eastAsia" w:asciiTheme="minorEastAsia" w:hAnsiTheme="minorEastAsia" w:eastAsiaTheme="minorEastAsia" w:cstheme="minorEastAsia"/>
          <w:sz w:val="21"/>
          <w:szCs w:val="21"/>
        </w:rPr>
        <w:t>乌鲁木齐</w:t>
      </w:r>
      <w:r>
        <w:rPr>
          <w:rFonts w:hint="eastAsia" w:asciiTheme="minorEastAsia" w:hAnsiTheme="minorEastAsia" w:eastAsiaTheme="minorEastAsia" w:cstheme="minorEastAsia"/>
          <w:sz w:val="21"/>
          <w:szCs w:val="21"/>
          <w:lang w:eastAsia="zh-CN"/>
        </w:rPr>
        <w:t>市</w:t>
      </w:r>
      <w:r>
        <w:rPr>
          <w:rFonts w:hint="eastAsia" w:asciiTheme="minorEastAsia" w:hAnsiTheme="minorEastAsia" w:eastAsiaTheme="minorEastAsia" w:cstheme="minorEastAsia"/>
          <w:sz w:val="21"/>
          <w:szCs w:val="21"/>
        </w:rPr>
        <w:t>米东区中颐北路乾和家园F区F14号楼1-3单元30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室</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方式：</w:t>
      </w:r>
      <w:r>
        <w:rPr>
          <w:rFonts w:hint="eastAsia" w:asciiTheme="minorEastAsia" w:hAnsiTheme="minorEastAsia" w:eastAsiaTheme="minorEastAsia" w:cstheme="minorEastAsia"/>
          <w:sz w:val="21"/>
          <w:szCs w:val="21"/>
          <w:lang w:val="en-US" w:eastAsia="zh-CN"/>
        </w:rPr>
        <w:t>线下获取</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售价：￥</w:t>
      </w:r>
      <w:r>
        <w:rPr>
          <w:rFonts w:hint="eastAsia" w:asciiTheme="minorEastAsia" w:hAnsiTheme="minorEastAsia" w:eastAsiaTheme="minorEastAsia" w:cstheme="minorEastAsia"/>
          <w:sz w:val="21"/>
          <w:szCs w:val="21"/>
          <w:lang w:val="en-US" w:eastAsia="zh-CN"/>
        </w:rPr>
        <w:t>300.00元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四、提交投标文件截止时间、开标时间和地点</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sz w:val="21"/>
          <w:szCs w:val="21"/>
        </w:rPr>
        <w:t>（北京时间</w:t>
      </w:r>
      <w:r>
        <w:rPr>
          <w:rFonts w:hint="eastAsia" w:asciiTheme="minorEastAsia" w:hAnsiTheme="minorEastAsia" w:eastAsiaTheme="minorEastAsia" w:cstheme="minorEastAsia"/>
          <w:sz w:val="21"/>
          <w:szCs w:val="21"/>
          <w:lang w:eastAsia="zh-CN"/>
        </w:rPr>
        <w:t>，如有调整、另行通知</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提交投标文件截止时间：202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 11:00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投标地点：乌鲁木齐</w:t>
      </w:r>
      <w:r>
        <w:rPr>
          <w:rFonts w:hint="eastAsia" w:asciiTheme="minorEastAsia" w:hAnsiTheme="minorEastAsia" w:eastAsiaTheme="minorEastAsia" w:cstheme="minorEastAsia"/>
          <w:sz w:val="21"/>
          <w:szCs w:val="21"/>
          <w:lang w:eastAsia="zh-CN"/>
        </w:rPr>
        <w:t>市</w:t>
      </w:r>
      <w:r>
        <w:rPr>
          <w:rFonts w:hint="eastAsia" w:asciiTheme="minorEastAsia" w:hAnsiTheme="minorEastAsia" w:eastAsiaTheme="minorEastAsia" w:cstheme="minorEastAsia"/>
          <w:sz w:val="21"/>
          <w:szCs w:val="21"/>
        </w:rPr>
        <w:t>米东区中颐北路乾和家园F区F14号楼1-3单元30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 11:00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开标地点：乌鲁木齐</w:t>
      </w:r>
      <w:r>
        <w:rPr>
          <w:rFonts w:hint="eastAsia" w:asciiTheme="minorEastAsia" w:hAnsiTheme="minorEastAsia" w:eastAsiaTheme="minorEastAsia" w:cstheme="minorEastAsia"/>
          <w:sz w:val="21"/>
          <w:szCs w:val="21"/>
          <w:lang w:eastAsia="zh-CN"/>
        </w:rPr>
        <w:t>市</w:t>
      </w:r>
      <w:r>
        <w:rPr>
          <w:rFonts w:hint="eastAsia" w:asciiTheme="minorEastAsia" w:hAnsiTheme="minorEastAsia" w:eastAsiaTheme="minorEastAsia" w:cstheme="minorEastAsia"/>
          <w:sz w:val="21"/>
          <w:szCs w:val="21"/>
        </w:rPr>
        <w:t>米东区中颐北路乾和家园F区F14号楼1-3单元30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五、公告期限</w:t>
      </w:r>
      <w:r>
        <w:rPr>
          <w:rFonts w:hint="eastAsia" w:asciiTheme="minorEastAsia" w:hAnsiTheme="minorEastAsia" w:eastAsiaTheme="minorEastAsia" w:cstheme="minorEastAsia"/>
          <w:b/>
          <w:bCs/>
          <w:sz w:val="21"/>
          <w:szCs w:val="21"/>
          <w:lang w:val="en-US" w:eastAsia="zh-CN"/>
        </w:rPr>
        <w:t>:</w:t>
      </w:r>
    </w:p>
    <w:p>
      <w:pPr>
        <w:pStyle w:val="21"/>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lang w:val="en-US" w:eastAsia="zh-CN" w:bidi="ar-SA"/>
        </w:rPr>
        <w:t>日起5个工作日。</w:t>
      </w:r>
    </w:p>
    <w:p>
      <w:pPr>
        <w:pStyle w:val="21"/>
        <w:spacing w:before="0" w:beforeAutospacing="0" w:after="0" w:afterAutospacing="0" w:line="500" w:lineRule="exact"/>
        <w:jc w:val="both"/>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六、其他补充事宜 </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报名携带资料：</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(1)具有有效的营业执照、税务登记证、组织机构代码证（或“三证合一”的营业执照或当地公证处出具的上述证书的公证书原件）。</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(2)有依法缴纳税收和社会保障资金的良好记录 (提供近半年任意连续二个月依法缴纳税收和社会保障资金的相关材料,如依法免税或不需要缴纳社会保障资金的,应提供相应证明文件)。具有良好的商业信誉和健全的财务会计制度（2022年1月1日以前注册成立的供应商提供2021年度的财务审计报告或财务报表，2022年1月1日以后注册成立的供应商提供具有健全的财务制度承诺函）。</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(3)参加政府采购活动近三年内,在经营活动中没有重大违法记录(提供书面声明原件；若响应供应商自成立之日起不足3年的,需提供成立至今的书面声明原件)。 </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(4)法定代表人身份证明书及法定代表人身份证或授权委托书及委托代理人身份证。</w:t>
      </w:r>
    </w:p>
    <w:p>
      <w:pPr>
        <w:pStyle w:val="21"/>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(5)良好的信用记录佐证材料：</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default" w:asciiTheme="minorEastAsia" w:hAnsiTheme="minorEastAsia" w:eastAsiaTheme="minorEastAsia" w:cstheme="minorEastAsia"/>
          <w:kern w:val="2"/>
          <w:sz w:val="21"/>
          <w:szCs w:val="21"/>
          <w:lang w:val="en-US" w:eastAsia="zh-CN" w:bidi="ar-SA"/>
        </w:rPr>
        <w:t>①</w:t>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default" w:asciiTheme="minorEastAsia" w:hAnsiTheme="minorEastAsia" w:eastAsiaTheme="minorEastAsia" w:cstheme="minorEastAsia"/>
          <w:kern w:val="2"/>
          <w:sz w:val="21"/>
          <w:szCs w:val="21"/>
          <w:lang w:val="en-US" w:eastAsia="zh-CN" w:bidi="ar-SA"/>
        </w:rPr>
        <w:t>②</w:t>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default" w:asciiTheme="minorEastAsia" w:hAnsiTheme="minorEastAsia" w:eastAsiaTheme="minorEastAsia" w:cstheme="minorEastAsia"/>
          <w:kern w:val="2"/>
          <w:sz w:val="21"/>
          <w:szCs w:val="21"/>
          <w:lang w:val="en-US" w:eastAsia="zh-CN" w:bidi="ar-SA"/>
        </w:rPr>
        <w:t>③</w:t>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spacing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pStyle w:val="21"/>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⑹</w:t>
      </w:r>
      <w:r>
        <w:rPr>
          <w:rFonts w:hint="eastAsia" w:asciiTheme="minorEastAsia" w:hAnsiTheme="minorEastAsia" w:eastAsiaTheme="minorEastAsia" w:cstheme="minorEastAsia"/>
          <w:kern w:val="2"/>
          <w:sz w:val="21"/>
          <w:szCs w:val="21"/>
          <w:lang w:val="en-US" w:eastAsia="zh-CN" w:bidi="ar-SA"/>
        </w:rPr>
        <w:t>投标人具有有效的</w:t>
      </w:r>
      <w:r>
        <w:rPr>
          <w:rFonts w:hint="eastAsia" w:asciiTheme="minorEastAsia" w:hAnsiTheme="minorEastAsia" w:eastAsiaTheme="minorEastAsia" w:cstheme="minorEastAsia"/>
          <w:color w:val="auto"/>
          <w:kern w:val="2"/>
          <w:sz w:val="21"/>
          <w:szCs w:val="21"/>
          <w:lang w:val="en-US" w:eastAsia="zh-CN" w:bidi="ar-SA"/>
        </w:rPr>
        <w:t>《兽药经营许可证》或《兽药生产许可证》</w:t>
      </w:r>
      <w:r>
        <w:rPr>
          <w:rFonts w:hint="eastAsia" w:asciiTheme="minorEastAsia" w:hAnsiTheme="minorEastAsia" w:eastAsiaTheme="minorEastAsia" w:cstheme="minorEastAsia"/>
          <w:kern w:val="2"/>
          <w:sz w:val="21"/>
          <w:szCs w:val="21"/>
          <w:lang w:val="en-US" w:eastAsia="zh-CN" w:bidi="ar-SA"/>
        </w:rPr>
        <w:t>原件；</w:t>
      </w:r>
    </w:p>
    <w:p>
      <w:pPr>
        <w:pStyle w:val="21"/>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以上资料需提交相应证明资料及复印件（加盖公章），在报名时需验原件后留存复印件，请各单位准备好各项资料。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报名时提交的资料查验不代表资格审查的最终通过或合格。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eastAsia="zh-CN"/>
        </w:rPr>
        <w:t>六</w:t>
      </w:r>
      <w:r>
        <w:rPr>
          <w:rFonts w:hint="eastAsia" w:asciiTheme="minorEastAsia" w:hAnsiTheme="minorEastAsia" w:eastAsiaTheme="minorEastAsia" w:cstheme="minorEastAsia"/>
          <w:b/>
          <w:bCs/>
          <w:sz w:val="21"/>
          <w:szCs w:val="21"/>
        </w:rPr>
        <w:t>、对本次采购提出询问，请按以下方式联系</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 xml:space="preserve"> 采购</w:t>
      </w:r>
      <w:r>
        <w:rPr>
          <w:rFonts w:hint="eastAsia" w:asciiTheme="minorEastAsia" w:hAnsiTheme="minorEastAsia" w:eastAsiaTheme="minorEastAsia" w:cstheme="minorEastAsia"/>
          <w:sz w:val="21"/>
          <w:szCs w:val="21"/>
        </w:rPr>
        <w:t>人信息</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名称：新疆维吾尔自治区动物卫生监督所</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eastAsia="zh-CN"/>
        </w:rPr>
        <w:t>乌鲁木齐市高新技术开发区蓝天路</w:t>
      </w:r>
      <w:r>
        <w:rPr>
          <w:rFonts w:hint="eastAsia" w:asciiTheme="minorEastAsia" w:hAnsiTheme="minorEastAsia" w:eastAsiaTheme="minorEastAsia" w:cstheme="minorEastAsia"/>
          <w:sz w:val="21"/>
          <w:szCs w:val="21"/>
          <w:lang w:val="en-US" w:eastAsia="zh-CN"/>
        </w:rPr>
        <w:t>268号</w:t>
      </w:r>
    </w:p>
    <w:p>
      <w:pPr>
        <w:keepNext/>
        <w:widowControl/>
        <w:ind w:firstLine="840" w:firstLineChars="400"/>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联系人：赵耀国</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电话：18899505068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 xml:space="preserve"> 采购</w:t>
      </w:r>
      <w:r>
        <w:rPr>
          <w:rFonts w:hint="eastAsia" w:asciiTheme="minorEastAsia" w:hAnsiTheme="minorEastAsia" w:eastAsiaTheme="minorEastAsia" w:cstheme="minorEastAsia"/>
          <w:sz w:val="21"/>
          <w:szCs w:val="21"/>
        </w:rPr>
        <w:t>代理机构信息</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sz w:val="21"/>
          <w:szCs w:val="21"/>
          <w:lang w:eastAsia="zh-CN"/>
        </w:rPr>
        <w:t>新疆世纪华中工程项目管理有限公司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地址：</w:t>
      </w:r>
      <w:r>
        <w:rPr>
          <w:rFonts w:hint="eastAsia" w:asciiTheme="minorEastAsia" w:hAnsiTheme="minorEastAsia" w:eastAsiaTheme="minorEastAsia" w:cstheme="minorEastAsia"/>
          <w:sz w:val="21"/>
          <w:szCs w:val="21"/>
        </w:rPr>
        <w:t>乌鲁木齐</w:t>
      </w:r>
      <w:r>
        <w:rPr>
          <w:rFonts w:hint="eastAsia" w:asciiTheme="minorEastAsia" w:hAnsiTheme="minorEastAsia" w:eastAsiaTheme="minorEastAsia" w:cstheme="minorEastAsia"/>
          <w:sz w:val="21"/>
          <w:szCs w:val="21"/>
          <w:lang w:eastAsia="zh-CN"/>
        </w:rPr>
        <w:t>市</w:t>
      </w:r>
      <w:r>
        <w:rPr>
          <w:rFonts w:hint="eastAsia" w:asciiTheme="minorEastAsia" w:hAnsiTheme="minorEastAsia" w:eastAsiaTheme="minorEastAsia" w:cstheme="minorEastAsia"/>
          <w:sz w:val="21"/>
          <w:szCs w:val="21"/>
        </w:rPr>
        <w:t>米东区中颐北路乾和家园F区F14号楼1-3单元30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室</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lang w:val="en-US" w:eastAsia="zh-CN"/>
        </w:rPr>
        <w:t>0991-3382836</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6.3 </w:t>
      </w:r>
      <w:r>
        <w:rPr>
          <w:rFonts w:hint="eastAsia" w:asciiTheme="minorEastAsia" w:hAnsiTheme="minorEastAsia" w:eastAsiaTheme="minorEastAsia" w:cstheme="minorEastAsia"/>
          <w:sz w:val="21"/>
          <w:szCs w:val="21"/>
          <w:lang w:eastAsia="zh-CN"/>
        </w:rPr>
        <w:t>项目联系方式</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联系人：孙共青</w:t>
      </w:r>
      <w:r>
        <w:rPr>
          <w:rFonts w:hint="eastAsia" w:asciiTheme="minorEastAsia" w:hAnsiTheme="minorEastAsia" w:eastAsiaTheme="minorEastAsia" w:cstheme="minor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lang w:val="en-US" w:eastAsia="zh-CN"/>
        </w:rPr>
        <w:t>18130881910</w:t>
      </w:r>
    </w:p>
    <w:p/>
    <w:p>
      <w:pPr>
        <w:jc w:val="center"/>
        <w:rPr>
          <w:sz w:val="28"/>
          <w:szCs w:val="28"/>
        </w:rPr>
      </w:pPr>
      <w:r>
        <w:rPr>
          <w:rFonts w:ascii="宋体"/>
          <w:sz w:val="28"/>
          <w:szCs w:val="28"/>
        </w:rPr>
        <w:t>目录</w:t>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fldChar w:fldCharType="begin"/>
      </w:r>
      <w:r>
        <w:instrText xml:space="preserve"> HYPERLINK \l "_Toc6322" </w:instrText>
      </w:r>
      <w:r>
        <w:fldChar w:fldCharType="separate"/>
      </w:r>
      <w:r>
        <w:rPr>
          <w:rFonts w:hint="eastAsia" w:ascii="黑体" w:eastAsia="黑体" w:cs="黑体"/>
        </w:rPr>
        <w:t>第一章  投标人须知前附表</w:t>
      </w:r>
      <w:r>
        <w:tab/>
      </w:r>
      <w:r>
        <w:fldChar w:fldCharType="begin"/>
      </w:r>
      <w:r>
        <w:instrText xml:space="preserve"> PAGEREF _Toc6322 \h </w:instrText>
      </w:r>
      <w:r>
        <w:fldChar w:fldCharType="separate"/>
      </w:r>
      <w:r>
        <w:t>- 1 -</w:t>
      </w:r>
      <w:r>
        <w:fldChar w:fldCharType="end"/>
      </w:r>
      <w:r>
        <w:fldChar w:fldCharType="end"/>
      </w:r>
    </w:p>
    <w:p>
      <w:pPr>
        <w:pStyle w:val="18"/>
        <w:tabs>
          <w:tab w:val="right" w:leader="dot" w:pos="8788"/>
        </w:tabs>
      </w:pPr>
      <w:r>
        <w:fldChar w:fldCharType="begin"/>
      </w:r>
      <w:r>
        <w:instrText xml:space="preserve"> HYPERLINK \l "_Toc24504" </w:instrText>
      </w:r>
      <w:r>
        <w:fldChar w:fldCharType="separate"/>
      </w:r>
      <w:r>
        <w:rPr>
          <w:rFonts w:hint="eastAsia" w:ascii="黑体" w:eastAsia="黑体" w:cs="黑体"/>
        </w:rPr>
        <w:t>第二章  投标须知</w:t>
      </w:r>
      <w:r>
        <w:tab/>
      </w:r>
      <w:r>
        <w:fldChar w:fldCharType="begin"/>
      </w:r>
      <w:r>
        <w:instrText xml:space="preserve"> PAGEREF _Toc24504 \h </w:instrText>
      </w:r>
      <w:r>
        <w:fldChar w:fldCharType="separate"/>
      </w:r>
      <w:r>
        <w:t>- 5 -</w:t>
      </w:r>
      <w:r>
        <w:fldChar w:fldCharType="end"/>
      </w:r>
      <w:r>
        <w:fldChar w:fldCharType="end"/>
      </w:r>
    </w:p>
    <w:p>
      <w:pPr>
        <w:pStyle w:val="20"/>
        <w:tabs>
          <w:tab w:val="right" w:leader="dot" w:pos="8788"/>
        </w:tabs>
        <w:ind w:left="420"/>
      </w:pPr>
      <w:r>
        <w:fldChar w:fldCharType="begin"/>
      </w:r>
      <w:r>
        <w:instrText xml:space="preserve"> HYPERLINK \l "_Toc14212" </w:instrText>
      </w:r>
      <w:r>
        <w:fldChar w:fldCharType="separate"/>
      </w:r>
      <w:r>
        <w:rPr>
          <w:rFonts w:ascii="Times New Roman" w:hAnsi="Times New Roman"/>
        </w:rPr>
        <w:t>第</w:t>
      </w:r>
      <w:r>
        <w:rPr>
          <w:rFonts w:hint="eastAsia" w:ascii="Times New Roman" w:hAnsi="Times New Roman"/>
        </w:rPr>
        <w:t>一</w:t>
      </w:r>
      <w:r>
        <w:rPr>
          <w:rFonts w:ascii="Times New Roman" w:hAnsi="Times New Roman"/>
        </w:rPr>
        <w:t>节</w:t>
      </w:r>
      <w:r>
        <w:rPr>
          <w:rFonts w:hint="eastAsia" w:ascii="Times New Roman" w:hAnsi="Times New Roman"/>
        </w:rPr>
        <w:t xml:space="preserve"> 总则</w:t>
      </w:r>
      <w:r>
        <w:tab/>
      </w:r>
      <w:r>
        <w:fldChar w:fldCharType="begin"/>
      </w:r>
      <w:r>
        <w:instrText xml:space="preserve"> PAGEREF _Toc14212 \h </w:instrText>
      </w:r>
      <w:r>
        <w:fldChar w:fldCharType="separate"/>
      </w:r>
      <w:r>
        <w:t>- 5 -</w:t>
      </w:r>
      <w:r>
        <w:fldChar w:fldCharType="end"/>
      </w:r>
      <w:r>
        <w:fldChar w:fldCharType="end"/>
      </w:r>
    </w:p>
    <w:p>
      <w:pPr>
        <w:pStyle w:val="20"/>
        <w:tabs>
          <w:tab w:val="right" w:leader="dot" w:pos="8788"/>
        </w:tabs>
        <w:ind w:left="420"/>
      </w:pPr>
      <w:r>
        <w:fldChar w:fldCharType="begin"/>
      </w:r>
      <w:r>
        <w:instrText xml:space="preserve"> HYPERLINK \l "_Toc32635" </w:instrText>
      </w:r>
      <w:r>
        <w:fldChar w:fldCharType="separate"/>
      </w:r>
      <w:r>
        <w:rPr>
          <w:rFonts w:ascii="Times New Roman" w:hAnsi="Times New Roman"/>
        </w:rPr>
        <w:t>第二节</w:t>
      </w:r>
      <w:r>
        <w:rPr>
          <w:rFonts w:hint="eastAsia" w:ascii="Times New Roman" w:hAnsi="Times New Roman"/>
        </w:rPr>
        <w:t xml:space="preserve"> 招标文件</w:t>
      </w:r>
      <w:r>
        <w:tab/>
      </w:r>
      <w:r>
        <w:fldChar w:fldCharType="begin"/>
      </w:r>
      <w:r>
        <w:instrText xml:space="preserve"> PAGEREF _Toc32635 \h </w:instrText>
      </w:r>
      <w:r>
        <w:fldChar w:fldCharType="separate"/>
      </w:r>
      <w:r>
        <w:t>- 9 -</w:t>
      </w:r>
      <w:r>
        <w:fldChar w:fldCharType="end"/>
      </w:r>
      <w:r>
        <w:fldChar w:fldCharType="end"/>
      </w:r>
    </w:p>
    <w:p>
      <w:pPr>
        <w:pStyle w:val="20"/>
        <w:tabs>
          <w:tab w:val="right" w:leader="dot" w:pos="8788"/>
        </w:tabs>
        <w:ind w:left="420"/>
      </w:pPr>
      <w:r>
        <w:fldChar w:fldCharType="begin"/>
      </w:r>
      <w:r>
        <w:instrText xml:space="preserve"> HYPERLINK \l "_Toc30648" </w:instrText>
      </w:r>
      <w:r>
        <w:fldChar w:fldCharType="separate"/>
      </w:r>
      <w:r>
        <w:rPr>
          <w:rFonts w:ascii="Times New Roman" w:hAnsi="Times New Roman"/>
        </w:rPr>
        <w:t>第</w:t>
      </w:r>
      <w:r>
        <w:rPr>
          <w:rFonts w:hint="eastAsia" w:ascii="Times New Roman" w:hAnsi="Times New Roman"/>
        </w:rPr>
        <w:t>三</w:t>
      </w:r>
      <w:r>
        <w:rPr>
          <w:rFonts w:ascii="Times New Roman" w:hAnsi="Times New Roman"/>
        </w:rPr>
        <w:t>节</w:t>
      </w:r>
      <w:r>
        <w:rPr>
          <w:rFonts w:hint="eastAsia" w:ascii="Times New Roman" w:hAnsi="Times New Roman"/>
        </w:rPr>
        <w:t xml:space="preserve"> 投标文件</w:t>
      </w:r>
      <w:r>
        <w:tab/>
      </w:r>
      <w:r>
        <w:fldChar w:fldCharType="begin"/>
      </w:r>
      <w:r>
        <w:instrText xml:space="preserve"> PAGEREF _Toc30648 \h </w:instrText>
      </w:r>
      <w:r>
        <w:fldChar w:fldCharType="separate"/>
      </w:r>
      <w:r>
        <w:t>- 10 -</w:t>
      </w:r>
      <w:r>
        <w:fldChar w:fldCharType="end"/>
      </w:r>
      <w:r>
        <w:fldChar w:fldCharType="end"/>
      </w:r>
    </w:p>
    <w:p>
      <w:pPr>
        <w:pStyle w:val="20"/>
        <w:tabs>
          <w:tab w:val="right" w:leader="dot" w:pos="8788"/>
        </w:tabs>
        <w:ind w:left="420"/>
      </w:pPr>
      <w:r>
        <w:fldChar w:fldCharType="begin"/>
      </w:r>
      <w:r>
        <w:instrText xml:space="preserve"> HYPERLINK \l "_Toc9224" </w:instrText>
      </w:r>
      <w:r>
        <w:fldChar w:fldCharType="separate"/>
      </w:r>
      <w:r>
        <w:rPr>
          <w:rFonts w:ascii="Times New Roman" w:hAnsi="Times New Roman"/>
        </w:rPr>
        <w:t>第</w:t>
      </w:r>
      <w:r>
        <w:rPr>
          <w:rFonts w:hint="eastAsia" w:ascii="Times New Roman" w:hAnsi="Times New Roman"/>
        </w:rPr>
        <w:t>四</w:t>
      </w:r>
      <w:r>
        <w:rPr>
          <w:rFonts w:ascii="Times New Roman" w:hAnsi="Times New Roman"/>
        </w:rPr>
        <w:t>节</w:t>
      </w:r>
      <w:r>
        <w:rPr>
          <w:rFonts w:hint="eastAsia" w:ascii="Times New Roman" w:hAnsi="Times New Roman"/>
        </w:rPr>
        <w:t xml:space="preserve"> 投标</w:t>
      </w:r>
      <w:r>
        <w:tab/>
      </w:r>
      <w:r>
        <w:fldChar w:fldCharType="begin"/>
      </w:r>
      <w:r>
        <w:instrText xml:space="preserve"> PAGEREF _Toc9224 \h </w:instrText>
      </w:r>
      <w:r>
        <w:fldChar w:fldCharType="separate"/>
      </w:r>
      <w:r>
        <w:t>- 14 -</w:t>
      </w:r>
      <w:r>
        <w:fldChar w:fldCharType="end"/>
      </w:r>
      <w:r>
        <w:fldChar w:fldCharType="end"/>
      </w:r>
    </w:p>
    <w:p>
      <w:pPr>
        <w:pStyle w:val="20"/>
        <w:tabs>
          <w:tab w:val="right" w:leader="dot" w:pos="8788"/>
        </w:tabs>
        <w:ind w:left="420"/>
      </w:pPr>
      <w:r>
        <w:fldChar w:fldCharType="begin"/>
      </w:r>
      <w:r>
        <w:instrText xml:space="preserve"> HYPERLINK \l "_Toc4016" </w:instrText>
      </w:r>
      <w:r>
        <w:fldChar w:fldCharType="separate"/>
      </w:r>
      <w:r>
        <w:rPr>
          <w:rFonts w:ascii="Times New Roman" w:hAnsi="Times New Roman"/>
        </w:rPr>
        <w:t>第</w:t>
      </w:r>
      <w:r>
        <w:rPr>
          <w:rFonts w:hint="eastAsia" w:ascii="Times New Roman" w:hAnsi="Times New Roman"/>
        </w:rPr>
        <w:t>五</w:t>
      </w:r>
      <w:r>
        <w:rPr>
          <w:rFonts w:ascii="Times New Roman" w:hAnsi="Times New Roman"/>
        </w:rPr>
        <w:t>节</w:t>
      </w:r>
      <w:r>
        <w:rPr>
          <w:rFonts w:hint="eastAsia" w:ascii="Times New Roman" w:hAnsi="Times New Roman"/>
        </w:rPr>
        <w:t xml:space="preserve"> 开标</w:t>
      </w:r>
      <w:r>
        <w:tab/>
      </w:r>
      <w:r>
        <w:fldChar w:fldCharType="begin"/>
      </w:r>
      <w:r>
        <w:instrText xml:space="preserve"> PAGEREF _Toc4016 \h </w:instrText>
      </w:r>
      <w:r>
        <w:fldChar w:fldCharType="separate"/>
      </w:r>
      <w:r>
        <w:t>- 14 -</w:t>
      </w:r>
      <w:r>
        <w:fldChar w:fldCharType="end"/>
      </w:r>
      <w:r>
        <w:fldChar w:fldCharType="end"/>
      </w:r>
    </w:p>
    <w:p>
      <w:pPr>
        <w:pStyle w:val="20"/>
        <w:tabs>
          <w:tab w:val="right" w:leader="dot" w:pos="8788"/>
        </w:tabs>
        <w:ind w:left="420"/>
      </w:pPr>
      <w:r>
        <w:fldChar w:fldCharType="begin"/>
      </w:r>
      <w:r>
        <w:instrText xml:space="preserve"> HYPERLINK \l "_Toc11234" </w:instrText>
      </w:r>
      <w:r>
        <w:fldChar w:fldCharType="separate"/>
      </w:r>
      <w:r>
        <w:rPr>
          <w:rFonts w:ascii="Times New Roman" w:hAnsi="Times New Roman"/>
        </w:rPr>
        <w:t>第</w:t>
      </w:r>
      <w:r>
        <w:rPr>
          <w:rFonts w:hint="eastAsia" w:ascii="Times New Roman" w:hAnsi="Times New Roman"/>
        </w:rPr>
        <w:t>六</w:t>
      </w:r>
      <w:r>
        <w:rPr>
          <w:rFonts w:ascii="Times New Roman" w:hAnsi="Times New Roman"/>
        </w:rPr>
        <w:t>节</w:t>
      </w:r>
      <w:r>
        <w:rPr>
          <w:rFonts w:hint="eastAsia" w:ascii="Times New Roman" w:hAnsi="Times New Roman"/>
        </w:rPr>
        <w:t xml:space="preserve"> 评标</w:t>
      </w:r>
      <w:r>
        <w:tab/>
      </w:r>
      <w:r>
        <w:fldChar w:fldCharType="begin"/>
      </w:r>
      <w:r>
        <w:instrText xml:space="preserve"> PAGEREF _Toc11234 \h </w:instrText>
      </w:r>
      <w:r>
        <w:fldChar w:fldCharType="separate"/>
      </w:r>
      <w:r>
        <w:t>- 15 -</w:t>
      </w:r>
      <w:r>
        <w:fldChar w:fldCharType="end"/>
      </w:r>
      <w:r>
        <w:fldChar w:fldCharType="end"/>
      </w:r>
    </w:p>
    <w:p>
      <w:pPr>
        <w:pStyle w:val="20"/>
        <w:tabs>
          <w:tab w:val="right" w:leader="dot" w:pos="8788"/>
        </w:tabs>
        <w:ind w:left="420"/>
      </w:pPr>
      <w:r>
        <w:fldChar w:fldCharType="begin"/>
      </w:r>
      <w:r>
        <w:instrText xml:space="preserve"> HYPERLINK \l "_Toc26367" </w:instrText>
      </w:r>
      <w:r>
        <w:fldChar w:fldCharType="separate"/>
      </w:r>
      <w:r>
        <w:rPr>
          <w:rFonts w:ascii="Times New Roman" w:hAnsi="Times New Roman"/>
        </w:rPr>
        <w:t>第</w:t>
      </w:r>
      <w:r>
        <w:rPr>
          <w:rFonts w:hint="eastAsia" w:ascii="Times New Roman" w:hAnsi="Times New Roman"/>
        </w:rPr>
        <w:t>七</w:t>
      </w:r>
      <w:r>
        <w:rPr>
          <w:rFonts w:ascii="Times New Roman" w:hAnsi="Times New Roman"/>
        </w:rPr>
        <w:t>节</w:t>
      </w:r>
      <w:r>
        <w:rPr>
          <w:rFonts w:hint="eastAsia" w:ascii="Times New Roman" w:hAnsi="Times New Roman"/>
        </w:rPr>
        <w:t xml:space="preserve"> 合同授予</w:t>
      </w:r>
      <w:r>
        <w:tab/>
      </w:r>
      <w:r>
        <w:fldChar w:fldCharType="begin"/>
      </w:r>
      <w:r>
        <w:instrText xml:space="preserve"> PAGEREF _Toc26367 \h </w:instrText>
      </w:r>
      <w:r>
        <w:fldChar w:fldCharType="separate"/>
      </w:r>
      <w:r>
        <w:t>- 16 -</w:t>
      </w:r>
      <w:r>
        <w:fldChar w:fldCharType="end"/>
      </w:r>
      <w:r>
        <w:fldChar w:fldCharType="end"/>
      </w:r>
    </w:p>
    <w:p>
      <w:pPr>
        <w:pStyle w:val="20"/>
        <w:tabs>
          <w:tab w:val="right" w:leader="dot" w:pos="8788"/>
        </w:tabs>
        <w:ind w:left="420"/>
      </w:pPr>
      <w:r>
        <w:fldChar w:fldCharType="begin"/>
      </w:r>
      <w:r>
        <w:instrText xml:space="preserve"> HYPERLINK \l "_Toc16127" </w:instrText>
      </w:r>
      <w:r>
        <w:fldChar w:fldCharType="separate"/>
      </w:r>
      <w:r>
        <w:rPr>
          <w:rFonts w:ascii="Times New Roman" w:hAnsi="Times New Roman"/>
        </w:rPr>
        <w:t>第</w:t>
      </w:r>
      <w:r>
        <w:rPr>
          <w:rFonts w:hint="eastAsia" w:ascii="Times New Roman" w:hAnsi="Times New Roman"/>
        </w:rPr>
        <w:t>八</w:t>
      </w:r>
      <w:r>
        <w:rPr>
          <w:rFonts w:ascii="Times New Roman" w:hAnsi="Times New Roman"/>
        </w:rPr>
        <w:t>节</w:t>
      </w:r>
      <w:r>
        <w:rPr>
          <w:rFonts w:hint="eastAsia" w:ascii="Times New Roman" w:hAnsi="Times New Roman"/>
        </w:rPr>
        <w:t xml:space="preserve"> 重新招标和不再招标</w:t>
      </w:r>
      <w:r>
        <w:tab/>
      </w:r>
      <w:r>
        <w:fldChar w:fldCharType="begin"/>
      </w:r>
      <w:r>
        <w:instrText xml:space="preserve"> PAGEREF _Toc16127 \h </w:instrText>
      </w:r>
      <w:r>
        <w:fldChar w:fldCharType="separate"/>
      </w:r>
      <w:r>
        <w:t>- 18 -</w:t>
      </w:r>
      <w:r>
        <w:fldChar w:fldCharType="end"/>
      </w:r>
      <w:r>
        <w:fldChar w:fldCharType="end"/>
      </w:r>
    </w:p>
    <w:p>
      <w:pPr>
        <w:pStyle w:val="20"/>
        <w:tabs>
          <w:tab w:val="right" w:leader="dot" w:pos="8788"/>
        </w:tabs>
        <w:ind w:left="420"/>
      </w:pPr>
      <w:r>
        <w:fldChar w:fldCharType="begin"/>
      </w:r>
      <w:r>
        <w:instrText xml:space="preserve"> HYPERLINK \l "_Toc12717" </w:instrText>
      </w:r>
      <w:r>
        <w:fldChar w:fldCharType="separate"/>
      </w:r>
      <w:r>
        <w:rPr>
          <w:rFonts w:ascii="Times New Roman" w:hAnsi="Times New Roman"/>
        </w:rPr>
        <w:t>第</w:t>
      </w:r>
      <w:r>
        <w:rPr>
          <w:rFonts w:hint="eastAsia" w:ascii="Times New Roman" w:hAnsi="Times New Roman"/>
        </w:rPr>
        <w:t>九</w:t>
      </w:r>
      <w:r>
        <w:rPr>
          <w:rFonts w:ascii="Times New Roman" w:hAnsi="Times New Roman"/>
        </w:rPr>
        <w:t>节</w:t>
      </w:r>
      <w:r>
        <w:rPr>
          <w:rFonts w:hint="eastAsia" w:ascii="Times New Roman" w:hAnsi="Times New Roman"/>
        </w:rPr>
        <w:t xml:space="preserve"> 纪律和监督</w:t>
      </w:r>
      <w:r>
        <w:tab/>
      </w:r>
      <w:r>
        <w:fldChar w:fldCharType="begin"/>
      </w:r>
      <w:r>
        <w:instrText xml:space="preserve"> PAGEREF _Toc12717 \h </w:instrText>
      </w:r>
      <w:r>
        <w:fldChar w:fldCharType="separate"/>
      </w:r>
      <w:r>
        <w:t>- 18 -</w:t>
      </w:r>
      <w:r>
        <w:fldChar w:fldCharType="end"/>
      </w:r>
      <w:r>
        <w:fldChar w:fldCharType="end"/>
      </w:r>
    </w:p>
    <w:p>
      <w:pPr>
        <w:pStyle w:val="20"/>
        <w:tabs>
          <w:tab w:val="right" w:leader="dot" w:pos="8788"/>
        </w:tabs>
        <w:ind w:left="420"/>
      </w:pPr>
      <w:r>
        <w:fldChar w:fldCharType="begin"/>
      </w:r>
      <w:r>
        <w:instrText xml:space="preserve"> HYPERLINK \l "_Toc25991" </w:instrText>
      </w:r>
      <w:r>
        <w:fldChar w:fldCharType="separate"/>
      </w:r>
      <w:r>
        <w:rPr>
          <w:rFonts w:ascii="Times New Roman" w:hAnsi="Times New Roman"/>
        </w:rPr>
        <w:t>第</w:t>
      </w:r>
      <w:r>
        <w:rPr>
          <w:rFonts w:hint="eastAsia" w:ascii="Times New Roman" w:hAnsi="Times New Roman"/>
        </w:rPr>
        <w:t>十</w:t>
      </w:r>
      <w:r>
        <w:rPr>
          <w:rFonts w:ascii="Times New Roman" w:hAnsi="Times New Roman"/>
        </w:rPr>
        <w:t>节</w:t>
      </w:r>
      <w:r>
        <w:rPr>
          <w:rFonts w:hint="eastAsia" w:ascii="Times New Roman" w:hAnsi="Times New Roman"/>
        </w:rPr>
        <w:t xml:space="preserve"> 需要补充的其他内容</w:t>
      </w:r>
      <w:r>
        <w:tab/>
      </w:r>
      <w:r>
        <w:fldChar w:fldCharType="begin"/>
      </w:r>
      <w:r>
        <w:instrText xml:space="preserve"> PAGEREF _Toc25991 \h </w:instrText>
      </w:r>
      <w:r>
        <w:fldChar w:fldCharType="separate"/>
      </w:r>
      <w:r>
        <w:t>- 20 -</w:t>
      </w:r>
      <w:r>
        <w:fldChar w:fldCharType="end"/>
      </w:r>
      <w:r>
        <w:fldChar w:fldCharType="end"/>
      </w:r>
    </w:p>
    <w:p>
      <w:pPr>
        <w:pStyle w:val="18"/>
        <w:tabs>
          <w:tab w:val="right" w:leader="dot" w:pos="8788"/>
        </w:tabs>
      </w:pPr>
      <w:r>
        <w:fldChar w:fldCharType="begin"/>
      </w:r>
      <w:r>
        <w:instrText xml:space="preserve"> HYPERLINK \l "_Toc29304" </w:instrText>
      </w:r>
      <w:r>
        <w:fldChar w:fldCharType="separate"/>
      </w:r>
      <w:r>
        <w:rPr>
          <w:rFonts w:hint="eastAsia" w:ascii="黑体" w:eastAsia="黑体" w:cs="黑体"/>
        </w:rPr>
        <w:t>第三章  评标办法</w:t>
      </w:r>
      <w:r>
        <w:tab/>
      </w:r>
      <w:r>
        <w:fldChar w:fldCharType="begin"/>
      </w:r>
      <w:r>
        <w:instrText xml:space="preserve"> PAGEREF _Toc29304 \h </w:instrText>
      </w:r>
      <w:r>
        <w:fldChar w:fldCharType="separate"/>
      </w:r>
      <w:r>
        <w:t>- 21 -</w:t>
      </w:r>
      <w:r>
        <w:fldChar w:fldCharType="end"/>
      </w:r>
      <w:r>
        <w:fldChar w:fldCharType="end"/>
      </w:r>
    </w:p>
    <w:p>
      <w:pPr>
        <w:pStyle w:val="20"/>
        <w:tabs>
          <w:tab w:val="right" w:leader="dot" w:pos="8788"/>
        </w:tabs>
        <w:ind w:left="420"/>
      </w:pPr>
      <w:r>
        <w:fldChar w:fldCharType="begin"/>
      </w:r>
      <w:r>
        <w:instrText xml:space="preserve"> HYPERLINK \l "_Toc11670" </w:instrText>
      </w:r>
      <w:r>
        <w:fldChar w:fldCharType="separate"/>
      </w:r>
      <w:r>
        <w:rPr>
          <w:rFonts w:ascii="Times New Roman" w:hAnsi="Times New Roman"/>
        </w:rPr>
        <w:t>第一节</w:t>
      </w:r>
      <w:r>
        <w:rPr>
          <w:rFonts w:hint="eastAsia" w:ascii="Times New Roman" w:hAnsi="Times New Roman"/>
        </w:rPr>
        <w:t xml:space="preserve"> </w:t>
      </w:r>
      <w:r>
        <w:rPr>
          <w:rFonts w:ascii="宋体" w:cs="宋体"/>
          <w:bCs/>
        </w:rPr>
        <w:t>评标方法</w:t>
      </w:r>
      <w:r>
        <w:tab/>
      </w:r>
      <w:r>
        <w:fldChar w:fldCharType="begin"/>
      </w:r>
      <w:r>
        <w:instrText xml:space="preserve"> PAGEREF _Toc11670 \h </w:instrText>
      </w:r>
      <w:r>
        <w:fldChar w:fldCharType="separate"/>
      </w:r>
      <w:r>
        <w:t>- 21 -</w:t>
      </w:r>
      <w:r>
        <w:fldChar w:fldCharType="end"/>
      </w:r>
      <w:r>
        <w:fldChar w:fldCharType="end"/>
      </w:r>
    </w:p>
    <w:p>
      <w:pPr>
        <w:pStyle w:val="20"/>
        <w:tabs>
          <w:tab w:val="right" w:leader="dot" w:pos="8788"/>
        </w:tabs>
        <w:ind w:left="420"/>
      </w:pPr>
      <w:r>
        <w:fldChar w:fldCharType="begin"/>
      </w:r>
      <w:r>
        <w:instrText xml:space="preserve"> HYPERLINK \l "_Toc1052" </w:instrText>
      </w:r>
      <w:r>
        <w:fldChar w:fldCharType="separate"/>
      </w:r>
      <w:r>
        <w:rPr>
          <w:rFonts w:ascii="Times New Roman" w:hAnsi="Times New Roman"/>
        </w:rPr>
        <w:t>第二节</w:t>
      </w:r>
      <w:r>
        <w:rPr>
          <w:rFonts w:hint="eastAsia" w:ascii="Times New Roman" w:hAnsi="Times New Roman"/>
        </w:rPr>
        <w:t xml:space="preserve"> </w:t>
      </w:r>
      <w:r>
        <w:rPr>
          <w:rFonts w:ascii="宋体" w:cs="宋体"/>
          <w:bCs/>
        </w:rPr>
        <w:t>评标标准</w:t>
      </w:r>
      <w:r>
        <w:tab/>
      </w:r>
      <w:r>
        <w:fldChar w:fldCharType="begin"/>
      </w:r>
      <w:r>
        <w:instrText xml:space="preserve"> PAGEREF _Toc1052 \h </w:instrText>
      </w:r>
      <w:r>
        <w:fldChar w:fldCharType="separate"/>
      </w:r>
      <w:r>
        <w:t>- 21 -</w:t>
      </w:r>
      <w:r>
        <w:fldChar w:fldCharType="end"/>
      </w:r>
      <w:r>
        <w:fldChar w:fldCharType="end"/>
      </w:r>
    </w:p>
    <w:p>
      <w:pPr>
        <w:pStyle w:val="20"/>
        <w:tabs>
          <w:tab w:val="right" w:leader="dot" w:pos="8788"/>
        </w:tabs>
        <w:ind w:left="420"/>
      </w:pPr>
      <w:r>
        <w:fldChar w:fldCharType="begin"/>
      </w:r>
      <w:r>
        <w:instrText xml:space="preserve"> HYPERLINK \l "_Toc8150" </w:instrText>
      </w:r>
      <w:r>
        <w:fldChar w:fldCharType="separate"/>
      </w:r>
      <w:r>
        <w:rPr>
          <w:rFonts w:ascii="Times New Roman" w:hAnsi="Times New Roman"/>
        </w:rPr>
        <w:t>第三节</w:t>
      </w:r>
      <w:r>
        <w:rPr>
          <w:rFonts w:hint="eastAsia" w:ascii="Times New Roman" w:hAnsi="Times New Roman"/>
        </w:rPr>
        <w:t xml:space="preserve"> </w:t>
      </w:r>
      <w:r>
        <w:rPr>
          <w:rFonts w:ascii="宋体" w:cs="宋体"/>
          <w:bCs/>
        </w:rPr>
        <w:t>评标程序</w:t>
      </w:r>
      <w:r>
        <w:tab/>
      </w:r>
      <w:r>
        <w:fldChar w:fldCharType="begin"/>
      </w:r>
      <w:r>
        <w:instrText xml:space="preserve"> PAGEREF _Toc8150 \h </w:instrText>
      </w:r>
      <w:r>
        <w:fldChar w:fldCharType="separate"/>
      </w:r>
      <w:r>
        <w:t>- 21 -</w:t>
      </w:r>
      <w:r>
        <w:fldChar w:fldCharType="end"/>
      </w:r>
      <w:r>
        <w:fldChar w:fldCharType="end"/>
      </w:r>
    </w:p>
    <w:p>
      <w:pPr>
        <w:pStyle w:val="20"/>
        <w:tabs>
          <w:tab w:val="right" w:leader="dot" w:pos="8788"/>
        </w:tabs>
        <w:ind w:left="420"/>
      </w:pPr>
      <w:r>
        <w:fldChar w:fldCharType="begin"/>
      </w:r>
      <w:r>
        <w:instrText xml:space="preserve"> HYPERLINK \l "_Toc2546" </w:instrText>
      </w:r>
      <w:r>
        <w:fldChar w:fldCharType="separate"/>
      </w:r>
      <w:r>
        <w:rPr>
          <w:rFonts w:cs="宋体"/>
        </w:rPr>
        <w:t xml:space="preserve">第四节 </w:t>
      </w:r>
      <w:r>
        <w:rPr>
          <w:rFonts w:cs="宋体"/>
          <w:bCs/>
        </w:rPr>
        <w:t>评标准备</w:t>
      </w:r>
      <w:r>
        <w:tab/>
      </w:r>
      <w:r>
        <w:fldChar w:fldCharType="begin"/>
      </w:r>
      <w:r>
        <w:instrText xml:space="preserve"> PAGEREF _Toc2546 \h </w:instrText>
      </w:r>
      <w:r>
        <w:fldChar w:fldCharType="separate"/>
      </w:r>
      <w:r>
        <w:t>- 21 -</w:t>
      </w:r>
      <w:r>
        <w:fldChar w:fldCharType="end"/>
      </w:r>
      <w:r>
        <w:fldChar w:fldCharType="end"/>
      </w:r>
    </w:p>
    <w:p>
      <w:pPr>
        <w:pStyle w:val="18"/>
        <w:tabs>
          <w:tab w:val="right" w:leader="dot" w:pos="8788"/>
        </w:tabs>
      </w:pPr>
      <w:r>
        <w:fldChar w:fldCharType="begin"/>
      </w:r>
      <w:r>
        <w:instrText xml:space="preserve"> HYPERLINK \l "_Toc564" </w:instrText>
      </w:r>
      <w:r>
        <w:fldChar w:fldCharType="separate"/>
      </w:r>
      <w:r>
        <w:rPr>
          <w:rFonts w:hint="eastAsia" w:ascii="黑体" w:eastAsia="黑体" w:cs="黑体"/>
        </w:rPr>
        <w:t>第四章  合同条款及格式</w:t>
      </w:r>
      <w:r>
        <w:tab/>
      </w:r>
      <w:r>
        <w:fldChar w:fldCharType="begin"/>
      </w:r>
      <w:r>
        <w:instrText xml:space="preserve"> PAGEREF _Toc564 \h </w:instrText>
      </w:r>
      <w:r>
        <w:fldChar w:fldCharType="separate"/>
      </w:r>
      <w:r>
        <w:t>- 31 -</w:t>
      </w:r>
      <w:r>
        <w:fldChar w:fldCharType="end"/>
      </w:r>
      <w:r>
        <w:fldChar w:fldCharType="end"/>
      </w:r>
    </w:p>
    <w:p>
      <w:pPr>
        <w:pStyle w:val="20"/>
        <w:tabs>
          <w:tab w:val="right" w:leader="dot" w:pos="8788"/>
        </w:tabs>
        <w:ind w:left="420"/>
      </w:pPr>
      <w:r>
        <w:fldChar w:fldCharType="begin"/>
      </w:r>
      <w:r>
        <w:instrText xml:space="preserve"> HYPERLINK \l "_Toc27231" </w:instrText>
      </w:r>
      <w:r>
        <w:fldChar w:fldCharType="separate"/>
      </w:r>
      <w:r>
        <w:rPr>
          <w:rFonts w:ascii="Times New Roman" w:hAnsi="Times New Roman"/>
        </w:rPr>
        <w:t>第</w:t>
      </w:r>
      <w:r>
        <w:rPr>
          <w:rFonts w:hint="eastAsia" w:ascii="Times New Roman" w:hAnsi="Times New Roman"/>
        </w:rPr>
        <w:t>一</w:t>
      </w:r>
      <w:r>
        <w:rPr>
          <w:rFonts w:ascii="Times New Roman" w:hAnsi="Times New Roman"/>
        </w:rPr>
        <w:t>节</w:t>
      </w:r>
      <w:r>
        <w:rPr>
          <w:rFonts w:hint="eastAsia" w:ascii="Times New Roman" w:hAnsi="Times New Roman"/>
        </w:rPr>
        <w:t xml:space="preserve"> </w:t>
      </w:r>
      <w:r>
        <w:rPr>
          <w:rFonts w:hint="eastAsia" w:ascii="宋体" w:cs="宋体"/>
          <w:bCs/>
        </w:rPr>
        <w:t>通用合同条款</w:t>
      </w:r>
      <w:r>
        <w:tab/>
      </w:r>
      <w:r>
        <w:fldChar w:fldCharType="begin"/>
      </w:r>
      <w:r>
        <w:instrText xml:space="preserve"> PAGEREF _Toc27231 \h </w:instrText>
      </w:r>
      <w:r>
        <w:fldChar w:fldCharType="separate"/>
      </w:r>
      <w:r>
        <w:t>- 31 -</w:t>
      </w:r>
      <w:r>
        <w:fldChar w:fldCharType="end"/>
      </w:r>
      <w:r>
        <w:fldChar w:fldCharType="end"/>
      </w:r>
    </w:p>
    <w:p>
      <w:pPr>
        <w:pStyle w:val="20"/>
        <w:tabs>
          <w:tab w:val="right" w:leader="dot" w:pos="8788"/>
        </w:tabs>
        <w:ind w:left="420"/>
      </w:pPr>
      <w:r>
        <w:fldChar w:fldCharType="begin"/>
      </w:r>
      <w:r>
        <w:instrText xml:space="preserve"> HYPERLINK \l "_Toc8447" </w:instrText>
      </w:r>
      <w:r>
        <w:fldChar w:fldCharType="separate"/>
      </w:r>
      <w:r>
        <w:rPr>
          <w:rFonts w:ascii="Times New Roman" w:hAnsi="Times New Roman"/>
        </w:rPr>
        <w:t>第二节</w:t>
      </w:r>
      <w:r>
        <w:rPr>
          <w:rFonts w:hint="eastAsia" w:ascii="Times New Roman" w:hAnsi="Times New Roman"/>
        </w:rPr>
        <w:t xml:space="preserve"> </w:t>
      </w:r>
      <w:r>
        <w:rPr>
          <w:rFonts w:hint="eastAsia" w:ascii="宋体" w:cs="宋体"/>
          <w:bCs/>
        </w:rPr>
        <w:t>专用合同条款</w:t>
      </w:r>
      <w:r>
        <w:tab/>
      </w:r>
      <w:r>
        <w:fldChar w:fldCharType="begin"/>
      </w:r>
      <w:r>
        <w:instrText xml:space="preserve"> PAGEREF _Toc8447 \h </w:instrText>
      </w:r>
      <w:r>
        <w:fldChar w:fldCharType="separate"/>
      </w:r>
      <w:r>
        <w:t>- 37 -</w:t>
      </w:r>
      <w:r>
        <w:fldChar w:fldCharType="end"/>
      </w:r>
      <w:r>
        <w:fldChar w:fldCharType="end"/>
      </w:r>
    </w:p>
    <w:p>
      <w:pPr>
        <w:pStyle w:val="18"/>
        <w:tabs>
          <w:tab w:val="right" w:leader="dot" w:pos="8788"/>
        </w:tabs>
      </w:pPr>
      <w:r>
        <w:fldChar w:fldCharType="begin"/>
      </w:r>
      <w:r>
        <w:instrText xml:space="preserve"> HYPERLINK \l "_Toc18924" </w:instrText>
      </w:r>
      <w:r>
        <w:fldChar w:fldCharType="separate"/>
      </w:r>
      <w:r>
        <w:rPr>
          <w:rFonts w:hint="eastAsia" w:ascii="黑体" w:eastAsia="黑体" w:cs="黑体"/>
        </w:rPr>
        <w:t>第五章  技术标准和要求</w:t>
      </w:r>
      <w:r>
        <w:tab/>
      </w:r>
      <w:r>
        <w:fldChar w:fldCharType="begin"/>
      </w:r>
      <w:r>
        <w:instrText xml:space="preserve"> PAGEREF _Toc18924 \h </w:instrText>
      </w:r>
      <w:r>
        <w:fldChar w:fldCharType="separate"/>
      </w:r>
      <w:r>
        <w:t>- 42 -</w:t>
      </w:r>
      <w:r>
        <w:fldChar w:fldCharType="end"/>
      </w:r>
      <w:r>
        <w:fldChar w:fldCharType="end"/>
      </w:r>
    </w:p>
    <w:p>
      <w:pPr>
        <w:pStyle w:val="18"/>
        <w:tabs>
          <w:tab w:val="right" w:leader="dot" w:pos="8788"/>
        </w:tabs>
      </w:pPr>
      <w:r>
        <w:fldChar w:fldCharType="begin"/>
      </w:r>
      <w:r>
        <w:instrText xml:space="preserve"> HYPERLINK \l "_Toc23084" </w:instrText>
      </w:r>
      <w:r>
        <w:fldChar w:fldCharType="separate"/>
      </w:r>
      <w:r>
        <w:rPr>
          <w:rFonts w:hint="eastAsia" w:ascii="黑体" w:eastAsia="黑体" w:cs="黑体"/>
        </w:rPr>
        <w:t>第六章  投标文件格式</w:t>
      </w:r>
      <w:r>
        <w:tab/>
      </w:r>
      <w:r>
        <w:fldChar w:fldCharType="begin"/>
      </w:r>
      <w:r>
        <w:instrText xml:space="preserve"> PAGEREF _Toc23084 \h </w:instrText>
      </w:r>
      <w:r>
        <w:fldChar w:fldCharType="separate"/>
      </w:r>
      <w:r>
        <w:t>- 46 -</w:t>
      </w:r>
      <w:r>
        <w:fldChar w:fldCharType="end"/>
      </w:r>
      <w:r>
        <w:fldChar w:fldCharType="end"/>
      </w:r>
    </w:p>
    <w:p>
      <w:pPr>
        <w:pStyle w:val="20"/>
        <w:tabs>
          <w:tab w:val="right" w:leader="dot" w:pos="8788"/>
        </w:tabs>
        <w:ind w:left="420"/>
      </w:pPr>
      <w:r>
        <w:fldChar w:fldCharType="begin"/>
      </w:r>
      <w:r>
        <w:instrText xml:space="preserve"> HYPERLINK \l "_Toc29701" </w:instrText>
      </w:r>
      <w:r>
        <w:fldChar w:fldCharType="separate"/>
      </w:r>
      <w:r>
        <w:rPr>
          <w:rFonts w:hint="eastAsia" w:ascii="宋体" w:cs="宋体"/>
        </w:rPr>
        <w:t>第一节 投标文件封面示例</w:t>
      </w:r>
      <w:r>
        <w:tab/>
      </w:r>
      <w:r>
        <w:fldChar w:fldCharType="begin"/>
      </w:r>
      <w:r>
        <w:instrText xml:space="preserve"> PAGEREF _Toc29701 \h </w:instrText>
      </w:r>
      <w:r>
        <w:fldChar w:fldCharType="separate"/>
      </w:r>
      <w:r>
        <w:t>- 46 -</w:t>
      </w:r>
      <w:r>
        <w:fldChar w:fldCharType="end"/>
      </w:r>
      <w:r>
        <w:fldChar w:fldCharType="end"/>
      </w:r>
    </w:p>
    <w:p>
      <w:pPr>
        <w:pStyle w:val="20"/>
        <w:tabs>
          <w:tab w:val="right" w:leader="dot" w:pos="8788"/>
        </w:tabs>
        <w:ind w:left="420"/>
      </w:pPr>
      <w:r>
        <w:fldChar w:fldCharType="begin"/>
      </w:r>
      <w:r>
        <w:instrText xml:space="preserve"> HYPERLINK \l "_Toc17307" </w:instrText>
      </w:r>
      <w:r>
        <w:fldChar w:fldCharType="separate"/>
      </w:r>
      <w:r>
        <w:rPr>
          <w:rFonts w:hint="eastAsia" w:ascii="宋体" w:cs="宋体"/>
        </w:rPr>
        <w:t>第二节 投标文件目录示例</w:t>
      </w:r>
      <w:r>
        <w:tab/>
      </w:r>
      <w:r>
        <w:fldChar w:fldCharType="begin"/>
      </w:r>
      <w:r>
        <w:instrText xml:space="preserve"> PAGEREF _Toc17307 \h </w:instrText>
      </w:r>
      <w:r>
        <w:fldChar w:fldCharType="separate"/>
      </w:r>
      <w:r>
        <w:t>- 47 -</w:t>
      </w:r>
      <w:r>
        <w:fldChar w:fldCharType="end"/>
      </w:r>
      <w:r>
        <w:fldChar w:fldCharType="end"/>
      </w:r>
    </w:p>
    <w:p>
      <w:pPr>
        <w:pStyle w:val="18"/>
        <w:tabs>
          <w:tab w:val="right" w:leader="dot" w:pos="8788"/>
        </w:tabs>
      </w:pPr>
      <w:r>
        <w:fldChar w:fldCharType="begin"/>
      </w:r>
      <w:r>
        <w:instrText xml:space="preserve"> HYPERLINK \l "_Toc18087" </w:instrText>
      </w:r>
      <w:r>
        <w:fldChar w:fldCharType="separate"/>
      </w:r>
      <w:r>
        <w:rPr>
          <w:rFonts w:hint="eastAsia" w:ascii="黑体" w:eastAsia="黑体" w:cs="黑体"/>
        </w:rPr>
        <w:t>第七章</w:t>
      </w:r>
      <w:r>
        <w:rPr>
          <w:rFonts w:hint="eastAsia" w:ascii="黑体" w:eastAsia="黑体" w:cs="黑体"/>
          <w:bCs/>
        </w:rPr>
        <w:t xml:space="preserve">  补充条款</w:t>
      </w:r>
      <w:r>
        <w:tab/>
      </w:r>
      <w:r>
        <w:fldChar w:fldCharType="begin"/>
      </w:r>
      <w:r>
        <w:instrText xml:space="preserve"> PAGEREF _Toc18087 \h </w:instrText>
      </w:r>
      <w:r>
        <w:fldChar w:fldCharType="separate"/>
      </w:r>
      <w:r>
        <w:t>- 62 -</w:t>
      </w:r>
      <w:r>
        <w:fldChar w:fldCharType="end"/>
      </w:r>
      <w: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3"/>
        <w:jc w:val="center"/>
        <w:rPr>
          <w:rFonts w:ascii="黑体" w:eastAsia="黑体" w:cs="黑体"/>
          <w:sz w:val="24"/>
        </w:rPr>
      </w:pPr>
    </w:p>
    <w:p>
      <w:pPr>
        <w:rPr>
          <w:rFonts w:ascii="黑体" w:eastAsia="黑体" w:cs="黑体"/>
          <w:sz w:val="24"/>
        </w:rPr>
      </w:pPr>
    </w:p>
    <w:p>
      <w:pPr>
        <w:pStyle w:val="4"/>
        <w:rPr>
          <w:rFonts w:ascii="黑体" w:eastAsia="黑体" w:cs="黑体"/>
          <w:sz w:val="24"/>
        </w:rPr>
      </w:pPr>
    </w:p>
    <w:p>
      <w:pPr>
        <w:pStyle w:val="5"/>
      </w:pPr>
    </w:p>
    <w:p>
      <w:pPr>
        <w:pStyle w:val="5"/>
      </w:pPr>
    </w:p>
    <w:p>
      <w:pPr>
        <w:pStyle w:val="3"/>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3"/>
        <w:numPr>
          <w:ilvl w:val="0"/>
          <w:numId w:val="2"/>
        </w:numPr>
        <w:jc w:val="center"/>
        <w:rPr>
          <w:rFonts w:hint="eastAsia" w:ascii="黑体" w:eastAsia="黑体" w:cs="黑体"/>
          <w:sz w:val="24"/>
        </w:rPr>
      </w:pPr>
      <w:bookmarkStart w:id="0" w:name="_Toc6322"/>
      <w:r>
        <w:rPr>
          <w:rFonts w:hint="eastAsia" w:ascii="黑体" w:eastAsia="黑体" w:cs="黑体"/>
          <w:sz w:val="24"/>
        </w:rPr>
        <w:t>投标人须知前附表</w:t>
      </w:r>
      <w:bookmarkEnd w:id="0"/>
    </w:p>
    <w:tbl>
      <w:tblPr>
        <w:tblStyle w:val="22"/>
        <w:tblW w:w="90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hint="eastAsia"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widowControl/>
              <w:wordWrap w:val="0"/>
              <w:spacing w:line="440" w:lineRule="exact"/>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名称：新疆维吾尔自治区动物卫生监督所</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地址：乌鲁木齐市高新技术开发区蓝天路268号</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联系人：赵耀国</w:t>
            </w:r>
          </w:p>
          <w:p>
            <w:pPr>
              <w:keepNext/>
              <w:widowControl/>
              <w:jc w:val="left"/>
              <w:rPr>
                <w:rFonts w:ascii="宋体" w:cs="宋体"/>
                <w:color w:val="000000"/>
                <w:kern w:val="0"/>
                <w:szCs w:val="21"/>
              </w:rPr>
            </w:pPr>
            <w:r>
              <w:rPr>
                <w:rFonts w:hint="eastAsia" w:ascii="宋体" w:hAnsi="Calibri" w:eastAsia="宋体" w:cs="宋体"/>
                <w:color w:val="000000"/>
                <w:kern w:val="0"/>
                <w:sz w:val="21"/>
                <w:szCs w:val="21"/>
                <w:lang w:val="en-US" w:eastAsia="zh-CN" w:bidi="ar-SA"/>
              </w:rPr>
              <w:t>电话：18899505068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eastAsia="宋体"/>
                <w:lang w:val="en-US" w:eastAsia="zh-CN"/>
              </w:rPr>
            </w:pPr>
            <w:r>
              <w:rPr>
                <w:rFonts w:hint="eastAsia" w:ascii="宋体"/>
                <w:kern w:val="0"/>
                <w:szCs w:val="21"/>
                <w:lang w:val="en-US" w:eastAsia="zh-CN"/>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pPr>
            <w:r>
              <w:rPr>
                <w:rFonts w:hint="eastAsia"/>
              </w:rPr>
              <w:t>名称：新疆世纪华中工程项目管理有限公司</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地址：</w:t>
            </w:r>
            <w:r>
              <w:rPr>
                <w:rFonts w:hint="eastAsia" w:ascii="宋体" w:eastAsia="宋体" w:cs="宋体"/>
                <w:kern w:val="0"/>
                <w:sz w:val="21"/>
                <w:szCs w:val="21"/>
              </w:rPr>
              <w:t>乌鲁木齐市米东区中颐北路乾和家园F区F14号楼1-3单元303室</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联系人：孙共青</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3</w:t>
            </w:r>
          </w:p>
        </w:tc>
        <w:tc>
          <w:tcPr>
            <w:tcW w:w="1410" w:type="dxa"/>
            <w:tcBorders>
              <w:bottom w:val="single" w:color="auto" w:sz="4" w:space="0"/>
            </w:tcBorders>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项目基本情况</w:t>
            </w:r>
          </w:p>
        </w:tc>
        <w:tc>
          <w:tcPr>
            <w:tcW w:w="6857" w:type="dxa"/>
            <w:vAlign w:val="center"/>
          </w:tcPr>
          <w:p>
            <w:pPr>
              <w:keepNext/>
              <w:widowControl/>
              <w:jc w:val="left"/>
            </w:pPr>
            <w:r>
              <w:rPr>
                <w:rFonts w:hint="eastAsia"/>
                <w:lang w:val="en-US" w:eastAsia="zh-CN"/>
              </w:rPr>
              <w:t>项目</w:t>
            </w:r>
            <w:r>
              <w:rPr>
                <w:rFonts w:hint="eastAsia"/>
              </w:rPr>
              <w:t>名称：</w:t>
            </w:r>
            <w:r>
              <w:rPr>
                <w:rFonts w:hint="eastAsia" w:ascii="宋体" w:cs="宋体"/>
                <w:color w:val="000000"/>
                <w:kern w:val="0"/>
                <w:szCs w:val="21"/>
              </w:rPr>
              <w:t>新疆维吾</w:t>
            </w:r>
            <w:r>
              <w:rPr>
                <w:rStyle w:val="24"/>
                <w:rFonts w:hint="eastAsia" w:ascii="宋体" w:cs="宋体"/>
                <w:b w:val="0"/>
                <w:bCs/>
                <w:color w:val="333333"/>
                <w:szCs w:val="21"/>
                <w:shd w:val="clear" w:color="auto" w:fill="FFFFFF"/>
              </w:rPr>
              <w:t>尔自治区动物卫生监督所2022年实验室诊断试剂及耗材采购项目第四标包</w:t>
            </w:r>
            <w:r>
              <w:rPr>
                <w:rFonts w:hint="eastAsia" w:ascii="宋体" w:cs="宋体"/>
                <w:color w:val="000000"/>
                <w:kern w:val="0"/>
                <w:szCs w:val="21"/>
              </w:rPr>
              <w:t>（</w:t>
            </w:r>
            <w:r>
              <w:rPr>
                <w:rFonts w:hint="eastAsia" w:ascii="宋体" w:cs="宋体"/>
                <w:color w:val="000000"/>
                <w:kern w:val="0"/>
                <w:szCs w:val="21"/>
                <w:lang w:val="en-US" w:eastAsia="zh-CN"/>
              </w:rPr>
              <w:t>三</w:t>
            </w:r>
            <w:r>
              <w:rPr>
                <w:rFonts w:hint="eastAsia" w:ascii="宋体" w:cs="宋体"/>
                <w:color w:val="000000"/>
                <w:kern w:val="0"/>
                <w:szCs w:val="21"/>
              </w:rPr>
              <w:t>次）</w:t>
            </w:r>
          </w:p>
          <w:p>
            <w:pPr>
              <w:pStyle w:val="9"/>
              <w:numPr>
                <w:ilvl w:val="0"/>
                <w:numId w:val="0"/>
              </w:numPr>
              <w:rPr>
                <w:rFonts w:hint="eastAsia" w:ascii="Calibri" w:hAnsi="Calibri" w:eastAsia="宋体" w:cs="Arial"/>
                <w:kern w:val="2"/>
                <w:sz w:val="21"/>
                <w:szCs w:val="24"/>
                <w:lang w:val="en-US" w:eastAsia="zh-CN" w:bidi="ar-SA"/>
              </w:rPr>
            </w:pPr>
            <w:r>
              <w:rPr>
                <w:rFonts w:hint="eastAsia" w:ascii="Calibri" w:hAnsi="Calibri" w:eastAsia="宋体" w:cs="Arial"/>
                <w:kern w:val="2"/>
                <w:sz w:val="21"/>
                <w:szCs w:val="24"/>
                <w:lang w:val="en-US" w:eastAsia="zh-CN" w:bidi="ar-SA"/>
              </w:rPr>
              <w:t>项目编号：XJHZ(GK)2022-11</w:t>
            </w:r>
            <w:r>
              <w:rPr>
                <w:rFonts w:hint="eastAsia" w:ascii="Calibri" w:eastAsia="宋体" w:cs="Arial"/>
                <w:kern w:val="2"/>
                <w:sz w:val="21"/>
                <w:szCs w:val="24"/>
                <w:lang w:val="en-US" w:eastAsia="zh-CN" w:bidi="ar-SA"/>
              </w:rPr>
              <w:t>9</w:t>
            </w:r>
          </w:p>
          <w:p>
            <w:pPr>
              <w:pStyle w:val="9"/>
              <w:numPr>
                <w:ilvl w:val="0"/>
                <w:numId w:val="0"/>
              </w:numPr>
              <w:rPr>
                <w:rFonts w:hint="eastAsia" w:ascii="Calibri" w:hAnsi="Calibri" w:eastAsia="宋体" w:cs="Arial"/>
                <w:kern w:val="2"/>
                <w:sz w:val="21"/>
                <w:szCs w:val="24"/>
                <w:lang w:val="en-US" w:eastAsia="zh-CN" w:bidi="ar-SA"/>
              </w:rPr>
            </w:pPr>
            <w:r>
              <w:rPr>
                <w:rFonts w:hint="eastAsia" w:ascii="Calibri" w:hAnsi="Calibri" w:eastAsia="宋体" w:cs="Arial"/>
                <w:kern w:val="2"/>
                <w:sz w:val="21"/>
                <w:szCs w:val="24"/>
                <w:lang w:val="en-US" w:eastAsia="zh-CN" w:bidi="ar-SA"/>
              </w:rPr>
              <w:t>预算金额：705000.00元</w:t>
            </w:r>
          </w:p>
          <w:p>
            <w:pPr>
              <w:keepNext/>
              <w:widowControl/>
              <w:jc w:val="left"/>
              <w:rPr>
                <w:rFonts w:hint="default" w:ascii="宋体" w:hAnsi="宋体" w:eastAsia="宋体" w:cs="宋体"/>
                <w:kern w:val="2"/>
                <w:sz w:val="21"/>
                <w:szCs w:val="24"/>
                <w:lang w:val="en-US" w:eastAsia="zh-CN" w:bidi="ar-SA"/>
              </w:rPr>
            </w:pPr>
            <w:r>
              <w:rPr>
                <w:rFonts w:hint="eastAsia" w:ascii="Calibri" w:hAnsi="Calibri" w:eastAsia="宋体" w:cs="Arial"/>
                <w:kern w:val="2"/>
                <w:sz w:val="21"/>
                <w:szCs w:val="24"/>
                <w:lang w:val="en-US" w:eastAsia="zh-CN" w:bidi="ar-SA"/>
              </w:rPr>
              <w:t>最高限价：</w:t>
            </w:r>
            <w:r>
              <w:rPr>
                <w:rFonts w:hint="eastAsia" w:ascii="宋体" w:hAnsi="宋体" w:eastAsia="宋体" w:cs="宋体"/>
                <w:kern w:val="2"/>
                <w:sz w:val="21"/>
                <w:szCs w:val="24"/>
                <w:lang w:val="en-US" w:eastAsia="zh-CN" w:bidi="ar-SA"/>
              </w:rPr>
              <w:t>①</w:t>
            </w:r>
            <w:r>
              <w:rPr>
                <w:rFonts w:hint="eastAsia" w:ascii="宋体" w:cs="宋体"/>
                <w:color w:val="000000"/>
                <w:kern w:val="0"/>
                <w:sz w:val="22"/>
                <w:szCs w:val="22"/>
              </w:rPr>
              <w:t>小反刍兽疫病毒抗体检测竞争ELISA试剂盒（竞争法）</w:t>
            </w:r>
            <w:r>
              <w:rPr>
                <w:rFonts w:hint="eastAsia" w:ascii="宋体" w:cs="宋体"/>
                <w:color w:val="000000"/>
                <w:kern w:val="0"/>
                <w:sz w:val="22"/>
                <w:szCs w:val="22"/>
                <w:lang w:eastAsia="zh-CN"/>
              </w:rPr>
              <w:t>：</w:t>
            </w:r>
            <w:r>
              <w:rPr>
                <w:rFonts w:hint="eastAsia" w:ascii="宋体" w:hAnsi="宋体" w:eastAsia="宋体" w:cs="宋体"/>
                <w:i w:val="0"/>
                <w:iCs w:val="0"/>
                <w:color w:val="000000"/>
                <w:kern w:val="0"/>
                <w:sz w:val="22"/>
                <w:szCs w:val="22"/>
                <w:u w:val="none"/>
                <w:lang w:val="en-US" w:eastAsia="zh-CN" w:bidi="ar"/>
              </w:rPr>
              <w:t>4900</w:t>
            </w:r>
            <w:r>
              <w:rPr>
                <w:rFonts w:hint="eastAsia" w:ascii="宋体" w:hAnsi="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2"/>
                <w:szCs w:val="22"/>
                <w:u w:val="none"/>
                <w:lang w:val="en-US" w:eastAsia="zh-CN" w:bidi="ar"/>
              </w:rPr>
              <w:t>②</w:t>
            </w:r>
            <w:r>
              <w:rPr>
                <w:rFonts w:hint="eastAsia" w:ascii="宋体" w:cs="宋体"/>
                <w:color w:val="000000"/>
                <w:kern w:val="0"/>
                <w:sz w:val="22"/>
                <w:szCs w:val="22"/>
              </w:rPr>
              <w:t>小反刍兽疫野毒株实时荧光RT-PCR试剂盒（不带抽提）</w:t>
            </w:r>
            <w:r>
              <w:rPr>
                <w:rFonts w:hint="eastAsia" w:ascii="宋体" w:cs="宋体"/>
                <w:color w:val="000000"/>
                <w:kern w:val="0"/>
                <w:sz w:val="22"/>
                <w:szCs w:val="22"/>
                <w:lang w:eastAsia="zh-CN"/>
              </w:rPr>
              <w:t>：</w:t>
            </w:r>
            <w:r>
              <w:rPr>
                <w:rFonts w:hint="eastAsia" w:ascii="宋体" w:hAnsi="宋体" w:eastAsia="宋体" w:cs="宋体"/>
                <w:i w:val="0"/>
                <w:iCs w:val="0"/>
                <w:color w:val="000000"/>
                <w:kern w:val="0"/>
                <w:sz w:val="22"/>
                <w:szCs w:val="22"/>
                <w:u w:val="none"/>
                <w:lang w:val="en-US" w:eastAsia="zh-CN" w:bidi="ar"/>
              </w:rPr>
              <w:t>4000</w:t>
            </w:r>
            <w:r>
              <w:rPr>
                <w:rFonts w:hint="eastAsia" w:ascii="宋体" w:hAnsi="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2"/>
                <w:szCs w:val="22"/>
                <w:u w:val="none"/>
                <w:lang w:val="en-US" w:eastAsia="zh-CN" w:bidi="ar"/>
              </w:rPr>
              <w:t>③</w:t>
            </w:r>
            <w:r>
              <w:rPr>
                <w:rFonts w:hint="eastAsia" w:ascii="宋体" w:cs="宋体"/>
                <w:color w:val="000000"/>
                <w:kern w:val="0"/>
                <w:sz w:val="22"/>
                <w:szCs w:val="22"/>
              </w:rPr>
              <w:t>小反刍兽疫病毒通用荧光RT-PCR试剂盒（不带抽提</w:t>
            </w:r>
            <w:r>
              <w:rPr>
                <w:rFonts w:hint="eastAsia" w:ascii="宋体" w:cs="宋体"/>
                <w:color w:val="000000"/>
                <w:kern w:val="0"/>
                <w:sz w:val="22"/>
                <w:szCs w:val="22"/>
                <w:lang w:eastAsia="zh-CN"/>
              </w:rPr>
              <w:t>）：</w:t>
            </w:r>
            <w:r>
              <w:rPr>
                <w:rFonts w:hint="eastAsia" w:ascii="宋体" w:cs="宋体"/>
                <w:color w:val="000000"/>
                <w:kern w:val="0"/>
                <w:sz w:val="22"/>
                <w:szCs w:val="22"/>
                <w:lang w:val="en-US" w:eastAsia="zh-CN"/>
              </w:rPr>
              <w:t>3500元</w:t>
            </w:r>
            <w:r>
              <w:rPr>
                <w:rFonts w:hint="eastAsia" w:ascii="宋体" w:hAnsi="宋体" w:eastAsia="宋体" w:cs="宋体"/>
                <w:i w:val="0"/>
                <w:iCs w:val="0"/>
                <w:color w:val="000000"/>
                <w:kern w:val="0"/>
                <w:sz w:val="22"/>
                <w:szCs w:val="22"/>
                <w:u w:val="none"/>
                <w:lang w:val="en-US" w:eastAsia="zh-CN" w:bidi="ar"/>
              </w:rPr>
              <w:t>④</w:t>
            </w:r>
            <w:r>
              <w:rPr>
                <w:rFonts w:hint="eastAsia" w:ascii="宋体" w:cs="宋体"/>
                <w:color w:val="000000"/>
                <w:kern w:val="0"/>
                <w:sz w:val="22"/>
                <w:szCs w:val="22"/>
              </w:rPr>
              <w:t>小反刍兽疫病毒野毒株与疫苗株双重荧光 RT-PCR 检测试剂盒</w:t>
            </w:r>
            <w:r>
              <w:rPr>
                <w:rFonts w:hint="eastAsia" w:ascii="宋体" w:cs="宋体"/>
                <w:color w:val="000000"/>
                <w:kern w:val="0"/>
                <w:sz w:val="22"/>
                <w:szCs w:val="22"/>
                <w:lang w:eastAsia="zh-CN"/>
              </w:rPr>
              <w:t>：</w:t>
            </w:r>
            <w:r>
              <w:rPr>
                <w:rFonts w:hint="eastAsia" w:ascii="宋体" w:cs="宋体"/>
                <w:color w:val="000000"/>
                <w:kern w:val="0"/>
                <w:sz w:val="22"/>
                <w:szCs w:val="22"/>
                <w:lang w:val="en-US" w:eastAsia="zh-CN"/>
              </w:rPr>
              <w:t>4500元</w:t>
            </w:r>
            <w:r>
              <w:rPr>
                <w:rFonts w:hint="eastAsia" w:ascii="宋体" w:hAnsi="宋体" w:eastAsia="宋体" w:cs="宋体"/>
                <w:i w:val="0"/>
                <w:iCs w:val="0"/>
                <w:color w:val="000000"/>
                <w:kern w:val="0"/>
                <w:sz w:val="22"/>
                <w:szCs w:val="22"/>
                <w:u w:val="none"/>
                <w:lang w:val="en-US" w:eastAsia="zh-CN" w:bidi="ar"/>
              </w:rPr>
              <w:t>⑤</w:t>
            </w:r>
            <w:r>
              <w:rPr>
                <w:rFonts w:hint="eastAsia" w:ascii="宋体" w:cs="宋体"/>
                <w:color w:val="000000"/>
                <w:kern w:val="0"/>
                <w:sz w:val="22"/>
                <w:szCs w:val="22"/>
              </w:rPr>
              <w:t>牛结节性皮肤病抗体ELISA试剂盒（夹心法）</w:t>
            </w:r>
            <w:r>
              <w:rPr>
                <w:rFonts w:hint="eastAsia" w:ascii="宋体" w:cs="宋体"/>
                <w:color w:val="000000"/>
                <w:kern w:val="0"/>
                <w:sz w:val="22"/>
                <w:szCs w:val="22"/>
                <w:lang w:eastAsia="zh-CN"/>
              </w:rPr>
              <w:t>：</w:t>
            </w:r>
            <w:r>
              <w:rPr>
                <w:rFonts w:hint="eastAsia" w:ascii="宋体" w:cs="宋体"/>
                <w:color w:val="000000"/>
                <w:kern w:val="0"/>
                <w:sz w:val="22"/>
                <w:szCs w:val="22"/>
                <w:lang w:val="en-US" w:eastAsia="zh-CN"/>
              </w:rPr>
              <w:t>4800元</w:t>
            </w:r>
            <w:r>
              <w:rPr>
                <w:rFonts w:hint="eastAsia" w:ascii="宋体" w:hAnsi="宋体" w:eastAsia="宋体" w:cs="宋体"/>
                <w:i w:val="0"/>
                <w:iCs w:val="0"/>
                <w:color w:val="000000"/>
                <w:kern w:val="0"/>
                <w:sz w:val="22"/>
                <w:szCs w:val="22"/>
                <w:u w:val="none"/>
                <w:lang w:val="en-US" w:eastAsia="zh-CN" w:bidi="ar"/>
              </w:rPr>
              <w:t>⑥</w:t>
            </w:r>
            <w:r>
              <w:rPr>
                <w:rFonts w:hint="eastAsia" w:ascii="宋体" w:cs="宋体"/>
                <w:color w:val="000000"/>
                <w:kern w:val="0"/>
                <w:sz w:val="22"/>
                <w:szCs w:val="22"/>
                <w:highlight w:val="none"/>
              </w:rPr>
              <w:t>猪繁殖障碍与呼吸综合征间接ELISA抗体检测试剂盒</w:t>
            </w:r>
            <w:r>
              <w:rPr>
                <w:rFonts w:hint="eastAsia" w:ascii="宋体" w:cs="宋体"/>
                <w:color w:val="000000"/>
                <w:kern w:val="0"/>
                <w:sz w:val="22"/>
                <w:szCs w:val="22"/>
                <w:highlight w:val="none"/>
                <w:lang w:eastAsia="zh-CN"/>
              </w:rPr>
              <w:t>：</w:t>
            </w:r>
            <w:r>
              <w:rPr>
                <w:rFonts w:hint="eastAsia" w:ascii="宋体" w:cs="宋体"/>
                <w:color w:val="000000"/>
                <w:kern w:val="0"/>
                <w:sz w:val="22"/>
                <w:szCs w:val="22"/>
                <w:highlight w:val="none"/>
                <w:lang w:val="en-US" w:eastAsia="zh-CN"/>
              </w:rPr>
              <w:t>5600元</w:t>
            </w:r>
            <w:r>
              <w:rPr>
                <w:rFonts w:hint="eastAsia" w:ascii="宋体" w:hAnsi="宋体" w:eastAsia="宋体" w:cs="宋体"/>
                <w:i w:val="0"/>
                <w:iCs w:val="0"/>
                <w:color w:val="000000"/>
                <w:kern w:val="0"/>
                <w:sz w:val="22"/>
                <w:szCs w:val="22"/>
                <w:u w:val="none"/>
                <w:lang w:val="en-US" w:eastAsia="zh-CN" w:bidi="ar"/>
              </w:rPr>
              <w:t>⑦</w:t>
            </w:r>
            <w:r>
              <w:rPr>
                <w:rFonts w:hint="eastAsia" w:ascii="宋体" w:cs="宋体"/>
                <w:color w:val="000000"/>
                <w:kern w:val="0"/>
                <w:sz w:val="22"/>
                <w:szCs w:val="22"/>
              </w:rPr>
              <w:t>猪瘟病毒和高致病性猪繁殖与呼吸综合征病毒双重荧光RT-PCR 检测试剂盒</w:t>
            </w:r>
            <w:r>
              <w:rPr>
                <w:rFonts w:hint="eastAsia" w:ascii="宋体" w:cs="宋体"/>
                <w:color w:val="000000"/>
                <w:kern w:val="0"/>
                <w:sz w:val="22"/>
                <w:szCs w:val="22"/>
                <w:lang w:eastAsia="zh-CN"/>
              </w:rPr>
              <w:t>：</w:t>
            </w:r>
            <w:r>
              <w:rPr>
                <w:rFonts w:hint="eastAsia" w:ascii="宋体" w:cs="宋体"/>
                <w:color w:val="000000"/>
                <w:kern w:val="0"/>
                <w:sz w:val="22"/>
                <w:szCs w:val="22"/>
                <w:lang w:val="en-US" w:eastAsia="zh-CN"/>
              </w:rPr>
              <w:t>4000元</w:t>
            </w:r>
            <w:r>
              <w:rPr>
                <w:rFonts w:hint="eastAsia" w:ascii="宋体" w:cs="宋体"/>
                <w:b/>
                <w:bCs/>
                <w:color w:val="000000"/>
                <w:kern w:val="0"/>
                <w:sz w:val="22"/>
                <w:szCs w:val="22"/>
                <w:lang w:val="en-US" w:eastAsia="zh-CN"/>
              </w:rPr>
              <w:t>（</w:t>
            </w:r>
            <w:r>
              <w:rPr>
                <w:rStyle w:val="24"/>
                <w:rFonts w:hint="eastAsia" w:ascii="宋体" w:cs="宋体"/>
                <w:b/>
                <w:bCs/>
                <w:i w:val="0"/>
                <w:caps w:val="0"/>
                <w:smallCaps w:val="0"/>
                <w:color w:val="auto"/>
                <w:spacing w:val="0"/>
                <w:sz w:val="21"/>
                <w:szCs w:val="21"/>
                <w:shd w:val="clear" w:color="auto" w:fill="FFFFFF"/>
                <w:lang w:val="en-US" w:eastAsia="zh-CN"/>
              </w:rPr>
              <w:t>任意产品的单项报价超出预算单价的，视为超出最高限价）</w:t>
            </w:r>
          </w:p>
          <w:p>
            <w:pPr>
              <w:keepNext/>
              <w:widowControl/>
              <w:jc w:val="left"/>
              <w:rPr>
                <w:rFonts w:hint="eastAsia"/>
              </w:rPr>
            </w:pPr>
            <w:r>
              <w:rPr>
                <w:rFonts w:hint="eastAsia"/>
              </w:rPr>
              <w:t>采购内容： 详见采购文件</w:t>
            </w:r>
          </w:p>
          <w:p>
            <w:pPr>
              <w:keepNext/>
              <w:widowControl/>
              <w:jc w:val="left"/>
              <w:rPr>
                <w:rFonts w:hint="default"/>
                <w:lang w:val="en-US" w:eastAsia="zh-CN"/>
              </w:rPr>
            </w:pPr>
            <w:r>
              <w:rPr>
                <w:rFonts w:hint="eastAsia"/>
              </w:rPr>
              <w:t>采购</w:t>
            </w:r>
            <w:r>
              <w:rPr>
                <w:rFonts w:hint="eastAsia"/>
                <w:lang w:val="en-US" w:eastAsia="zh-CN"/>
              </w:rPr>
              <w:t>数量</w:t>
            </w:r>
            <w:r>
              <w:rPr>
                <w:rFonts w:hint="eastAsia"/>
              </w:rPr>
              <w:t xml:space="preserve">： </w:t>
            </w:r>
            <w:r>
              <w:rPr>
                <w:rFonts w:hint="eastAsia"/>
                <w:lang w:val="en-US" w:eastAsia="zh-CN"/>
              </w:rPr>
              <w:t>1批</w:t>
            </w:r>
          </w:p>
          <w:p>
            <w:pPr>
              <w:keepNext/>
              <w:widowControl/>
              <w:jc w:val="left"/>
              <w:rPr>
                <w:rFonts w:hint="eastAsia"/>
              </w:rPr>
            </w:pPr>
            <w:r>
              <w:rPr>
                <w:rFonts w:hint="eastAsia"/>
                <w:lang w:val="en-US" w:eastAsia="zh-CN"/>
              </w:rPr>
              <w:t>资金情况</w:t>
            </w:r>
            <w:r>
              <w:rPr>
                <w:rFonts w:hint="eastAsia"/>
              </w:rPr>
              <w:t xml:space="preserve">： </w:t>
            </w:r>
            <w:r>
              <w:rPr>
                <w:rFonts w:hint="eastAsia" w:ascii="宋体" w:cs="宋体"/>
                <w:color w:val="auto"/>
                <w:kern w:val="0"/>
                <w:szCs w:val="21"/>
              </w:rPr>
              <w:t>财政资金</w:t>
            </w:r>
            <w:r>
              <w:rPr>
                <w:rFonts w:hint="eastAsia"/>
              </w:rPr>
              <w:t xml:space="preserve"> </w:t>
            </w:r>
          </w:p>
          <w:p>
            <w:pPr>
              <w:keepNext/>
              <w:widowControl/>
              <w:jc w:val="left"/>
              <w:rPr>
                <w:rFonts w:hint="eastAsia" w:ascii="宋体" w:cs="宋体"/>
                <w:color w:val="000000"/>
                <w:kern w:val="0"/>
                <w:szCs w:val="21"/>
                <w:lang w:eastAsia="zh-CN"/>
              </w:rPr>
            </w:pPr>
            <w:r>
              <w:rPr>
                <w:rFonts w:hint="eastAsia"/>
              </w:rPr>
              <w:t>服务/供货/完工期限：</w:t>
            </w:r>
            <w:r>
              <w:rPr>
                <w:rFonts w:hint="eastAsia" w:ascii="宋体" w:cs="宋体"/>
                <w:color w:val="000000"/>
                <w:kern w:val="0"/>
                <w:szCs w:val="21"/>
              </w:rPr>
              <w:t>合同签订后</w:t>
            </w:r>
            <w:r>
              <w:rPr>
                <w:rFonts w:hint="eastAsia" w:ascii="宋体" w:cs="宋体"/>
                <w:color w:val="000000"/>
                <w:kern w:val="0"/>
                <w:szCs w:val="21"/>
                <w:lang w:val="en-US" w:eastAsia="zh-CN"/>
              </w:rPr>
              <w:t>30</w:t>
            </w:r>
            <w:r>
              <w:rPr>
                <w:rFonts w:hint="eastAsia" w:ascii="宋体" w:cs="宋体"/>
                <w:color w:val="000000"/>
                <w:kern w:val="0"/>
                <w:szCs w:val="21"/>
              </w:rPr>
              <w:t>天内完成供货及服务</w:t>
            </w:r>
          </w:p>
          <w:p>
            <w:pPr>
              <w:keepNext/>
              <w:widowControl/>
              <w:jc w:val="left"/>
              <w:rPr>
                <w:rFonts w:hint="eastAsia"/>
              </w:rPr>
            </w:pPr>
            <w:r>
              <w:rPr>
                <w:rFonts w:hint="eastAsia"/>
              </w:rPr>
              <w:t>服务/供货/建设地点：</w:t>
            </w:r>
            <w:r>
              <w:rPr>
                <w:rFonts w:hint="eastAsia" w:ascii="宋体" w:cs="宋体"/>
                <w:color w:val="000000"/>
                <w:kern w:val="0"/>
                <w:szCs w:val="21"/>
              </w:rPr>
              <w:t>乌鲁木齐市高新技术开发区蓝天路268号新疆维吾尔自治区动物卫生监督所办公场所</w:t>
            </w:r>
          </w:p>
          <w:p>
            <w:pPr>
              <w:keepNext/>
              <w:widowControl/>
              <w:jc w:val="left"/>
              <w:rPr>
                <w:rFonts w:hint="eastAsia"/>
                <w:lang w:val="en-US" w:eastAsia="zh-CN"/>
              </w:rPr>
            </w:pPr>
            <w:r>
              <w:rPr>
                <w:rFonts w:hint="eastAsia"/>
              </w:rPr>
              <w:t>付款方式：项目验收合格后支付合同金额的97%，质保期满后10个工作日内支付余款。（如有调整，以采购人意见为准）</w:t>
            </w:r>
          </w:p>
          <w:p>
            <w:pPr>
              <w:keepNext/>
              <w:widowControl/>
              <w:jc w:val="left"/>
              <w:rPr>
                <w:rFonts w:hint="eastAsia"/>
                <w:lang w:val="en-US" w:eastAsia="zh-CN"/>
              </w:rPr>
            </w:pPr>
            <w:r>
              <w:rPr>
                <w:rFonts w:hint="eastAsia"/>
                <w:lang w:val="en-US" w:eastAsia="zh-CN"/>
              </w:rPr>
              <w:t>采购方式：</w:t>
            </w:r>
            <w:r>
              <w:rPr>
                <w:rFonts w:hint="eastAsia" w:ascii="宋体" w:cs="宋体"/>
                <w:kern w:val="0"/>
                <w:szCs w:val="21"/>
              </w:rPr>
              <w:t>公开招标</w:t>
            </w:r>
          </w:p>
          <w:p>
            <w:pPr>
              <w:keepNext/>
              <w:widowControl/>
              <w:jc w:val="left"/>
              <w:rPr>
                <w:rFonts w:hint="default"/>
                <w:lang w:val="en-US" w:eastAsia="zh-CN"/>
              </w:rPr>
            </w:pPr>
            <w:r>
              <w:rPr>
                <w:rFonts w:hint="eastAsia"/>
                <w:lang w:val="en-US" w:eastAsia="zh-CN"/>
              </w:rPr>
              <w:t>质保期： 年</w:t>
            </w:r>
          </w:p>
          <w:p>
            <w:pPr>
              <w:keepNext/>
              <w:widowControl/>
              <w:jc w:val="left"/>
              <w:rPr>
                <w:rFonts w:hint="eastAsia" w:ascii="宋体" w:eastAsia="宋体" w:cs="宋体"/>
                <w:color w:val="000000"/>
                <w:kern w:val="0"/>
                <w:sz w:val="21"/>
                <w:szCs w:val="21"/>
              </w:rPr>
            </w:pPr>
            <w:r>
              <w:rPr>
                <w:rFonts w:hint="eastAsia"/>
              </w:rPr>
              <w:t xml:space="preserve">采购内容： 详见采购文件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4</w:t>
            </w:r>
          </w:p>
        </w:tc>
        <w:tc>
          <w:tcPr>
            <w:tcW w:w="1410" w:type="dxa"/>
            <w:tcBorders>
              <w:bottom w:val="single" w:color="auto" w:sz="4" w:space="0"/>
            </w:tcBorders>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投标人资格</w:t>
            </w:r>
          </w:p>
        </w:tc>
        <w:tc>
          <w:tcPr>
            <w:tcW w:w="6857" w:type="dxa"/>
            <w:vAlign w:val="center"/>
          </w:tcPr>
          <w:p>
            <w:pPr>
              <w:keepNext/>
              <w:widowControl/>
              <w:ind w:firstLine="420" w:firstLineChars="200"/>
              <w:jc w:val="left"/>
              <w:rPr>
                <w:rFonts w:hint="eastAsia"/>
              </w:rPr>
            </w:pPr>
            <w:r>
              <w:rPr>
                <w:rFonts w:hint="eastAsia"/>
              </w:rPr>
              <w:t>具有承担本项目的能力以及符合下述条件的供应商（制造商、代理商）均为合格的投标人：</w:t>
            </w:r>
          </w:p>
          <w:p>
            <w:pPr>
              <w:keepNext/>
              <w:widowControl/>
              <w:jc w:val="left"/>
              <w:rPr>
                <w:rFonts w:hint="eastAsia"/>
              </w:rPr>
            </w:pPr>
            <w:r>
              <w:rPr>
                <w:rFonts w:hint="eastAsia"/>
                <w:lang w:val="en-US" w:eastAsia="zh-CN"/>
              </w:rPr>
              <w:t>1、</w:t>
            </w:r>
            <w:r>
              <w:rPr>
                <w:rFonts w:hint="eastAsia"/>
              </w:rPr>
              <w:t>满足《中华人民共和国政府采购法》第二十二条规定：</w:t>
            </w:r>
          </w:p>
          <w:p>
            <w:pPr>
              <w:keepNext/>
              <w:widowControl/>
              <w:jc w:val="left"/>
              <w:rPr>
                <w:rFonts w:hint="eastAsia"/>
              </w:rPr>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具有独立承担民事责任的能力；</w:t>
            </w:r>
          </w:p>
          <w:p>
            <w:pPr>
              <w:keepNext/>
              <w:widowControl/>
              <w:jc w:val="left"/>
              <w:rPr>
                <w:rFonts w:hint="eastAsia"/>
              </w:rPr>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具有良好的商业信誉和健全的</w:t>
            </w:r>
            <w:r>
              <w:rPr>
                <w:rFonts w:hint="eastAsia"/>
              </w:rPr>
              <w:fldChar w:fldCharType="begin"/>
            </w:r>
            <w:r>
              <w:rPr>
                <w:rFonts w:hint="eastAsia"/>
              </w:rPr>
              <w:instrText xml:space="preserve"> HYPERLINK "http://www.so.com/s?q=%E8%B4%A2%E5%8A%A1%E4%BC%9A%E8%AE%A1%E5%88%B6%E5%BA%A6&amp;ie=utf-8&amp;src=internal_wenda_recommend_textn" \t "https://wenda.so.com/q/_blank" </w:instrText>
            </w:r>
            <w:r>
              <w:rPr>
                <w:rFonts w:hint="eastAsia"/>
              </w:rPr>
              <w:fldChar w:fldCharType="separate"/>
            </w:r>
            <w:r>
              <w:rPr>
                <w:rFonts w:hint="eastAsia"/>
              </w:rPr>
              <w:t>财务会计制度</w:t>
            </w:r>
            <w:r>
              <w:rPr>
                <w:rFonts w:hint="eastAsia"/>
              </w:rPr>
              <w:fldChar w:fldCharType="end"/>
            </w:r>
            <w:r>
              <w:rPr>
                <w:rFonts w:hint="eastAsia"/>
              </w:rPr>
              <w:t>；</w:t>
            </w:r>
          </w:p>
          <w:p>
            <w:pPr>
              <w:keepNext/>
              <w:widowControl/>
              <w:jc w:val="left"/>
              <w:rPr>
                <w:rFonts w:hint="eastAsia"/>
              </w:rPr>
            </w:pP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具有履行合同所必需的设备和专业技术能力；</w:t>
            </w:r>
          </w:p>
          <w:p>
            <w:pPr>
              <w:keepNext/>
              <w:widowControl/>
              <w:jc w:val="left"/>
              <w:rPr>
                <w:rFonts w:hint="eastAsia"/>
              </w:rPr>
            </w:pPr>
            <w:r>
              <w:rPr>
                <w:rFonts w:hint="eastAsia"/>
              </w:rPr>
              <w:fldChar w:fldCharType="begin"/>
            </w:r>
            <w:r>
              <w:rPr>
                <w:rFonts w:hint="eastAsia"/>
              </w:rPr>
              <w:instrText xml:space="preserve"> = 4 \* GB3 </w:instrText>
            </w:r>
            <w:r>
              <w:rPr>
                <w:rFonts w:hint="eastAsia"/>
              </w:rPr>
              <w:fldChar w:fldCharType="separate"/>
            </w:r>
            <w:r>
              <w:rPr>
                <w:rFonts w:hint="eastAsia"/>
              </w:rPr>
              <w:t>④</w:t>
            </w:r>
            <w:r>
              <w:rPr>
                <w:rFonts w:hint="eastAsia"/>
              </w:rPr>
              <w:fldChar w:fldCharType="end"/>
            </w:r>
            <w:r>
              <w:rPr>
                <w:rFonts w:hint="eastAsia"/>
              </w:rPr>
              <w:t>有依法缴纳税收和</w:t>
            </w:r>
            <w:r>
              <w:rPr>
                <w:rFonts w:hint="eastAsia"/>
              </w:rPr>
              <w:fldChar w:fldCharType="begin"/>
            </w:r>
            <w:r>
              <w:rPr>
                <w:rFonts w:hint="eastAsia"/>
              </w:rPr>
              <w:instrText xml:space="preserve"> HYPERLINK "http://www.so.com/s?q=%E7%A4%BE%E4%BC%9A%E4%BF%9D%E9%9A%9C%E8%B5%84%E9%87%91&amp;ie=utf-8&amp;src=internal_wenda_recommend_textn" \t "https://wenda.so.com/q/_blank" </w:instrText>
            </w:r>
            <w:r>
              <w:rPr>
                <w:rFonts w:hint="eastAsia"/>
              </w:rPr>
              <w:fldChar w:fldCharType="separate"/>
            </w:r>
            <w:r>
              <w:rPr>
                <w:rFonts w:hint="eastAsia"/>
              </w:rPr>
              <w:t>社会保障资金</w:t>
            </w:r>
            <w:r>
              <w:rPr>
                <w:rFonts w:hint="eastAsia"/>
              </w:rPr>
              <w:fldChar w:fldCharType="end"/>
            </w:r>
            <w:r>
              <w:rPr>
                <w:rFonts w:hint="eastAsia"/>
              </w:rPr>
              <w:t>的良好记录；</w:t>
            </w:r>
          </w:p>
          <w:p>
            <w:pPr>
              <w:keepNext/>
              <w:widowControl/>
              <w:jc w:val="left"/>
              <w:rPr>
                <w:rFonts w:hint="eastAsia"/>
              </w:rPr>
            </w:pPr>
            <w:r>
              <w:rPr>
                <w:rFonts w:hint="eastAsia"/>
              </w:rPr>
              <w:fldChar w:fldCharType="begin"/>
            </w:r>
            <w:r>
              <w:rPr>
                <w:rFonts w:hint="eastAsia"/>
              </w:rPr>
              <w:instrText xml:space="preserve"> = 5 \* GB3 </w:instrText>
            </w:r>
            <w:r>
              <w:rPr>
                <w:rFonts w:hint="eastAsia"/>
              </w:rPr>
              <w:fldChar w:fldCharType="separate"/>
            </w:r>
            <w:r>
              <w:rPr>
                <w:rFonts w:hint="eastAsia"/>
              </w:rPr>
              <w:t>⑤</w:t>
            </w:r>
            <w:r>
              <w:rPr>
                <w:rFonts w:hint="eastAsia"/>
              </w:rPr>
              <w:fldChar w:fldCharType="end"/>
            </w:r>
            <w:r>
              <w:rPr>
                <w:rFonts w:hint="eastAsia"/>
              </w:rPr>
              <w:t>参加政府采购活动前三年内，在经营活动中没有重大违法记录；</w:t>
            </w:r>
          </w:p>
          <w:p>
            <w:pPr>
              <w:keepNext/>
              <w:widowControl/>
              <w:jc w:val="left"/>
              <w:rPr>
                <w:rFonts w:hint="eastAsia"/>
              </w:rPr>
            </w:pPr>
            <w:r>
              <w:rPr>
                <w:rFonts w:hint="eastAsia"/>
              </w:rPr>
              <w:fldChar w:fldCharType="begin"/>
            </w:r>
            <w:r>
              <w:rPr>
                <w:rFonts w:hint="eastAsia"/>
              </w:rPr>
              <w:instrText xml:space="preserve"> = 6 \* GB3 </w:instrText>
            </w:r>
            <w:r>
              <w:rPr>
                <w:rFonts w:hint="eastAsia"/>
              </w:rPr>
              <w:fldChar w:fldCharType="separate"/>
            </w:r>
            <w:r>
              <w:rPr>
                <w:rFonts w:hint="eastAsia"/>
              </w:rPr>
              <w:t>⑥</w:t>
            </w:r>
            <w:r>
              <w:rPr>
                <w:rFonts w:hint="eastAsia"/>
              </w:rPr>
              <w:fldChar w:fldCharType="end"/>
            </w:r>
            <w:r>
              <w:rPr>
                <w:rFonts w:hint="eastAsia"/>
              </w:rPr>
              <w:t>法律、行政法规规定的其他条件。</w:t>
            </w:r>
          </w:p>
          <w:p>
            <w:pPr>
              <w:keepNext/>
              <w:widowControl/>
              <w:jc w:val="left"/>
              <w:rPr>
                <w:rFonts w:hint="eastAsia"/>
              </w:rPr>
            </w:pPr>
            <w:r>
              <w:rPr>
                <w:rFonts w:hint="eastAsia"/>
              </w:rPr>
              <w:t>2、单位负责人为同一人或者存在直接控股、管理关系的不同投标人，不得参加本项目同一合同项下的政府采购活动。</w:t>
            </w:r>
          </w:p>
          <w:p>
            <w:pPr>
              <w:keepNext/>
              <w:widowControl/>
              <w:jc w:val="left"/>
              <w:rPr>
                <w:rFonts w:hint="eastAsia"/>
              </w:rPr>
            </w:pPr>
            <w:r>
              <w:rPr>
                <w:rFonts w:hint="eastAsia"/>
              </w:rPr>
              <w:t>3、为本采购项目提供整体设计、规范编制或者项目管理、监理、检测等服务的，不得再参加本项目的其他招标采购活动。</w:t>
            </w:r>
          </w:p>
          <w:p>
            <w:pPr>
              <w:keepNext/>
              <w:widowControl/>
              <w:jc w:val="left"/>
              <w:rPr>
                <w:rFonts w:hint="eastAsia"/>
              </w:rPr>
            </w:pPr>
            <w:r>
              <w:rPr>
                <w:rFonts w:hint="eastAsia"/>
              </w:rPr>
              <w:t>4、未被列入失信被执行人、重大税收违法案件当事人名单，未被列入政府采购严重违法失信行为记录名单。</w:t>
            </w:r>
          </w:p>
          <w:p>
            <w:pPr>
              <w:keepNext/>
              <w:widowControl/>
              <w:jc w:val="left"/>
              <w:rPr>
                <w:rFonts w:hint="eastAsia"/>
              </w:rPr>
            </w:pPr>
            <w:r>
              <w:rPr>
                <w:rFonts w:hint="eastAsia"/>
              </w:rPr>
              <w:t>5、落实政府采购政策需满足的资格要求：本项目为非专门面向中小企业采购的项目。符合政府采购优先（节约能源、保护环境）采购政策及促进中小企业（监狱企业、残疾人福利性单位）发展政策的，依据规定给予评审优惠。</w:t>
            </w:r>
          </w:p>
          <w:p>
            <w:pPr>
              <w:bidi w:val="0"/>
              <w:rPr>
                <w:rFonts w:hint="eastAsia"/>
              </w:rPr>
            </w:pPr>
            <w:r>
              <w:rPr>
                <w:rFonts w:hint="eastAsia"/>
              </w:rPr>
              <w:t>6、法律、法规规定的其他要求。</w:t>
            </w:r>
          </w:p>
          <w:p>
            <w:pPr>
              <w:bidi w:val="0"/>
              <w:rPr>
                <w:rFonts w:hint="eastAsia" w:eastAsia="宋体"/>
                <w:lang w:val="en-US" w:eastAsia="zh-CN"/>
              </w:rPr>
            </w:pPr>
            <w:r>
              <w:rPr>
                <w:rFonts w:hint="eastAsia"/>
                <w:lang w:val="en-US" w:eastAsia="zh-CN"/>
              </w:rPr>
              <w:t>7、本项目的特定资格要求：投标人具有有效的《兽药经营许可证》或《兽药生产许可证》原件。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410" w:type="dxa"/>
            <w:vAlign w:val="center"/>
          </w:tcPr>
          <w:p>
            <w:pPr>
              <w:keepNext/>
              <w:widowControl/>
              <w:jc w:val="distribute"/>
              <w:rPr>
                <w:rFonts w:ascii="黑体" w:eastAsia="黑体" w:cs="黑体"/>
                <w:color w:val="000000"/>
                <w:kern w:val="0"/>
                <w:szCs w:val="21"/>
              </w:rPr>
            </w:pPr>
            <w:r>
              <w:rPr>
                <w:rFonts w:hint="eastAsia" w:ascii="黑体" w:eastAsia="黑体" w:cs="黑体"/>
                <w:color w:val="000000"/>
                <w:kern w:val="0"/>
                <w:szCs w:val="21"/>
              </w:rPr>
              <w:t>核心产品</w:t>
            </w:r>
          </w:p>
        </w:tc>
        <w:tc>
          <w:tcPr>
            <w:tcW w:w="6857" w:type="dxa"/>
            <w:vAlign w:val="center"/>
          </w:tcPr>
          <w:p>
            <w:pPr>
              <w:keepNext/>
              <w:widowControl/>
              <w:jc w:val="left"/>
              <w:rPr>
                <w:rFonts w:asciiTheme="minorEastAsia" w:hAnsi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无</w:t>
            </w:r>
          </w:p>
          <w:p>
            <w:pPr>
              <w:keepNext/>
              <w:widowControl/>
              <w:jc w:val="left"/>
              <w:rPr>
                <w:rFonts w:ascii="宋体" w:cs="宋体" w:eastAsiaTheme="minorEastAsia"/>
                <w:color w:val="000000"/>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若有则为：</w:t>
            </w:r>
            <w:r>
              <w:rPr>
                <w:rFonts w:hint="eastAsia" w:ascii="宋体" w:cs="宋体"/>
                <w:color w:val="000000"/>
                <w:szCs w:val="21"/>
              </w:rPr>
              <w:t>猪繁殖障碍与呼吸综合征间接ELISA抗体检测试剂盒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1410" w:type="dxa"/>
            <w:vAlign w:val="center"/>
          </w:tcPr>
          <w:p>
            <w:pPr>
              <w:keepNext/>
              <w:widowControl/>
              <w:jc w:val="distribute"/>
              <w:rPr>
                <w:rFonts w:hint="eastAsia" w:ascii="黑体" w:hAnsi="黑体" w:eastAsia="黑体" w:cs="黑体"/>
                <w:kern w:val="0"/>
                <w:szCs w:val="21"/>
                <w:lang w:val="en-US" w:eastAsia="zh-CN"/>
              </w:rPr>
            </w:pPr>
            <w:r>
              <w:rPr>
                <w:rFonts w:hint="eastAsia" w:ascii="黑体" w:hAnsi="黑体" w:eastAsia="黑体" w:cs="黑体"/>
                <w:kern w:val="0"/>
                <w:szCs w:val="21"/>
                <w:lang w:val="en-US" w:eastAsia="zh-CN"/>
              </w:rPr>
              <w:t>是否允许</w:t>
            </w:r>
          </w:p>
          <w:p>
            <w:pPr>
              <w:keepNext/>
              <w:widowControl/>
              <w:jc w:val="distribute"/>
              <w:rPr>
                <w:rFonts w:hint="eastAsia"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w:t>
            </w:r>
          </w:p>
        </w:tc>
        <w:tc>
          <w:tcPr>
            <w:tcW w:w="1410" w:type="dxa"/>
            <w:vAlign w:val="center"/>
          </w:tcPr>
          <w:p>
            <w:pPr>
              <w:keepNext/>
              <w:widowControl/>
              <w:jc w:val="distribute"/>
              <w:rPr>
                <w:rFonts w:hint="eastAsia"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lang w:val="en-US" w:eastAsia="zh-CN"/>
              </w:rPr>
              <w:t>现场考察、开标前答疑会</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eastAsia="宋体"/>
                <w:lang w:val="en-US" w:eastAsia="zh-CN"/>
              </w:rPr>
            </w:pPr>
            <w:r>
              <w:rPr>
                <w:rFonts w:hint="eastAsia" w:asciiTheme="minorEastAsia" w:hAnsiTheme="minorEastAsia" w:eastAsiaTheme="minorEastAsia" w:cstheme="minorEastAsia"/>
                <w:lang w:val="en-US" w:eastAsia="zh-CN"/>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 xml:space="preserve">    </w:t>
            </w:r>
            <w:r>
              <w:rPr>
                <w:rFonts w:hint="eastAsia" w:ascii="宋体" w:hAnsi="宋体" w:eastAsia="宋体" w:cs="宋体"/>
                <w:kern w:val="0"/>
                <w:szCs w:val="21"/>
                <w:lang w:val="en-US" w:eastAsia="zh-CN"/>
              </w:rPr>
              <w:t>⑷</w:t>
            </w:r>
            <w:r>
              <w:rPr>
                <w:rFonts w:hint="eastAsia" w:asciiTheme="minorEastAsia" w:hAnsiTheme="minorEastAsia" w:eastAsiaTheme="minorEastAsia" w:cstheme="minorEastAsia"/>
                <w:kern w:val="0"/>
                <w:szCs w:val="21"/>
              </w:rPr>
              <w:t xml:space="preserve">演示要求：                  </w:t>
            </w:r>
          </w:p>
          <w:p>
            <w:pPr>
              <w:keepNext/>
              <w:widowControl/>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3、</w:t>
            </w:r>
            <w:r>
              <w:rPr>
                <w:rFonts w:hint="eastAsia" w:asciiTheme="minorEastAsia" w:hAnsiTheme="minorEastAsia" w:eastAsiaTheme="minorEastAsia" w:cstheme="minorEastAsia"/>
                <w:b/>
                <w:bCs/>
                <w:kern w:val="0"/>
                <w:szCs w:val="21"/>
              </w:rPr>
              <w:t>备注：</w:t>
            </w:r>
          </w:p>
          <w:p>
            <w:pPr>
              <w:keepNext/>
              <w:widowControl/>
              <w:ind w:firstLine="422" w:firstLineChars="200"/>
              <w:jc w:val="left"/>
              <w:rPr>
                <w:rFonts w:hint="eastAsia" w:asciiTheme="minorEastAsia" w:hAnsiTheme="minorEastAsia" w:eastAsiaTheme="minorEastAsia" w:cstheme="minorEastAsia"/>
                <w:b/>
                <w:bCs/>
                <w:kern w:val="0"/>
                <w:szCs w:val="21"/>
              </w:rPr>
            </w:pPr>
            <w:r>
              <w:rPr>
                <w:rFonts w:hint="eastAsia" w:ascii="宋体" w:hAnsi="宋体" w:eastAsia="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eastAsia="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投标报价</w:t>
            </w:r>
          </w:p>
          <w:p>
            <w:pPr>
              <w:keepNext/>
              <w:widowControl/>
              <w:jc w:val="distribute"/>
              <w:rPr>
                <w:rFonts w:hint="eastAsia"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hint="eastAsia"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300元</w:t>
            </w:r>
            <w:r>
              <w:rPr>
                <w:rFonts w:hint="eastAsia" w:ascii="宋体" w:cs="宋体"/>
                <w:color w:val="000000" w:themeColor="text1"/>
                <w:kern w:val="0"/>
                <w:szCs w:val="21"/>
                <w:lang w:val="en-US" w:eastAsia="zh-CN"/>
                <w14:textFill>
                  <w14:solidFill>
                    <w14:schemeClr w14:val="tx1"/>
                  </w14:solidFill>
                </w14:textFill>
              </w:rPr>
              <w:t>/标包</w:t>
            </w:r>
            <w:r>
              <w:rPr>
                <w:rFonts w:hint="eastAsia" w:ascii="宋体" w:cs="宋体"/>
                <w:kern w:val="0"/>
                <w:szCs w:val="21"/>
              </w:rPr>
              <w:t>，售后不退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hint="eastAsia" w:ascii="宋体" w:cs="宋体"/>
                <w:kern w:val="0"/>
                <w:szCs w:val="21"/>
              </w:rPr>
            </w:pPr>
            <w:r>
              <w:rPr>
                <w:rFonts w:hint="eastAsia" w:ascii="宋体" w:cs="宋体"/>
                <w:kern w:val="0"/>
                <w:szCs w:val="21"/>
                <w:lang w:val="en-US" w:eastAsia="zh-CN"/>
              </w:rPr>
              <w:t>线下获取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投标保证金金额：</w:t>
            </w:r>
            <w:r>
              <w:rPr>
                <w:rFonts w:hint="eastAsia" w:asciiTheme="minorEastAsia" w:hAnsiTheme="minorEastAsia" w:eastAsiaTheme="minorEastAsia" w:cstheme="minorEastAsia"/>
                <w:b/>
                <w:bCs/>
                <w:kern w:val="0"/>
                <w:szCs w:val="21"/>
                <w:lang w:val="en-US" w:eastAsia="zh-CN"/>
              </w:rPr>
              <w:t>7</w:t>
            </w:r>
            <w:r>
              <w:rPr>
                <w:rFonts w:hint="eastAsia" w:asciiTheme="minorEastAsia" w:hAnsiTheme="minorEastAsia" w:eastAsiaTheme="minorEastAsia" w:cstheme="minorEastAsia"/>
                <w:b/>
                <w:bCs/>
                <w:kern w:val="0"/>
                <w:szCs w:val="21"/>
              </w:rPr>
              <w:t>000元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投标保证金以电汇、网银等形式提交的，应在投标截止时间前以投标人的基本账户一次性汇入以下保证金账户。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投标保证金以保函等票据形式提交的，金融机构、担保机构出具的票据原件须扫描，标书内须附有此票据凭证。</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rPr>
              <w:t>③</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rPr>
              <w:t>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numPr>
                <w:ilvl w:val="0"/>
                <w:numId w:val="0"/>
              </w:numPr>
              <w:ind w:left="422" w:hanging="422" w:hanging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3、</w:t>
            </w:r>
            <w:r>
              <w:rPr>
                <w:rFonts w:hint="eastAsia" w:asciiTheme="minorEastAsia" w:hAnsiTheme="minorEastAsia" w:eastAsiaTheme="minorEastAsia" w:cstheme="minorEastAsia"/>
                <w:b/>
                <w:bCs/>
              </w:rPr>
              <w:t>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numPr>
                <w:ilvl w:val="0"/>
                <w:numId w:val="0"/>
              </w:num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hint="eastAsia"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17</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6</w:t>
            </w:r>
            <w:r>
              <w:rPr>
                <w:rFonts w:hint="eastAsia" w:ascii="宋体" w:cs="宋体"/>
                <w:color w:val="000000"/>
                <w:szCs w:val="21"/>
              </w:rPr>
              <w:t>月</w:t>
            </w:r>
            <w:r>
              <w:rPr>
                <w:rFonts w:hint="eastAsia" w:ascii="宋体" w:cs="宋体"/>
                <w:color w:val="000000"/>
                <w:szCs w:val="21"/>
                <w:lang w:val="en-US" w:eastAsia="zh-CN"/>
              </w:rPr>
              <w:t>7</w:t>
            </w:r>
            <w:r>
              <w:rPr>
                <w:rFonts w:hint="eastAsia" w:ascii="宋体" w:cs="宋体"/>
                <w:color w:val="000000"/>
                <w:szCs w:val="21"/>
              </w:rPr>
              <w:t>日至2022年</w:t>
            </w:r>
            <w:r>
              <w:rPr>
                <w:rFonts w:hint="eastAsia" w:ascii="宋体" w:cs="宋体"/>
                <w:color w:val="000000"/>
                <w:szCs w:val="21"/>
                <w:lang w:val="en-US" w:eastAsia="zh-CN"/>
              </w:rPr>
              <w:t>6</w:t>
            </w:r>
            <w:r>
              <w:rPr>
                <w:rFonts w:hint="eastAsia" w:ascii="宋体" w:cs="宋体"/>
                <w:color w:val="000000"/>
                <w:szCs w:val="21"/>
              </w:rPr>
              <w:t>月</w:t>
            </w:r>
            <w:r>
              <w:rPr>
                <w:rFonts w:hint="eastAsia" w:ascii="宋体" w:cs="宋体"/>
                <w:color w:val="000000"/>
                <w:szCs w:val="21"/>
                <w:lang w:val="en-US" w:eastAsia="zh-CN"/>
              </w:rPr>
              <w:t>13</w:t>
            </w:r>
            <w:r>
              <w:rPr>
                <w:rFonts w:hint="eastAsia" w:ascii="宋体" w:cs="宋体"/>
                <w:color w:val="000000"/>
                <w:szCs w:val="21"/>
              </w:rPr>
              <w:t>日（北京时间，法定节假日除外）</w:t>
            </w:r>
          </w:p>
          <w:p>
            <w:pPr>
              <w:keepNext/>
              <w:widowControl/>
              <w:ind w:firstLine="630" w:firstLineChars="300"/>
              <w:jc w:val="left"/>
              <w:rPr>
                <w:rFonts w:ascii="宋体" w:cs="宋体"/>
                <w:color w:val="000000"/>
                <w:szCs w:val="21"/>
              </w:rPr>
            </w:pPr>
            <w:r>
              <w:rPr>
                <w:rFonts w:hint="eastAsia" w:ascii="宋体" w:cs="宋体"/>
                <w:color w:val="000000"/>
                <w:szCs w:val="21"/>
              </w:rPr>
              <w:t>每天上午10:30至13:30，下午15:30至18:00</w:t>
            </w:r>
          </w:p>
          <w:p>
            <w:pPr>
              <w:keepNext/>
              <w:widowControl/>
              <w:jc w:val="left"/>
              <w:rPr>
                <w:rFonts w:ascii="宋体" w:cs="宋体"/>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18</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ascii="宋体" w:cs="宋体"/>
                <w:kern w:val="0"/>
                <w:szCs w:val="21"/>
              </w:rPr>
            </w:pPr>
            <w:r>
              <w:rPr>
                <w:rFonts w:hint="eastAsia" w:ascii="宋体" w:cs="宋体"/>
                <w:kern w:val="0"/>
                <w:szCs w:val="21"/>
              </w:rPr>
              <w:t>截止时间：2022年</w:t>
            </w:r>
            <w:r>
              <w:rPr>
                <w:rFonts w:hint="eastAsia" w:ascii="宋体" w:cs="宋体"/>
                <w:kern w:val="0"/>
                <w:szCs w:val="21"/>
                <w:lang w:val="en-US" w:eastAsia="zh-CN"/>
              </w:rPr>
              <w:t>6</w:t>
            </w:r>
            <w:r>
              <w:rPr>
                <w:rFonts w:hint="eastAsia" w:ascii="宋体" w:cs="宋体"/>
                <w:kern w:val="0"/>
                <w:szCs w:val="21"/>
              </w:rPr>
              <w:t xml:space="preserve">月 </w:t>
            </w:r>
            <w:r>
              <w:rPr>
                <w:rFonts w:hint="eastAsia" w:ascii="宋体" w:cs="宋体"/>
                <w:kern w:val="0"/>
                <w:szCs w:val="21"/>
                <w:lang w:val="en-US" w:eastAsia="zh-CN"/>
              </w:rPr>
              <w:t>27</w:t>
            </w:r>
            <w:r>
              <w:rPr>
                <w:rFonts w:hint="eastAsia" w:ascii="宋体" w:cs="宋体"/>
                <w:kern w:val="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开标时间、</w:t>
            </w:r>
          </w:p>
          <w:p>
            <w:pPr>
              <w:keepNext/>
              <w:widowControl/>
              <w:jc w:val="distribute"/>
              <w:rPr>
                <w:rFonts w:hint="eastAsia"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6</w:t>
            </w:r>
            <w:r>
              <w:rPr>
                <w:rFonts w:hint="eastAsia" w:ascii="宋体" w:cs="宋体"/>
                <w:color w:val="000000"/>
                <w:szCs w:val="21"/>
              </w:rPr>
              <w:t xml:space="preserve">月 </w:t>
            </w:r>
            <w:r>
              <w:rPr>
                <w:rFonts w:hint="eastAsia" w:ascii="宋体" w:cs="宋体"/>
                <w:color w:val="000000"/>
                <w:szCs w:val="21"/>
                <w:lang w:val="en-US" w:eastAsia="zh-CN"/>
              </w:rPr>
              <w:t>27</w:t>
            </w:r>
            <w:r>
              <w:rPr>
                <w:rFonts w:hint="eastAsia" w:ascii="宋体" w:cs="宋体"/>
                <w:color w:val="00000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19</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jc w:val="left"/>
              <w:rPr>
                <w:rFonts w:hint="eastAsia" w:ascii="宋体" w:cs="宋体"/>
                <w:color w:val="000000"/>
                <w:szCs w:val="21"/>
              </w:rPr>
            </w:pPr>
            <w:r>
              <w:rPr>
                <w:rFonts w:hint="eastAsia" w:ascii="宋体" w:cs="宋体"/>
                <w:color w:val="000000"/>
                <w:szCs w:val="21"/>
              </w:rPr>
              <w:t>投标响应性文件必须提交纸质版与电子版。</w:t>
            </w:r>
          </w:p>
          <w:p>
            <w:pPr>
              <w:jc w:val="left"/>
              <w:rPr>
                <w:rFonts w:ascii="宋体" w:cs="宋体"/>
                <w:b/>
                <w:bCs/>
                <w:kern w:val="0"/>
                <w:szCs w:val="21"/>
              </w:rPr>
            </w:pPr>
            <w:r>
              <w:rPr>
                <w:rFonts w:hint="eastAsia" w:ascii="宋体" w:cs="宋体"/>
                <w:b/>
                <w:bCs/>
                <w:color w:val="000000"/>
                <w:szCs w:val="21"/>
                <w:lang w:val="en-US" w:eastAsia="zh-CN"/>
              </w:rPr>
              <w:t>1、</w:t>
            </w:r>
            <w:r>
              <w:rPr>
                <w:rFonts w:hint="eastAsia" w:ascii="宋体" w:cs="宋体"/>
                <w:b/>
                <w:bCs/>
                <w:kern w:val="0"/>
                <w:szCs w:val="21"/>
              </w:rPr>
              <w:t>正本纸质版文件：正本</w:t>
            </w:r>
            <w:r>
              <w:rPr>
                <w:rFonts w:hint="eastAsia" w:ascii="宋体" w:cs="宋体"/>
                <w:b/>
                <w:bCs/>
                <w:kern w:val="0"/>
                <w:szCs w:val="21"/>
                <w:u w:val="single"/>
              </w:rPr>
              <w:t>1</w:t>
            </w:r>
            <w:r>
              <w:rPr>
                <w:rFonts w:hint="eastAsia" w:ascii="宋体" w:cs="宋体"/>
                <w:b/>
                <w:bCs/>
                <w:kern w:val="0"/>
                <w:szCs w:val="21"/>
              </w:rPr>
              <w:t>份，副本</w:t>
            </w:r>
            <w:r>
              <w:rPr>
                <w:rFonts w:hint="eastAsia" w:ascii="宋体" w:cs="宋体"/>
                <w:b/>
                <w:bCs/>
                <w:kern w:val="0"/>
                <w:szCs w:val="21"/>
                <w:u w:val="single"/>
              </w:rPr>
              <w:t xml:space="preserve"> 4 </w:t>
            </w:r>
            <w:r>
              <w:rPr>
                <w:rFonts w:hint="eastAsia" w:ascii="宋体" w:cs="宋体"/>
                <w:b/>
                <w:bCs/>
                <w:kern w:val="0"/>
                <w:szCs w:val="21"/>
              </w:rPr>
              <w:t>份，正、副本一起封装；</w:t>
            </w:r>
          </w:p>
          <w:p>
            <w:pPr>
              <w:jc w:val="left"/>
              <w:rPr>
                <w:rFonts w:ascii="宋体" w:cs="宋体"/>
                <w:b/>
                <w:bCs/>
                <w:kern w:val="0"/>
                <w:szCs w:val="21"/>
              </w:rPr>
            </w:pPr>
            <w:r>
              <w:rPr>
                <w:rFonts w:hint="eastAsia" w:ascii="宋体" w:cs="宋体"/>
                <w:b/>
                <w:bCs/>
                <w:kern w:val="0"/>
                <w:szCs w:val="21"/>
                <w:lang w:val="en-US" w:eastAsia="zh-CN"/>
              </w:rPr>
              <w:t>2、</w:t>
            </w:r>
            <w:r>
              <w:rPr>
                <w:rFonts w:hint="eastAsia" w:ascii="宋体" w:cs="宋体"/>
                <w:b/>
                <w:bCs/>
                <w:kern w:val="0"/>
                <w:szCs w:val="21"/>
              </w:rPr>
              <w:t>电子版文件：</w:t>
            </w:r>
            <w:r>
              <w:rPr>
                <w:rFonts w:hint="eastAsia" w:ascii="宋体" w:cs="宋体"/>
                <w:b/>
                <w:bCs/>
                <w:kern w:val="0"/>
                <w:szCs w:val="21"/>
                <w:u w:val="single"/>
              </w:rPr>
              <w:t>1</w:t>
            </w:r>
            <w:r>
              <w:rPr>
                <w:rFonts w:hint="eastAsia" w:ascii="宋体" w:cs="宋体"/>
                <w:b/>
                <w:bCs/>
                <w:kern w:val="0"/>
                <w:szCs w:val="21"/>
              </w:rPr>
              <w:t xml:space="preserve">份，以U盘形式递交，文件格式为正本签署并加盖公章扫描后的PDF文件和Word可编辑格式，U盘内不得附带任何与本次招标无关内容，与开标一览表（报价表）一起封装； </w:t>
            </w:r>
          </w:p>
          <w:p>
            <w:pPr>
              <w:jc w:val="left"/>
              <w:rPr>
                <w:rFonts w:ascii="宋体" w:cs="宋体"/>
                <w:b/>
                <w:bCs/>
                <w:kern w:val="0"/>
                <w:szCs w:val="21"/>
              </w:rPr>
            </w:pPr>
            <w:r>
              <w:rPr>
                <w:rFonts w:hint="eastAsia" w:ascii="宋体" w:cs="宋体"/>
                <w:b/>
                <w:bCs/>
                <w:kern w:val="0"/>
                <w:szCs w:val="21"/>
                <w:lang w:val="en-US" w:eastAsia="zh-CN"/>
              </w:rPr>
              <w:t>3、</w:t>
            </w:r>
            <w:r>
              <w:rPr>
                <w:rFonts w:hint="eastAsia" w:ascii="宋体" w:cs="宋体"/>
                <w:b/>
                <w:bCs/>
                <w:kern w:val="0"/>
                <w:szCs w:val="21"/>
              </w:rPr>
              <w:t>开标一览表（报价表）：</w:t>
            </w:r>
            <w:r>
              <w:rPr>
                <w:rFonts w:hint="eastAsia" w:ascii="宋体" w:cs="宋体"/>
                <w:b/>
                <w:bCs/>
                <w:kern w:val="0"/>
                <w:szCs w:val="21"/>
                <w:u w:val="single"/>
              </w:rPr>
              <w:t>1</w:t>
            </w:r>
            <w:r>
              <w:rPr>
                <w:rFonts w:hint="eastAsia" w:ascii="宋体" w:cs="宋体"/>
                <w:b/>
                <w:bCs/>
                <w:kern w:val="0"/>
                <w:szCs w:val="21"/>
              </w:rPr>
              <w:t xml:space="preserve">份，与含电子版文件的U盘一起封装； </w:t>
            </w:r>
          </w:p>
          <w:p>
            <w:pPr>
              <w:keepNext/>
              <w:widowControl/>
              <w:jc w:val="left"/>
              <w:rPr>
                <w:rFonts w:ascii="宋体" w:cs="宋体"/>
                <w:b/>
                <w:bCs/>
                <w:color w:val="FF0000"/>
                <w:kern w:val="0"/>
                <w:szCs w:val="21"/>
              </w:rPr>
            </w:pPr>
            <w:r>
              <w:rPr>
                <w:rFonts w:hint="eastAsia" w:ascii="宋体" w:cs="宋体"/>
                <w:b/>
                <w:bCs/>
                <w:kern w:val="0"/>
                <w:szCs w:val="21"/>
                <w:lang w:val="en-US" w:eastAsia="zh-CN"/>
              </w:rPr>
              <w:t>4、</w:t>
            </w:r>
            <w:r>
              <w:rPr>
                <w:rFonts w:hint="eastAsia" w:ascii="宋体" w:cs="宋体"/>
                <w:b/>
                <w:bCs/>
                <w:kern w:val="0"/>
                <w:szCs w:val="21"/>
              </w:rPr>
              <w:t>如不满足以上要求，投标响应文件无效。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20</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投标（响应）文件密封</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1、投标人必须按招标（采购）文件内容规定内容制作响应文件，正</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 xml:space="preserve">副本及投标（响应）文件正本扫描件（签字盖章后）U盘可密封在同一投标（响应）文件袋中。密封袋封口处加盖单位公章，并注明“开标时启封”等字样。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b/>
                <w:bCs/>
                <w:kern w:val="0"/>
                <w:szCs w:val="21"/>
              </w:rPr>
              <w:t>投标人必须按招标（采购）文件规定制作“</w:t>
            </w:r>
            <w:r>
              <w:rPr>
                <w:rFonts w:hint="eastAsia" w:asciiTheme="minorEastAsia" w:hAnsiTheme="minorEastAsia" w:eastAsiaTheme="minorEastAsia" w:cstheme="minorEastAsia"/>
                <w:b/>
                <w:bCs/>
                <w:kern w:val="0"/>
                <w:szCs w:val="21"/>
                <w:lang w:val="en-US" w:eastAsia="zh-CN"/>
              </w:rPr>
              <w:t>开标一览</w:t>
            </w:r>
            <w:r>
              <w:rPr>
                <w:rFonts w:hint="eastAsia" w:asciiTheme="minorEastAsia" w:hAnsiTheme="minorEastAsia" w:eastAsiaTheme="minorEastAsia" w:cstheme="minorEastAsia"/>
                <w:b/>
                <w:bCs/>
                <w:kern w:val="0"/>
                <w:szCs w:val="21"/>
              </w:rPr>
              <w:t>表”并单独密封提交，</w:t>
            </w:r>
            <w:r>
              <w:rPr>
                <w:rFonts w:hint="eastAsia" w:asciiTheme="minorEastAsia" w:hAnsiTheme="minorEastAsia" w:eastAsiaTheme="minorEastAsia" w:cstheme="minorEastAsia"/>
                <w:kern w:val="0"/>
                <w:szCs w:val="21"/>
              </w:rPr>
              <w:t>并在信封上标明“</w:t>
            </w:r>
            <w:r>
              <w:rPr>
                <w:rFonts w:hint="eastAsia" w:asciiTheme="minorEastAsia" w:hAnsiTheme="minorEastAsia" w:eastAsiaTheme="minorEastAsia" w:cstheme="minorEastAsia"/>
                <w:kern w:val="0"/>
                <w:szCs w:val="21"/>
                <w:lang w:val="en-US" w:eastAsia="zh-CN"/>
              </w:rPr>
              <w:t>开标一览</w:t>
            </w:r>
            <w:r>
              <w:rPr>
                <w:rFonts w:hint="eastAsia" w:asciiTheme="minorEastAsia" w:hAnsiTheme="minorEastAsia" w:eastAsiaTheme="minorEastAsia" w:cstheme="minorEastAsia"/>
                <w:kern w:val="0"/>
                <w:szCs w:val="21"/>
              </w:rPr>
              <w:t>表”的字样。不单独提交</w:t>
            </w:r>
            <w:r>
              <w:rPr>
                <w:rFonts w:hint="eastAsia" w:asciiTheme="minorEastAsia" w:hAnsiTheme="minorEastAsia" w:eastAsiaTheme="minorEastAsia" w:cstheme="minorEastAsia"/>
                <w:kern w:val="0"/>
                <w:szCs w:val="21"/>
                <w:lang w:val="en-US" w:eastAsia="zh-CN"/>
              </w:rPr>
              <w:t>开标一览</w:t>
            </w:r>
            <w:r>
              <w:rPr>
                <w:rFonts w:hint="eastAsia" w:asciiTheme="minorEastAsia" w:hAnsiTheme="minorEastAsia" w:eastAsiaTheme="minorEastAsia" w:cstheme="minorEastAsia"/>
                <w:kern w:val="0"/>
                <w:szCs w:val="21"/>
              </w:rPr>
              <w:t>表的，其投标将被拒绝。</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3、文件袋和《</w:t>
            </w:r>
            <w:r>
              <w:rPr>
                <w:rFonts w:hint="eastAsia" w:asciiTheme="minorEastAsia" w:hAnsiTheme="minorEastAsia" w:eastAsiaTheme="minorEastAsia" w:cstheme="minorEastAsia"/>
                <w:kern w:val="0"/>
                <w:szCs w:val="21"/>
                <w:lang w:val="en-US" w:eastAsia="zh-CN"/>
              </w:rPr>
              <w:t>开标一览</w:t>
            </w:r>
            <w:r>
              <w:rPr>
                <w:rFonts w:hint="eastAsia" w:asciiTheme="minorEastAsia" w:hAnsiTheme="minorEastAsia" w:eastAsiaTheme="minorEastAsia" w:cstheme="minorEastAsia"/>
                <w:kern w:val="0"/>
                <w:szCs w:val="21"/>
              </w:rPr>
              <w:t>表》袋上应写明：</w:t>
            </w:r>
          </w:p>
          <w:p>
            <w:pPr>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投标单位名称：                                </w:t>
            </w:r>
          </w:p>
          <w:p>
            <w:pPr>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p>
            <w:pPr>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项目编号：</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备注：注明“开标时才能启封”字样等。</w:t>
            </w:r>
          </w:p>
          <w:p>
            <w:pPr>
              <w:jc w:val="left"/>
              <w:rPr>
                <w:rFonts w:hint="eastAsia" w:ascii="宋体" w:cs="宋体"/>
                <w:b/>
                <w:bCs/>
                <w:kern w:val="0"/>
                <w:szCs w:val="21"/>
                <w:lang w:val="en-US" w:eastAsia="zh-CN"/>
              </w:rPr>
            </w:pPr>
            <w:r>
              <w:rPr>
                <w:rFonts w:hint="eastAsia" w:asciiTheme="minorEastAsia" w:hAnsiTheme="minorEastAsia" w:eastAsiaTheme="minorEastAsia" w:cstheme="minorEastAsia"/>
                <w:kern w:val="0"/>
                <w:szCs w:val="21"/>
              </w:rPr>
              <w:t>投标（响应）文件正副本、U盘请载明项目名称、项目编号、公司名称，U盘与投标（响应）文件恕不退还。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21</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投标（响应）文件的</w:t>
            </w:r>
          </w:p>
          <w:p>
            <w:pPr>
              <w:keepNext/>
              <w:widowControl/>
              <w:jc w:val="distribute"/>
              <w:rPr>
                <w:rFonts w:hint="eastAsia" w:ascii="黑体" w:eastAsia="黑体" w:cs="黑体"/>
                <w:kern w:val="0"/>
                <w:szCs w:val="21"/>
              </w:rPr>
            </w:pPr>
            <w:r>
              <w:rPr>
                <w:rFonts w:hint="eastAsia" w:ascii="黑体" w:eastAsia="黑体" w:cs="黑体"/>
                <w:kern w:val="0"/>
                <w:szCs w:val="21"/>
              </w:rPr>
              <w:t>签署规定</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1、投标（响应）文件的页面必须用印刷体打印。</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2、投标（响应）文件应清楚工整，一般不准修改。个别非实质性修改之处必须由投标人的法定代表人（负责人）或经其正式授权的代表在修改的每一页上签字或盖投标单位公章后才有效。</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3、投标（响应）文件应由法定代表人或法人授权代表在规定的签章处逐一签署或加盖单位公章，投标（响应）文件方为有效。</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4、投标（响应）文件需编好始末页码,如不按要求签署编制的造成的后果由投标人自行负责。</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5、所有投标（响应）文件必须提交正本一份和副本三份（如不满足将拒绝其投标），并在封面上标记“正本”或“副本”。</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6、投标（响应）文件的正本与副本应当完全一致。当正本和副本之间出现差异时，以正本为准。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22</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投标（响应）文件格式</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1、投标人应按招标（采购）文件提供的范本格式认真填写投标（响应）文件、磋商响应报价表。</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2、投标人应严格按招标（采购）文件的格式要求及附件向招标公司提交投标（响应）文件，否则视为不响应招标（采购）文件要求，如招标（采购）文件没有提供格式的，投标人可自行设置。</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3、投标人应将投标（响应）文件按规定的顺序编排、并应编制目录、逐页标注连续页码，必须采用胶装，不得采用活页装订，否则视为无效投标（响应）文件。</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4、电报、电话、传真、电子邮件等形式的投标概不接受。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23</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24</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25</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hint="default" w:ascii="宋体" w:eastAsia="宋体" w:cs="宋体"/>
                <w:kern w:val="0"/>
                <w:szCs w:val="21"/>
                <w:lang w:val="en-US" w:eastAsia="zh-CN"/>
              </w:rPr>
            </w:pPr>
            <w:r>
              <w:rPr>
                <w:rFonts w:hint="eastAsia" w:ascii="宋体" w:cs="宋体"/>
                <w:kern w:val="0"/>
                <w:szCs w:val="21"/>
              </w:rPr>
              <w:t>自投标截止之日起</w:t>
            </w:r>
            <w:r>
              <w:rPr>
                <w:rFonts w:hint="eastAsia" w:ascii="宋体" w:cs="宋体"/>
                <w:strike w:val="0"/>
                <w:dstrike w:val="0"/>
                <w:color w:val="000000" w:themeColor="text1"/>
                <w:kern w:val="0"/>
                <w:szCs w:val="21"/>
                <w14:textFill>
                  <w14:solidFill>
                    <w14:schemeClr w14:val="tx1"/>
                  </w14:solidFill>
                </w14:textFill>
              </w:rPr>
              <w:t xml:space="preserve"> 90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w:t>
            </w:r>
            <w:r>
              <w:rPr>
                <w:rFonts w:hint="eastAsia" w:ascii="宋体" w:cs="宋体"/>
                <w:szCs w:val="21"/>
                <w:lang w:eastAsia="zh-CN"/>
              </w:rPr>
              <w:t>、</w:t>
            </w:r>
            <w:r>
              <w:rPr>
                <w:rFonts w:hint="eastAsia" w:ascii="宋体" w:cs="宋体"/>
                <w:szCs w:val="21"/>
              </w:rPr>
              <w:t>评标委员会由招标人依法组建；</w:t>
            </w:r>
          </w:p>
          <w:p>
            <w:pPr>
              <w:jc w:val="left"/>
              <w:rPr>
                <w:rFonts w:ascii="宋体" w:cs="宋体"/>
                <w:kern w:val="0"/>
                <w:szCs w:val="21"/>
              </w:rPr>
            </w:pPr>
            <w:r>
              <w:rPr>
                <w:rFonts w:hint="eastAsia" w:ascii="宋体" w:cs="宋体"/>
                <w:szCs w:val="21"/>
              </w:rPr>
              <w:t>2</w:t>
            </w:r>
            <w:r>
              <w:rPr>
                <w:rFonts w:hint="eastAsia" w:ascii="宋体" w:cs="宋体"/>
                <w:szCs w:val="21"/>
                <w:lang w:eastAsia="zh-CN"/>
              </w:rPr>
              <w:t>、</w:t>
            </w:r>
            <w:r>
              <w:rPr>
                <w:rFonts w:hint="eastAsia" w:ascii="宋体" w:cs="宋体"/>
                <w:szCs w:val="21"/>
              </w:rPr>
              <w:t>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b w:val="0"/>
                <w:bCs w:val="0"/>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27</w:t>
            </w:r>
          </w:p>
        </w:tc>
        <w:tc>
          <w:tcPr>
            <w:tcW w:w="1410" w:type="dxa"/>
            <w:vAlign w:val="center"/>
          </w:tcPr>
          <w:p>
            <w:pPr>
              <w:jc w:val="distribute"/>
              <w:rPr>
                <w:rFonts w:hint="eastAsia" w:ascii="黑体" w:eastAsia="黑体" w:cs="黑体"/>
                <w:kern w:val="0"/>
                <w:szCs w:val="21"/>
                <w:lang w:eastAsia="zh-CN"/>
              </w:rPr>
            </w:pPr>
            <w:r>
              <w:rPr>
                <w:rFonts w:hint="eastAsia" w:ascii="黑体" w:eastAsia="黑体" w:cs="黑体"/>
                <w:kern w:val="0"/>
                <w:szCs w:val="21"/>
              </w:rPr>
              <w:t>中标候选人公示媒</w:t>
            </w:r>
            <w:r>
              <w:rPr>
                <w:rFonts w:hint="eastAsia" w:ascii="黑体" w:eastAsia="黑体" w:cs="黑体"/>
                <w:kern w:val="0"/>
                <w:szCs w:val="21"/>
                <w:lang w:val="en-US" w:eastAsia="zh-CN"/>
              </w:rPr>
              <w:t>体</w:t>
            </w:r>
          </w:p>
        </w:tc>
        <w:tc>
          <w:tcPr>
            <w:tcW w:w="6857" w:type="dxa"/>
            <w:vAlign w:val="center"/>
          </w:tcPr>
          <w:p>
            <w:pPr>
              <w:jc w:val="left"/>
              <w:rPr>
                <w:rFonts w:ascii="宋体" w:cs="宋体"/>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ascii="宋体" w:cs="宋体"/>
                <w:kern w:val="0"/>
                <w:szCs w:val="21"/>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ascii="宋体" w:cs="宋体"/>
                <w:b/>
                <w:bCs/>
                <w:kern w:val="0"/>
                <w:szCs w:val="21"/>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pPr>
              <w:jc w:val="center"/>
              <w:rPr>
                <w:rFonts w:ascii="宋体"/>
                <w:kern w:val="0"/>
                <w:szCs w:val="21"/>
              </w:rPr>
            </w:pP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ascii="黑体" w:eastAsia="黑体" w:cs="黑体"/>
                <w:kern w:val="0"/>
                <w:szCs w:val="21"/>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投标人须如实提供如下资料</w:t>
            </w:r>
            <w:r>
              <w:rPr>
                <w:rFonts w:hint="eastAsia" w:asciiTheme="minorEastAsia" w:hAnsiTheme="minorEastAsia" w:eastAsiaTheme="minorEastAsia" w:cstheme="minorEastAsia"/>
                <w:b/>
                <w:bCs/>
                <w:color w:val="000000"/>
                <w:szCs w:val="21"/>
              </w:rPr>
              <w:t>（原件备查）</w:t>
            </w:r>
          </w:p>
          <w:p>
            <w:pPr>
              <w:keepNext/>
              <w:widowControl/>
              <w:ind w:firstLine="420" w:firstLineChars="200"/>
              <w:jc w:val="left"/>
              <w:rPr>
                <w:rFonts w:ascii="宋体" w:cs="宋体"/>
              </w:rPr>
            </w:pPr>
            <w:r>
              <w:rPr>
                <w:rFonts w:hint="eastAsia" w:ascii="宋体" w:hAnsi="宋体" w:cs="宋体"/>
                <w:kern w:val="0"/>
                <w:szCs w:val="21"/>
              </w:rPr>
              <w:t>①</w:t>
            </w:r>
            <w:r>
              <w:rPr>
                <w:rFonts w:hint="eastAsia" w:ascii="宋体" w:cs="宋体"/>
                <w:szCs w:val="21"/>
              </w:rPr>
              <w:t>企业法人应提供合法有效的统一社会信用代码的营业执照或事业法人应提供单位法人证书，其他组织应提供合法登记证明文件，自然人的身份证明</w:t>
            </w:r>
            <w:r>
              <w:rPr>
                <w:rFonts w:hint="eastAsia" w:ascii="宋体" w:cs="宋体"/>
              </w:rPr>
              <w:t>；</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②</w:t>
            </w:r>
            <w:r>
              <w:rPr>
                <w:rFonts w:hint="eastAsia" w:ascii="宋体" w:cs="宋体"/>
              </w:rPr>
              <w:t>法定代表人身份证明书及法定代表人身份证或授权委托书及委托代理人身份证</w:t>
            </w:r>
            <w:r>
              <w:rPr>
                <w:rFonts w:hint="eastAsia" w:asciiTheme="minorEastAsia" w:hAnsiTheme="minorEastAsia" w:eastAsiaTheme="minorEastAsia" w:cstheme="minorEastAsia"/>
                <w:kern w:val="0"/>
                <w:szCs w:val="21"/>
              </w:rPr>
              <w:t>；</w:t>
            </w:r>
          </w:p>
          <w:p>
            <w:pPr>
              <w:keepNext/>
              <w:widowControl/>
              <w:ind w:firstLine="420" w:firstLineChars="200"/>
              <w:jc w:val="left"/>
              <w:rPr>
                <w:rFonts w:ascii="宋体" w:cs="宋体"/>
              </w:rPr>
            </w:pPr>
            <w:r>
              <w:rPr>
                <w:rFonts w:hint="eastAsia" w:ascii="宋体" w:hAnsi="宋体" w:cs="宋体"/>
                <w:color w:val="000000"/>
                <w:szCs w:val="21"/>
              </w:rPr>
              <w:t>③</w:t>
            </w:r>
            <w:r>
              <w:rPr>
                <w:rFonts w:hint="eastAsia" w:ascii="宋体" w:cs="宋体"/>
              </w:rPr>
              <w:t>通过“信用中</w:t>
            </w:r>
            <w:r>
              <w:rPr>
                <w:rFonts w:hint="eastAsia" w:asciiTheme="minorEastAsia" w:hAnsiTheme="minorEastAsia" w:eastAsiaTheme="minorEastAsia" w:cstheme="minorEastAsia"/>
                <w:kern w:val="0"/>
                <w:szCs w:val="21"/>
              </w:rPr>
              <w:t>国”（www.creditchina.gov.cn）、中国政府采购网（www.ccgp.gov.cn）等渠道查询投标人至本项目评审时的信用记录并保存信用记录结果网页截图</w:t>
            </w:r>
            <w:r>
              <w:rPr>
                <w:rFonts w:hint="eastAsia" w:ascii="宋体" w:cs="宋体"/>
              </w:rPr>
              <w:t>；</w:t>
            </w:r>
          </w:p>
          <w:p>
            <w:pPr>
              <w:keepNext/>
              <w:widowControl/>
              <w:ind w:firstLine="420" w:firstLineChars="200"/>
              <w:jc w:val="left"/>
              <w:rPr>
                <w:rFonts w:hint="eastAsia" w:ascii="宋体" w:cs="宋体"/>
              </w:rPr>
            </w:pPr>
            <w:r>
              <w:rPr>
                <w:rFonts w:hint="eastAsia" w:ascii="宋体" w:hAnsi="宋体" w:cs="宋体"/>
                <w:color w:val="000000"/>
                <w:szCs w:val="21"/>
              </w:rPr>
              <w:t>④</w:t>
            </w:r>
            <w:r>
              <w:rPr>
                <w:rFonts w:hint="eastAsia" w:asciiTheme="minorEastAsia" w:hAnsiTheme="minorEastAsia" w:eastAsiaTheme="minorEastAsia" w:cstheme="minorEastAsia"/>
                <w:kern w:val="2"/>
                <w:sz w:val="21"/>
                <w:szCs w:val="21"/>
                <w:lang w:val="en-US" w:eastAsia="zh-CN" w:bidi="ar-SA"/>
              </w:rPr>
              <w:t>投标人具有有效的</w:t>
            </w:r>
            <w:r>
              <w:rPr>
                <w:rFonts w:hint="eastAsia" w:asciiTheme="minorEastAsia" w:hAnsiTheme="minorEastAsia" w:eastAsiaTheme="minorEastAsia" w:cstheme="minorEastAsia"/>
                <w:color w:val="auto"/>
                <w:kern w:val="2"/>
                <w:sz w:val="21"/>
                <w:szCs w:val="21"/>
                <w:lang w:val="en-US" w:eastAsia="zh-CN" w:bidi="ar-SA"/>
              </w:rPr>
              <w:t>《兽药经营许可证》或《兽药生产许可证》</w:t>
            </w:r>
            <w:r>
              <w:rPr>
                <w:rFonts w:hint="eastAsia" w:asciiTheme="minorEastAsia" w:hAnsiTheme="minorEastAsia" w:eastAsiaTheme="minorEastAsia" w:cstheme="minorEastAsia"/>
                <w:kern w:val="2"/>
                <w:sz w:val="21"/>
                <w:szCs w:val="21"/>
                <w:lang w:val="en-US" w:eastAsia="zh-CN" w:bidi="ar-SA"/>
              </w:rPr>
              <w:t>；</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eastAsia="宋体" w:cs="宋体"/>
                <w:color w:val="000000"/>
                <w:szCs w:val="21"/>
              </w:rPr>
              <w:t>⑤</w:t>
            </w:r>
            <w:r>
              <w:rPr>
                <w:rFonts w:hint="eastAsia" w:ascii="宋体" w:hAnsi="宋体" w:cs="宋体"/>
                <w:color w:val="000000"/>
                <w:szCs w:val="21"/>
              </w:rPr>
              <w:t>采购</w:t>
            </w:r>
            <w:r>
              <w:rPr>
                <w:rFonts w:hint="eastAsia" w:asciiTheme="minorEastAsia" w:hAnsiTheme="minorEastAsia" w:eastAsiaTheme="minorEastAsia" w:cstheme="minorEastAsia"/>
                <w:color w:val="000000"/>
                <w:szCs w:val="21"/>
              </w:rPr>
              <w:t>代理机构开具的本标包的投标保证金凭证</w:t>
            </w:r>
            <w:r>
              <w:rPr>
                <w:rFonts w:hint="eastAsia" w:ascii="宋体" w:cs="宋体"/>
              </w:rPr>
              <w:t>；</w:t>
            </w:r>
          </w:p>
          <w:p>
            <w:pPr>
              <w:pStyle w:val="9"/>
              <w:numPr>
                <w:ilvl w:val="0"/>
                <w:numId w:val="0"/>
              </w:numPr>
              <w:rPr>
                <w:rFonts w:eastAsiaTheme="minorEastAsia"/>
              </w:rPr>
            </w:pPr>
            <w:r>
              <w:rPr>
                <w:rFonts w:hint="eastAsia" w:ascii="宋体" w:eastAsia="宋体" w:cs="宋体"/>
                <w:b/>
                <w:bCs/>
                <w:kern w:val="0"/>
                <w:sz w:val="21"/>
                <w:szCs w:val="21"/>
                <w:lang w:val="en-US" w:eastAsia="zh-CN"/>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b/>
                <w:bCs/>
                <w:kern w:val="0"/>
                <w:szCs w:val="21"/>
              </w:rPr>
            </w:pPr>
            <w:r>
              <w:rPr>
                <w:rFonts w:hint="eastAsia" w:ascii="宋体" w:cs="宋体"/>
                <w:b/>
                <w:bCs/>
                <w:kern w:val="0"/>
                <w:szCs w:val="21"/>
                <w:lang w:val="en-US" w:eastAsia="zh-CN"/>
              </w:rPr>
              <w:t>3、</w:t>
            </w:r>
            <w:r>
              <w:rPr>
                <w:rFonts w:hint="eastAsia" w:ascii="宋体" w:cs="宋体"/>
                <w:b/>
                <w:bCs/>
                <w:kern w:val="0"/>
                <w:szCs w:val="21"/>
              </w:rPr>
              <w:t>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Theme="minorEastAsia" w:hAnsiTheme="minorEastAsia" w:eastAsiaTheme="minorEastAsia" w:cstheme="minorEastAsia"/>
                <w:kern w:val="0"/>
                <w:szCs w:val="21"/>
                <w:lang w:val="en-US" w:eastAsia="zh-CN"/>
              </w:rPr>
              <w:t>29</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center"/>
              <w:rPr>
                <w:rFonts w:hint="eastAsia" w:ascii="黑体" w:hAnsi="黑体" w:eastAsia="黑体" w:cs="黑体"/>
                <w:bCs/>
                <w:szCs w:val="21"/>
              </w:rPr>
            </w:pPr>
            <w:r>
              <w:rPr>
                <w:rFonts w:hint="eastAsia" w:ascii="黑体" w:hAnsi="黑体" w:eastAsia="黑体" w:cs="黑体"/>
                <w:bCs/>
                <w:szCs w:val="21"/>
              </w:rPr>
              <w:t>政府采购</w:t>
            </w:r>
          </w:p>
          <w:p>
            <w:pPr>
              <w:keepNext/>
              <w:widowControl/>
              <w:jc w:val="center"/>
              <w:rPr>
                <w:rFonts w:hint="eastAsia" w:ascii="黑体" w:hAnsi="黑体" w:eastAsia="黑体" w:cs="黑体"/>
                <w:bCs/>
                <w:szCs w:val="21"/>
              </w:rPr>
            </w:pPr>
            <w:r>
              <w:rPr>
                <w:rFonts w:hint="eastAsia" w:ascii="黑体" w:hAnsi="黑体" w:eastAsia="黑体" w:cs="黑体"/>
                <w:bCs/>
                <w:szCs w:val="21"/>
              </w:rPr>
              <w:t>政策支持</w:t>
            </w:r>
          </w:p>
        </w:tc>
        <w:tc>
          <w:tcPr>
            <w:tcW w:w="6857" w:type="dxa"/>
            <w:vAlign w:val="center"/>
          </w:tcPr>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本项目为非专门面向中小企业采购的项目。符合政府采购优先（节约能源、保护环境）采购政策及促进中小企业（监狱企业、残疾人福利性单位）发展政策的，依据规定给予评审优惠。</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本项目为非专门面向中小企业（含中型、小型、微型企业）采购项目，根据《政府采购促进中小企业发展管理办法》（〔2020〕46号）的规定，评标时对符合本办法规定的小微企业报价给予6%（工程项目为3%）的扣除，用扣除后的价格参加评审。本项目采购标的对应的中小企业划分标准所属行业是建筑业。</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2、政府采购强制采购：标记★符号的节能产品：</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符合《节能产品政府采购品目清单》内并获得认证的强制采购节能产品。</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3、政府采购优先采购：</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(1)非标记★符号的节能产品；(2)环境标志产品；</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采购产品为《节能产品政府采购品目清单》内并获得认证非标记★符号的节能产品及《环境标志产品政府采购品目清单》内并获得认证的产品：</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2"/>
                <w:sz w:val="21"/>
                <w:szCs w:val="21"/>
                <w:lang w:val="en-US" w:eastAsia="zh-CN" w:bidi="ar-SA"/>
              </w:rPr>
              <w:t>投标（响应）文件中对所供产品为节能、环境标志产品清单中的产品，在报价时必须对此类产品单独分项报价，计算出小计及占合同包总金额的百分比，并提供证明资料（中国政府采购网节能环保查询结果），未单独分项报价且未提供属于清单内产品的证明资料的不给予折扣优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31</w:t>
            </w:r>
          </w:p>
        </w:tc>
        <w:tc>
          <w:tcPr>
            <w:tcW w:w="1410" w:type="dxa"/>
            <w:vAlign w:val="center"/>
          </w:tcPr>
          <w:p>
            <w:pPr>
              <w:keepNext/>
              <w:widowControl/>
              <w:jc w:val="center"/>
              <w:rPr>
                <w:rFonts w:hint="eastAsia" w:ascii="黑体" w:hAnsi="黑体" w:eastAsia="黑体" w:cs="黑体"/>
                <w:bCs/>
                <w:szCs w:val="21"/>
              </w:rPr>
            </w:pPr>
            <w:r>
              <w:rPr>
                <w:rFonts w:hint="eastAsia" w:ascii="黑体" w:hAnsi="黑体" w:eastAsia="黑体" w:cs="黑体"/>
                <w:bCs/>
                <w:szCs w:val="21"/>
              </w:rPr>
              <w:t>信用情况</w:t>
            </w:r>
          </w:p>
        </w:tc>
        <w:tc>
          <w:tcPr>
            <w:tcW w:w="6857" w:type="dxa"/>
            <w:vAlign w:val="center"/>
          </w:tcPr>
          <w:p>
            <w:pPr>
              <w:pStyle w:val="8"/>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本项目不接受失信企业投标。</w:t>
            </w:r>
          </w:p>
          <w:p>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1、信用记录查询方式及查询内容：</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\o\ac(○,1)</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\o\ac(○,2)</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\o\ac(○,3)</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\o\ac(○,4)</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32</w:t>
            </w:r>
          </w:p>
        </w:tc>
        <w:tc>
          <w:tcPr>
            <w:tcW w:w="1410" w:type="dxa"/>
            <w:vAlign w:val="center"/>
          </w:tcPr>
          <w:p>
            <w:pPr>
              <w:keepNext/>
              <w:widowControl/>
              <w:jc w:val="distribute"/>
              <w:rPr>
                <w:rFonts w:ascii="黑体" w:hAnsi="黑体" w:eastAsia="黑体" w:cs="黑体"/>
                <w:bCs/>
                <w:szCs w:val="21"/>
              </w:rPr>
            </w:pPr>
            <w:r>
              <w:rPr>
                <w:rFonts w:hint="eastAsia" w:ascii="黑体" w:hAnsi="黑体" w:eastAsia="黑体" w:cs="黑体"/>
                <w:kern w:val="0"/>
                <w:szCs w:val="21"/>
              </w:rPr>
              <w:t>质疑须知</w:t>
            </w:r>
          </w:p>
        </w:tc>
        <w:tc>
          <w:tcPr>
            <w:tcW w:w="6857" w:type="dxa"/>
            <w:vAlign w:val="center"/>
          </w:tcPr>
          <w:p>
            <w:pPr>
              <w:pStyle w:val="9"/>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投标人认为自己的权益受到损害的，可以在知道或者应知其权益受到损害之日起七个工作日内，向采购代理机构提出质疑。</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⑴</w:t>
            </w:r>
            <w:r>
              <w:rPr>
                <w:rFonts w:hint="eastAsia" w:asciiTheme="minorEastAsia" w:hAnsiTheme="minorEastAsia" w:eastAsiaTheme="minorEastAsia" w:cstheme="minorEastAsia"/>
                <w:sz w:val="21"/>
                <w:szCs w:val="21"/>
              </w:rPr>
              <w:t>接收质疑函的方式：接收加盖单位公章的书面质疑函</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 系 人：孙共青</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⑵</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9"/>
              <w:numPr>
                <w:ilvl w:val="0"/>
                <w:numId w:val="0"/>
              </w:numP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US" w:eastAsia="zh-CN"/>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90"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33</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中标企业根据采购人实际需求按照指定的收货地址及时供货，并向采购人提供收货单位的签收、验收单，否则自行承担一切损失。</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国家政策调整或取消该招标品种的，该品种将不再列入招标计划或如果已经进行了招标的该品种将作为无效招标处理，由此产生的一切费用和损失由投标人承担，招标采购单位不承担任何责任。</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585"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34</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招标代理费</w:t>
            </w:r>
          </w:p>
        </w:tc>
        <w:tc>
          <w:tcPr>
            <w:tcW w:w="6857" w:type="dxa"/>
            <w:vAlign w:val="center"/>
          </w:tcPr>
          <w:p>
            <w:pPr>
              <w:snapToGrid w:val="0"/>
              <w:spacing w:line="290" w:lineRule="exact"/>
              <w:ind w:firstLine="210" w:firstLineChars="100"/>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val="en-US" w:eastAsia="zh-CN"/>
              </w:rPr>
              <w:t>1、</w:t>
            </w:r>
            <w:r>
              <w:rPr>
                <w:rFonts w:hint="eastAsia" w:asciiTheme="minorEastAsia" w:hAnsiTheme="minorEastAsia" w:eastAsiaTheme="minorEastAsia" w:cstheme="minorEastAsia"/>
                <w:snapToGrid w:val="0"/>
                <w:szCs w:val="21"/>
              </w:rPr>
              <w:t>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2"/>
              <w:tblW w:w="6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034"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9"/>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9"/>
              <w:numPr>
                <w:ilvl w:val="0"/>
                <w:numId w:val="0"/>
              </w:numPr>
              <w:ind w:firstLine="211" w:firstLineChars="100"/>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lang w:val="en-US" w:eastAsia="zh-CN"/>
              </w:rPr>
              <w:t>2、</w:t>
            </w:r>
            <w:r>
              <w:rPr>
                <w:rFonts w:hint="eastAsia" w:asciiTheme="minorEastAsia" w:hAnsiTheme="minorEastAsia" w:eastAsiaTheme="minorEastAsia" w:cstheme="minorEastAsia"/>
                <w:b/>
                <w:bCs/>
                <w:snapToGrid w:val="0"/>
                <w:sz w:val="21"/>
                <w:szCs w:val="21"/>
              </w:rPr>
              <w:t>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ind w:firstLine="211" w:firstLineChars="100"/>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lang w:val="en-US" w:eastAsia="zh-CN"/>
              </w:rPr>
              <w:t>3、</w:t>
            </w:r>
            <w:r>
              <w:rPr>
                <w:rFonts w:hint="eastAsia" w:asciiTheme="minorEastAsia" w:hAnsiTheme="minorEastAsia" w:eastAsiaTheme="minorEastAsia" w:cstheme="minorEastAsia"/>
                <w:b/>
                <w:bCs/>
                <w:snapToGrid w:val="0"/>
                <w:szCs w:val="21"/>
              </w:rPr>
              <w:t>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9"/>
              <w:numPr>
                <w:ilvl w:val="0"/>
                <w:numId w:val="0"/>
              </w:numPr>
              <w:ind w:firstLine="420" w:firstLineChars="200"/>
              <w:rPr>
                <w:rFonts w:ascii="宋体" w:eastAsia="宋体" w:cs="宋体"/>
                <w:snapToGrid w:val="0"/>
                <w:sz w:val="21"/>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585"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35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备注</w:t>
            </w:r>
          </w:p>
        </w:tc>
        <w:tc>
          <w:tcPr>
            <w:tcW w:w="6857" w:type="dxa"/>
            <w:vAlign w:val="center"/>
          </w:tcPr>
          <w:p>
            <w:pPr>
              <w:pStyle w:val="8"/>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8"/>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及后续三年内不得参加采购人得采购活动。并将其列入政府采购黑名单库。</w:t>
            </w:r>
          </w:p>
          <w:p>
            <w:pPr>
              <w:pStyle w:val="9"/>
              <w:numPr>
                <w:ilvl w:val="0"/>
                <w:numId w:val="0"/>
              </w:numPr>
              <w:ind w:firstLine="210" w:firstLineChars="100"/>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kern w:val="2"/>
                <w:sz w:val="21"/>
                <w:szCs w:val="21"/>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bidi w:val="0"/>
      </w:pPr>
    </w:p>
    <w:p>
      <w:pPr>
        <w:jc w:val="left"/>
        <w:rPr>
          <w:rFonts w:ascii="宋体"/>
          <w:b/>
          <w:bCs/>
          <w:sz w:val="24"/>
        </w:rPr>
      </w:pPr>
      <w:r>
        <w:rPr>
          <w:rFonts w:hint="eastAsia" w:ascii="宋体"/>
          <w:b/>
          <w:bCs/>
          <w:szCs w:val="21"/>
        </w:rPr>
        <w:t>说明：《投标人须知前附表》是对投标须知条款的具体规定和补充，投标人应详细阅读，如有矛盾，以本资料表为准。</w:t>
      </w:r>
    </w:p>
    <w:p>
      <w:pPr>
        <w:rPr>
          <w:rFonts w:ascii="宋体" w:cs="宋体"/>
          <w:sz w:val="24"/>
        </w:rPr>
      </w:pPr>
    </w:p>
    <w:p>
      <w:pPr>
        <w:rPr>
          <w:rFonts w:ascii="Times New Roman" w:hAnsi="Times New Roman" w:cs="Times New Roman"/>
          <w:sz w:val="24"/>
        </w:rPr>
      </w:pPr>
      <w:r>
        <w:rPr>
          <w:rFonts w:ascii="Times New Roman" w:hAnsi="Times New Roman" w:cs="Times New Roman"/>
          <w:sz w:val="24"/>
        </w:rPr>
        <w:br w:type="page"/>
      </w:r>
    </w:p>
    <w:p>
      <w:pPr>
        <w:pStyle w:val="3"/>
        <w:jc w:val="center"/>
        <w:rPr>
          <w:rFonts w:ascii="黑体" w:eastAsia="黑体" w:cs="黑体"/>
          <w:sz w:val="24"/>
        </w:rPr>
      </w:pPr>
      <w:bookmarkStart w:id="1" w:name="_Toc24504"/>
      <w:r>
        <w:rPr>
          <w:rFonts w:hint="eastAsia" w:ascii="黑体" w:eastAsia="黑体" w:cs="黑体"/>
          <w:sz w:val="24"/>
        </w:rPr>
        <w:t>第二章  投标须知</w:t>
      </w:r>
      <w:bookmarkEnd w:id="1"/>
    </w:p>
    <w:p>
      <w:pPr>
        <w:pStyle w:val="4"/>
        <w:jc w:val="center"/>
        <w:rPr>
          <w:rFonts w:cs="宋体"/>
          <w:sz w:val="24"/>
          <w:szCs w:val="24"/>
        </w:rPr>
      </w:pPr>
      <w:bookmarkStart w:id="2" w:name="_Toc14212"/>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一、项目概况</w:t>
      </w:r>
    </w:p>
    <w:p>
      <w:pPr>
        <w:spacing w:line="360" w:lineRule="auto"/>
        <w:ind w:firstLine="480" w:firstLineChars="200"/>
        <w:rPr>
          <w:rFonts w:ascii="宋体" w:cs="宋体"/>
          <w:sz w:val="24"/>
        </w:rPr>
      </w:pPr>
      <w:r>
        <w:rPr>
          <w:rFonts w:hint="eastAsia" w:ascii="宋体" w:cs="宋体"/>
          <w:sz w:val="24"/>
        </w:rPr>
        <w:t>1.1 本根据《中华人民共和国招标投标法》等有关法律、法规和规章的规定，本招标项目已具备招标条件，本次招标采取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，且文件仅适用于本招标项目中所叙述的货物和服务等。</w:t>
      </w:r>
    </w:p>
    <w:p>
      <w:pPr>
        <w:spacing w:line="360" w:lineRule="auto"/>
        <w:ind w:firstLine="480" w:firstLineChars="200"/>
        <w:rPr>
          <w:rFonts w:ascii="宋体" w:cs="宋体"/>
          <w:sz w:val="24"/>
        </w:rPr>
      </w:pPr>
      <w:r>
        <w:rPr>
          <w:rFonts w:hint="eastAsia" w:ascii="宋体" w:cs="宋体"/>
          <w:sz w:val="24"/>
        </w:rPr>
        <w:t>1.2采购人：见投标人须知前附表</w:t>
      </w:r>
    </w:p>
    <w:p>
      <w:pPr>
        <w:spacing w:line="360" w:lineRule="auto"/>
        <w:ind w:firstLine="480" w:firstLineChars="200"/>
        <w:rPr>
          <w:rFonts w:ascii="宋体" w:cs="宋体"/>
          <w:sz w:val="24"/>
        </w:rPr>
      </w:pPr>
      <w:r>
        <w:rPr>
          <w:rFonts w:hint="eastAsia" w:ascii="宋体" w:cs="宋体"/>
          <w:sz w:val="24"/>
        </w:rPr>
        <w:t>1.3采购代理机构：见投标人须知前附表</w:t>
      </w:r>
    </w:p>
    <w:p>
      <w:pPr>
        <w:spacing w:line="360" w:lineRule="auto"/>
        <w:ind w:firstLine="480" w:firstLineChars="200"/>
        <w:rPr>
          <w:rFonts w:ascii="宋体" w:cs="宋体"/>
          <w:sz w:val="24"/>
        </w:rPr>
      </w:pPr>
      <w:r>
        <w:rPr>
          <w:rFonts w:hint="eastAsia" w:ascii="宋体" w:cs="宋体"/>
          <w:sz w:val="24"/>
        </w:rPr>
        <w:t>1.4项目名称：见投标人须知前附表</w:t>
      </w:r>
    </w:p>
    <w:p>
      <w:pPr>
        <w:spacing w:line="360" w:lineRule="auto"/>
        <w:ind w:firstLine="480" w:firstLineChars="200"/>
        <w:rPr>
          <w:rFonts w:ascii="宋体" w:cs="宋体"/>
          <w:sz w:val="24"/>
        </w:rPr>
      </w:pPr>
      <w:r>
        <w:rPr>
          <w:rFonts w:hint="eastAsia" w:ascii="宋体" w:cs="宋体"/>
          <w:sz w:val="24"/>
        </w:rPr>
        <w:t>1.5供货地址：见投标人须知前附表</w:t>
      </w:r>
    </w:p>
    <w:p>
      <w:pPr>
        <w:pStyle w:val="6"/>
      </w:pPr>
    </w:p>
    <w:p>
      <w:pPr>
        <w:spacing w:line="360" w:lineRule="auto"/>
        <w:rPr>
          <w:rFonts w:ascii="宋体" w:cs="宋体"/>
          <w:b/>
          <w:bCs/>
          <w:sz w:val="24"/>
        </w:rPr>
      </w:pPr>
      <w:r>
        <w:rPr>
          <w:rFonts w:hint="eastAsia" w:ascii="宋体" w:cs="宋体"/>
          <w:b/>
          <w:bCs/>
          <w:sz w:val="24"/>
        </w:rPr>
        <w:t>二、资金来源</w:t>
      </w:r>
    </w:p>
    <w:p>
      <w:pPr>
        <w:spacing w:line="360" w:lineRule="auto"/>
        <w:ind w:firstLine="480" w:firstLineChars="200"/>
        <w:rPr>
          <w:rFonts w:ascii="宋体" w:cs="宋体"/>
          <w:sz w:val="24"/>
        </w:rPr>
      </w:pPr>
      <w:r>
        <w:rPr>
          <w:rFonts w:hint="eastAsia" w:ascii="宋体" w:cs="宋体"/>
          <w:sz w:val="24"/>
        </w:rPr>
        <w:t>1.2.1 本招标项目的资金来源：见投标人须知前附表</w:t>
      </w:r>
    </w:p>
    <w:p>
      <w:pPr>
        <w:spacing w:line="360" w:lineRule="auto"/>
        <w:ind w:firstLine="480" w:firstLineChars="200"/>
        <w:rPr>
          <w:rFonts w:ascii="宋体" w:cs="宋体"/>
          <w:sz w:val="24"/>
        </w:rPr>
      </w:pPr>
      <w:r>
        <w:rPr>
          <w:rFonts w:hint="eastAsia" w:ascii="宋体" w:cs="宋体"/>
          <w:sz w:val="24"/>
        </w:rPr>
        <w:t>1.2.2本招标项目的资金落实情况：见投标人须知前附表</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b/>
          <w:bCs/>
          <w:kern w:val="0"/>
          <w:sz w:val="24"/>
        </w:rPr>
        <w:t>招标范围、计划工期和质量要求</w:t>
      </w:r>
    </w:p>
    <w:p>
      <w:pPr>
        <w:spacing w:line="360" w:lineRule="auto"/>
        <w:ind w:firstLine="480" w:firstLineChars="200"/>
        <w:rPr>
          <w:rFonts w:ascii="宋体" w:cs="宋体"/>
          <w:sz w:val="24"/>
        </w:rPr>
      </w:pPr>
      <w:r>
        <w:rPr>
          <w:rFonts w:hint="eastAsia" w:ascii="宋体"/>
          <w:kern w:val="0"/>
          <w:sz w:val="24"/>
        </w:rPr>
        <w:t>3.1</w:t>
      </w:r>
      <w:r>
        <w:rPr>
          <w:rFonts w:hint="eastAsia" w:ascii="宋体" w:cs="宋体"/>
          <w:sz w:val="24"/>
        </w:rPr>
        <w:t>本招标项目的范围：见投标人须知前附表</w:t>
      </w:r>
    </w:p>
    <w:p>
      <w:pPr>
        <w:spacing w:line="360" w:lineRule="auto"/>
        <w:ind w:firstLine="480" w:firstLineChars="200"/>
        <w:rPr>
          <w:rFonts w:ascii="宋体" w:cs="宋体"/>
          <w:sz w:val="24"/>
        </w:rPr>
      </w:pPr>
      <w:r>
        <w:rPr>
          <w:rFonts w:hint="eastAsia" w:ascii="宋体" w:cs="宋体"/>
          <w:sz w:val="24"/>
        </w:rPr>
        <w:t>3.2本招标项目的计划工期：见投标人须知前附表</w:t>
      </w:r>
    </w:p>
    <w:p>
      <w:pPr>
        <w:spacing w:line="360" w:lineRule="auto"/>
        <w:ind w:firstLine="480" w:firstLineChars="200"/>
        <w:rPr>
          <w:rFonts w:ascii="宋体" w:cs="宋体"/>
          <w:sz w:val="24"/>
        </w:rPr>
      </w:pPr>
      <w:r>
        <w:rPr>
          <w:rFonts w:hint="eastAsia" w:ascii="宋体" w:cs="宋体"/>
          <w:sz w:val="24"/>
        </w:rPr>
        <w:t>3.3本招标项目的质量要求：见投标人须知前附表</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b/>
          <w:bCs/>
          <w:color w:val="111111"/>
          <w:sz w:val="24"/>
          <w:shd w:val="clear" w:color="auto" w:fill="FFFFFF"/>
        </w:rPr>
      </w:pPr>
      <w:r>
        <w:rPr>
          <w:rFonts w:hint="eastAsia" w:ascii="宋体"/>
          <w:kern w:val="0"/>
          <w:sz w:val="24"/>
        </w:rPr>
        <w:t>4.1 满足《中华人民共和国政府采购法》第二十二条规定：</w:t>
      </w:r>
    </w:p>
    <w:p>
      <w:pPr>
        <w:spacing w:line="360" w:lineRule="auto"/>
        <w:ind w:firstLine="480" w:firstLineChars="200"/>
        <w:rPr>
          <w:rFonts w:ascii="宋体" w:cs="宋体"/>
          <w:b/>
          <w:bCs/>
          <w:color w:val="111111"/>
          <w:sz w:val="24"/>
          <w:shd w:val="clear" w:color="auto" w:fill="FFFFFF"/>
        </w:rPr>
      </w:pPr>
      <w:r>
        <w:rPr>
          <w:rFonts w:hint="eastAsia" w:ascii="宋体" w:cs="宋体"/>
          <w:sz w:val="24"/>
        </w:rPr>
        <w:t>⑴ 具有独立承担民事责任的能力；</w:t>
      </w:r>
    </w:p>
    <w:p>
      <w:pPr>
        <w:spacing w:line="360" w:lineRule="auto"/>
        <w:ind w:firstLine="480" w:firstLineChars="200"/>
        <w:rPr>
          <w:rFonts w:ascii="宋体" w:cs="宋体"/>
          <w:b/>
          <w:bCs/>
          <w:color w:val="111111"/>
          <w:sz w:val="24"/>
          <w:shd w:val="clear" w:color="auto" w:fill="FFFFFF"/>
        </w:rPr>
      </w:pPr>
      <w:r>
        <w:rPr>
          <w:rFonts w:hint="eastAsia" w:ascii="宋体" w:cs="宋体"/>
          <w:sz w:val="24"/>
        </w:rPr>
        <w:t>⑵ 具有良好的商业信誉和健全的财务会计制度；</w:t>
      </w:r>
    </w:p>
    <w:p>
      <w:pPr>
        <w:spacing w:line="360" w:lineRule="auto"/>
        <w:ind w:firstLine="480" w:firstLineChars="200"/>
        <w:jc w:val="left"/>
        <w:rPr>
          <w:rFonts w:ascii="宋体" w:cs="宋体"/>
          <w:color w:val="000000"/>
          <w:sz w:val="24"/>
        </w:rPr>
      </w:pPr>
      <w:r>
        <w:rPr>
          <w:rFonts w:hint="eastAsia" w:ascii="宋体" w:cs="宋体"/>
          <w:sz w:val="24"/>
        </w:rPr>
        <w:t>⑶ 具有履行合同所必需的设备和专业技术能力；</w:t>
      </w:r>
    </w:p>
    <w:p>
      <w:pPr>
        <w:spacing w:line="360" w:lineRule="auto"/>
        <w:ind w:firstLine="480" w:firstLineChars="200"/>
        <w:rPr>
          <w:rFonts w:ascii="宋体" w:cs="宋体"/>
          <w:b/>
          <w:bCs/>
          <w:color w:val="111111"/>
          <w:sz w:val="24"/>
          <w:shd w:val="clear" w:color="auto" w:fill="FFFFFF"/>
        </w:rPr>
      </w:pPr>
      <w:r>
        <w:rPr>
          <w:rFonts w:hint="eastAsia" w:ascii="宋体" w:cs="宋体"/>
          <w:sz w:val="24"/>
        </w:rPr>
        <w:t>⑷ 有依法缴纳税收和社会保障资金的良好记录；；</w:t>
      </w:r>
    </w:p>
    <w:p>
      <w:pPr>
        <w:spacing w:line="360" w:lineRule="auto"/>
        <w:ind w:firstLine="480" w:firstLineChars="200"/>
        <w:rPr>
          <w:rFonts w:ascii="宋体" w:cs="宋体"/>
          <w:b/>
          <w:bCs/>
          <w:color w:val="111111"/>
          <w:sz w:val="24"/>
          <w:shd w:val="clear" w:color="auto" w:fill="FFFFFF"/>
        </w:rPr>
      </w:pPr>
      <w:r>
        <w:rPr>
          <w:rFonts w:hint="eastAsia" w:ascii="宋体" w:cs="宋体"/>
          <w:sz w:val="24"/>
        </w:rPr>
        <w:t>⑸ 参加政府采购活动前三年内，在经营活动中没有重大违法记录；</w:t>
      </w:r>
    </w:p>
    <w:p>
      <w:pPr>
        <w:spacing w:line="360" w:lineRule="auto"/>
        <w:ind w:firstLine="480" w:firstLineChars="200"/>
        <w:rPr>
          <w:rFonts w:ascii="宋体" w:cs="宋体"/>
          <w:sz w:val="24"/>
        </w:rPr>
      </w:pPr>
      <w:r>
        <w:rPr>
          <w:rFonts w:hint="eastAsia" w:ascii="宋体" w:cs="宋体"/>
          <w:sz w:val="24"/>
        </w:rPr>
        <w:t>⑹ 法律、行政法规规定的其他条件。</w:t>
      </w:r>
    </w:p>
    <w:p>
      <w:pPr>
        <w:spacing w:line="360" w:lineRule="auto"/>
        <w:ind w:firstLine="480" w:firstLineChars="200"/>
        <w:rPr>
          <w:rFonts w:ascii="宋体" w:cs="宋体"/>
          <w:b/>
          <w:bCs/>
          <w:color w:val="111111"/>
          <w:sz w:val="24"/>
          <w:shd w:val="clear" w:color="auto" w:fill="FFFFFF"/>
        </w:rPr>
      </w:pPr>
      <w:r>
        <w:rPr>
          <w:rFonts w:hint="eastAsia" w:ascii="宋体"/>
          <w:kern w:val="0"/>
          <w:sz w:val="24"/>
        </w:rPr>
        <w:t xml:space="preserve">4.2 </w:t>
      </w:r>
      <w:r>
        <w:rPr>
          <w:rFonts w:hint="eastAsia" w:ascii="宋体" w:cs="宋体"/>
          <w:color w:val="111111"/>
          <w:sz w:val="24"/>
          <w:shd w:val="clear" w:color="auto" w:fill="FFFFFF"/>
        </w:rPr>
        <w:t>落实政府采购政策需满足得资格要求：无；</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720" w:firstLineChars="3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宋体" w:cs="宋体"/>
          <w:color w:val="111111"/>
          <w:sz w:val="24"/>
          <w:shd w:val="clear" w:color="auto" w:fill="FFFFFF"/>
        </w:rPr>
        <w:t>⒈ 财政部、国家发展改革委、生态环境部、市场监管总局《关于调整优化节能产品、环境标志产品政府采购执行机制的通知》（财库[2019]9号文）；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⒉ 财政部、生态环境部《关于印发</w:t>
      </w:r>
      <w:r>
        <w:rPr>
          <w:rFonts w:hint="eastAsia" w:ascii="宋体" w:cs="宋体"/>
          <w:color w:val="000000"/>
          <w:sz w:val="24"/>
          <w:shd w:val="clear" w:color="auto" w:fill="FFFFFF"/>
        </w:rPr>
        <w:t>环境标志</w:t>
      </w:r>
      <w:r>
        <w:rPr>
          <w:rFonts w:hint="eastAsia" w:ascii="宋体" w:cs="宋体"/>
          <w:color w:val="111111"/>
          <w:sz w:val="24"/>
          <w:shd w:val="clear" w:color="auto" w:fill="FFFFFF"/>
        </w:rPr>
        <w:t>产品政府采购品目清单的通知》（财库[2019]18号文）；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⒊ 财政部、发展改革委《关于印发</w:t>
      </w:r>
      <w:r>
        <w:rPr>
          <w:rFonts w:hint="eastAsia" w:ascii="宋体" w:cs="宋体"/>
          <w:color w:val="000000"/>
          <w:sz w:val="24"/>
          <w:shd w:val="clear" w:color="auto" w:fill="FFFFFF"/>
        </w:rPr>
        <w:t>节能产品</w:t>
      </w:r>
      <w:r>
        <w:rPr>
          <w:rFonts w:hint="eastAsia" w:ascii="宋体" w:cs="宋体"/>
          <w:color w:val="111111"/>
          <w:sz w:val="24"/>
          <w:shd w:val="clear" w:color="auto" w:fill="FFFFFF"/>
        </w:rPr>
        <w:t>政府采购品目清单的通知》（财库[2019]19号文）；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⒋ 市场监管总局《市场监管总局关于发布参与实施政府采购节能产品、环境标志产品认证机构名录的公告》（2019年第16号）；</w:t>
      </w:r>
    </w:p>
    <w:p>
      <w:pPr>
        <w:spacing w:line="360" w:lineRule="auto"/>
        <w:ind w:firstLine="480" w:firstLineChars="200"/>
        <w:rPr>
          <w:rFonts w:ascii="宋体" w:cs="宋体"/>
          <w:sz w:val="24"/>
        </w:rPr>
      </w:pPr>
      <w:r>
        <w:rPr>
          <w:rFonts w:hint="eastAsia" w:ascii="宋体" w:cs="宋体"/>
          <w:color w:val="111111"/>
          <w:sz w:val="24"/>
          <w:shd w:val="clear" w:color="auto" w:fill="FFFFFF"/>
        </w:rPr>
        <w:t>⒌ 财政部、工业和信息化部《关于印发《政府采购</w:t>
      </w:r>
      <w:r>
        <w:rPr>
          <w:rFonts w:hint="eastAsia" w:ascii="宋体" w:cs="宋体"/>
          <w:color w:val="000000"/>
          <w:sz w:val="24"/>
          <w:shd w:val="clear" w:color="auto" w:fill="FFFFFF"/>
        </w:rPr>
        <w:t>促进中小企业</w:t>
      </w:r>
      <w:r>
        <w:rPr>
          <w:rFonts w:hint="eastAsia" w:ascii="宋体" w:cs="宋体"/>
          <w:color w:val="111111"/>
          <w:sz w:val="24"/>
          <w:shd w:val="clear" w:color="auto" w:fill="FFFFFF"/>
        </w:rPr>
        <w:t>展暂行办法》的通知》（财库[2020]46号文）；</w:t>
      </w:r>
    </w:p>
    <w:p>
      <w:pPr>
        <w:spacing w:line="360" w:lineRule="auto"/>
        <w:ind w:firstLine="480" w:firstLineChars="200"/>
        <w:rPr>
          <w:rFonts w:ascii="宋体" w:cs="宋体"/>
          <w:sz w:val="24"/>
        </w:rPr>
      </w:pPr>
      <w:r>
        <w:rPr>
          <w:rFonts w:hint="eastAsia" w:ascii="宋体" w:cs="宋体"/>
          <w:color w:val="111111"/>
          <w:sz w:val="24"/>
          <w:shd w:val="clear" w:color="auto" w:fill="FFFFFF"/>
        </w:rPr>
        <w:t>⒍ 财政部、民政部、中国残疾人联合会《关于促进残疾人就业政府采购政策的通知》（财库[2017]141号文）；</w:t>
      </w:r>
    </w:p>
    <w:p>
      <w:pPr>
        <w:spacing w:line="360" w:lineRule="auto"/>
        <w:ind w:firstLine="480" w:firstLineChars="200"/>
        <w:rPr>
          <w:rFonts w:ascii="宋体" w:cs="宋体"/>
          <w:sz w:val="24"/>
        </w:rPr>
      </w:pPr>
      <w:r>
        <w:rPr>
          <w:rFonts w:hint="eastAsia" w:ascii="宋体" w:cs="宋体"/>
          <w:color w:val="111111"/>
          <w:sz w:val="24"/>
          <w:shd w:val="clear" w:color="auto" w:fill="FFFFFF"/>
        </w:rPr>
        <w:t>⒎ 财政部、司法部《关于政府采购支持监狱企业发展有关问题的通知》（财库[2014]68号文）；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⒏ 《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0" w:firstLineChars="200"/>
        <w:rPr>
          <w:rFonts w:ascii="宋体" w:cs="宋体"/>
          <w:sz w:val="24"/>
        </w:rPr>
      </w:pPr>
      <w:r>
        <w:rPr>
          <w:rFonts w:hint="eastAsia" w:ascii="宋体"/>
          <w:kern w:val="0"/>
          <w:sz w:val="24"/>
        </w:rPr>
        <w:t xml:space="preserve">4.3 </w:t>
      </w:r>
      <w:r>
        <w:rPr>
          <w:rFonts w:hint="eastAsia" w:ascii="宋体" w:cs="宋体"/>
          <w:sz w:val="24"/>
        </w:rPr>
        <w:t>投标人须知前附表规定接受联合体投标的，除应符合本章第4.1项和投标人须知前附表的要求外，还应遵守以下规定：</w:t>
      </w:r>
    </w:p>
    <w:p>
      <w:pPr>
        <w:spacing w:line="360" w:lineRule="auto"/>
        <w:ind w:firstLine="720" w:firstLineChars="300"/>
        <w:rPr>
          <w:rFonts w:ascii="宋体" w:cs="宋体"/>
          <w:sz w:val="24"/>
        </w:rPr>
      </w:pPr>
      <w:r>
        <w:rPr>
          <w:rFonts w:hint="eastAsia" w:ascii="宋体" w:cs="宋体"/>
          <w:sz w:val="24"/>
        </w:rPr>
        <w:t>⑴ 联合体各方应按招标文件提供的格式签订联合体协议书，明确联合体牵头人和各方权利义务；</w:t>
      </w:r>
    </w:p>
    <w:p>
      <w:pPr>
        <w:spacing w:line="360" w:lineRule="auto"/>
        <w:ind w:firstLine="720" w:firstLineChars="300"/>
        <w:rPr>
          <w:rFonts w:ascii="宋体" w:cs="宋体"/>
          <w:sz w:val="24"/>
        </w:rPr>
      </w:pPr>
      <w:r>
        <w:rPr>
          <w:rFonts w:hint="eastAsia" w:ascii="宋体" w:cs="宋体"/>
          <w:sz w:val="24"/>
        </w:rPr>
        <w:t>⑵ 由同一专业的单位组成的联合体，按照资质等级较低的单位确定资质等级；</w:t>
      </w:r>
    </w:p>
    <w:p>
      <w:pPr>
        <w:spacing w:line="360" w:lineRule="auto"/>
        <w:ind w:firstLine="720" w:firstLineChars="300"/>
        <w:rPr>
          <w:rFonts w:ascii="宋体" w:cs="宋体"/>
          <w:sz w:val="24"/>
        </w:rPr>
      </w:pPr>
      <w:r>
        <w:rPr>
          <w:rFonts w:hint="eastAsia" w:ascii="宋体" w:cs="宋体"/>
          <w:sz w:val="24"/>
        </w:rPr>
        <w:t>⑶ 联合体各方不得再以自己名义单独或参加其他联合体在同一标段中投标；</w:t>
      </w:r>
    </w:p>
    <w:p>
      <w:pPr>
        <w:spacing w:line="360" w:lineRule="auto"/>
        <w:ind w:firstLine="720" w:firstLineChars="300"/>
        <w:rPr>
          <w:rFonts w:ascii="宋体" w:cs="宋体"/>
          <w:sz w:val="24"/>
        </w:rPr>
      </w:pPr>
      <w:r>
        <w:rPr>
          <w:rFonts w:hint="eastAsia" w:ascii="宋体" w:cs="宋体"/>
          <w:sz w:val="24"/>
        </w:rPr>
        <w:t>⑷ 本项目是否接受联合体投标见投标人须知前附表。</w:t>
      </w:r>
    </w:p>
    <w:p>
      <w:pPr>
        <w:spacing w:line="360" w:lineRule="auto"/>
        <w:ind w:firstLine="480" w:firstLineChars="200"/>
        <w:rPr>
          <w:rFonts w:ascii="宋体" w:cs="宋体"/>
          <w:sz w:val="24"/>
        </w:rPr>
      </w:pPr>
      <w:r>
        <w:rPr>
          <w:rFonts w:hint="eastAsia" w:ascii="宋体" w:cs="宋体"/>
          <w:sz w:val="24"/>
        </w:rPr>
        <w:t>4.4 投标人不得存在下列情形之一：</w:t>
      </w:r>
    </w:p>
    <w:p>
      <w:pPr>
        <w:spacing w:line="360" w:lineRule="auto"/>
        <w:ind w:firstLine="720" w:firstLineChars="300"/>
        <w:rPr>
          <w:rFonts w:ascii="宋体" w:cs="宋体"/>
          <w:sz w:val="24"/>
        </w:rPr>
      </w:pPr>
      <w:r>
        <w:rPr>
          <w:rFonts w:hint="eastAsia" w:ascii="宋体" w:cs="宋体"/>
          <w:sz w:val="24"/>
        </w:rPr>
        <w:t>⑴ 为招标人不具有独立法人资格的附属机构（单位）；</w:t>
      </w:r>
    </w:p>
    <w:p>
      <w:pPr>
        <w:spacing w:line="360" w:lineRule="auto"/>
        <w:ind w:firstLine="720" w:firstLineChars="300"/>
        <w:rPr>
          <w:rFonts w:ascii="宋体" w:cs="宋体"/>
          <w:sz w:val="24"/>
        </w:rPr>
      </w:pPr>
      <w:r>
        <w:rPr>
          <w:rFonts w:hint="eastAsia" w:ascii="宋体" w:cs="宋体"/>
          <w:sz w:val="24"/>
        </w:rPr>
        <w:t>⑵ 由为本标段前期准备提供设计或咨询服务的，但设计施工总承包的除外；</w:t>
      </w:r>
    </w:p>
    <w:p>
      <w:pPr>
        <w:spacing w:line="360" w:lineRule="auto"/>
        <w:ind w:firstLine="720" w:firstLineChars="300"/>
        <w:rPr>
          <w:rFonts w:ascii="宋体" w:cs="宋体"/>
          <w:sz w:val="24"/>
        </w:rPr>
      </w:pPr>
      <w:r>
        <w:rPr>
          <w:rFonts w:hint="eastAsia" w:ascii="宋体" w:cs="宋体"/>
          <w:sz w:val="24"/>
        </w:rPr>
        <w:t>⑶ 为本标段的监理人；</w:t>
      </w:r>
    </w:p>
    <w:p>
      <w:pPr>
        <w:spacing w:line="360" w:lineRule="auto"/>
        <w:ind w:firstLine="720" w:firstLineChars="300"/>
        <w:rPr>
          <w:rFonts w:ascii="宋体" w:cs="宋体"/>
          <w:sz w:val="24"/>
        </w:rPr>
      </w:pPr>
      <w:r>
        <w:rPr>
          <w:rFonts w:hint="eastAsia" w:ascii="宋体" w:cs="宋体"/>
          <w:sz w:val="24"/>
        </w:rPr>
        <w:t>⑷ 为本标段的代建人；</w:t>
      </w:r>
    </w:p>
    <w:p>
      <w:pPr>
        <w:spacing w:line="360" w:lineRule="auto"/>
        <w:ind w:firstLine="720" w:firstLineChars="300"/>
        <w:rPr>
          <w:rFonts w:ascii="宋体" w:cs="宋体"/>
          <w:sz w:val="24"/>
        </w:rPr>
      </w:pPr>
      <w:r>
        <w:rPr>
          <w:rFonts w:hint="eastAsia" w:ascii="宋体" w:cs="宋体"/>
          <w:sz w:val="24"/>
        </w:rPr>
        <w:t>⑸ 为本标段提供招标代理服务的；</w:t>
      </w:r>
    </w:p>
    <w:p>
      <w:pPr>
        <w:spacing w:line="360" w:lineRule="auto"/>
        <w:ind w:firstLine="720" w:firstLineChars="300"/>
        <w:rPr>
          <w:rFonts w:ascii="宋体" w:cs="宋体"/>
          <w:sz w:val="24"/>
        </w:rPr>
      </w:pPr>
      <w:r>
        <w:rPr>
          <w:rFonts w:hint="eastAsia" w:ascii="宋体" w:cs="宋体"/>
          <w:sz w:val="24"/>
        </w:rPr>
        <w:t>⑹ 与本标段的监理人或代建人或招标代理机构同为一个法定代表人的；</w:t>
      </w:r>
    </w:p>
    <w:p>
      <w:pPr>
        <w:spacing w:line="360" w:lineRule="auto"/>
        <w:ind w:firstLine="720" w:firstLineChars="300"/>
        <w:rPr>
          <w:rFonts w:ascii="宋体" w:cs="宋体"/>
          <w:sz w:val="24"/>
        </w:rPr>
      </w:pPr>
      <w:r>
        <w:rPr>
          <w:rFonts w:hint="eastAsia" w:ascii="宋体" w:cs="宋体"/>
          <w:sz w:val="24"/>
        </w:rPr>
        <w:t>⑺ 与本标段的监理人或代建人或招标代理机构相互控股或参股的；</w:t>
      </w:r>
    </w:p>
    <w:p>
      <w:pPr>
        <w:spacing w:line="360" w:lineRule="auto"/>
        <w:ind w:firstLine="720" w:firstLineChars="300"/>
        <w:rPr>
          <w:rFonts w:ascii="宋体" w:cs="宋体"/>
          <w:sz w:val="24"/>
        </w:rPr>
      </w:pPr>
      <w:r>
        <w:rPr>
          <w:rFonts w:hint="eastAsia" w:ascii="宋体" w:cs="宋体"/>
          <w:sz w:val="24"/>
        </w:rPr>
        <w:t>⑻ 与本标段的监理人或代建人或招标代理机构相互任职或工作的；</w:t>
      </w:r>
    </w:p>
    <w:p>
      <w:pPr>
        <w:spacing w:line="360" w:lineRule="auto"/>
        <w:ind w:firstLine="720" w:firstLineChars="300"/>
        <w:rPr>
          <w:rFonts w:ascii="宋体" w:cs="宋体"/>
          <w:sz w:val="24"/>
        </w:rPr>
      </w:pPr>
      <w:r>
        <w:rPr>
          <w:rFonts w:hint="eastAsia" w:ascii="宋体" w:cs="宋体"/>
          <w:sz w:val="24"/>
        </w:rPr>
        <w:t>⑼ 被责令停业的；</w:t>
      </w:r>
    </w:p>
    <w:p>
      <w:pPr>
        <w:spacing w:line="360" w:lineRule="auto"/>
        <w:ind w:firstLine="720" w:firstLineChars="300"/>
        <w:rPr>
          <w:rFonts w:ascii="宋体" w:cs="宋体"/>
          <w:sz w:val="24"/>
        </w:rPr>
      </w:pPr>
      <w:r>
        <w:rPr>
          <w:rFonts w:hint="eastAsia" w:ascii="宋体" w:cs="宋体"/>
          <w:sz w:val="24"/>
        </w:rPr>
        <w:t>⑽ 被暂停或取消投标资格的；</w:t>
      </w:r>
    </w:p>
    <w:p>
      <w:pPr>
        <w:spacing w:line="360" w:lineRule="auto"/>
        <w:ind w:firstLine="720" w:firstLineChars="300"/>
        <w:rPr>
          <w:rFonts w:ascii="宋体" w:cs="宋体"/>
          <w:sz w:val="24"/>
        </w:rPr>
      </w:pPr>
      <w:r>
        <w:rPr>
          <w:rFonts w:hint="eastAsia" w:ascii="宋体" w:cs="宋体"/>
          <w:sz w:val="24"/>
        </w:rPr>
        <w:t>⑾ 财产被接管或冻结的；</w:t>
      </w:r>
    </w:p>
    <w:p>
      <w:pPr>
        <w:spacing w:line="360" w:lineRule="auto"/>
        <w:ind w:firstLine="720" w:firstLineChars="300"/>
        <w:rPr>
          <w:rFonts w:ascii="宋体" w:cs="宋体"/>
          <w:sz w:val="24"/>
        </w:rPr>
      </w:pPr>
      <w:r>
        <w:rPr>
          <w:rFonts w:hint="eastAsia" w:ascii="宋体" w:cs="宋体"/>
          <w:sz w:val="24"/>
        </w:rPr>
        <w:t>⑿ 在最近三年内有骗取中标或严重违约或重大工程质量问题的。</w:t>
      </w:r>
    </w:p>
    <w:p>
      <w:pPr>
        <w:pStyle w:val="6"/>
        <w:rPr>
          <w:rFonts w:ascii="宋体" w:cs="宋体"/>
        </w:rPr>
      </w:pPr>
    </w:p>
    <w:p>
      <w:pPr>
        <w:widowControl/>
        <w:shd w:val="clear" w:color="auto" w:fill="FFFFFF"/>
        <w:snapToGrid w:val="0"/>
        <w:spacing w:line="360" w:lineRule="auto"/>
        <w:rPr>
          <w:rFonts w:ascii="宋体" w:cs="宋体"/>
          <w:b/>
          <w:bCs/>
          <w:kern w:val="0"/>
          <w:sz w:val="24"/>
        </w:rPr>
      </w:pPr>
      <w:r>
        <w:rPr>
          <w:rFonts w:hint="eastAsia" w:ascii="宋体" w:cs="宋体"/>
          <w:b/>
          <w:bCs/>
          <w:sz w:val="24"/>
        </w:rPr>
        <w:t>五、</w:t>
      </w:r>
      <w:r>
        <w:rPr>
          <w:rFonts w:hint="eastAsia" w:ascii="宋体" w:cs="宋体"/>
          <w:b/>
          <w:bCs/>
          <w:kern w:val="0"/>
          <w:sz w:val="24"/>
        </w:rPr>
        <w:t>费用承担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投标人自行承担响应招标、参加投标竞争的一切费用。不论投标的结果如何，采购人或采购代理机构在任何情况下均无义务和责任,承担因投标所发生的一切费用。</w:t>
      </w:r>
    </w:p>
    <w:p>
      <w:pPr>
        <w:pStyle w:val="6"/>
        <w:rPr>
          <w:rFonts w:ascii="宋体" w:cs="宋体"/>
        </w:rPr>
      </w:pP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rPr>
          <w:rFonts w:ascii="宋体" w:cs="宋体"/>
          <w:sz w:val="24"/>
        </w:rPr>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七、</w:t>
      </w:r>
      <w:r>
        <w:rPr>
          <w:rFonts w:hint="eastAsia" w:ascii="宋体"/>
          <w:b/>
          <w:bCs/>
          <w:kern w:val="0"/>
          <w:sz w:val="24"/>
        </w:rPr>
        <w:t>语言文字</w:t>
      </w:r>
    </w:p>
    <w:p>
      <w:pPr>
        <w:spacing w:line="360" w:lineRule="auto"/>
        <w:ind w:firstLine="480" w:firstLineChars="200"/>
        <w:rPr>
          <w:rFonts w:ascii="宋体" w:cs="宋体"/>
          <w:sz w:val="24"/>
        </w:rPr>
      </w:pPr>
      <w:r>
        <w:rPr>
          <w:rFonts w:hint="eastAsia" w:ascii="宋体"/>
          <w:kern w:val="0"/>
          <w:sz w:val="24"/>
        </w:rPr>
        <w:t>除专用术语外，与招标投标有关的语言均使用中文。必要时专用术语应附有中文注释</w:t>
      </w:r>
      <w:r>
        <w:rPr>
          <w:rFonts w:hint="eastAsia" w:ascii="宋体" w:cs="宋体"/>
          <w:sz w:val="24"/>
        </w:rPr>
        <w:t>。</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八、</w:t>
      </w:r>
      <w:r>
        <w:rPr>
          <w:rFonts w:hint="eastAsia" w:ascii="宋体"/>
          <w:b/>
          <w:bCs/>
          <w:kern w:val="0"/>
          <w:sz w:val="24"/>
        </w:rPr>
        <w:t>计量单位</w:t>
      </w:r>
    </w:p>
    <w:p>
      <w:pPr>
        <w:spacing w:line="360" w:lineRule="auto"/>
        <w:ind w:firstLine="480" w:firstLineChars="200"/>
        <w:rPr>
          <w:rFonts w:ascii="宋体" w:cs="宋体"/>
          <w:sz w:val="24"/>
        </w:rPr>
      </w:pPr>
      <w:r>
        <w:rPr>
          <w:rFonts w:hint="eastAsia" w:ascii="宋体"/>
          <w:kern w:val="0"/>
          <w:sz w:val="24"/>
        </w:rPr>
        <w:t>所有计量均采用中华人民共和国法定计量单位</w:t>
      </w:r>
      <w:r>
        <w:rPr>
          <w:rFonts w:hint="eastAsia" w:ascii="宋体" w:cs="宋体"/>
          <w:sz w:val="24"/>
        </w:rPr>
        <w:t>。</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九、</w:t>
      </w:r>
      <w:r>
        <w:rPr>
          <w:rFonts w:hint="eastAsia" w:ascii="宋体"/>
          <w:b/>
          <w:bCs/>
          <w:kern w:val="0"/>
          <w:sz w:val="24"/>
        </w:rPr>
        <w:t>现场踏勘</w:t>
      </w:r>
    </w:p>
    <w:p>
      <w:pPr>
        <w:spacing w:line="360" w:lineRule="auto"/>
        <w:ind w:firstLine="480" w:firstLineChars="200"/>
        <w:rPr>
          <w:rFonts w:ascii="宋体" w:cs="宋体"/>
          <w:sz w:val="24"/>
        </w:rPr>
      </w:pPr>
      <w:r>
        <w:rPr>
          <w:rFonts w:hint="eastAsia" w:ascii="宋体"/>
          <w:kern w:val="0"/>
          <w:sz w:val="24"/>
        </w:rPr>
        <w:t>9.1</w:t>
      </w:r>
      <w:r>
        <w:rPr>
          <w:rFonts w:hint="eastAsia" w:ascii="宋体" w:cs="宋体"/>
          <w:sz w:val="24"/>
        </w:rPr>
        <w:t>投标人须知前附表规定组织踏勘现场的，招标人按投标人须知前附表规定的时间、地点组织投标人踏勘项目现场。</w:t>
      </w:r>
    </w:p>
    <w:p>
      <w:pPr>
        <w:spacing w:line="360" w:lineRule="auto"/>
        <w:ind w:firstLine="480" w:firstLineChars="200"/>
        <w:rPr>
          <w:rFonts w:ascii="宋体" w:cs="宋体"/>
          <w:sz w:val="24"/>
        </w:rPr>
      </w:pPr>
      <w:r>
        <w:rPr>
          <w:rFonts w:hint="eastAsia" w:ascii="宋体"/>
          <w:kern w:val="0"/>
          <w:sz w:val="24"/>
        </w:rPr>
        <w:t xml:space="preserve">9.2 </w:t>
      </w:r>
      <w:r>
        <w:rPr>
          <w:rFonts w:hint="eastAsia" w:ascii="宋体" w:cs="宋体"/>
          <w:sz w:val="24"/>
        </w:rPr>
        <w:t>投标人踏勘项目现场发生的费用自理。</w:t>
      </w:r>
    </w:p>
    <w:p>
      <w:pPr>
        <w:spacing w:line="360" w:lineRule="auto"/>
        <w:ind w:firstLine="480" w:firstLineChars="200"/>
        <w:rPr>
          <w:rFonts w:ascii="宋体" w:cs="宋体"/>
          <w:sz w:val="24"/>
        </w:rPr>
      </w:pPr>
      <w:r>
        <w:rPr>
          <w:rFonts w:hint="eastAsia" w:ascii="宋体"/>
          <w:kern w:val="0"/>
          <w:sz w:val="24"/>
        </w:rPr>
        <w:t>9.3 除招标人的原因外，</w:t>
      </w:r>
      <w:r>
        <w:rPr>
          <w:rFonts w:hint="eastAsia" w:ascii="宋体" w:cs="宋体"/>
          <w:sz w:val="24"/>
        </w:rPr>
        <w:t>投标人自行负责在踏勘现场中所发生的人员伤亡和财产损失。</w:t>
      </w:r>
    </w:p>
    <w:p>
      <w:pPr>
        <w:spacing w:line="360" w:lineRule="auto"/>
        <w:ind w:firstLine="480" w:firstLineChars="200"/>
        <w:rPr>
          <w:rFonts w:ascii="宋体" w:cs="宋体"/>
          <w:sz w:val="24"/>
        </w:rPr>
      </w:pPr>
      <w:r>
        <w:rPr>
          <w:rFonts w:hint="eastAsia" w:ascii="宋体"/>
          <w:kern w:val="0"/>
          <w:sz w:val="24"/>
        </w:rPr>
        <w:t xml:space="preserve">9.4 </w:t>
      </w:r>
      <w:r>
        <w:rPr>
          <w:rFonts w:hint="eastAsia" w:ascii="宋体" w:cs="宋体"/>
          <w:sz w:val="24"/>
        </w:rPr>
        <w:t>招标人在踏勘现场中介绍的工程场地和相关的周边环境情况，供投标人在编制投标文件时参考，招标人不对投标人据此作出的判断和决策负责。</w:t>
      </w:r>
    </w:p>
    <w:p>
      <w:pPr>
        <w:widowControl/>
        <w:shd w:val="clear" w:color="auto" w:fill="FFFFFF"/>
        <w:snapToGrid w:val="0"/>
        <w:spacing w:line="360" w:lineRule="auto"/>
        <w:ind w:firstLine="480" w:firstLineChars="200"/>
        <w:rPr>
          <w:rFonts w:ascii="宋体"/>
          <w:b/>
          <w:bCs/>
          <w:kern w:val="0"/>
          <w:sz w:val="24"/>
        </w:rPr>
      </w:pPr>
      <w:r>
        <w:rPr>
          <w:rFonts w:hint="eastAsia" w:ascii="宋体"/>
          <w:kern w:val="0"/>
          <w:sz w:val="24"/>
        </w:rPr>
        <w:t xml:space="preserve">9.5 </w:t>
      </w:r>
      <w:r>
        <w:rPr>
          <w:rFonts w:hint="eastAsia" w:ascii="宋体" w:cs="宋体"/>
          <w:sz w:val="24"/>
        </w:rPr>
        <w:t>本项目是否现场踏勘见投标人须知前附表</w:t>
      </w:r>
      <w:r>
        <w:rPr>
          <w:rFonts w:hint="eastAsia" w:ascii="宋体" w:cs="宋体"/>
          <w:b/>
          <w:bCs/>
          <w:sz w:val="24"/>
        </w:rPr>
        <w:t>。</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十、</w:t>
      </w:r>
      <w:r>
        <w:rPr>
          <w:rFonts w:hint="eastAsia" w:ascii="宋体"/>
          <w:b/>
          <w:bCs/>
          <w:kern w:val="0"/>
          <w:sz w:val="24"/>
        </w:rPr>
        <w:t>投标预备会</w:t>
      </w:r>
    </w:p>
    <w:p>
      <w:pPr>
        <w:spacing w:line="360" w:lineRule="auto"/>
        <w:ind w:firstLine="480" w:firstLineChars="200"/>
        <w:rPr>
          <w:rFonts w:ascii="宋体" w:cs="宋体"/>
          <w:sz w:val="24"/>
        </w:rPr>
      </w:pPr>
      <w:r>
        <w:rPr>
          <w:rFonts w:hint="eastAsia" w:ascii="宋体"/>
          <w:kern w:val="0"/>
          <w:sz w:val="24"/>
        </w:rPr>
        <w:t>10.1</w:t>
      </w:r>
      <w:r>
        <w:rPr>
          <w:rFonts w:hint="eastAsia" w:ascii="宋体" w:cs="宋体"/>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宋体" w:cs="宋体"/>
          <w:sz w:val="24"/>
        </w:rPr>
      </w:pPr>
      <w:r>
        <w:rPr>
          <w:rFonts w:hint="eastAsia" w:ascii="宋体"/>
          <w:kern w:val="0"/>
          <w:sz w:val="24"/>
        </w:rPr>
        <w:t xml:space="preserve">10.2 </w:t>
      </w:r>
      <w:r>
        <w:rPr>
          <w:rFonts w:hint="eastAsia" w:ascii="宋体" w:cs="宋体"/>
          <w:sz w:val="24"/>
        </w:rPr>
        <w:t>招标人应在投标人须知前附表规定的时间前，以书面形式将提出的问题送达招标人，以便招标人在会议期间澄清。</w:t>
      </w:r>
    </w:p>
    <w:p>
      <w:pPr>
        <w:spacing w:line="360" w:lineRule="auto"/>
        <w:ind w:firstLine="480" w:firstLineChars="200"/>
        <w:rPr>
          <w:rFonts w:ascii="宋体" w:cs="宋体"/>
          <w:sz w:val="24"/>
        </w:rPr>
      </w:pPr>
      <w:r>
        <w:rPr>
          <w:rFonts w:hint="eastAsia" w:ascii="宋体"/>
          <w:kern w:val="0"/>
          <w:sz w:val="24"/>
        </w:rPr>
        <w:t xml:space="preserve">10.3 </w:t>
      </w:r>
      <w:r>
        <w:rPr>
          <w:rFonts w:hint="eastAsia" w:ascii="宋体" w:cs="宋体"/>
          <w:sz w:val="24"/>
        </w:rPr>
        <w:t>投标预备会后，招标人在投标人须知前附表规定的时间内，将对投标人所提问题的澄清，以书面方式通知所有购买招标文件的投标人。该澄清内容为招标文件的组成部分。</w:t>
      </w:r>
    </w:p>
    <w:p>
      <w:pPr>
        <w:widowControl/>
        <w:shd w:val="clear" w:color="auto" w:fill="FFFFFF"/>
        <w:snapToGrid w:val="0"/>
        <w:spacing w:line="360" w:lineRule="auto"/>
        <w:ind w:firstLine="480" w:firstLineChars="200"/>
        <w:rPr>
          <w:rFonts w:ascii="宋体"/>
          <w:b/>
          <w:bCs/>
          <w:kern w:val="0"/>
          <w:sz w:val="24"/>
        </w:rPr>
      </w:pPr>
      <w:r>
        <w:rPr>
          <w:rFonts w:hint="eastAsia" w:ascii="宋体"/>
          <w:kern w:val="0"/>
          <w:sz w:val="24"/>
        </w:rPr>
        <w:t xml:space="preserve">10.4 </w:t>
      </w:r>
      <w:r>
        <w:rPr>
          <w:rFonts w:hint="eastAsia" w:ascii="宋体" w:cs="宋体"/>
          <w:sz w:val="24"/>
        </w:rPr>
        <w:t>本项目是否组织投标预备会见投标人须知前附表</w:t>
      </w:r>
      <w:r>
        <w:rPr>
          <w:rFonts w:hint="eastAsia" w:ascii="宋体" w:cs="宋体"/>
          <w:b/>
          <w:bCs/>
          <w:sz w:val="24"/>
        </w:rPr>
        <w:t>。</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十一、</w:t>
      </w:r>
      <w:r>
        <w:rPr>
          <w:rFonts w:hint="eastAsia" w:ascii="宋体"/>
          <w:b/>
          <w:bCs/>
          <w:kern w:val="0"/>
          <w:sz w:val="24"/>
        </w:rPr>
        <w:t>分包</w:t>
      </w:r>
    </w:p>
    <w:p>
      <w:pPr>
        <w:spacing w:line="360" w:lineRule="auto"/>
        <w:ind w:firstLine="480" w:firstLineChars="200"/>
        <w:rPr>
          <w:rFonts w:ascii="宋体" w:cs="宋体"/>
          <w:sz w:val="24"/>
        </w:rPr>
      </w:pPr>
      <w:r>
        <w:rPr>
          <w:rFonts w:hint="eastAsia" w:ascii="宋体"/>
          <w:kern w:val="0"/>
          <w:sz w:val="24"/>
        </w:rPr>
        <w:t>投标人拟在中标后将中标项目的部分非主体、非关键性工作进行分包的，应符合投标人须知前附表规定的分包内容、分包金额和接受分包的第三人资质要求等限制性条件。</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十二、</w:t>
      </w:r>
      <w:r>
        <w:rPr>
          <w:rFonts w:hint="eastAsia" w:ascii="宋体"/>
          <w:b/>
          <w:bCs/>
          <w:kern w:val="0"/>
          <w:sz w:val="24"/>
        </w:rPr>
        <w:t>偏离</w:t>
      </w:r>
    </w:p>
    <w:p>
      <w:pPr>
        <w:spacing w:line="360" w:lineRule="auto"/>
        <w:ind w:firstLine="480" w:firstLineChars="200"/>
        <w:rPr>
          <w:rFonts w:ascii="宋体" w:cs="宋体"/>
          <w:b/>
          <w:sz w:val="24"/>
        </w:rPr>
      </w:pPr>
      <w:r>
        <w:rPr>
          <w:rFonts w:hint="eastAsia" w:ascii="宋体"/>
          <w:kern w:val="0"/>
          <w:sz w:val="24"/>
        </w:rPr>
        <w:t>投标人须知前附表允许投标文件偏离招标文件某些要求的，偏离应当符合招标文件规定的偏离范围和幅度。</w:t>
      </w:r>
    </w:p>
    <w:p>
      <w:pPr>
        <w:spacing w:line="360" w:lineRule="auto"/>
        <w:jc w:val="left"/>
        <w:rPr>
          <w:rFonts w:ascii="宋体"/>
          <w:kern w:val="0"/>
          <w:sz w:val="24"/>
        </w:rPr>
      </w:pPr>
    </w:p>
    <w:p>
      <w:pPr>
        <w:pStyle w:val="4"/>
        <w:jc w:val="center"/>
        <w:rPr>
          <w:rFonts w:cs="宋体"/>
          <w:sz w:val="24"/>
          <w:szCs w:val="24"/>
        </w:rPr>
      </w:pPr>
      <w:bookmarkStart w:id="4" w:name="_Toc32635"/>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480" w:firstLineChars="200"/>
        <w:rPr>
          <w:rFonts w:ascii="宋体" w:cs="宋体"/>
          <w:sz w:val="24"/>
        </w:rPr>
      </w:pPr>
      <w:r>
        <w:rPr>
          <w:rFonts w:hint="eastAsia" w:ascii="宋体"/>
          <w:kern w:val="0"/>
          <w:sz w:val="24"/>
        </w:rPr>
        <w:t>1.1本招标文件包括：</w:t>
      </w:r>
    </w:p>
    <w:p>
      <w:pPr>
        <w:spacing w:line="360" w:lineRule="auto"/>
        <w:ind w:firstLine="720" w:firstLineChars="300"/>
        <w:rPr>
          <w:rFonts w:ascii="宋体" w:cs="宋体"/>
          <w:sz w:val="24"/>
        </w:rPr>
      </w:pPr>
      <w:r>
        <w:rPr>
          <w:rFonts w:hint="eastAsia" w:ascii="宋体" w:cs="宋体"/>
          <w:sz w:val="24"/>
        </w:rPr>
        <w:t>⑴ 招标公告；</w:t>
      </w:r>
    </w:p>
    <w:p>
      <w:pPr>
        <w:spacing w:line="360" w:lineRule="auto"/>
        <w:ind w:firstLine="720" w:firstLineChars="300"/>
        <w:rPr>
          <w:rFonts w:ascii="宋体" w:cs="宋体"/>
          <w:sz w:val="24"/>
        </w:rPr>
      </w:pPr>
      <w:r>
        <w:rPr>
          <w:rFonts w:hint="eastAsia" w:ascii="宋体" w:cs="宋体"/>
          <w:sz w:val="24"/>
        </w:rPr>
        <w:t>⑵ 投标人须知；</w:t>
      </w:r>
    </w:p>
    <w:p>
      <w:pPr>
        <w:spacing w:line="360" w:lineRule="auto"/>
        <w:ind w:firstLine="720" w:firstLineChars="300"/>
        <w:rPr>
          <w:rFonts w:ascii="宋体" w:cs="宋体"/>
          <w:sz w:val="24"/>
        </w:rPr>
      </w:pPr>
      <w:r>
        <w:rPr>
          <w:rFonts w:hint="eastAsia" w:ascii="宋体" w:cs="宋体"/>
          <w:sz w:val="24"/>
        </w:rPr>
        <w:t>⑶ 评标办法；</w:t>
      </w:r>
    </w:p>
    <w:p>
      <w:pPr>
        <w:spacing w:line="360" w:lineRule="auto"/>
        <w:ind w:firstLine="720" w:firstLineChars="300"/>
        <w:rPr>
          <w:rFonts w:ascii="宋体" w:cs="宋体"/>
          <w:sz w:val="24"/>
        </w:rPr>
      </w:pPr>
      <w:r>
        <w:rPr>
          <w:rFonts w:hint="eastAsia" w:ascii="宋体" w:cs="宋体"/>
          <w:sz w:val="24"/>
        </w:rPr>
        <w:t>⑷ 合同条款及格式；</w:t>
      </w:r>
    </w:p>
    <w:p>
      <w:pPr>
        <w:spacing w:line="360" w:lineRule="auto"/>
        <w:ind w:firstLine="720" w:firstLineChars="300"/>
        <w:rPr>
          <w:rFonts w:ascii="宋体" w:cs="宋体"/>
          <w:sz w:val="24"/>
        </w:rPr>
      </w:pPr>
      <w:r>
        <w:rPr>
          <w:rFonts w:hint="eastAsia" w:ascii="宋体" w:cs="宋体"/>
          <w:sz w:val="24"/>
        </w:rPr>
        <w:t>⑸ 技术标准和要求；</w:t>
      </w:r>
    </w:p>
    <w:p>
      <w:pPr>
        <w:spacing w:line="360" w:lineRule="auto"/>
        <w:ind w:firstLine="720" w:firstLineChars="300"/>
        <w:rPr>
          <w:rFonts w:ascii="宋体" w:cs="宋体"/>
          <w:sz w:val="24"/>
        </w:rPr>
      </w:pPr>
      <w:r>
        <w:rPr>
          <w:rFonts w:hint="eastAsia" w:ascii="宋体" w:cs="宋体"/>
          <w:sz w:val="24"/>
        </w:rPr>
        <w:t>⑹ 投标文件格式；</w:t>
      </w:r>
    </w:p>
    <w:p>
      <w:pPr>
        <w:spacing w:line="360" w:lineRule="auto"/>
        <w:ind w:firstLine="720" w:firstLineChars="300"/>
        <w:rPr>
          <w:rFonts w:ascii="宋体" w:cs="宋体"/>
          <w:sz w:val="24"/>
        </w:rPr>
      </w:pPr>
      <w:r>
        <w:rPr>
          <w:rFonts w:hint="eastAsia" w:ascii="宋体" w:cs="宋体"/>
          <w:sz w:val="24"/>
        </w:rPr>
        <w:t>⑺ 投标人须知前附表规定的其他材料。</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2.2招标文件的澄清将在投标人须知前附表规定的投标截止时间</w:t>
      </w:r>
      <w:r>
        <w:rPr>
          <w:rFonts w:hint="eastAsia" w:ascii="宋体" w:cs="宋体"/>
          <w:kern w:val="0"/>
          <w:sz w:val="24"/>
          <w:u w:val="single"/>
        </w:rPr>
        <w:t xml:space="preserve"> </w:t>
      </w:r>
      <w:r>
        <w:rPr>
          <w:rFonts w:hint="eastAsia" w:ascii="宋体" w:cs="宋体"/>
          <w:color w:val="000000"/>
          <w:kern w:val="0"/>
          <w:sz w:val="24"/>
          <w:u w:val="single"/>
        </w:rPr>
        <w:t>10</w:t>
      </w:r>
      <w:r>
        <w:rPr>
          <w:rFonts w:hint="eastAsia" w:ascii="宋体" w:cs="宋体"/>
          <w:kern w:val="0"/>
          <w:sz w:val="24"/>
          <w:u w:val="single"/>
        </w:rPr>
        <w:t xml:space="preserve"> </w:t>
      </w:r>
      <w:r>
        <w:rPr>
          <w:rFonts w:hint="eastAsia" w:ascii="宋体" w:cs="宋体"/>
          <w:kern w:val="0"/>
          <w:sz w:val="24"/>
        </w:rPr>
        <w:t>天前以书面形式发给所有购买招标文件的投标人，但不指明澄清问题的来源。如果澄清发出的时间距投标截止时间不足</w:t>
      </w:r>
      <w:r>
        <w:rPr>
          <w:rFonts w:hint="eastAsia" w:ascii="宋体" w:cs="宋体"/>
          <w:kern w:val="0"/>
          <w:sz w:val="24"/>
          <w:u w:val="single"/>
        </w:rPr>
        <w:t xml:space="preserve"> 10 </w:t>
      </w:r>
      <w:r>
        <w:rPr>
          <w:rFonts w:hint="eastAsia" w:ascii="宋体" w:cs="宋体"/>
          <w:kern w:val="0"/>
          <w:sz w:val="24"/>
        </w:rPr>
        <w:t>天，相应延长投标截止时间。</w:t>
      </w:r>
    </w:p>
    <w:p>
      <w:pPr>
        <w:spacing w:line="360" w:lineRule="auto"/>
        <w:ind w:firstLine="480" w:firstLineChars="200"/>
        <w:rPr>
          <w:rFonts w:ascii="宋体" w:cs="宋体"/>
          <w:sz w:val="24"/>
        </w:rPr>
      </w:pPr>
      <w:r>
        <w:rPr>
          <w:rFonts w:hint="eastAsia" w:ascii="宋体" w:cs="宋体"/>
          <w:kern w:val="0"/>
          <w:sz w:val="24"/>
        </w:rPr>
        <w:t>2.3投标人在收到澄清后，应在投标人须知前附表规定时间内以书面形式通知招标人，确认已收到该澄清。</w:t>
      </w:r>
    </w:p>
    <w:p>
      <w:pPr>
        <w:pStyle w:val="6"/>
      </w:pP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招标文件的修改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3.1 在投标截止时间</w:t>
      </w:r>
      <w:r>
        <w:rPr>
          <w:rFonts w:hint="eastAsia" w:ascii="宋体" w:cs="宋体"/>
          <w:kern w:val="0"/>
          <w:sz w:val="24"/>
          <w:u w:val="single"/>
        </w:rPr>
        <w:t xml:space="preserve"> 10 </w:t>
      </w:r>
      <w:r>
        <w:rPr>
          <w:rFonts w:hint="eastAsia" w:ascii="宋体" w:cs="宋体"/>
          <w:kern w:val="0"/>
          <w:sz w:val="24"/>
        </w:rPr>
        <w:t>天前，招标人可以书面形式修改招标文件，并通知所有已购买招标文件的投标人。如果修改招标文件的时间距投标截止时间不足</w:t>
      </w:r>
      <w:r>
        <w:rPr>
          <w:rFonts w:hint="eastAsia" w:ascii="宋体" w:cs="宋体"/>
          <w:kern w:val="0"/>
          <w:sz w:val="24"/>
          <w:u w:val="single"/>
        </w:rPr>
        <w:t xml:space="preserve"> 10 </w:t>
      </w:r>
      <w:r>
        <w:rPr>
          <w:rFonts w:hint="eastAsia" w:ascii="宋体" w:cs="宋体"/>
          <w:kern w:val="0"/>
          <w:sz w:val="24"/>
        </w:rPr>
        <w:t>天，相应延长投标截止时间。</w:t>
      </w:r>
    </w:p>
    <w:p>
      <w:pPr>
        <w:spacing w:line="360" w:lineRule="auto"/>
        <w:ind w:firstLine="480" w:firstLineChars="200"/>
        <w:rPr>
          <w:rFonts w:ascii="宋体" w:cs="宋体"/>
          <w:sz w:val="24"/>
        </w:rPr>
      </w:pPr>
      <w:r>
        <w:rPr>
          <w:rFonts w:hint="eastAsia" w:ascii="宋体" w:cs="宋体"/>
          <w:kern w:val="0"/>
          <w:sz w:val="24"/>
        </w:rPr>
        <w:t>3.2 投标人收到修改内容后，应在投标人须知前附表规定的时间内以书面形式通知招标人，确认已收到该修改。</w:t>
      </w:r>
    </w:p>
    <w:p>
      <w:pPr>
        <w:spacing w:line="360" w:lineRule="auto"/>
        <w:ind w:firstLine="480" w:firstLineChars="200"/>
        <w:rPr>
          <w:rFonts w:ascii="宋体" w:cs="宋体"/>
          <w:sz w:val="24"/>
        </w:rPr>
      </w:pPr>
    </w:p>
    <w:p>
      <w:pPr>
        <w:pStyle w:val="4"/>
        <w:jc w:val="center"/>
        <w:rPr>
          <w:rFonts w:cs="宋体"/>
          <w:sz w:val="24"/>
          <w:szCs w:val="24"/>
        </w:rPr>
      </w:pPr>
      <w:bookmarkStart w:id="5" w:name="_Toc30648"/>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开标一览表（报价单）</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p>
    <w:p>
      <w:pPr>
        <w:spacing w:line="360" w:lineRule="auto"/>
        <w:ind w:firstLine="720" w:firstLineChars="300"/>
        <w:rPr>
          <w:rFonts w:ascii="宋体"/>
          <w:kern w:val="0"/>
          <w:sz w:val="24"/>
        </w:rPr>
      </w:pPr>
      <w:r>
        <w:rPr>
          <w:rFonts w:hint="eastAsia" w:ascii="宋体"/>
          <w:kern w:val="0"/>
          <w:sz w:val="24"/>
        </w:rPr>
        <w:t>⑽ 投标人近3年类似项目业绩表；</w:t>
      </w:r>
    </w:p>
    <w:p>
      <w:pPr>
        <w:spacing w:line="360" w:lineRule="auto"/>
        <w:ind w:firstLine="720" w:firstLineChars="300"/>
        <w:rPr>
          <w:rFonts w:ascii="宋体"/>
          <w:kern w:val="0"/>
          <w:sz w:val="24"/>
        </w:rPr>
      </w:pPr>
      <w:r>
        <w:rPr>
          <w:rFonts w:hint="eastAsia" w:ascii="宋体"/>
          <w:kern w:val="0"/>
          <w:sz w:val="24"/>
        </w:rPr>
        <w:t>⑾ 其他需要提交的材料（根据招标文件的要求和投标人认为需要提供的资料）</w:t>
      </w:r>
    </w:p>
    <w:p>
      <w:pPr>
        <w:spacing w:line="360" w:lineRule="auto"/>
        <w:ind w:firstLine="720" w:firstLineChars="3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pStyle w:val="2"/>
        <w:rPr>
          <w:sz w:val="24"/>
        </w:rPr>
      </w:pP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投标人应当按“技术标准和服务要求”的规定进行综合报价，并填写“投标文件格式”中开标一览表（报价单）的投标报价表。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ascii="宋体"/>
          <w:kern w:val="0"/>
          <w:sz w:val="24"/>
        </w:rPr>
        <w:t>2.</w:t>
      </w:r>
      <w:r>
        <w:rPr>
          <w:rFonts w:hint="eastAsia" w:ascii="宋体"/>
          <w:kern w:val="0"/>
          <w:sz w:val="24"/>
        </w:rPr>
        <w:t>4投标人在投标截止时间前修改投标函中的投标报价的，应同时修改“投标文件格式”中开标一览表（报价单）的相应报价。</w:t>
      </w:r>
    </w:p>
    <w:p>
      <w:pPr>
        <w:pStyle w:val="6"/>
        <w:rPr>
          <w:rFonts w:ascii="宋体" w:cs="宋体"/>
          <w:kern w:val="0"/>
          <w:sz w:val="24"/>
        </w:rPr>
      </w:pP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rPr>
          <w:rFonts w:ascii="宋体" w:cs="宋体"/>
          <w:sz w:val="24"/>
        </w:rPr>
      </w:pP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bCs/>
          <w:sz w:val="24"/>
        </w:rPr>
        <w:t>“投标文件格式”</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b/>
          <w:bCs/>
          <w:kern w:val="0"/>
          <w:sz w:val="24"/>
        </w:rPr>
      </w:pPr>
      <w:r>
        <w:rPr>
          <w:rFonts w:hint="eastAsia" w:ascii="宋体" w:cs="宋体"/>
          <w:kern w:val="0"/>
          <w:sz w:val="24"/>
        </w:rPr>
        <w:t>4.2投标人不按本章第4.1项要求提交投标保证金的，其投标文件作废标处理。</w:t>
      </w:r>
    </w:p>
    <w:p>
      <w:pPr>
        <w:spacing w:line="360" w:lineRule="auto"/>
        <w:ind w:firstLine="480" w:firstLineChars="200"/>
        <w:jc w:val="left"/>
        <w:rPr>
          <w:rFonts w:ascii="宋体" w:cs="宋体"/>
          <w:sz w:val="24"/>
        </w:rPr>
      </w:pPr>
      <w:r>
        <w:rPr>
          <w:rFonts w:hint="eastAsia" w:ascii="宋体" w:cs="宋体"/>
          <w:sz w:val="24"/>
        </w:rPr>
        <w:t>4.3采购人投标保证金退还</w:t>
      </w:r>
    </w:p>
    <w:p>
      <w:pPr>
        <w:spacing w:line="360" w:lineRule="auto"/>
        <w:ind w:firstLine="480" w:firstLineChars="200"/>
        <w:jc w:val="left"/>
        <w:rPr>
          <w:rFonts w:ascii="宋体" w:cs="宋体"/>
          <w:sz w:val="24"/>
        </w:rPr>
      </w:pPr>
      <w:r>
        <w:rPr>
          <w:rFonts w:hint="eastAsia" w:ascii="宋体" w:cs="宋体"/>
          <w:sz w:val="24"/>
        </w:rPr>
        <w:t>⑴ 投标人提交一份《投标保证金退还申请书》给本项目的招标代理机构。</w:t>
      </w:r>
    </w:p>
    <w:p>
      <w:pPr>
        <w:spacing w:line="360" w:lineRule="auto"/>
        <w:ind w:firstLine="480" w:firstLineChars="200"/>
        <w:jc w:val="left"/>
        <w:rPr>
          <w:rFonts w:ascii="宋体" w:cs="宋体"/>
          <w:sz w:val="24"/>
        </w:rPr>
      </w:pPr>
      <w:r>
        <w:rPr>
          <w:rFonts w:hint="eastAsia" w:ascii="宋体" w:cs="宋体"/>
          <w:sz w:val="24"/>
        </w:rPr>
        <w:t xml:space="preserve">⑵ </w:t>
      </w:r>
      <w:r>
        <w:rPr>
          <w:rFonts w:hint="eastAsia" w:ascii="宋体" w:cs="宋体"/>
          <w:kern w:val="0"/>
          <w:sz w:val="24"/>
        </w:rPr>
        <w:t>中标公示期满后，未中标单位投标保证金5个工作日内以网银方式退款；中标单位的保证金在与采购人签订合同后按招标文件要求提交相应资料5个工作日内办理退款手续</w:t>
      </w:r>
      <w:r>
        <w:rPr>
          <w:rFonts w:hint="eastAsia" w:ascii="宋体" w:cs="宋体"/>
          <w:sz w:val="24"/>
        </w:rPr>
        <w:t>。</w:t>
      </w:r>
    </w:p>
    <w:p>
      <w:pPr>
        <w:spacing w:line="360" w:lineRule="auto"/>
        <w:ind w:firstLine="480" w:firstLineChars="200"/>
        <w:jc w:val="left"/>
        <w:rPr>
          <w:rFonts w:ascii="宋体" w:cs="宋体"/>
          <w:sz w:val="24"/>
        </w:rPr>
      </w:pPr>
      <w:r>
        <w:rPr>
          <w:rFonts w:hint="eastAsia" w:ascii="宋体" w:cs="宋体"/>
          <w:sz w:val="24"/>
        </w:rPr>
        <w:t>4.4投标保证金有效期与投标有效期一致。</w:t>
      </w:r>
    </w:p>
    <w:p>
      <w:pPr>
        <w:spacing w:line="360" w:lineRule="auto"/>
        <w:ind w:firstLine="480" w:firstLineChars="200"/>
        <w:jc w:val="left"/>
        <w:rPr>
          <w:rFonts w:ascii="宋体" w:cs="宋体"/>
          <w:sz w:val="24"/>
        </w:rPr>
      </w:pPr>
      <w:r>
        <w:rPr>
          <w:rFonts w:hint="eastAsia" w:ascii="宋体" w:cs="宋体"/>
          <w:sz w:val="24"/>
        </w:rPr>
        <w:t>4.5</w:t>
      </w:r>
      <w:r>
        <w:rPr>
          <w:rFonts w:hint="eastAsia" w:ascii="宋体" w:cs="宋体"/>
          <w:b/>
          <w:bCs/>
          <w:sz w:val="24"/>
        </w:rPr>
        <w:t>有下列情形之一的，投标保证金将不予退还</w:t>
      </w:r>
      <w:r>
        <w:rPr>
          <w:rFonts w:hint="eastAsia" w:ascii="宋体" w:cs="宋体"/>
          <w:sz w:val="24"/>
        </w:rPr>
        <w:t>：</w:t>
      </w:r>
    </w:p>
    <w:p>
      <w:pPr>
        <w:spacing w:line="360" w:lineRule="auto"/>
        <w:ind w:firstLine="720" w:firstLineChars="300"/>
        <w:jc w:val="left"/>
        <w:rPr>
          <w:rFonts w:ascii="宋体" w:cs="宋体"/>
          <w:sz w:val="24"/>
        </w:rPr>
      </w:pPr>
      <w:r>
        <w:rPr>
          <w:rFonts w:hint="eastAsia" w:ascii="宋体" w:cs="宋体"/>
          <w:sz w:val="24"/>
        </w:rPr>
        <w:t>⑴ 投标人在规定的投标有效期内撤销或修改其投标文件的；</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sz w:val="24"/>
        </w:rPr>
        <w:t>⑵ 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⑶ 中标人的违法行为导致中标被依法确认无效的；</w:t>
      </w:r>
    </w:p>
    <w:p>
      <w:pPr>
        <w:spacing w:line="360" w:lineRule="auto"/>
        <w:ind w:firstLine="720" w:firstLineChars="300"/>
        <w:jc w:val="left"/>
        <w:rPr>
          <w:rFonts w:ascii="宋体" w:cs="宋体"/>
          <w:sz w:val="24"/>
        </w:rPr>
      </w:pPr>
      <w:r>
        <w:rPr>
          <w:rFonts w:hint="eastAsia" w:ascii="宋体" w:cs="宋体"/>
          <w:kern w:val="0"/>
          <w:sz w:val="24"/>
        </w:rPr>
        <w:t>⑷ 其它违法违规行为，经查情况属实的。</w:t>
      </w:r>
    </w:p>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5.1投标文件按标包分别编制</w:t>
      </w:r>
      <w:r>
        <w:rPr>
          <w:rFonts w:hint="eastAsia" w:ascii="宋体" w:cs="宋体"/>
          <w:sz w:val="24"/>
        </w:rPr>
        <w:t>并编制目录</w:t>
      </w:r>
      <w:r>
        <w:rPr>
          <w:rFonts w:hint="eastAsia" w:ascii="宋体" w:cs="宋体"/>
          <w:kern w:val="0"/>
          <w:sz w:val="24"/>
        </w:rPr>
        <w:t>、胶装、密封递交，不允许将两个及以上标包的投标文件编制、胶装、密封在一起，不得采用活页装订。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5.3投标人投标文件若有以下情况的采购代理机构有权拒绝：</w:t>
      </w:r>
    </w:p>
    <w:p>
      <w:pPr>
        <w:pStyle w:val="9"/>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⑴ 封套未按本须知的要求密封和加写标记；</w:t>
      </w:r>
    </w:p>
    <w:p>
      <w:pPr>
        <w:pStyle w:val="9"/>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⑵ 密封不严导致投标非人为因素过早启封的；</w:t>
      </w:r>
    </w:p>
    <w:p>
      <w:pPr>
        <w:pStyle w:val="9"/>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⑶ 投标文件在递交截止时间后递交的；</w:t>
      </w:r>
    </w:p>
    <w:p>
      <w:pPr>
        <w:pStyle w:val="9"/>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⑷ 投标文件不完整或有附加条件的，有保留的，有涂改的，有变更的；</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5.4</w:t>
      </w:r>
      <w:r>
        <w:rPr>
          <w:rFonts w:hint="eastAsia" w:ascii="宋体"/>
          <w:kern w:val="0"/>
          <w:sz w:val="24"/>
        </w:rPr>
        <w:t>投标文件格式</w:t>
      </w:r>
    </w:p>
    <w:p>
      <w:pPr>
        <w:widowControl/>
        <w:shd w:val="clear" w:color="auto" w:fill="FFFFFF"/>
        <w:snapToGrid w:val="0"/>
        <w:spacing w:line="360" w:lineRule="auto"/>
        <w:ind w:firstLine="720" w:firstLineChars="300"/>
        <w:rPr>
          <w:rFonts w:ascii="宋体"/>
          <w:b/>
          <w:bCs/>
          <w:kern w:val="0"/>
          <w:sz w:val="24"/>
        </w:rPr>
      </w:pPr>
      <w:r>
        <w:rPr>
          <w:rFonts w:hint="eastAsia" w:ascii="宋体" w:cs="宋体"/>
          <w:kern w:val="0"/>
          <w:sz w:val="24"/>
        </w:rPr>
        <w:t>⑴ 投标文件电子版要求包含投标文件全部内容，投标文件电子版与纸质版不一致时以纸质文件为准。</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投标文件应当对招标文件有关招标范围、技术与服务要求等实质性内容做出响应。</w:t>
      </w:r>
    </w:p>
    <w:p>
      <w:pPr>
        <w:widowControl/>
        <w:shd w:val="clear" w:color="auto" w:fill="FFFFFF"/>
        <w:snapToGrid w:val="0"/>
        <w:spacing w:line="360" w:lineRule="auto"/>
        <w:ind w:firstLine="723" w:firstLineChars="300"/>
        <w:rPr>
          <w:rFonts w:ascii="宋体"/>
          <w:b/>
          <w:bCs/>
          <w:kern w:val="0"/>
          <w:sz w:val="24"/>
        </w:rPr>
      </w:pPr>
      <w:r>
        <w:rPr>
          <w:rFonts w:hint="eastAsia" w:ascii="宋体" w:cs="宋体"/>
          <w:b/>
          <w:bCs/>
          <w:kern w:val="0"/>
          <w:sz w:val="24"/>
        </w:rPr>
        <w:t xml:space="preserve">⑶ </w:t>
      </w:r>
      <w:r>
        <w:rPr>
          <w:rFonts w:hint="eastAsia" w:ascii="宋体"/>
          <w:b/>
          <w:bCs/>
          <w:kern w:val="0"/>
          <w:sz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投标文件可以用蓝黑墨水笔或炭素笔书写</w:t>
      </w:r>
      <w:r>
        <w:rPr>
          <w:rFonts w:ascii="宋体"/>
          <w:kern w:val="0"/>
          <w:sz w:val="24"/>
        </w:rPr>
        <w:t>,</w:t>
      </w:r>
      <w:r>
        <w:rPr>
          <w:rFonts w:hint="eastAsia" w:ascii="宋体"/>
          <w:kern w:val="0"/>
          <w:sz w:val="24"/>
        </w:rPr>
        <w:t>但建议最好采用打印书写方式书写。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⑸</w:t>
      </w:r>
      <w:r>
        <w:rPr>
          <w:rFonts w:hint="eastAsia" w:ascii="微软雅黑" w:eastAsia="微软雅黑" w:cs="微软雅黑"/>
          <w:kern w:val="0"/>
          <w:sz w:val="24"/>
        </w:rPr>
        <w:t xml:space="preserve"> </w:t>
      </w:r>
      <w:r>
        <w:rPr>
          <w:rFonts w:hint="eastAsia" w:ascii="宋体"/>
          <w:kern w:val="0"/>
          <w:sz w:val="24"/>
        </w:rPr>
        <w:t>投标人应按投标人须知前附表规定，编制投标文件“正本”和“副本”份数。封面右上角必须注明“正本”或“副本”字样。</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⑹</w:t>
      </w:r>
      <w:r>
        <w:rPr>
          <w:rFonts w:hint="eastAsia" w:ascii="微软雅黑" w:eastAsia="微软雅黑" w:cs="微软雅黑"/>
          <w:kern w:val="0"/>
          <w:sz w:val="24"/>
        </w:rPr>
        <w:t xml:space="preserve"> </w:t>
      </w:r>
      <w:r>
        <w:rPr>
          <w:rFonts w:hint="eastAsia" w:ascii="宋体"/>
          <w:kern w:val="0"/>
          <w:sz w:val="24"/>
        </w:rPr>
        <w:t>投标文件正本和副本如有不一致之处，以正本为准。</w:t>
      </w:r>
    </w:p>
    <w:p/>
    <w:p>
      <w:pPr>
        <w:widowControl/>
        <w:shd w:val="clear" w:color="auto" w:fill="FFFFFF"/>
        <w:snapToGrid w:val="0"/>
        <w:spacing w:line="360" w:lineRule="auto"/>
        <w:ind w:firstLine="482" w:firstLineChars="200"/>
        <w:rPr>
          <w:rFonts w:ascii="宋体"/>
          <w:b/>
          <w:bCs/>
          <w:kern w:val="0"/>
          <w:sz w:val="24"/>
        </w:rPr>
      </w:pPr>
      <w:r>
        <w:rPr>
          <w:rFonts w:hint="eastAsia" w:ascii="宋体"/>
          <w:b/>
          <w:bCs/>
          <w:kern w:val="0"/>
          <w:sz w:val="24"/>
        </w:rPr>
        <w:t>5</w:t>
      </w:r>
      <w:r>
        <w:rPr>
          <w:rFonts w:ascii="宋体"/>
          <w:b/>
          <w:bCs/>
          <w:kern w:val="0"/>
          <w:sz w:val="24"/>
        </w:rPr>
        <w:t>.</w:t>
      </w:r>
      <w:r>
        <w:rPr>
          <w:rFonts w:hint="eastAsia" w:ascii="宋体"/>
          <w:b/>
          <w:bCs/>
          <w:kern w:val="0"/>
          <w:sz w:val="24"/>
        </w:rPr>
        <w:t>5投标人存在下列情况之一的，投标无效：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投标文件未按招标文件要求签署、盖章的；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不具备招标文件中规定的资格要求的；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报价超过招标文件中规定的预算金额或者最高限价的；</w:t>
      </w:r>
    </w:p>
    <w:p>
      <w:pPr>
        <w:widowControl/>
        <w:shd w:val="clear" w:color="auto" w:fill="FFFFFF"/>
        <w:tabs>
          <w:tab w:val="left" w:pos="754"/>
        </w:tabs>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投标文件含有采购人不能接受的附加条件的；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与采购人存在利害关系可能影响招标公正性的法人、其他组织或者个人的；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⑹ </w:t>
      </w:r>
      <w:r>
        <w:rPr>
          <w:rFonts w:hint="eastAsia" w:ascii="宋体"/>
          <w:kern w:val="0"/>
          <w:sz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⑺ </w:t>
      </w:r>
      <w:r>
        <w:rPr>
          <w:rFonts w:hint="eastAsia" w:ascii="宋体"/>
          <w:kern w:val="0"/>
          <w:sz w:val="24"/>
        </w:rPr>
        <w:t>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⑻ </w:t>
      </w:r>
      <w:r>
        <w:rPr>
          <w:rFonts w:hint="eastAsia" w:ascii="宋体"/>
          <w:kern w:val="0"/>
          <w:sz w:val="24"/>
        </w:rPr>
        <w:t>投标文件中有弄虚作假的内容，其投标文件作废（假证书、假业绩、隐瞒不良行为记录、夸大荣誉）；</w:t>
      </w:r>
    </w:p>
    <w:p>
      <w:pPr>
        <w:spacing w:line="360" w:lineRule="auto"/>
        <w:ind w:firstLine="720" w:firstLineChars="300"/>
        <w:rPr>
          <w:rFonts w:ascii="宋体" w:cs="宋体"/>
          <w:sz w:val="24"/>
        </w:rPr>
      </w:pPr>
      <w:r>
        <w:rPr>
          <w:rFonts w:hint="eastAsia" w:ascii="宋体" w:cs="宋体"/>
          <w:kern w:val="0"/>
          <w:sz w:val="24"/>
        </w:rPr>
        <w:t>⑼</w:t>
      </w:r>
      <w:r>
        <w:rPr>
          <w:rFonts w:hint="eastAsia" w:ascii="宋体" w:cs="宋体"/>
          <w:sz w:val="24"/>
        </w:rPr>
        <w:t xml:space="preserve"> 法律、规定和招标文件规定的其他无效情形。</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宋体" w:cs="宋体"/>
          <w:b/>
          <w:bCs/>
          <w:sz w:val="24"/>
        </w:rPr>
      </w:pPr>
      <w:r>
        <w:rPr>
          <w:rFonts w:hint="eastAsia" w:ascii="宋体" w:cs="宋体"/>
          <w:b/>
          <w:bCs/>
          <w:kern w:val="0"/>
          <w:sz w:val="24"/>
        </w:rPr>
        <w:t>七、</w:t>
      </w:r>
      <w:r>
        <w:rPr>
          <w:rFonts w:hint="eastAsia" w:ascii="宋体" w:cs="宋体"/>
          <w:b/>
          <w:bCs/>
          <w:sz w:val="24"/>
        </w:rPr>
        <w:t>投标文件的编制</w:t>
      </w:r>
    </w:p>
    <w:p>
      <w:pPr>
        <w:spacing w:line="360" w:lineRule="auto"/>
        <w:ind w:firstLine="480" w:firstLineChars="200"/>
        <w:rPr>
          <w:rFonts w:ascii="宋体" w:cs="宋体"/>
          <w:sz w:val="24"/>
        </w:rPr>
      </w:pPr>
      <w:r>
        <w:rPr>
          <w:rFonts w:hint="eastAsia" w:ascii="宋体" w:cs="宋体"/>
          <w:sz w:val="24"/>
        </w:rPr>
        <w:t>7.1 投标文件应按“投标文件格式”进行编写，如有必要，可以增加附页，作为投标文件的组成部分。其中，</w:t>
      </w:r>
      <w:r>
        <w:rPr>
          <w:rFonts w:hint="eastAsia" w:ascii="宋体" w:cs="宋体"/>
          <w:b/>
          <w:bCs/>
          <w:sz w:val="24"/>
        </w:rPr>
        <w:t>投标函附录在满足招标文件实质性要求的基础上，可以提出比招标文件要求更有利于招标人的承诺。</w:t>
      </w:r>
    </w:p>
    <w:p>
      <w:pPr>
        <w:spacing w:line="360" w:lineRule="auto"/>
        <w:ind w:firstLine="480" w:firstLineChars="200"/>
        <w:rPr>
          <w:rFonts w:ascii="宋体" w:cs="宋体"/>
          <w:sz w:val="24"/>
        </w:rPr>
      </w:pPr>
      <w:r>
        <w:rPr>
          <w:rFonts w:hint="eastAsia" w:ascii="宋体" w:cs="宋体"/>
          <w:sz w:val="24"/>
        </w:rPr>
        <w:t>7.2 投标文件应当对招标文件有关供货期、投标有效期、质量要求、技术标准和要求、招标范围等实质性内容作出响应。</w:t>
      </w:r>
    </w:p>
    <w:p>
      <w:pPr>
        <w:spacing w:line="360" w:lineRule="auto"/>
        <w:ind w:firstLine="480" w:firstLineChars="200"/>
        <w:rPr>
          <w:rFonts w:ascii="宋体" w:cs="宋体"/>
          <w:sz w:val="24"/>
        </w:rPr>
      </w:pPr>
      <w:r>
        <w:rPr>
          <w:rFonts w:hint="eastAsia" w:ascii="宋体" w:cs="宋体"/>
          <w:sz w:val="24"/>
        </w:rPr>
        <w:t>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60" w:lineRule="auto"/>
        <w:ind w:firstLine="480" w:firstLineChars="200"/>
        <w:rPr>
          <w:rFonts w:ascii="宋体" w:cs="宋体"/>
          <w:sz w:val="24"/>
        </w:rPr>
      </w:pPr>
    </w:p>
    <w:p>
      <w:pPr>
        <w:pStyle w:val="4"/>
        <w:jc w:val="center"/>
        <w:rPr>
          <w:rFonts w:cs="宋体"/>
          <w:sz w:val="24"/>
          <w:szCs w:val="24"/>
        </w:rPr>
      </w:pPr>
      <w:bookmarkStart w:id="6" w:name="_Toc9224"/>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投标人修改或撤回已递交投标文件的书面通知应按照的要求签字或盖章。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spacing w:line="360" w:lineRule="auto"/>
        <w:ind w:firstLine="480" w:firstLineChars="200"/>
        <w:rPr>
          <w:rFonts w:ascii="宋体" w:cs="宋体"/>
          <w:sz w:val="24"/>
        </w:rPr>
      </w:pPr>
    </w:p>
    <w:p>
      <w:pPr>
        <w:pStyle w:val="4"/>
        <w:jc w:val="center"/>
        <w:rPr>
          <w:rFonts w:cs="宋体"/>
          <w:sz w:val="24"/>
          <w:szCs w:val="24"/>
        </w:rPr>
      </w:pPr>
      <w:bookmarkStart w:id="7" w:name="_Toc4016"/>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7"/>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开标时间和地点</w:t>
      </w:r>
    </w:p>
    <w:p>
      <w:pPr>
        <w:spacing w:line="360" w:lineRule="auto"/>
        <w:ind w:firstLine="480" w:firstLineChars="200"/>
        <w:rPr>
          <w:rFonts w:ascii="宋体" w:cs="宋体"/>
          <w:sz w:val="24"/>
        </w:rPr>
      </w:pPr>
      <w:r>
        <w:rPr>
          <w:rFonts w:hint="eastAsia" w:ascii="宋体" w:cs="宋体"/>
          <w:sz w:val="24"/>
        </w:rPr>
        <w:t>招标人在投标截止时间（开标时间）和投标人须知前附表规定的地点公开开标，并邀请所有投标人的法定代表人或其委托代理人准时参加。</w:t>
      </w:r>
    </w:p>
    <w:p>
      <w:pPr>
        <w:spacing w:line="360" w:lineRule="auto"/>
        <w:ind w:firstLine="480" w:firstLineChars="200"/>
        <w:rPr>
          <w:rFonts w:ascii="宋体" w:cs="宋体"/>
          <w:sz w:val="24"/>
        </w:rPr>
      </w:pPr>
    </w:p>
    <w:p>
      <w:pPr>
        <w:spacing w:line="360" w:lineRule="auto"/>
        <w:rPr>
          <w:rFonts w:ascii="宋体" w:cs="宋体"/>
          <w:b/>
          <w:bCs/>
          <w:sz w:val="24"/>
        </w:rPr>
      </w:pPr>
      <w:r>
        <w:rPr>
          <w:rFonts w:hint="eastAsia" w:ascii="宋体" w:cs="宋体"/>
          <w:b/>
          <w:bCs/>
          <w:sz w:val="24"/>
        </w:rPr>
        <w:t>二、开标程序</w:t>
      </w:r>
    </w:p>
    <w:p>
      <w:pPr>
        <w:spacing w:line="360" w:lineRule="auto"/>
        <w:ind w:firstLine="480" w:firstLineChars="200"/>
        <w:rPr>
          <w:rFonts w:ascii="宋体" w:cs="宋体"/>
          <w:sz w:val="24"/>
        </w:rPr>
      </w:pPr>
      <w:r>
        <w:rPr>
          <w:rFonts w:hint="eastAsia" w:ascii="宋体" w:cs="宋体"/>
          <w:sz w:val="24"/>
        </w:rPr>
        <w:t>主持人按下列程序进行开标：</w:t>
      </w:r>
    </w:p>
    <w:p>
      <w:pPr>
        <w:spacing w:line="360" w:lineRule="auto"/>
        <w:ind w:firstLine="720" w:firstLineChars="300"/>
        <w:rPr>
          <w:rFonts w:ascii="宋体" w:cs="宋体"/>
          <w:sz w:val="24"/>
        </w:rPr>
      </w:pPr>
      <w:r>
        <w:rPr>
          <w:rFonts w:hint="eastAsia" w:ascii="宋体" w:cs="宋体"/>
          <w:sz w:val="24"/>
        </w:rPr>
        <w:t>⑴ 宣布开标纪律；</w:t>
      </w:r>
    </w:p>
    <w:p>
      <w:pPr>
        <w:spacing w:line="360" w:lineRule="auto"/>
        <w:ind w:firstLine="720" w:firstLineChars="300"/>
        <w:rPr>
          <w:rFonts w:ascii="宋体" w:cs="宋体"/>
          <w:sz w:val="24"/>
        </w:rPr>
      </w:pPr>
      <w:r>
        <w:rPr>
          <w:rFonts w:hint="eastAsia" w:ascii="宋体" w:cs="宋体"/>
          <w:sz w:val="24"/>
        </w:rPr>
        <w:t>⑵ 公布在投标截止时间前递交投标文件的投标人名称，并点名确认投标人是否派人到场；</w:t>
      </w:r>
    </w:p>
    <w:p>
      <w:pPr>
        <w:spacing w:line="360" w:lineRule="auto"/>
        <w:ind w:firstLine="720" w:firstLineChars="300"/>
        <w:rPr>
          <w:rFonts w:ascii="宋体" w:cs="宋体"/>
          <w:sz w:val="24"/>
        </w:rPr>
      </w:pPr>
      <w:r>
        <w:rPr>
          <w:rFonts w:hint="eastAsia" w:ascii="宋体" w:cs="宋体"/>
          <w:sz w:val="24"/>
        </w:rPr>
        <w:t>⑶ 宣布开标人、唱标人、记录人、监标人等有关人员姓名；</w:t>
      </w:r>
    </w:p>
    <w:p>
      <w:pPr>
        <w:spacing w:line="360" w:lineRule="auto"/>
        <w:ind w:firstLine="720" w:firstLineChars="300"/>
        <w:rPr>
          <w:rFonts w:ascii="宋体" w:cs="宋体"/>
          <w:sz w:val="24"/>
        </w:rPr>
      </w:pPr>
      <w:r>
        <w:rPr>
          <w:rFonts w:hint="eastAsia" w:ascii="宋体" w:cs="宋体"/>
          <w:sz w:val="24"/>
        </w:rPr>
        <w:t>⑷ 按照投标人须知前附表规定检查投标文件的密封情况；</w:t>
      </w:r>
    </w:p>
    <w:p>
      <w:pPr>
        <w:spacing w:line="360" w:lineRule="auto"/>
        <w:ind w:firstLine="720" w:firstLineChars="300"/>
        <w:rPr>
          <w:rFonts w:ascii="宋体" w:cs="宋体"/>
          <w:sz w:val="24"/>
        </w:rPr>
      </w:pPr>
      <w:r>
        <w:rPr>
          <w:rFonts w:hint="eastAsia" w:ascii="宋体" w:cs="宋体"/>
          <w:sz w:val="24"/>
        </w:rPr>
        <w:t>⑸ 按照投标人须知前附表的规定确定并宣布投标文件开标顺序；</w:t>
      </w:r>
    </w:p>
    <w:p>
      <w:pPr>
        <w:spacing w:line="360" w:lineRule="auto"/>
        <w:ind w:firstLine="720" w:firstLineChars="300"/>
        <w:rPr>
          <w:rFonts w:ascii="宋体" w:cs="宋体"/>
          <w:sz w:val="24"/>
        </w:rPr>
      </w:pPr>
      <w:r>
        <w:rPr>
          <w:rFonts w:hint="eastAsia" w:ascii="宋体" w:cs="宋体"/>
          <w:sz w:val="24"/>
        </w:rPr>
        <w:t>⑹ 设有标底的，公布标底；</w:t>
      </w:r>
    </w:p>
    <w:p>
      <w:pPr>
        <w:spacing w:line="360" w:lineRule="auto"/>
        <w:ind w:firstLine="720" w:firstLineChars="300"/>
        <w:rPr>
          <w:rFonts w:ascii="宋体" w:cs="宋体"/>
          <w:sz w:val="24"/>
        </w:rPr>
      </w:pPr>
      <w:r>
        <w:rPr>
          <w:rFonts w:hint="eastAsia" w:ascii="宋体" w:cs="宋体"/>
          <w:sz w:val="24"/>
        </w:rPr>
        <w:t>⑺ 按照宣布的开标顺序当众开标，公布投标人名称、标段名称、投标保证金的递交情况、投标报价、质量目标、供货期及其他内容，并记录在案；</w:t>
      </w:r>
    </w:p>
    <w:p>
      <w:pPr>
        <w:spacing w:line="360" w:lineRule="auto"/>
        <w:ind w:firstLine="720" w:firstLineChars="300"/>
        <w:rPr>
          <w:rFonts w:ascii="宋体" w:cs="宋体"/>
          <w:sz w:val="24"/>
        </w:rPr>
      </w:pPr>
      <w:r>
        <w:rPr>
          <w:rFonts w:hint="eastAsia" w:ascii="宋体" w:cs="宋体"/>
          <w:sz w:val="24"/>
        </w:rPr>
        <w:t>⑻ 投标人代表、招标人代表、监标人、记录人等有关人员在开标记录上签字确认；</w:t>
      </w:r>
    </w:p>
    <w:p>
      <w:pPr>
        <w:spacing w:line="360" w:lineRule="auto"/>
        <w:ind w:firstLine="720" w:firstLineChars="300"/>
        <w:rPr>
          <w:rFonts w:ascii="宋体" w:cs="宋体"/>
          <w:sz w:val="24"/>
        </w:rPr>
      </w:pPr>
      <w:r>
        <w:rPr>
          <w:rFonts w:hint="eastAsia" w:ascii="宋体" w:cs="宋体"/>
          <w:sz w:val="24"/>
        </w:rPr>
        <w:t>⑼ 开标结束。</w:t>
      </w:r>
    </w:p>
    <w:p>
      <w:pPr>
        <w:spacing w:line="360" w:lineRule="auto"/>
        <w:rPr>
          <w:rFonts w:ascii="宋体" w:cs="宋体"/>
          <w:sz w:val="24"/>
        </w:rPr>
      </w:pPr>
    </w:p>
    <w:p>
      <w:pPr>
        <w:pStyle w:val="4"/>
        <w:jc w:val="center"/>
        <w:rPr>
          <w:rFonts w:cs="宋体"/>
          <w:sz w:val="24"/>
          <w:szCs w:val="24"/>
        </w:rPr>
      </w:pPr>
      <w:bookmarkStart w:id="8" w:name="_Toc11234"/>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8"/>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rPr>
        <w:t>⑴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rPr>
        <w:t>⑵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rPr>
        <w:t>⑶ 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rPr>
        <w:t>⑷ 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rPr>
        <w:t>⑸ 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rPr>
        <w:t>⑹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rPr>
          <w:rFonts w:ascii="宋体" w:cs="宋体"/>
          <w:sz w:val="24"/>
        </w:rPr>
      </w:pPr>
    </w:p>
    <w:p>
      <w:pPr>
        <w:pStyle w:val="4"/>
        <w:jc w:val="center"/>
        <w:rPr>
          <w:rFonts w:cs="宋体"/>
          <w:sz w:val="24"/>
          <w:szCs w:val="24"/>
        </w:rPr>
      </w:pPr>
      <w:bookmarkStart w:id="9" w:name="_Toc26367"/>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9"/>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sz w:val="24"/>
        </w:rPr>
        <w:t>投标人须知前附表</w:t>
      </w:r>
      <w:r>
        <w:rPr>
          <w:rFonts w:hint="eastAsia" w:ascii="宋体"/>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rPr>
        <w:t xml:space="preserve"> 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rPr>
        <w:t>⑵</w:t>
      </w:r>
      <w:r>
        <w:rPr>
          <w:rFonts w:hint="eastAsia" w:ascii="宋体" w:cs="宋体"/>
          <w:sz w:val="24"/>
        </w:rPr>
        <w:t xml:space="preserve"> 发出中标通知书后，招标人无正当理由拒签合同的，招标人向中标人退还投标保证金；给中标人造成损失的，还应当赔偿损失。</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kern w:val="0"/>
          <w:sz w:val="24"/>
        </w:rPr>
        <w:t>⑶</w:t>
      </w:r>
      <w:r>
        <w:rPr>
          <w:rFonts w:hint="eastAsia" w:ascii="宋体"/>
          <w:kern w:val="0"/>
          <w:sz w:val="24"/>
        </w:rPr>
        <w:t xml:space="preserve"> </w:t>
      </w:r>
      <w:r>
        <w:rPr>
          <w:rFonts w:hint="eastAsia" w:ascii="宋体" w:cs="宋体"/>
          <w:sz w:val="24"/>
        </w:rPr>
        <w:t>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spacing w:line="360" w:lineRule="auto"/>
        <w:jc w:val="left"/>
        <w:rPr>
          <w:rFonts w:ascii="宋体"/>
          <w:kern w:val="0"/>
          <w:sz w:val="24"/>
        </w:rPr>
      </w:pPr>
    </w:p>
    <w:p>
      <w:pPr>
        <w:pStyle w:val="4"/>
        <w:jc w:val="center"/>
        <w:rPr>
          <w:rFonts w:cs="宋体"/>
          <w:sz w:val="24"/>
          <w:szCs w:val="24"/>
        </w:rPr>
      </w:pPr>
      <w:bookmarkStart w:id="10" w:name="_Toc16127"/>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0"/>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ind w:firstLine="480" w:firstLineChars="200"/>
        <w:rPr>
          <w:rFonts w:ascii="宋体" w:cs="宋体"/>
          <w:sz w:val="24"/>
        </w:rPr>
      </w:pP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
      <w:pPr>
        <w:pStyle w:val="4"/>
        <w:jc w:val="center"/>
        <w:rPr>
          <w:rFonts w:cs="宋体"/>
          <w:sz w:val="24"/>
          <w:szCs w:val="24"/>
        </w:rPr>
      </w:pPr>
      <w:bookmarkStart w:id="11" w:name="_Toc12717"/>
      <w:r>
        <w:rPr>
          <w:rFonts w:ascii="Times New Roman" w:hAnsi="Times New Roman"/>
          <w:sz w:val="24"/>
          <w:szCs w:val="24"/>
        </w:rPr>
        <w:t>第</w:t>
      </w:r>
      <w:r>
        <w:rPr>
          <w:rFonts w:hint="eastAsia" w:ascii="Times New Roman" w:hAnsi="Times New Roman"/>
          <w:sz w:val="24"/>
          <w:szCs w:val="24"/>
        </w:rPr>
        <w:t>九</w:t>
      </w:r>
      <w:r>
        <w:rPr>
          <w:rFonts w:ascii="Times New Roman" w:hAnsi="Times New Roman"/>
          <w:sz w:val="24"/>
          <w:szCs w:val="24"/>
        </w:rPr>
        <w:t>节</w:t>
      </w:r>
      <w:r>
        <w:rPr>
          <w:rFonts w:hint="eastAsia" w:ascii="Times New Roman" w:hAnsi="Times New Roman"/>
          <w:sz w:val="24"/>
          <w:szCs w:val="24"/>
        </w:rPr>
        <w:t xml:space="preserve"> 纪律和监督</w:t>
      </w:r>
      <w:bookmarkEnd w:id="11"/>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cs="宋体"/>
          <w:b/>
          <w:bCs/>
          <w:sz w:val="24"/>
        </w:rPr>
      </w:pPr>
      <w:r>
        <w:rPr>
          <w:rFonts w:hint="eastAsia" w:ascii="宋体" w:cs="宋体"/>
          <w:b/>
          <w:bCs/>
          <w:sz w:val="24"/>
        </w:rPr>
        <w:t>五、询问、质疑和投诉</w:t>
      </w:r>
    </w:p>
    <w:p>
      <w:pPr>
        <w:spacing w:line="360" w:lineRule="auto"/>
        <w:ind w:firstLine="480" w:firstLineChars="200"/>
        <w:rPr>
          <w:rFonts w:ascii="宋体" w:cs="宋体"/>
          <w:b/>
          <w:bCs/>
          <w:sz w:val="24"/>
        </w:rPr>
      </w:pPr>
      <w:r>
        <w:rPr>
          <w:rFonts w:hint="eastAsia" w:ascii="宋体" w:cs="宋体"/>
          <w:sz w:val="24"/>
        </w:rPr>
        <w:t>5.1 询问</w:t>
      </w:r>
    </w:p>
    <w:p>
      <w:pPr>
        <w:spacing w:line="360" w:lineRule="auto"/>
        <w:ind w:firstLine="480" w:firstLineChars="200"/>
        <w:rPr>
          <w:rFonts w:ascii="宋体" w:cs="宋体"/>
          <w:sz w:val="24"/>
        </w:rPr>
      </w:pPr>
      <w:r>
        <w:rPr>
          <w:rFonts w:hint="eastAsia" w:ascii="宋体" w:cs="宋体"/>
          <w:sz w:val="24"/>
          <w:lang w:val="zh-CN"/>
        </w:rPr>
        <w:t>投标人对采购活动事项有疑问的，可以提出询问，我公司将在两个工作日内作出答复，但答复的内容不涉及商业秘密。</w:t>
      </w:r>
    </w:p>
    <w:p>
      <w:pPr>
        <w:spacing w:line="360" w:lineRule="auto"/>
        <w:ind w:firstLine="480" w:firstLineChars="200"/>
        <w:rPr>
          <w:rFonts w:ascii="宋体" w:cs="宋体"/>
          <w:b/>
          <w:bCs/>
          <w:sz w:val="24"/>
        </w:rPr>
      </w:pPr>
      <w:r>
        <w:rPr>
          <w:rFonts w:hint="eastAsia" w:ascii="宋体" w:cs="宋体"/>
          <w:sz w:val="24"/>
        </w:rPr>
        <w:t>5.2质疑</w:t>
      </w:r>
    </w:p>
    <w:p>
      <w:pPr>
        <w:spacing w:line="360" w:lineRule="auto"/>
        <w:ind w:firstLine="720" w:firstLineChars="300"/>
        <w:rPr>
          <w:rFonts w:ascii="宋体" w:cs="宋体"/>
          <w:sz w:val="24"/>
        </w:rPr>
      </w:pPr>
      <w:r>
        <w:rPr>
          <w:rFonts w:hint="eastAsia" w:ascii="宋体" w:cs="宋体"/>
          <w:sz w:val="24"/>
        </w:rPr>
        <w:t>⑴ 提出质疑的</w:t>
      </w:r>
      <w:r>
        <w:rPr>
          <w:rFonts w:hint="eastAsia" w:ascii="宋体" w:cs="宋体"/>
          <w:sz w:val="24"/>
          <w:lang w:val="zh-CN"/>
        </w:rPr>
        <w:t>投标人</w:t>
      </w:r>
      <w:r>
        <w:rPr>
          <w:rFonts w:hint="eastAsia" w:ascii="宋体" w:cs="宋体"/>
          <w:sz w:val="24"/>
        </w:rPr>
        <w:t>应当是参与所质疑项目采购活动的供应商。潜在供应商依法获取其可质疑的采购文件的，可以对采购文件提出质疑。</w:t>
      </w:r>
    </w:p>
    <w:p>
      <w:pPr>
        <w:snapToGrid w:val="0"/>
        <w:spacing w:line="360" w:lineRule="auto"/>
        <w:ind w:firstLine="720" w:firstLineChars="300"/>
        <w:rPr>
          <w:rFonts w:ascii="宋体" w:cs="宋体"/>
          <w:kern w:val="0"/>
          <w:sz w:val="24"/>
        </w:rPr>
      </w:pPr>
      <w:r>
        <w:rPr>
          <w:rFonts w:hint="eastAsia" w:ascii="宋体" w:cs="宋体"/>
          <w:sz w:val="24"/>
        </w:rPr>
        <w:t xml:space="preserve">⑵ </w:t>
      </w:r>
      <w:r>
        <w:rPr>
          <w:rFonts w:hint="eastAsia" w:ascii="宋体" w:cs="宋体"/>
          <w:sz w:val="24"/>
          <w:lang w:val="zh-CN"/>
        </w:rPr>
        <w:t>投标人</w:t>
      </w:r>
      <w:r>
        <w:rPr>
          <w:rFonts w:hint="eastAsia" w:ascii="宋体" w:cs="宋体"/>
          <w:sz w:val="24"/>
        </w:rPr>
        <w:t>认为采购文件、采购过程和采购结果使自己的权益受到损害的，可以在知道或应知其权益受到损害之日起七个工作日内，以书面形式提出质疑。</w:t>
      </w:r>
    </w:p>
    <w:p>
      <w:pPr>
        <w:snapToGrid w:val="0"/>
        <w:spacing w:line="360" w:lineRule="auto"/>
        <w:ind w:firstLine="720" w:firstLineChars="300"/>
        <w:rPr>
          <w:rFonts w:ascii="宋体" w:cs="宋体"/>
          <w:kern w:val="0"/>
          <w:sz w:val="24"/>
        </w:rPr>
      </w:pPr>
      <w:r>
        <w:rPr>
          <w:rFonts w:hint="eastAsia" w:ascii="宋体" w:cs="宋体"/>
          <w:sz w:val="24"/>
        </w:rPr>
        <w:t xml:space="preserve">⑶ </w:t>
      </w:r>
      <w:r>
        <w:rPr>
          <w:rFonts w:hint="eastAsia" w:ascii="宋体" w:cs="宋体"/>
          <w:sz w:val="24"/>
          <w:lang w:val="zh-CN"/>
        </w:rPr>
        <w:t>投标人</w:t>
      </w:r>
      <w:r>
        <w:rPr>
          <w:rFonts w:hint="eastAsia" w:ascii="宋体" w:cs="宋体"/>
          <w:kern w:val="0"/>
          <w:sz w:val="24"/>
        </w:rPr>
        <w:t>应当在法定质疑期内一次性提出针对同一采购程序环节的质疑。</w:t>
      </w:r>
      <w:r>
        <w:rPr>
          <w:rFonts w:hint="eastAsia" w:ascii="宋体" w:cs="宋体"/>
          <w:b/>
          <w:bCs/>
          <w:sz w:val="24"/>
          <w:lang w:val="zh-CN"/>
        </w:rPr>
        <w:t>投标人</w:t>
      </w:r>
      <w:r>
        <w:rPr>
          <w:rFonts w:hint="eastAsia" w:ascii="宋体" w:cs="宋体"/>
          <w:b/>
          <w:bCs/>
          <w:kern w:val="0"/>
          <w:sz w:val="24"/>
        </w:rPr>
        <w:t>如在法定期限内对同一采购程序环节提出多次质疑的，将只对供应商第一次质疑作出答复</w:t>
      </w:r>
      <w:r>
        <w:rPr>
          <w:rFonts w:hint="eastAsia" w:ascii="宋体" w:cs="宋体"/>
          <w:kern w:val="0"/>
          <w:sz w:val="24"/>
        </w:rPr>
        <w:t>。</w:t>
      </w:r>
    </w:p>
    <w:p>
      <w:pPr>
        <w:snapToGrid w:val="0"/>
        <w:spacing w:line="360" w:lineRule="auto"/>
        <w:ind w:firstLine="720" w:firstLineChars="300"/>
        <w:rPr>
          <w:rFonts w:ascii="宋体" w:cs="宋体"/>
          <w:sz w:val="24"/>
        </w:rPr>
      </w:pPr>
      <w:r>
        <w:rPr>
          <w:rFonts w:hint="eastAsia" w:ascii="宋体" w:cs="宋体"/>
          <w:sz w:val="24"/>
        </w:rPr>
        <w:t>⑷ 质疑函必须按要求的格式和内容进行填写。</w:t>
      </w:r>
      <w:r>
        <w:rPr>
          <w:rFonts w:hint="eastAsia" w:ascii="宋体" w:cs="宋体"/>
          <w:sz w:val="24"/>
          <w:lang w:val="zh-CN"/>
        </w:rPr>
        <w:t>投标人</w:t>
      </w:r>
      <w:r>
        <w:rPr>
          <w:rFonts w:hint="eastAsia" w:ascii="宋体" w:cs="宋体"/>
          <w:sz w:val="24"/>
        </w:rPr>
        <w:t>如组成联合体参加投标，则</w:t>
      </w:r>
      <w:r>
        <w:rPr>
          <w:rFonts w:hint="eastAsia" w:ascii="宋体" w:cs="宋体"/>
          <w:color w:val="000000"/>
          <w:sz w:val="24"/>
        </w:rPr>
        <w:t>质疑函</w:t>
      </w:r>
      <w:r>
        <w:rPr>
          <w:rFonts w:hint="eastAsia" w:ascii="宋体" w:cs="宋体"/>
          <w:sz w:val="24"/>
        </w:rPr>
        <w:t>中要求签字、盖章、加盖公章之处，联合体各方均须按要求签字、盖章、加盖公章。</w:t>
      </w:r>
    </w:p>
    <w:p>
      <w:pPr>
        <w:snapToGrid w:val="0"/>
        <w:spacing w:line="360" w:lineRule="auto"/>
        <w:ind w:firstLine="720" w:firstLineChars="300"/>
        <w:rPr>
          <w:rFonts w:ascii="宋体" w:cs="宋体"/>
          <w:sz w:val="24"/>
        </w:rPr>
      </w:pPr>
      <w:r>
        <w:rPr>
          <w:rFonts w:hint="eastAsia" w:ascii="宋体" w:cs="宋体"/>
          <w:sz w:val="24"/>
        </w:rPr>
        <w:t>⑸ 只接收以纸质原件形式送达的质疑。项目开标前的质疑（针对采购文件的质疑），由采购人负责回复答疑。项目开评标中评标结束后由</w:t>
      </w:r>
      <w:r>
        <w:rPr>
          <w:rFonts w:hint="eastAsia" w:ascii="宋体" w:cs="宋体"/>
          <w:color w:val="000000"/>
          <w:sz w:val="24"/>
        </w:rPr>
        <w:t>代理公司</w:t>
      </w:r>
      <w:r>
        <w:rPr>
          <w:rFonts w:hint="eastAsia" w:ascii="宋体" w:cs="宋体"/>
          <w:sz w:val="24"/>
        </w:rPr>
        <w:t>负责回复。</w:t>
      </w:r>
    </w:p>
    <w:p>
      <w:pPr>
        <w:snapToGrid w:val="0"/>
        <w:spacing w:line="360" w:lineRule="auto"/>
        <w:ind w:firstLine="480"/>
        <w:rPr>
          <w:rFonts w:ascii="宋体" w:cs="宋体"/>
          <w:sz w:val="24"/>
        </w:rPr>
      </w:pPr>
      <w:r>
        <w:rPr>
          <w:rFonts w:hint="eastAsia" w:ascii="宋体" w:cs="宋体"/>
          <w:sz w:val="24"/>
        </w:rPr>
        <w:t>开标前、后质疑（针对采购文件的质疑）接收人：本项目采购单位联系人，联系地址：见第一章 。</w:t>
      </w:r>
    </w:p>
    <w:p>
      <w:pPr>
        <w:snapToGrid w:val="0"/>
        <w:spacing w:line="360" w:lineRule="auto"/>
        <w:ind w:firstLine="720" w:firstLineChars="300"/>
        <w:rPr>
          <w:rFonts w:ascii="宋体" w:cs="宋体"/>
          <w:sz w:val="24"/>
        </w:rPr>
      </w:pPr>
      <w:r>
        <w:rPr>
          <w:rFonts w:hint="eastAsia" w:ascii="宋体" w:cs="宋体"/>
          <w:sz w:val="24"/>
        </w:rPr>
        <w:t>⑹ 以下情形的质疑不予受理</w:t>
      </w:r>
    </w:p>
    <w:p>
      <w:pPr>
        <w:snapToGrid w:val="0"/>
        <w:spacing w:line="360" w:lineRule="auto"/>
        <w:ind w:firstLine="1024" w:firstLineChars="427"/>
        <w:rPr>
          <w:rFonts w:ascii="宋体" w:cs="宋体"/>
          <w:sz w:val="24"/>
        </w:rPr>
      </w:pPr>
      <w:r>
        <w:rPr>
          <w:rFonts w:hint="eastAsia" w:ascii="宋体" w:cs="宋体"/>
          <w:sz w:val="24"/>
        </w:rPr>
        <w:t>①内容不符合《政府采购质疑和投诉办法》第十二条规定的质疑。</w:t>
      </w:r>
    </w:p>
    <w:p>
      <w:pPr>
        <w:snapToGrid w:val="0"/>
        <w:spacing w:line="360" w:lineRule="auto"/>
        <w:ind w:firstLine="1024" w:firstLineChars="427"/>
        <w:rPr>
          <w:rFonts w:ascii="宋体" w:cs="宋体"/>
          <w:sz w:val="24"/>
        </w:rPr>
      </w:pPr>
      <w:r>
        <w:rPr>
          <w:rFonts w:hint="eastAsia" w:ascii="宋体" w:cs="宋体"/>
          <w:sz w:val="24"/>
        </w:rPr>
        <w:t>②超出政府采购法定期限的质疑。</w:t>
      </w:r>
    </w:p>
    <w:p>
      <w:pPr>
        <w:snapToGrid w:val="0"/>
        <w:spacing w:line="360" w:lineRule="auto"/>
        <w:ind w:firstLine="1024" w:firstLineChars="427"/>
        <w:rPr>
          <w:rFonts w:ascii="宋体" w:cs="宋体"/>
          <w:sz w:val="24"/>
        </w:rPr>
      </w:pPr>
      <w:r>
        <w:rPr>
          <w:rFonts w:hint="eastAsia" w:ascii="宋体" w:cs="宋体"/>
          <w:sz w:val="24"/>
        </w:rPr>
        <w:t>③以传真、电子邮件等方式递交的非原件形式的质疑。</w:t>
      </w:r>
    </w:p>
    <w:p>
      <w:pPr>
        <w:snapToGrid w:val="0"/>
        <w:spacing w:line="360" w:lineRule="auto"/>
        <w:ind w:firstLine="1024" w:firstLineChars="427"/>
        <w:rPr>
          <w:rFonts w:ascii="宋体" w:cs="宋体"/>
          <w:sz w:val="24"/>
        </w:rPr>
      </w:pPr>
      <w:r>
        <w:rPr>
          <w:rFonts w:hint="eastAsia" w:ascii="宋体" w:cs="宋体"/>
          <w:sz w:val="24"/>
        </w:rPr>
        <w:t>④未参加投标活动的投标人或在投标活动中自身权益未受到损害的投标人所提出的质疑。</w:t>
      </w:r>
    </w:p>
    <w:p>
      <w:pPr>
        <w:snapToGrid w:val="0"/>
        <w:spacing w:line="360" w:lineRule="auto"/>
        <w:ind w:firstLine="1024" w:firstLineChars="427"/>
        <w:rPr>
          <w:rFonts w:ascii="宋体" w:cs="宋体"/>
          <w:sz w:val="24"/>
        </w:rPr>
      </w:pPr>
      <w:r>
        <w:rPr>
          <w:rFonts w:hint="eastAsia" w:ascii="宋体" w:cs="宋体"/>
          <w:sz w:val="24"/>
        </w:rPr>
        <w:t>⑤投标人组成联合体参加投标，联合体中任何一方或多方未按要求签字、盖章、加盖公章的质疑。</w:t>
      </w:r>
    </w:p>
    <w:p>
      <w:pPr>
        <w:spacing w:line="360" w:lineRule="auto"/>
        <w:ind w:firstLine="720" w:firstLineChars="300"/>
        <w:rPr>
          <w:rFonts w:ascii="宋体" w:cs="宋体"/>
          <w:sz w:val="24"/>
        </w:rPr>
      </w:pPr>
      <w:r>
        <w:rPr>
          <w:rFonts w:hint="eastAsia" w:ascii="宋体" w:cs="宋体"/>
          <w:sz w:val="24"/>
        </w:rPr>
        <w:t>⑺ 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ind w:firstLine="480" w:firstLineChars="200"/>
        <w:rPr>
          <w:rFonts w:ascii="宋体" w:cs="宋体"/>
          <w:b/>
          <w:bCs/>
          <w:sz w:val="24"/>
        </w:rPr>
      </w:pPr>
      <w:r>
        <w:rPr>
          <w:rFonts w:hint="eastAsia" w:ascii="宋体" w:cs="宋体"/>
          <w:sz w:val="24"/>
        </w:rPr>
        <w:t>5.3投诉</w:t>
      </w:r>
    </w:p>
    <w:p>
      <w:pPr>
        <w:spacing w:line="360" w:lineRule="auto"/>
        <w:ind w:firstLine="480" w:firstLineChars="200"/>
        <w:rPr>
          <w:rFonts w:ascii="宋体" w:cs="宋体"/>
          <w:sz w:val="24"/>
        </w:rPr>
      </w:pPr>
      <w:r>
        <w:rPr>
          <w:rFonts w:hint="eastAsia" w:ascii="宋体" w:cs="宋体"/>
          <w:sz w:val="24"/>
          <w:lang w:val="zh-CN"/>
        </w:rPr>
        <w:t>质疑供应商对我单位的答复不满意，或未在规定的时间内作出答复的，可以在答复期满</w:t>
      </w:r>
      <w:r>
        <w:rPr>
          <w:rFonts w:hint="eastAsia" w:ascii="宋体" w:cs="宋体"/>
          <w:sz w:val="24"/>
        </w:rPr>
        <w:t>后十五个工作日内向财政厅政府采购处</w:t>
      </w:r>
      <w:r>
        <w:rPr>
          <w:rFonts w:hint="eastAsia" w:ascii="宋体" w:cs="宋体"/>
          <w:sz w:val="24"/>
          <w:lang w:val="zh-CN"/>
        </w:rPr>
        <w:t>投诉。</w:t>
      </w:r>
    </w:p>
    <w:p/>
    <w:p>
      <w:pPr>
        <w:pStyle w:val="4"/>
        <w:jc w:val="center"/>
        <w:rPr>
          <w:rFonts w:cs="宋体"/>
          <w:sz w:val="24"/>
          <w:szCs w:val="24"/>
        </w:rPr>
      </w:pPr>
      <w:bookmarkStart w:id="12" w:name="_Toc25991"/>
      <w:r>
        <w:rPr>
          <w:rFonts w:ascii="Times New Roman" w:hAnsi="Times New Roman"/>
          <w:sz w:val="24"/>
          <w:szCs w:val="24"/>
        </w:rPr>
        <w:t>第</w:t>
      </w:r>
      <w:r>
        <w:rPr>
          <w:rFonts w:hint="eastAsia" w:ascii="Times New Roman" w:hAnsi="Times New Roman"/>
          <w:sz w:val="24"/>
          <w:szCs w:val="24"/>
        </w:rPr>
        <w:t>十</w:t>
      </w:r>
      <w:r>
        <w:rPr>
          <w:rFonts w:ascii="Times New Roman" w:hAnsi="Times New Roman"/>
          <w:sz w:val="24"/>
          <w:szCs w:val="24"/>
        </w:rPr>
        <w:t>节</w:t>
      </w:r>
      <w:r>
        <w:rPr>
          <w:rFonts w:hint="eastAsia" w:ascii="Times New Roman" w:hAnsi="Times New Roman"/>
          <w:sz w:val="24"/>
          <w:szCs w:val="24"/>
        </w:rPr>
        <w:t xml:space="preserve"> 需要补充的其他内容</w:t>
      </w:r>
      <w:bookmarkEnd w:id="12"/>
    </w:p>
    <w:p>
      <w:pPr>
        <w:spacing w:line="360" w:lineRule="auto"/>
        <w:ind w:firstLine="480" w:firstLineChars="200"/>
        <w:rPr>
          <w:rFonts w:cs="宋体"/>
          <w:color w:val="000000"/>
          <w:kern w:val="0"/>
          <w:sz w:val="24"/>
        </w:rPr>
      </w:pPr>
      <w:r>
        <w:rPr>
          <w:rFonts w:hint="eastAsia" w:ascii="宋体" w:cs="宋体"/>
          <w:sz w:val="24"/>
        </w:rPr>
        <w:t>需要补充的其他内容：见投标人须知前附表。</w:t>
      </w:r>
    </w:p>
    <w:p>
      <w:pPr>
        <w:pStyle w:val="11"/>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13" w:name="_Toc29304"/>
      <w:r>
        <w:rPr>
          <w:rFonts w:hint="eastAsia" w:ascii="黑体" w:eastAsia="黑体" w:cs="黑体"/>
          <w:sz w:val="24"/>
        </w:rPr>
        <w:t>第三章  评标办法</w:t>
      </w:r>
      <w:bookmarkEnd w:id="13"/>
    </w:p>
    <w:p>
      <w:pPr>
        <w:pStyle w:val="4"/>
        <w:jc w:val="center"/>
        <w:rPr>
          <w:rFonts w:cs="宋体"/>
          <w:sz w:val="24"/>
          <w:szCs w:val="24"/>
        </w:rPr>
      </w:pPr>
      <w:bookmarkStart w:id="14" w:name="_Toc11670"/>
      <w:r>
        <w:rPr>
          <w:rFonts w:ascii="Times New Roman" w:hAnsi="Times New Roman"/>
          <w:sz w:val="24"/>
          <w:szCs w:val="24"/>
        </w:rPr>
        <w:t>第一节</w:t>
      </w:r>
      <w:r>
        <w:rPr>
          <w:rFonts w:hint="eastAsia" w:ascii="Times New Roman" w:hAnsi="Times New Roman"/>
          <w:sz w:val="24"/>
          <w:szCs w:val="24"/>
        </w:rPr>
        <w:t xml:space="preserve"> </w:t>
      </w:r>
      <w:r>
        <w:rPr>
          <w:rFonts w:cs="宋体"/>
          <w:bCs/>
          <w:color w:val="000000"/>
          <w:sz w:val="24"/>
          <w:szCs w:val="24"/>
        </w:rPr>
        <w:t>评标方法</w:t>
      </w:r>
      <w:bookmarkEnd w:id="14"/>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评标委员会对满足招标文件实质性要求的投标文件，按照本节规定的评审标准进行评审。评标中各评委若发生意见分歧，以少数服从多数原则确定。</w:t>
      </w:r>
    </w:p>
    <w:p/>
    <w:p>
      <w:pPr>
        <w:pStyle w:val="4"/>
        <w:jc w:val="center"/>
        <w:rPr>
          <w:rFonts w:cs="宋体"/>
          <w:sz w:val="24"/>
          <w:szCs w:val="24"/>
        </w:rPr>
      </w:pPr>
      <w:bookmarkStart w:id="15" w:name="_Toc1052"/>
      <w:r>
        <w:rPr>
          <w:rFonts w:ascii="Times New Roman" w:hAnsi="Times New Roman"/>
          <w:sz w:val="24"/>
          <w:szCs w:val="24"/>
        </w:rPr>
        <w:t>第二节</w:t>
      </w:r>
      <w:r>
        <w:rPr>
          <w:rFonts w:hint="eastAsia" w:ascii="Times New Roman" w:hAnsi="Times New Roman"/>
          <w:sz w:val="24"/>
          <w:szCs w:val="24"/>
        </w:rPr>
        <w:t xml:space="preserve"> </w:t>
      </w:r>
      <w:r>
        <w:rPr>
          <w:rFonts w:cs="宋体"/>
          <w:bCs/>
          <w:color w:val="000000"/>
          <w:sz w:val="24"/>
          <w:szCs w:val="24"/>
        </w:rPr>
        <w:t>评标标准</w:t>
      </w:r>
      <w:bookmarkEnd w:id="15"/>
    </w:p>
    <w:p>
      <w:pPr>
        <w:pStyle w:val="14"/>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1资格审查：评审因素和评审标准见《资格审查标准》。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2完备性及符合性审查：评审因素和评审标准见《完备性及符合性审查标准》。</w:t>
      </w:r>
    </w:p>
    <w:p>
      <w:pPr>
        <w:widowControl/>
        <w:shd w:val="clear" w:color="auto" w:fill="FFFFFF"/>
        <w:snapToGrid w:val="0"/>
        <w:spacing w:line="360" w:lineRule="auto"/>
        <w:rPr>
          <w:rFonts w:ascii="宋体"/>
          <w:color w:val="000000"/>
          <w:kern w:val="0"/>
          <w:sz w:val="24"/>
        </w:rPr>
      </w:pPr>
      <w:r>
        <w:rPr>
          <w:rFonts w:hint="eastAsia" w:ascii="宋体"/>
          <w:kern w:val="0"/>
          <w:sz w:val="24"/>
        </w:rPr>
        <w:t>2</w:t>
      </w:r>
      <w:r>
        <w:rPr>
          <w:rFonts w:ascii="宋体"/>
          <w:kern w:val="0"/>
          <w:sz w:val="24"/>
        </w:rPr>
        <w:t>.</w:t>
      </w:r>
      <w:r>
        <w:rPr>
          <w:rFonts w:hint="eastAsia" w:ascii="宋体"/>
          <w:kern w:val="0"/>
          <w:sz w:val="24"/>
        </w:rPr>
        <w:t>3</w:t>
      </w:r>
      <w:r>
        <w:rPr>
          <w:rFonts w:hint="eastAsia" w:ascii="宋体"/>
          <w:color w:val="000000"/>
          <w:kern w:val="0"/>
          <w:sz w:val="24"/>
        </w:rPr>
        <w:t>详细评审：评审因素和评审标准见《详细评审标准》。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4投标报价评分标准：</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分值构成及权重：见评标办法前附表。</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评标基准价计算：见评标办法前附表。</w:t>
      </w:r>
    </w:p>
    <w:p>
      <w:pPr>
        <w:tabs>
          <w:tab w:val="left" w:pos="210"/>
        </w:tabs>
        <w:spacing w:line="360" w:lineRule="auto"/>
        <w:ind w:firstLine="480" w:firstLineChars="200"/>
        <w:jc w:val="left"/>
        <w:rPr>
          <w:rFonts w:ascii="宋体"/>
          <w:kern w:val="0"/>
          <w:sz w:val="24"/>
        </w:rPr>
      </w:pPr>
      <w:r>
        <w:rPr>
          <w:rFonts w:hint="eastAsia" w:ascii="宋体" w:cs="宋体"/>
          <w:kern w:val="0"/>
          <w:sz w:val="24"/>
        </w:rPr>
        <w:t>⑶</w:t>
      </w:r>
      <w:r>
        <w:rPr>
          <w:rFonts w:hint="eastAsia" w:ascii="宋体"/>
          <w:kern w:val="0"/>
          <w:sz w:val="24"/>
        </w:rPr>
        <w:t>投标报价得分的计算：见评标办法前附表。</w:t>
      </w:r>
    </w:p>
    <w:p/>
    <w:p>
      <w:pPr>
        <w:pStyle w:val="4"/>
        <w:jc w:val="center"/>
        <w:rPr>
          <w:rFonts w:cs="宋体"/>
          <w:sz w:val="24"/>
          <w:szCs w:val="24"/>
        </w:rPr>
      </w:pPr>
      <w:bookmarkStart w:id="16" w:name="_Toc8150"/>
      <w:r>
        <w:rPr>
          <w:rFonts w:ascii="Times New Roman" w:hAnsi="Times New Roman"/>
          <w:sz w:val="24"/>
          <w:szCs w:val="24"/>
        </w:rPr>
        <w:t>第三节</w:t>
      </w:r>
      <w:r>
        <w:rPr>
          <w:rFonts w:hint="eastAsia" w:ascii="Times New Roman" w:hAnsi="Times New Roman"/>
          <w:sz w:val="24"/>
          <w:szCs w:val="24"/>
        </w:rPr>
        <w:t xml:space="preserve"> </w:t>
      </w:r>
      <w:r>
        <w:rPr>
          <w:rFonts w:cs="宋体"/>
          <w:bCs/>
          <w:color w:val="000000"/>
          <w:sz w:val="24"/>
          <w:szCs w:val="24"/>
        </w:rPr>
        <w:t>评标程序</w:t>
      </w:r>
      <w:bookmarkEnd w:id="16"/>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4"/>
        <w:jc w:val="center"/>
        <w:rPr>
          <w:rFonts w:cs="宋体"/>
          <w:sz w:val="24"/>
          <w:szCs w:val="24"/>
        </w:rPr>
      </w:pPr>
      <w:bookmarkStart w:id="17" w:name="_Toc2546"/>
      <w:r>
        <w:rPr>
          <w:rFonts w:cs="宋体"/>
          <w:sz w:val="24"/>
          <w:szCs w:val="24"/>
        </w:rPr>
        <w:t xml:space="preserve">第四节 </w:t>
      </w:r>
      <w:r>
        <w:rPr>
          <w:rFonts w:cs="宋体"/>
          <w:bCs/>
          <w:color w:val="000000"/>
          <w:sz w:val="24"/>
          <w:szCs w:val="24"/>
        </w:rPr>
        <w:t>评标准备</w:t>
      </w:r>
      <w:bookmarkEnd w:id="17"/>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 评标委员会成员签到</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评标委员会成员到达评标现场时应当在签到表上签到以证明其出席。</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4.2评标委员会的分工</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4.3评标委员会首先推选一名评标委员会主任</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 xml:space="preserve">⑵ 评标委员会主任除履行自己作为评标委员会成员独立评标的职责外，主要负责以下工作： </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组织评标委员会成员学习招标文件；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汇总各评标委员会成员认为需要投标人澄清、说明或者补正的问题；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组织评标委员会对投标人质询并对投标人的答复进行评审；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对出现较大争议的事项进行书面记录；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组织对评标结论进行复核确认；</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组织编写评标报告。</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4.4熟悉文件资料</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4.5采购人或采购代理机构应当向评标委员会提供评标所需的信息和数据，包括：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招标文件及其澄清修改等招标文件补充；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未在开标会上当场拒绝的各投标文件；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开标会记录；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评标表格；</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其他信息和数据；</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4.6资格审查（适用于资格后审）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4.7完备性及符合性审查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4.8详细评审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只有通过了资格审查、完备性及符合性审查且投标人不少于3个，方可进入详细评审。</w:t>
      </w:r>
    </w:p>
    <w:p>
      <w:pPr>
        <w:widowControl/>
        <w:shd w:val="clear" w:color="auto" w:fill="FFFFFF"/>
        <w:snapToGrid w:val="0"/>
        <w:spacing w:line="360" w:lineRule="auto"/>
        <w:rPr>
          <w:rFonts w:ascii="宋体" w:cs="宋体"/>
          <w:kern w:val="0"/>
          <w:sz w:val="24"/>
        </w:rPr>
      </w:pPr>
      <w:r>
        <w:rPr>
          <w:rFonts w:hint="eastAsia" w:ascii="宋体" w:cs="宋体"/>
          <w:b/>
          <w:bCs/>
          <w:kern w:val="0"/>
          <w:sz w:val="24"/>
        </w:rPr>
        <w:t>4.9开标程序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按下列程序进行开标：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宣布开标纪律；</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开标会主持人介绍参加会议的人员；；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投标人不足3家的，不得开标。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评标委员会成员不得参加开标活动。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投标文件报价出现前后不一致的，除招标文件另有规定外，按照下列规定修正：</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①投标文件中开标一览表（报价表）内容与投标文件中相应内容不一致的，以开标一览表（报价表）为准。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②大写金额和小写金额不一致的，以大写金额为准。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③总价金额与按单价汇总金额不一致的，以单价金额计算结果为准；单价金额小数点或者百分比有明显错位的，以开标一览表（报价表）的总价为准，并修改单价。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④对不同文字文本投标文件的解释发生异议的，以中文文本为准。</w:t>
      </w:r>
    </w:p>
    <w:p>
      <w:pPr>
        <w:widowControl/>
        <w:shd w:val="clear" w:color="auto" w:fill="FFFFFF"/>
        <w:snapToGrid w:val="0"/>
        <w:spacing w:line="360" w:lineRule="auto"/>
        <w:ind w:firstLine="720" w:firstLineChars="300"/>
        <w:rPr>
          <w:rFonts w:ascii="宋体" w:cs="宋体"/>
        </w:rPr>
      </w:pPr>
      <w:r>
        <w:rPr>
          <w:rFonts w:hint="eastAsia" w:ascii="宋体" w:cs="宋体"/>
          <w:kern w:val="0"/>
          <w:sz w:val="24"/>
        </w:rPr>
        <w:t>⑤同时出现两种以上不一致的，按照前款规定的顺序修正。修正后的报价须经授权委托代理人签字并加盖公章后产生约束力，投标人不确认的，其投标无效。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4.10澄清、说明和补正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cs="宋体"/>
          <w:color w:val="FF0000"/>
          <w:kern w:val="0"/>
          <w:sz w:val="24"/>
        </w:rPr>
      </w:pPr>
      <w:r>
        <w:rPr>
          <w:rFonts w:hint="eastAsia" w:ascii="宋体" w:cs="宋体"/>
          <w:kern w:val="0"/>
          <w:sz w:val="24"/>
        </w:rPr>
        <w:t xml:space="preserve">⑶ </w:t>
      </w:r>
      <w:r>
        <w:rPr>
          <w:rFonts w:hint="eastAsia" w:ascii="宋体" w:cs="宋体"/>
          <w:color w:val="000000"/>
          <w:kern w:val="0"/>
          <w:sz w:val="24"/>
        </w:rPr>
        <w:t>评标委员会</w:t>
      </w:r>
      <w:r>
        <w:rPr>
          <w:rFonts w:hint="eastAsia" w:ascii="宋体" w:cs="宋体"/>
          <w:kern w:val="0"/>
          <w:sz w:val="24"/>
        </w:rPr>
        <w:t>针对需要投标</w:t>
      </w:r>
      <w:r>
        <w:rPr>
          <w:rFonts w:hint="eastAsia" w:ascii="宋体" w:cs="宋体"/>
          <w:color w:val="000000"/>
          <w:kern w:val="0"/>
          <w:sz w:val="24"/>
        </w:rPr>
        <w:t>人对所提交投标文件中不明确的内容进行书面澄清、说明或补正。</w:t>
      </w:r>
      <w:r>
        <w:rPr>
          <w:rFonts w:hint="eastAsia" w:ascii="宋体" w:cs="宋体"/>
          <w:kern w:val="0"/>
          <w:sz w:val="24"/>
        </w:rPr>
        <w:t>澄清通知不得向投标人提出带有暗示性或诱导性问题，或向其明确投标文件中的遗漏和错误。</w:t>
      </w:r>
      <w:r>
        <w:rPr>
          <w:rFonts w:hint="eastAsia" w:ascii="宋体" w:cs="宋体"/>
          <w:color w:val="000000"/>
          <w:kern w:val="0"/>
          <w:sz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cs="宋体"/>
          <w:b/>
          <w:bCs/>
          <w:kern w:val="0"/>
          <w:sz w:val="24"/>
        </w:rPr>
      </w:pPr>
      <w:r>
        <w:rPr>
          <w:rFonts w:hint="eastAsia" w:ascii="宋体" w:cs="宋体"/>
          <w:kern w:val="0"/>
          <w:sz w:val="24"/>
        </w:rPr>
        <w:t xml:space="preserve">⑸ </w:t>
      </w:r>
      <w:r>
        <w:rPr>
          <w:rFonts w:hint="eastAsia" w:ascii="宋体" w:cs="宋体"/>
          <w:b/>
          <w:bCs/>
          <w:kern w:val="0"/>
          <w:sz w:val="24"/>
        </w:rPr>
        <w:t>评标委员会发现投标人的报价明显低于其他投标人投标价格，使得其投标价格可能低于其成本的，</w:t>
      </w:r>
      <w:r>
        <w:rPr>
          <w:rFonts w:hint="eastAsia" w:ascii="宋体" w:cs="宋体"/>
          <w:b/>
          <w:bCs/>
          <w:color w:val="000000"/>
          <w:kern w:val="0"/>
          <w:sz w:val="24"/>
        </w:rPr>
        <w:t>可</w:t>
      </w:r>
      <w:r>
        <w:rPr>
          <w:rFonts w:hint="eastAsia" w:ascii="宋体" w:cs="宋体"/>
          <w:b/>
          <w:bCs/>
          <w:kern w:val="0"/>
          <w:sz w:val="24"/>
        </w:rPr>
        <w:t>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⑾ 总得分相同且报价相同的投标人，采取随机抽取方式确定排序顺序。</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4.11推荐中标候选人及提交评标报告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⒉根据法律法规规定，某个或某几个评标委员会成员需要回避。</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3.退出评标的评标委员会成员，其已完成的评标行为无效，由更换的评委进行评标。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4.在评标环节中，需评标委员会就某项定性的评审结论做出表决的，由评标委员会全体成员按照少数服从多数的原则确定。</w:t>
      </w:r>
    </w:p>
    <w:p>
      <w:pPr>
        <w:pStyle w:val="4"/>
        <w:rPr>
          <w:rFonts w:cs="宋体"/>
          <w:sz w:val="24"/>
          <w:szCs w:val="24"/>
        </w:rPr>
      </w:pPr>
    </w:p>
    <w:p>
      <w:pPr>
        <w:pStyle w:val="5"/>
      </w:pPr>
    </w:p>
    <w:p>
      <w:pPr>
        <w:rPr>
          <w:rFonts w:ascii="宋体" w:cs="宋体"/>
          <w:b/>
          <w:sz w:val="24"/>
        </w:rPr>
      </w:pPr>
      <w:r>
        <w:rPr>
          <w:rFonts w:hint="eastAsia" w:ascii="宋体" w:cs="宋体"/>
          <w:b/>
          <w:sz w:val="24"/>
        </w:rPr>
        <w:br w:type="page"/>
      </w: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sz w:val="24"/>
        </w:rPr>
      </w:pP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4"/>
        <w:rPr>
          <w:rFonts w:cs="宋体"/>
          <w:sz w:val="24"/>
          <w:szCs w:val="24"/>
        </w:rPr>
      </w:pPr>
    </w:p>
    <w:p>
      <w:pPr>
        <w:pStyle w:val="5"/>
        <w:rPr>
          <w:rFonts w:cs="宋体"/>
          <w:sz w:val="24"/>
        </w:rPr>
      </w:pPr>
    </w:p>
    <w:p>
      <w:pPr>
        <w:pStyle w:val="5"/>
        <w:rPr>
          <w:rFonts w:cs="宋体"/>
          <w:sz w:val="24"/>
        </w:rPr>
      </w:pPr>
    </w:p>
    <w:p>
      <w:pPr>
        <w:pStyle w:val="5"/>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spacing w:line="360" w:lineRule="auto"/>
        <w:ind w:firstLine="960" w:firstLineChars="400"/>
        <w:jc w:val="left"/>
        <w:rPr>
          <w:rFonts w:ascii="宋体" w:cs="宋体"/>
          <w:color w:val="000000"/>
          <w:sz w:val="24"/>
        </w:rPr>
      </w:pPr>
    </w:p>
    <w:p>
      <w:pPr>
        <w:jc w:val="center"/>
        <w:rPr>
          <w:b/>
          <w:bCs/>
          <w:sz w:val="24"/>
        </w:rPr>
      </w:pPr>
      <w:bookmarkStart w:id="18" w:name="_BookMark_10"/>
      <w:bookmarkEnd w:id="18"/>
      <w:r>
        <w:rPr>
          <w:rFonts w:hint="eastAsia"/>
          <w:b/>
          <w:bCs/>
          <w:sz w:val="24"/>
        </w:rPr>
        <w:t>综合评估法</w:t>
      </w:r>
    </w:p>
    <w:p>
      <w:pPr>
        <w:jc w:val="center"/>
        <w:rPr>
          <w:sz w:val="24"/>
        </w:rPr>
      </w:pPr>
      <w:bookmarkStart w:id="19" w:name="_Toc1514"/>
      <w:r>
        <w:rPr>
          <w:rFonts w:hint="eastAsia"/>
          <w:sz w:val="24"/>
        </w:rPr>
        <w:t>评标办法前附表</w:t>
      </w:r>
      <w:bookmarkEnd w:id="19"/>
    </w:p>
    <w:tbl>
      <w:tblPr>
        <w:tblStyle w:val="22"/>
        <w:tblW w:w="9160" w:type="dxa"/>
        <w:jc w:val="center"/>
        <w:tblInd w:w="0" w:type="dxa"/>
        <w:tblLayout w:type="fixed"/>
        <w:tblCellMar>
          <w:top w:w="0" w:type="dxa"/>
          <w:left w:w="0" w:type="dxa"/>
          <w:bottom w:w="0" w:type="dxa"/>
          <w:right w:w="0" w:type="dxa"/>
        </w:tblCellMar>
      </w:tblPr>
      <w:tblGrid>
        <w:gridCol w:w="612"/>
        <w:gridCol w:w="2393"/>
        <w:gridCol w:w="615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分值构成及权重</w:t>
            </w:r>
          </w:p>
          <w:p>
            <w:pPr>
              <w:rPr>
                <w:rFonts w:ascii="宋体"/>
                <w:sz w:val="24"/>
              </w:rPr>
            </w:pPr>
            <w:r>
              <w:rPr>
                <w:rFonts w:ascii="宋体"/>
                <w:sz w:val="24"/>
              </w:rPr>
              <w:t>(</w:t>
            </w:r>
            <w:r>
              <w:rPr>
                <w:rFonts w:hint="eastAsia" w:ascii="宋体"/>
                <w:sz w:val="24"/>
              </w:rPr>
              <w:t>总分</w:t>
            </w:r>
            <w:r>
              <w:rPr>
                <w:rFonts w:ascii="宋体"/>
                <w:sz w:val="24"/>
              </w:rPr>
              <w:t>100</w:t>
            </w:r>
            <w:r>
              <w:rPr>
                <w:rFonts w:hint="eastAsia" w:ascii="宋体"/>
                <w:sz w:val="24"/>
              </w:rPr>
              <w:t>分</w:t>
            </w:r>
            <w:r>
              <w:rPr>
                <w:rFonts w:ascii="宋体"/>
                <w:sz w:val="24"/>
              </w:rPr>
              <w:t>)</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ascii="宋体"/>
                <w:sz w:val="24"/>
              </w:rPr>
              <w:t>1.</w:t>
            </w:r>
            <w:r>
              <w:rPr>
                <w:rFonts w:hint="eastAsia" w:ascii="宋体"/>
                <w:sz w:val="24"/>
              </w:rPr>
              <w:t>详细评审部分权重</w:t>
            </w:r>
            <w:r>
              <w:rPr>
                <w:rFonts w:ascii="宋体"/>
                <w:sz w:val="24"/>
              </w:rPr>
              <w:t>Q1=70%</w:t>
            </w:r>
          </w:p>
          <w:p>
            <w:pPr>
              <w:rPr>
                <w:rFonts w:ascii="宋体"/>
                <w:sz w:val="24"/>
              </w:rPr>
            </w:pPr>
            <w:r>
              <w:rPr>
                <w:rFonts w:ascii="宋体"/>
                <w:sz w:val="24"/>
              </w:rPr>
              <w:t>2.</w:t>
            </w:r>
            <w:r>
              <w:rPr>
                <w:rFonts w:hint="eastAsia" w:ascii="宋体"/>
                <w:sz w:val="24"/>
              </w:rPr>
              <w:t>投标报价权重</w:t>
            </w:r>
            <w:r>
              <w:rPr>
                <w:rFonts w:ascii="宋体"/>
                <w:sz w:val="24"/>
              </w:rPr>
              <w:t>Q2=30%</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tcPr>
          <w:p>
            <w:pPr>
              <w:rPr>
                <w:rFonts w:ascii="宋体"/>
                <w:color w:val="000000"/>
                <w:sz w:val="24"/>
              </w:rPr>
            </w:pPr>
            <w:r>
              <w:rPr>
                <w:rFonts w:hint="eastAsia" w:ascii="宋体"/>
                <w:sz w:val="24"/>
              </w:rPr>
              <w:t>投标报价得分计算方法：</w:t>
            </w:r>
          </w:p>
          <w:p>
            <w:pPr>
              <w:rPr>
                <w:rFonts w:ascii="宋体"/>
                <w:bCs/>
                <w:color w:val="000000"/>
                <w:sz w:val="24"/>
              </w:rPr>
            </w:pPr>
            <w:r>
              <w:rPr>
                <w:rFonts w:hint="eastAsia" w:ascii="宋体"/>
                <w:color w:val="000000"/>
                <w:sz w:val="24"/>
              </w:rPr>
              <w:t>1</w:t>
            </w:r>
            <w:r>
              <w:rPr>
                <w:rFonts w:hint="eastAsia" w:ascii="宋体"/>
                <w:bCs/>
                <w:color w:val="000000"/>
                <w:sz w:val="24"/>
              </w:rPr>
              <w:t>.投标报价的确定</w:t>
            </w:r>
          </w:p>
          <w:p>
            <w:pPr>
              <w:rPr>
                <w:rFonts w:ascii="宋体"/>
                <w:bCs/>
                <w:color w:val="000000"/>
                <w:sz w:val="24"/>
              </w:rPr>
            </w:pPr>
            <w:r>
              <w:rPr>
                <w:rFonts w:hint="eastAsia" w:ascii="宋体"/>
                <w:bCs/>
                <w:color w:val="000000"/>
                <w:sz w:val="24"/>
              </w:rPr>
              <w:t>投标报价是指经评审的且不超过采购预算金额的投标价格</w:t>
            </w:r>
          </w:p>
          <w:p>
            <w:pPr>
              <w:rPr>
                <w:rFonts w:ascii="宋体"/>
                <w:bCs/>
                <w:color w:val="000000"/>
                <w:sz w:val="24"/>
              </w:rPr>
            </w:pPr>
            <w:r>
              <w:rPr>
                <w:rFonts w:hint="eastAsia" w:ascii="宋体"/>
                <w:bCs/>
                <w:color w:val="000000"/>
                <w:sz w:val="24"/>
              </w:rPr>
              <w:t>2.评标基准价的确定</w:t>
            </w:r>
          </w:p>
          <w:p>
            <w:pPr>
              <w:rPr>
                <w:rFonts w:ascii="宋体"/>
                <w:bCs/>
                <w:color w:val="000000"/>
                <w:sz w:val="24"/>
              </w:rPr>
            </w:pPr>
            <w:r>
              <w:rPr>
                <w:rFonts w:ascii="宋体"/>
                <w:bCs/>
                <w:color w:val="000000"/>
                <w:sz w:val="24"/>
              </w:rPr>
              <w:t>满足招标文件要求且</w:t>
            </w:r>
            <w:r>
              <w:rPr>
                <w:rFonts w:hint="eastAsia" w:ascii="宋体"/>
                <w:bCs/>
                <w:color w:val="000000"/>
                <w:sz w:val="24"/>
              </w:rPr>
              <w:t>投标报价</w:t>
            </w:r>
            <w:r>
              <w:rPr>
                <w:rFonts w:ascii="宋体"/>
                <w:bCs/>
                <w:color w:val="000000"/>
                <w:sz w:val="24"/>
              </w:rPr>
              <w:t>最低的为评标基准价</w:t>
            </w:r>
          </w:p>
          <w:p>
            <w:pPr>
              <w:rPr>
                <w:rFonts w:ascii="宋体"/>
                <w:bCs/>
                <w:color w:val="000000"/>
                <w:sz w:val="24"/>
              </w:rPr>
            </w:pPr>
            <w:r>
              <w:rPr>
                <w:rFonts w:hint="eastAsia" w:ascii="宋体"/>
                <w:bCs/>
                <w:color w:val="000000"/>
                <w:sz w:val="24"/>
              </w:rPr>
              <w:t>3.</w:t>
            </w:r>
            <w:r>
              <w:rPr>
                <w:rFonts w:ascii="宋体"/>
                <w:bCs/>
                <w:color w:val="000000"/>
                <w:sz w:val="24"/>
              </w:rPr>
              <w:t>投标报价得分=(评标基准价／投标报价)×100×</w:t>
            </w:r>
            <w:r>
              <w:rPr>
                <w:rFonts w:hint="eastAsia" w:ascii="宋体"/>
                <w:bCs/>
                <w:color w:val="000000"/>
                <w:sz w:val="24"/>
              </w:rPr>
              <w:t>Q2</w:t>
            </w:r>
          </w:p>
          <w:p>
            <w:pPr>
              <w:rPr>
                <w:rFonts w:ascii="宋体"/>
                <w:color w:val="000000"/>
                <w:sz w:val="24"/>
              </w:rPr>
            </w:pPr>
            <w:r>
              <w:rPr>
                <w:rFonts w:hint="eastAsia" w:ascii="宋体"/>
                <w:bCs/>
                <w:color w:val="000000"/>
                <w:sz w:val="24"/>
              </w:rPr>
              <w:t>4.</w:t>
            </w:r>
            <w:r>
              <w:rPr>
                <w:rFonts w:hint="eastAsia" w:ascii="宋体"/>
                <w:color w:val="000000"/>
                <w:sz w:val="24"/>
              </w:rPr>
              <w:t>评分分值计算保留小数点后两位，小数点后三位“四舍五入”。</w:t>
            </w:r>
          </w:p>
        </w:tc>
      </w:tr>
    </w:tbl>
    <w:p>
      <w:pPr>
        <w:widowControl/>
        <w:shd w:val="clear" w:color="auto" w:fill="FFFFFF"/>
        <w:snapToGrid w:val="0"/>
        <w:jc w:val="center"/>
        <w:rPr>
          <w:rFonts w:ascii="宋体"/>
          <w:b/>
          <w:kern w:val="0"/>
          <w:sz w:val="24"/>
        </w:rPr>
      </w:pPr>
      <w:bookmarkStart w:id="20" w:name="_Toc501719166"/>
    </w:p>
    <w:p>
      <w:pPr>
        <w:pStyle w:val="9"/>
        <w:numPr>
          <w:ilvl w:val="0"/>
          <w:numId w:val="0"/>
        </w:numPr>
      </w:pPr>
    </w:p>
    <w:p>
      <w:pPr>
        <w:pStyle w:val="9"/>
        <w:numPr>
          <w:ilvl w:val="0"/>
          <w:numId w:val="0"/>
        </w:numPr>
      </w:pPr>
    </w:p>
    <w:p>
      <w:pPr>
        <w:pStyle w:val="9"/>
        <w:numPr>
          <w:ilvl w:val="0"/>
          <w:numId w:val="0"/>
        </w:numPr>
      </w:pPr>
    </w:p>
    <w:p>
      <w:pPr>
        <w:widowControl/>
        <w:shd w:val="clear" w:color="auto" w:fill="FFFFFF"/>
        <w:snapToGrid w:val="0"/>
        <w:jc w:val="center"/>
        <w:rPr>
          <w:rFonts w:ascii="宋体"/>
          <w:b/>
          <w:kern w:val="0"/>
          <w:sz w:val="24"/>
        </w:rPr>
      </w:pPr>
      <w:r>
        <w:rPr>
          <w:rFonts w:hint="eastAsia" w:ascii="宋体"/>
          <w:b/>
          <w:kern w:val="0"/>
          <w:sz w:val="24"/>
        </w:rPr>
        <w:t>《资格审查标准》</w:t>
      </w:r>
      <w:bookmarkEnd w:id="20"/>
    </w:p>
    <w:tbl>
      <w:tblPr>
        <w:tblStyle w:val="22"/>
        <w:tblW w:w="9160" w:type="dxa"/>
        <w:jc w:val="center"/>
        <w:tblInd w:w="0" w:type="dxa"/>
        <w:tblLayout w:type="fixed"/>
        <w:tblCellMar>
          <w:top w:w="0" w:type="dxa"/>
          <w:left w:w="0" w:type="dxa"/>
          <w:bottom w:w="0" w:type="dxa"/>
          <w:right w:w="0" w:type="dxa"/>
        </w:tblCellMar>
      </w:tblPr>
      <w:tblGrid>
        <w:gridCol w:w="628"/>
        <w:gridCol w:w="8532"/>
      </w:tblGrid>
      <w:tr>
        <w:tblPrEx>
          <w:tblLayout w:type="fixed"/>
          <w:tblCellMar>
            <w:top w:w="0" w:type="dxa"/>
            <w:left w:w="0" w:type="dxa"/>
            <w:bottom w:w="0" w:type="dxa"/>
            <w:right w:w="0" w:type="dxa"/>
          </w:tblCellMar>
        </w:tblPrEx>
        <w:trPr>
          <w:cantSplit/>
          <w:trHeight w:val="4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Layout w:type="fixed"/>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sz w:val="24"/>
              </w:rPr>
              <w:t>提供</w:t>
            </w:r>
            <w:r>
              <w:rPr>
                <w:rFonts w:hint="eastAsia" w:ascii="宋体" w:cs="宋体"/>
                <w:color w:val="000000"/>
                <w:kern w:val="0"/>
                <w:sz w:val="24"/>
              </w:rPr>
              <w:t>有效期内与供应商投标文件名称一致的营业执照</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000000"/>
                <w:kern w:val="0"/>
                <w:sz w:val="24"/>
                <w:lang w:val="en-US" w:eastAsia="zh-CN"/>
              </w:rPr>
              <w:t>投标人具有有效的《兽药经营许可证》或《兽药生产许可证》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b/>
                <w:bCs/>
                <w:kern w:val="0"/>
                <w:sz w:val="24"/>
              </w:rPr>
            </w:pPr>
            <w:r>
              <w:rPr>
                <w:rFonts w:hint="eastAsia" w:ascii="宋体"/>
                <w:kern w:val="0"/>
                <w:sz w:val="24"/>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auto"/>
                <w:kern w:val="0"/>
                <w:sz w:val="24"/>
              </w:rPr>
              <w:t>提供代理机构出具的投标保证金收据</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s="宋体"/>
                <w:sz w:val="24"/>
              </w:rPr>
              <w:t>提供授权委托人《法定代表人授权委托书》及身份证（法人前来投标的提供《法人身份证明书》及身份证）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kern w:val="0"/>
                <w:sz w:val="24"/>
              </w:rPr>
            </w:pPr>
            <w:r>
              <w:rPr>
                <w:rFonts w:hint="eastAsia" w:ascii="宋体" w:cs="宋体"/>
                <w:kern w:val="0"/>
                <w:sz w:val="24"/>
              </w:rPr>
              <w:t>投标人如在“信用中国”网站（www.creditchina.gov.cn）、中国政府采购网（www.ccgp.gov.cn）被列入失信被执行人、重大税收违法案件当事人名单、政府采购严重违法失信行为记录名单的（尚在处罚期内的），将拒绝本次政府采购活动；</w:t>
            </w:r>
            <w:r>
              <w:rPr>
                <w:rFonts w:hint="eastAsia" w:ascii="宋体" w:cs="宋体"/>
                <w:sz w:val="24"/>
              </w:rPr>
              <w:t>查询结果页面清晰截图（公告发布之日起至开标日之内截图）</w:t>
            </w:r>
          </w:p>
        </w:tc>
      </w:tr>
      <w:tr>
        <w:tblPrEx>
          <w:tblLayout w:type="fixed"/>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1" w:name="_Toc501719167"/>
    </w:p>
    <w:p>
      <w:pPr>
        <w:pStyle w:val="9"/>
        <w:numPr>
          <w:ilvl w:val="0"/>
          <w:numId w:val="0"/>
        </w:numPr>
      </w:pPr>
    </w:p>
    <w:p>
      <w:pPr>
        <w:rPr>
          <w:rFonts w:ascii="宋体"/>
          <w:b/>
          <w:kern w:val="0"/>
          <w:sz w:val="24"/>
        </w:rPr>
      </w:pPr>
      <w:r>
        <w:rPr>
          <w:rFonts w:hint="eastAsia" w:ascii="宋体"/>
          <w:b/>
          <w:kern w:val="0"/>
          <w:sz w:val="24"/>
        </w:rPr>
        <w:br w:type="page"/>
      </w:r>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1"/>
    </w:p>
    <w:tbl>
      <w:tblPr>
        <w:tblStyle w:val="22"/>
        <w:tblW w:w="9177" w:type="dxa"/>
        <w:jc w:val="center"/>
        <w:tblInd w:w="0" w:type="dxa"/>
        <w:tblLayout w:type="fixed"/>
        <w:tblCellMar>
          <w:top w:w="0" w:type="dxa"/>
          <w:left w:w="0" w:type="dxa"/>
          <w:bottom w:w="0" w:type="dxa"/>
          <w:right w:w="0" w:type="dxa"/>
        </w:tblCellMar>
      </w:tblPr>
      <w:tblGrid>
        <w:gridCol w:w="621"/>
        <w:gridCol w:w="8556"/>
      </w:tblGrid>
      <w:tr>
        <w:tblPrEx>
          <w:tblLayout w:type="fixed"/>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9"/>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blPrEx>
          <w:tblLayout w:type="fixed"/>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jc w:val="center"/>
        <w:rPr>
          <w:rFonts w:ascii="宋体"/>
          <w:b/>
          <w:kern w:val="0"/>
          <w:sz w:val="24"/>
        </w:rPr>
      </w:pPr>
    </w:p>
    <w:p>
      <w:pPr>
        <w:rPr>
          <w:rFonts w:ascii="宋体"/>
          <w:b/>
          <w:kern w:val="0"/>
          <w:sz w:val="24"/>
        </w:rPr>
      </w:pPr>
      <w:r>
        <w:rPr>
          <w:rFonts w:hint="eastAsia" w:ascii="宋体"/>
          <w:b/>
          <w:kern w:val="0"/>
          <w:sz w:val="24"/>
        </w:rPr>
        <w:br w:type="page"/>
      </w:r>
    </w:p>
    <w:p>
      <w:pPr>
        <w:jc w:val="center"/>
        <w:rPr>
          <w:rFonts w:ascii="宋体"/>
          <w:b/>
          <w:kern w:val="0"/>
          <w:sz w:val="24"/>
        </w:rPr>
      </w:pPr>
      <w:r>
        <w:rPr>
          <w:rFonts w:hint="eastAsia" w:ascii="宋体"/>
          <w:b/>
          <w:kern w:val="0"/>
          <w:sz w:val="24"/>
        </w:rPr>
        <w:t>《详细评审标准》</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cs="宋体"/>
          <w:b/>
          <w:bCs/>
          <w:sz w:val="24"/>
        </w:rPr>
      </w:pPr>
      <w:r>
        <w:rPr>
          <w:rFonts w:hint="eastAsia" w:ascii="宋体" w:cs="宋体"/>
          <w:b/>
          <w:bCs/>
          <w:sz w:val="24"/>
        </w:rPr>
        <w:t>1、价格部分（满分30分）</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bCs/>
          <w:sz w:val="24"/>
        </w:rPr>
        <w:t>综合评分法中的价格分统一采用低价优先法计算，即满足投标文件要求且最后报价最低的供应商的价格为评标基准价，其价格分为满分</w:t>
      </w:r>
      <w:r>
        <w:rPr>
          <w:rFonts w:hint="eastAsia" w:ascii="宋体" w:cs="宋体"/>
          <w:sz w:val="24"/>
        </w:rPr>
        <w:t>。其他投标人的价格分统一按照下列公式计算：</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sz w:val="24"/>
        </w:rPr>
        <w:t>投标报价得分=(评标基准价／评标报价)×投标报价权重</w:t>
      </w:r>
    </w:p>
    <w:p>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pPr>
      <w:r>
        <w:rPr>
          <w:rFonts w:hint="eastAsia" w:ascii="宋体" w:cs="宋体"/>
          <w:b/>
          <w:bCs/>
          <w:sz w:val="24"/>
        </w:rPr>
        <w:t>注：各投标供应商不得采取恶意</w:t>
      </w:r>
      <w:r>
        <w:rPr>
          <w:rFonts w:hint="eastAsia" w:ascii="宋体" w:cs="宋体"/>
          <w:b/>
          <w:bCs/>
          <w:color w:val="000000"/>
          <w:sz w:val="24"/>
        </w:rPr>
        <w:t>竞价</w:t>
      </w:r>
      <w:r>
        <w:rPr>
          <w:rFonts w:hint="eastAsia" w:ascii="宋体" w:cs="宋体"/>
          <w:b/>
          <w:bCs/>
          <w:sz w:val="24"/>
        </w:rPr>
        <w:t>方式投标，不得以低于成本的价格参与投标。如评标委员会一致认为供应商恶意报价，其投标文件将作无效投标处理。</w:t>
      </w:r>
    </w:p>
    <w:p>
      <w:pPr>
        <w:pStyle w:val="17"/>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cs="宋体"/>
          <w:b/>
          <w:bCs/>
          <w:sz w:val="24"/>
        </w:rPr>
      </w:pPr>
      <w:r>
        <w:rPr>
          <w:rFonts w:hint="eastAsia" w:ascii="宋体" w:cs="宋体"/>
          <w:b/>
          <w:bCs/>
          <w:sz w:val="24"/>
        </w:rPr>
        <w:t>2、商务评分标准（25分）</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ascii="宋体" w:cs="宋体"/>
                <w:sz w:val="24"/>
              </w:rPr>
            </w:pPr>
            <w:r>
              <w:rPr>
                <w:rFonts w:hint="eastAsia" w:ascii="宋体" w:cs="宋体"/>
                <w:sz w:val="24"/>
              </w:rPr>
              <w:t>序号</w:t>
            </w:r>
          </w:p>
        </w:tc>
        <w:tc>
          <w:tcPr>
            <w:tcW w:w="1560" w:type="dxa"/>
            <w:vAlign w:val="center"/>
          </w:tcPr>
          <w:p>
            <w:pPr>
              <w:pStyle w:val="17"/>
              <w:jc w:val="center"/>
              <w:rPr>
                <w:rFonts w:ascii="宋体" w:cs="宋体"/>
                <w:sz w:val="24"/>
              </w:rPr>
            </w:pPr>
            <w:r>
              <w:rPr>
                <w:rFonts w:hint="eastAsia" w:ascii="宋体" w:cs="宋体"/>
                <w:sz w:val="24"/>
              </w:rPr>
              <w:t>评分因素</w:t>
            </w:r>
          </w:p>
        </w:tc>
        <w:tc>
          <w:tcPr>
            <w:tcW w:w="5802" w:type="dxa"/>
            <w:vAlign w:val="center"/>
          </w:tcPr>
          <w:p>
            <w:pPr>
              <w:pStyle w:val="17"/>
              <w:jc w:val="center"/>
              <w:rPr>
                <w:rFonts w:ascii="宋体" w:cs="宋体"/>
                <w:sz w:val="24"/>
              </w:rPr>
            </w:pPr>
            <w:r>
              <w:rPr>
                <w:rFonts w:hint="eastAsia" w:ascii="宋体" w:cs="宋体"/>
                <w:sz w:val="24"/>
              </w:rPr>
              <w:t>评分标准</w:t>
            </w:r>
          </w:p>
        </w:tc>
        <w:tc>
          <w:tcPr>
            <w:tcW w:w="820" w:type="dxa"/>
            <w:vAlign w:val="center"/>
          </w:tcPr>
          <w:p>
            <w:pPr>
              <w:pStyle w:val="17"/>
              <w:jc w:val="center"/>
              <w:rPr>
                <w:rFonts w:ascii="宋体" w:cs="宋体"/>
                <w:sz w:val="24"/>
              </w:rPr>
            </w:pPr>
            <w:r>
              <w:rPr>
                <w:rFonts w:hint="eastAsia" w:ascii="宋体" w:cs="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trPr>
        <w:tc>
          <w:tcPr>
            <w:tcW w:w="723" w:type="dxa"/>
            <w:vAlign w:val="center"/>
          </w:tcPr>
          <w:p>
            <w:pPr>
              <w:pStyle w:val="17"/>
              <w:jc w:val="center"/>
              <w:rPr>
                <w:rFonts w:ascii="宋体" w:cs="宋体"/>
                <w:sz w:val="24"/>
              </w:rPr>
            </w:pPr>
            <w:r>
              <w:rPr>
                <w:rFonts w:hint="eastAsia" w:ascii="宋体" w:cs="宋体"/>
                <w:sz w:val="24"/>
              </w:rPr>
              <w:t>1</w:t>
            </w:r>
          </w:p>
        </w:tc>
        <w:tc>
          <w:tcPr>
            <w:tcW w:w="1560" w:type="dxa"/>
            <w:vAlign w:val="center"/>
          </w:tcPr>
          <w:p>
            <w:pPr>
              <w:pStyle w:val="17"/>
              <w:jc w:val="center"/>
              <w:rPr>
                <w:rFonts w:ascii="宋体" w:cs="宋体"/>
                <w:sz w:val="24"/>
              </w:rPr>
            </w:pPr>
            <w:r>
              <w:rPr>
                <w:rFonts w:hint="eastAsia" w:ascii="宋体" w:cs="宋体"/>
                <w:sz w:val="24"/>
              </w:rPr>
              <w:t>投标人业绩</w:t>
            </w:r>
          </w:p>
        </w:tc>
        <w:tc>
          <w:tcPr>
            <w:tcW w:w="5802" w:type="dxa"/>
          </w:tcPr>
          <w:p>
            <w:pPr>
              <w:pStyle w:val="17"/>
              <w:jc w:val="left"/>
              <w:rPr>
                <w:rFonts w:hint="eastAsia" w:ascii="宋体" w:cs="宋体"/>
                <w:color w:val="auto"/>
                <w:sz w:val="24"/>
                <w:highlight w:val="none"/>
              </w:rPr>
            </w:pPr>
            <w:r>
              <w:rPr>
                <w:rFonts w:hint="eastAsia" w:ascii="宋体" w:cs="宋体"/>
                <w:color w:val="auto"/>
                <w:sz w:val="24"/>
                <w:highlight w:val="none"/>
              </w:rPr>
              <w:t>提</w:t>
            </w:r>
            <w:r>
              <w:rPr>
                <w:rFonts w:hint="eastAsia" w:ascii="宋体" w:cs="宋体"/>
                <w:color w:val="000000" w:themeColor="text1"/>
                <w:sz w:val="24"/>
                <w:highlight w:val="none"/>
                <w14:textFill>
                  <w14:solidFill>
                    <w14:schemeClr w14:val="tx1"/>
                  </w14:solidFill>
                </w14:textFill>
              </w:rPr>
              <w:t>供</w:t>
            </w:r>
            <w:r>
              <w:rPr>
                <w:rFonts w:hint="eastAsia" w:ascii="宋体" w:cs="宋体"/>
                <w:color w:val="000000" w:themeColor="text1"/>
                <w:sz w:val="24"/>
                <w:lang w:val="en-US" w:eastAsia="zh-CN"/>
                <w14:textFill>
                  <w14:solidFill>
                    <w14:schemeClr w14:val="tx1"/>
                  </w14:solidFill>
                </w14:textFill>
              </w:rPr>
              <w:t>自2019年6月1日至今</w:t>
            </w:r>
            <w:r>
              <w:rPr>
                <w:rFonts w:hint="eastAsia" w:ascii="宋体" w:cs="宋体"/>
                <w:color w:val="000000" w:themeColor="text1"/>
                <w:sz w:val="24"/>
                <w:highlight w:val="none"/>
                <w14:textFill>
                  <w14:solidFill>
                    <w14:schemeClr w14:val="tx1"/>
                  </w14:solidFill>
                </w14:textFill>
              </w:rPr>
              <w:t>政府</w:t>
            </w:r>
            <w:r>
              <w:rPr>
                <w:rFonts w:hint="eastAsia" w:ascii="宋体" w:cs="宋体"/>
                <w:color w:val="auto"/>
                <w:sz w:val="24"/>
                <w:highlight w:val="none"/>
              </w:rPr>
              <w:t>采购类的与本次招标项目相同产品的业绩证明。（提供合同或中标通知书证明材料）</w:t>
            </w:r>
          </w:p>
          <w:p>
            <w:pPr>
              <w:pStyle w:val="17"/>
              <w:jc w:val="left"/>
              <w:rPr>
                <w:rFonts w:hint="eastAsia" w:ascii="宋体" w:cs="宋体"/>
                <w:color w:val="auto"/>
                <w:sz w:val="24"/>
                <w:highlight w:val="none"/>
                <w:lang w:eastAsia="zh-CN"/>
              </w:rPr>
            </w:pPr>
            <w:r>
              <w:rPr>
                <w:rFonts w:hint="eastAsia" w:ascii="宋体" w:cs="宋体"/>
                <w:color w:val="auto"/>
                <w:sz w:val="24"/>
                <w:highlight w:val="none"/>
              </w:rPr>
              <w:t>①每</w:t>
            </w:r>
            <w:r>
              <w:rPr>
                <w:rFonts w:hint="eastAsia" w:ascii="宋体" w:cs="宋体"/>
                <w:color w:val="auto"/>
                <w:sz w:val="24"/>
                <w:highlight w:val="none"/>
                <w:lang w:eastAsia="zh-CN"/>
              </w:rPr>
              <w:t>个产品</w:t>
            </w:r>
            <w:r>
              <w:rPr>
                <w:rFonts w:hint="eastAsia" w:ascii="宋体" w:cs="宋体"/>
                <w:color w:val="auto"/>
                <w:sz w:val="24"/>
                <w:highlight w:val="none"/>
              </w:rPr>
              <w:t>提供1个业绩得2分</w:t>
            </w:r>
            <w:r>
              <w:rPr>
                <w:rFonts w:hint="eastAsia" w:ascii="宋体" w:cs="宋体"/>
                <w:color w:val="auto"/>
                <w:sz w:val="24"/>
                <w:highlight w:val="none"/>
                <w:lang w:eastAsia="zh-CN"/>
              </w:rPr>
              <w:t>，单个产品最高得分4分。</w:t>
            </w:r>
          </w:p>
          <w:p>
            <w:pPr>
              <w:pStyle w:val="17"/>
              <w:jc w:val="left"/>
              <w:rPr>
                <w:rFonts w:ascii="宋体" w:cs="宋体"/>
                <w:color w:val="auto"/>
                <w:sz w:val="24"/>
                <w:highlight w:val="none"/>
              </w:rPr>
            </w:pPr>
            <w:r>
              <w:rPr>
                <w:rFonts w:hint="eastAsia" w:ascii="宋体" w:cs="宋体"/>
                <w:color w:val="auto"/>
                <w:sz w:val="24"/>
                <w:highlight w:val="none"/>
              </w:rPr>
              <w:t>②没有提供与本次招标项目相同产品业绩的不得分</w:t>
            </w:r>
          </w:p>
        </w:tc>
        <w:tc>
          <w:tcPr>
            <w:tcW w:w="820" w:type="dxa"/>
            <w:vAlign w:val="center"/>
          </w:tcPr>
          <w:p>
            <w:pPr>
              <w:pStyle w:val="17"/>
              <w:jc w:val="center"/>
              <w:rPr>
                <w:rFonts w:hint="eastAsia" w:ascii="宋体" w:eastAsia="宋体" w:cs="宋体"/>
                <w:color w:val="auto"/>
                <w:sz w:val="24"/>
                <w:highlight w:val="none"/>
                <w:lang w:eastAsia="zh-CN"/>
              </w:rPr>
            </w:pPr>
            <w:r>
              <w:rPr>
                <w:rFonts w:hint="eastAsia" w:ascii="宋体" w:cs="宋体"/>
                <w:color w:val="auto"/>
                <w:sz w:val="24"/>
                <w:highlight w:val="none"/>
              </w:rPr>
              <w:t>1</w:t>
            </w:r>
            <w:r>
              <w:rPr>
                <w:rFonts w:hint="eastAsia" w:ascii="宋体" w:cs="宋体"/>
                <w:color w:val="auto"/>
                <w:sz w:val="24"/>
                <w:highlight w:val="none"/>
                <w:lang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2</w:t>
            </w:r>
          </w:p>
        </w:tc>
        <w:tc>
          <w:tcPr>
            <w:tcW w:w="1560" w:type="dxa"/>
            <w:vAlign w:val="center"/>
          </w:tcPr>
          <w:p>
            <w:pPr>
              <w:pStyle w:val="17"/>
              <w:jc w:val="center"/>
              <w:rPr>
                <w:rFonts w:ascii="宋体" w:cs="宋体"/>
                <w:sz w:val="24"/>
              </w:rPr>
            </w:pPr>
            <w:r>
              <w:rPr>
                <w:rFonts w:hint="eastAsia" w:ascii="宋体" w:cs="宋体"/>
                <w:sz w:val="24"/>
              </w:rPr>
              <w:t>人员配备</w:t>
            </w:r>
          </w:p>
        </w:tc>
        <w:tc>
          <w:tcPr>
            <w:tcW w:w="5802" w:type="dxa"/>
          </w:tcPr>
          <w:p>
            <w:pPr>
              <w:pStyle w:val="17"/>
              <w:jc w:val="left"/>
              <w:rPr>
                <w:rFonts w:ascii="宋体" w:cs="宋体"/>
                <w:color w:val="auto"/>
                <w:sz w:val="24"/>
              </w:rPr>
            </w:pPr>
            <w:r>
              <w:rPr>
                <w:rFonts w:hint="eastAsia" w:ascii="宋体" w:cs="宋体"/>
                <w:color w:val="auto"/>
                <w:sz w:val="24"/>
              </w:rPr>
              <w:t>科学合理配备人员（满分</w:t>
            </w:r>
            <w:r>
              <w:rPr>
                <w:rFonts w:hint="eastAsia" w:ascii="宋体" w:cs="宋体"/>
                <w:color w:val="auto"/>
                <w:sz w:val="24"/>
                <w:lang w:eastAsia="zh-CN"/>
              </w:rPr>
              <w:t>4</w:t>
            </w:r>
            <w:r>
              <w:rPr>
                <w:rFonts w:hint="eastAsia" w:ascii="宋体" w:cs="宋体"/>
                <w:color w:val="auto"/>
                <w:sz w:val="24"/>
              </w:rPr>
              <w:t>分）</w:t>
            </w:r>
          </w:p>
          <w:p>
            <w:pPr>
              <w:pStyle w:val="17"/>
              <w:jc w:val="left"/>
              <w:rPr>
                <w:rFonts w:hint="eastAsia" w:ascii="宋体" w:eastAsia="宋体" w:cs="宋体"/>
                <w:color w:val="auto"/>
                <w:sz w:val="24"/>
                <w:lang w:eastAsia="zh-CN"/>
              </w:rPr>
            </w:pPr>
            <w:r>
              <w:rPr>
                <w:rFonts w:hint="eastAsia" w:ascii="宋体" w:cs="宋体"/>
                <w:color w:val="auto"/>
                <w:sz w:val="24"/>
              </w:rPr>
              <w:t>①对岗位配置科学</w:t>
            </w:r>
            <w:r>
              <w:rPr>
                <w:rFonts w:hint="eastAsia" w:ascii="宋体" w:eastAsia="宋体" w:cs="宋体"/>
                <w:color w:val="auto"/>
                <w:sz w:val="24"/>
              </w:rPr>
              <w:t>合理，人员配备符合或优于本项目需求岗位的进行综合评价打分。配备专业技术服务人员</w:t>
            </w:r>
            <w:r>
              <w:rPr>
                <w:rFonts w:hint="eastAsia" w:ascii="宋体" w:eastAsia="宋体" w:cs="宋体"/>
                <w:color w:val="auto"/>
                <w:sz w:val="24"/>
                <w:lang w:eastAsia="zh-CN"/>
              </w:rPr>
              <w:t>不少于</w:t>
            </w:r>
            <w:r>
              <w:rPr>
                <w:rFonts w:hint="eastAsia" w:ascii="宋体" w:cs="宋体"/>
                <w:color w:val="auto"/>
                <w:sz w:val="24"/>
                <w:lang w:val="en-US" w:eastAsia="zh-CN"/>
              </w:rPr>
              <w:t>3</w:t>
            </w:r>
            <w:r>
              <w:rPr>
                <w:rFonts w:hint="eastAsia" w:ascii="宋体" w:eastAsia="宋体" w:cs="宋体"/>
                <w:color w:val="auto"/>
                <w:sz w:val="24"/>
                <w:lang w:eastAsia="zh-CN"/>
              </w:rPr>
              <w:t>人得</w:t>
            </w:r>
            <w:r>
              <w:rPr>
                <w:rFonts w:hint="eastAsia" w:ascii="宋体" w:cs="宋体"/>
                <w:color w:val="auto"/>
                <w:sz w:val="24"/>
                <w:lang w:val="en-US" w:eastAsia="zh-CN"/>
              </w:rPr>
              <w:t>2</w:t>
            </w:r>
            <w:r>
              <w:rPr>
                <w:rFonts w:hint="eastAsia" w:ascii="宋体" w:eastAsia="宋体" w:cs="宋体"/>
                <w:color w:val="auto"/>
                <w:sz w:val="24"/>
                <w:lang w:eastAsia="zh-CN"/>
              </w:rPr>
              <w:t>分，每增加1人，多得0.5分（</w:t>
            </w:r>
            <w:r>
              <w:rPr>
                <w:rFonts w:hint="eastAsia" w:ascii="宋体" w:eastAsia="宋体" w:cs="宋体"/>
                <w:color w:val="auto"/>
                <w:sz w:val="24"/>
                <w:lang w:val="en-US" w:eastAsia="zh-CN"/>
              </w:rPr>
              <w:t>提供相关</w:t>
            </w:r>
            <w:r>
              <w:rPr>
                <w:rFonts w:hint="eastAsia" w:ascii="宋体" w:cs="宋体"/>
                <w:color w:val="auto"/>
                <w:sz w:val="24"/>
                <w:lang w:val="en-US" w:eastAsia="zh-CN"/>
              </w:rPr>
              <w:t>人员近半年任意连续</w:t>
            </w:r>
            <w:r>
              <w:rPr>
                <w:rFonts w:hint="eastAsia" w:ascii="宋体" w:eastAsia="宋体" w:cs="宋体"/>
                <w:color w:val="auto"/>
                <w:sz w:val="24"/>
                <w:lang w:val="en-US" w:eastAsia="zh-CN"/>
              </w:rPr>
              <w:t>近三个月社保证明材料）</w:t>
            </w:r>
            <w:r>
              <w:rPr>
                <w:rFonts w:hint="eastAsia" w:ascii="宋体" w:eastAsia="宋体" w:cs="宋体"/>
                <w:color w:val="auto"/>
                <w:sz w:val="24"/>
                <w:lang w:eastAsia="zh-CN"/>
              </w:rPr>
              <w:t>。</w:t>
            </w:r>
          </w:p>
          <w:p>
            <w:pPr>
              <w:pStyle w:val="17"/>
              <w:jc w:val="left"/>
              <w:rPr>
                <w:rFonts w:ascii="宋体" w:cs="宋体"/>
                <w:color w:val="FF0000"/>
                <w:sz w:val="24"/>
              </w:rPr>
            </w:pPr>
            <w:r>
              <w:rPr>
                <w:rFonts w:hint="eastAsia" w:ascii="宋体" w:cs="宋体"/>
                <w:color w:val="auto"/>
                <w:sz w:val="24"/>
              </w:rPr>
              <w:t>②未提供则不得分。</w:t>
            </w:r>
          </w:p>
        </w:tc>
        <w:tc>
          <w:tcPr>
            <w:tcW w:w="820" w:type="dxa"/>
            <w:vAlign w:val="center"/>
          </w:tcPr>
          <w:p>
            <w:pPr>
              <w:pStyle w:val="17"/>
              <w:jc w:val="center"/>
              <w:rPr>
                <w:rFonts w:hint="eastAsia" w:ascii="宋体" w:eastAsia="宋体" w:cs="宋体"/>
                <w:sz w:val="24"/>
                <w:lang w:eastAsia="zh-CN"/>
              </w:rPr>
            </w:pPr>
            <w:r>
              <w:rPr>
                <w:rFonts w:hint="eastAsia" w:ascii="宋体" w:cs="宋体"/>
                <w:sz w:val="24"/>
                <w:lang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3</w:t>
            </w:r>
          </w:p>
        </w:tc>
        <w:tc>
          <w:tcPr>
            <w:tcW w:w="1560" w:type="dxa"/>
            <w:vAlign w:val="center"/>
          </w:tcPr>
          <w:p>
            <w:pPr>
              <w:pStyle w:val="17"/>
              <w:jc w:val="center"/>
              <w:rPr>
                <w:rFonts w:ascii="宋体" w:cs="宋体"/>
                <w:sz w:val="24"/>
              </w:rPr>
            </w:pPr>
            <w:r>
              <w:rPr>
                <w:rFonts w:hint="eastAsia" w:ascii="宋体" w:cs="宋体"/>
                <w:sz w:val="24"/>
              </w:rPr>
              <w:t>售后服务及质量保障措施</w:t>
            </w:r>
          </w:p>
        </w:tc>
        <w:tc>
          <w:tcPr>
            <w:tcW w:w="5802" w:type="dxa"/>
          </w:tcPr>
          <w:p>
            <w:pPr>
              <w:pStyle w:val="17"/>
              <w:jc w:val="left"/>
              <w:rPr>
                <w:rFonts w:ascii="宋体" w:cs="宋体"/>
                <w:sz w:val="24"/>
                <w:highlight w:val="none"/>
              </w:rPr>
            </w:pPr>
            <w:r>
              <w:rPr>
                <w:rFonts w:hint="eastAsia" w:ascii="宋体" w:cs="宋体"/>
                <w:sz w:val="24"/>
                <w:highlight w:val="none"/>
              </w:rPr>
              <w:t>售后服务方案（满分</w:t>
            </w:r>
            <w:r>
              <w:rPr>
                <w:rFonts w:hint="eastAsia" w:ascii="宋体" w:cs="宋体"/>
                <w:sz w:val="24"/>
                <w:highlight w:val="none"/>
                <w:lang w:val="en-US" w:eastAsia="zh-CN"/>
              </w:rPr>
              <w:t>5</w:t>
            </w:r>
            <w:r>
              <w:rPr>
                <w:rFonts w:hint="eastAsia" w:ascii="宋体" w:cs="宋体"/>
                <w:sz w:val="24"/>
                <w:highlight w:val="none"/>
              </w:rPr>
              <w:t>分）：</w:t>
            </w:r>
          </w:p>
          <w:p>
            <w:pPr>
              <w:pStyle w:val="17"/>
              <w:jc w:val="left"/>
              <w:rPr>
                <w:rFonts w:ascii="宋体" w:cs="宋体"/>
                <w:sz w:val="24"/>
                <w:highlight w:val="none"/>
              </w:rPr>
            </w:pPr>
            <w:r>
              <w:rPr>
                <w:rFonts w:hint="eastAsia" w:ascii="宋体" w:hAnsi="宋体" w:eastAsia="宋体" w:cs="宋体"/>
                <w:sz w:val="24"/>
                <w:highlight w:val="none"/>
              </w:rPr>
              <w:t>①</w:t>
            </w:r>
            <w:r>
              <w:rPr>
                <w:rFonts w:hint="eastAsia" w:ascii="宋体" w:cs="宋体"/>
                <w:sz w:val="24"/>
                <w:highlight w:val="none"/>
              </w:rPr>
              <w:t>售后的响应时间</w:t>
            </w:r>
            <w:r>
              <w:rPr>
                <w:rFonts w:hint="eastAsia" w:ascii="宋体" w:cs="宋体"/>
                <w:sz w:val="24"/>
                <w:highlight w:val="none"/>
                <w:lang w:eastAsia="zh-CN"/>
              </w:rPr>
              <w:t>，不得超过30分钟，否则不得分，基础得分0.5分，可根据方案内容增加</w:t>
            </w:r>
            <w:r>
              <w:rPr>
                <w:rFonts w:hint="eastAsia" w:ascii="宋体" w:cs="宋体"/>
                <w:sz w:val="24"/>
                <w:highlight w:val="none"/>
                <w:lang w:val="en-US" w:eastAsia="zh-CN"/>
              </w:rPr>
              <w:t>1</w:t>
            </w:r>
            <w:r>
              <w:rPr>
                <w:rFonts w:hint="eastAsia" w:ascii="宋体" w:cs="宋体"/>
                <w:sz w:val="24"/>
                <w:highlight w:val="none"/>
                <w:lang w:eastAsia="zh-CN"/>
              </w:rPr>
              <w:t>分</w:t>
            </w:r>
            <w:r>
              <w:rPr>
                <w:rFonts w:hint="eastAsia" w:ascii="宋体" w:cs="宋体"/>
                <w:sz w:val="24"/>
                <w:highlight w:val="none"/>
              </w:rPr>
              <w:t>；</w:t>
            </w:r>
            <w:r>
              <w:rPr>
                <w:rFonts w:hint="eastAsia" w:ascii="宋体" w:hAnsi="宋体" w:eastAsia="宋体" w:cs="宋体"/>
                <w:sz w:val="24"/>
                <w:highlight w:val="none"/>
              </w:rPr>
              <w:t>②</w:t>
            </w:r>
            <w:r>
              <w:rPr>
                <w:rFonts w:hint="eastAsia" w:ascii="宋体" w:cs="宋体"/>
                <w:sz w:val="24"/>
                <w:highlight w:val="none"/>
              </w:rPr>
              <w:t>出现问题后的处理方案</w:t>
            </w:r>
            <w:r>
              <w:rPr>
                <w:rFonts w:hint="eastAsia" w:ascii="宋体" w:cs="宋体"/>
                <w:sz w:val="24"/>
                <w:highlight w:val="none"/>
                <w:lang w:eastAsia="zh-CN"/>
              </w:rPr>
              <w:t>，</w:t>
            </w:r>
            <w:r>
              <w:rPr>
                <w:rFonts w:hint="eastAsia" w:ascii="宋体" w:cs="宋体"/>
                <w:sz w:val="24"/>
                <w:highlight w:val="none"/>
                <w:lang w:val="en-US" w:eastAsia="zh-CN"/>
              </w:rPr>
              <w:t>基础得分0.5分，可根据方案内容增加1分</w:t>
            </w:r>
            <w:r>
              <w:rPr>
                <w:rFonts w:hint="eastAsia" w:ascii="宋体" w:cs="宋体"/>
                <w:sz w:val="24"/>
                <w:highlight w:val="none"/>
              </w:rPr>
              <w:t>；</w:t>
            </w:r>
            <w:r>
              <w:rPr>
                <w:rFonts w:hint="eastAsia" w:ascii="宋体" w:hAnsi="宋体" w:eastAsia="宋体" w:cs="宋体"/>
                <w:sz w:val="24"/>
                <w:highlight w:val="none"/>
              </w:rPr>
              <w:t>③</w:t>
            </w:r>
            <w:r>
              <w:rPr>
                <w:rFonts w:hint="eastAsia" w:ascii="宋体" w:cs="宋体"/>
                <w:sz w:val="24"/>
                <w:highlight w:val="none"/>
              </w:rPr>
              <w:t>退换货计划</w:t>
            </w:r>
            <w:r>
              <w:rPr>
                <w:rFonts w:hint="eastAsia" w:ascii="宋体" w:cs="宋体"/>
                <w:sz w:val="24"/>
                <w:highlight w:val="none"/>
                <w:lang w:eastAsia="zh-CN"/>
              </w:rPr>
              <w:t>，每个产品有不少于2次的无偿退换货计划，否则不得分，</w:t>
            </w:r>
            <w:r>
              <w:rPr>
                <w:rFonts w:hint="eastAsia" w:ascii="宋体" w:cs="宋体"/>
                <w:sz w:val="24"/>
                <w:highlight w:val="none"/>
                <w:lang w:val="en-US" w:eastAsia="zh-CN"/>
              </w:rPr>
              <w:t>基础得分1分，可根据方案内容增加1分</w:t>
            </w:r>
            <w:r>
              <w:rPr>
                <w:rFonts w:hint="eastAsia" w:ascii="宋体"/>
                <w:sz w:val="24"/>
                <w:highlight w:val="none"/>
              </w:rPr>
              <w:t>。</w:t>
            </w:r>
          </w:p>
        </w:tc>
        <w:tc>
          <w:tcPr>
            <w:tcW w:w="820" w:type="dxa"/>
            <w:vAlign w:val="center"/>
          </w:tcPr>
          <w:p>
            <w:pPr>
              <w:pStyle w:val="17"/>
              <w:jc w:val="center"/>
              <w:rPr>
                <w:rFonts w:hint="eastAsia" w:ascii="宋体" w:eastAsia="宋体" w:cs="宋体"/>
                <w:sz w:val="24"/>
                <w:highlight w:val="none"/>
                <w:lang w:eastAsia="zh-CN"/>
              </w:rPr>
            </w:pPr>
            <w:r>
              <w:rPr>
                <w:rFonts w:hint="eastAsia" w:ascii="宋体" w:cs="宋体"/>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hint="eastAsia" w:ascii="宋体" w:eastAsia="宋体" w:cs="宋体"/>
                <w:sz w:val="24"/>
                <w:lang w:eastAsia="zh-CN"/>
              </w:rPr>
            </w:pPr>
            <w:r>
              <w:rPr>
                <w:rFonts w:hint="eastAsia" w:ascii="宋体" w:cs="宋体"/>
                <w:sz w:val="24"/>
                <w:lang w:val="en-US" w:eastAsia="zh-CN"/>
              </w:rPr>
              <w:t>4</w:t>
            </w:r>
          </w:p>
        </w:tc>
        <w:tc>
          <w:tcPr>
            <w:tcW w:w="1560" w:type="dxa"/>
            <w:vAlign w:val="center"/>
          </w:tcPr>
          <w:p>
            <w:pPr>
              <w:pStyle w:val="17"/>
              <w:jc w:val="center"/>
              <w:rPr>
                <w:rFonts w:ascii="宋体" w:cs="宋体"/>
                <w:sz w:val="24"/>
              </w:rPr>
            </w:pPr>
            <w:r>
              <w:rPr>
                <w:rFonts w:hint="eastAsia" w:ascii="宋体" w:cs="宋体"/>
                <w:sz w:val="24"/>
              </w:rPr>
              <w:t>文件质量</w:t>
            </w:r>
          </w:p>
        </w:tc>
        <w:tc>
          <w:tcPr>
            <w:tcW w:w="5802" w:type="dxa"/>
          </w:tcPr>
          <w:p>
            <w:pPr>
              <w:pStyle w:val="17"/>
              <w:jc w:val="left"/>
              <w:rPr>
                <w:rFonts w:ascii="宋体" w:cs="宋体"/>
                <w:sz w:val="24"/>
              </w:rPr>
            </w:pPr>
            <w:r>
              <w:rPr>
                <w:rFonts w:hint="eastAsia" w:ascii="宋体" w:cs="宋体"/>
                <w:sz w:val="24"/>
              </w:rPr>
              <w:t>文件响应程度（满分2分）</w:t>
            </w:r>
          </w:p>
          <w:p>
            <w:pPr>
              <w:pStyle w:val="17"/>
              <w:jc w:val="left"/>
              <w:rPr>
                <w:rFonts w:ascii="宋体" w:cs="宋体"/>
                <w:color w:val="FF0000"/>
                <w:sz w:val="24"/>
              </w:rPr>
            </w:pPr>
            <w:r>
              <w:rPr>
                <w:rFonts w:hint="eastAsia" w:ascii="宋体" w:cs="宋体"/>
                <w:sz w:val="24"/>
              </w:rPr>
              <w:t>根据文件的响应程度评分，响应文件按招标文件规定的格式、顺序编制，有目录、编页码，装订成册，书面整洁无涂改，没有缺漏项等</w:t>
            </w:r>
            <w:r>
              <w:rPr>
                <w:rFonts w:hint="eastAsia" w:ascii="宋体"/>
                <w:sz w:val="24"/>
              </w:rPr>
              <w:t>进行综合评价打分</w:t>
            </w:r>
            <w:r>
              <w:rPr>
                <w:rFonts w:hint="eastAsia" w:ascii="宋体"/>
                <w:sz w:val="24"/>
                <w:lang w:eastAsia="zh-CN"/>
              </w:rPr>
              <w:t>（</w:t>
            </w:r>
            <w:r>
              <w:rPr>
                <w:rFonts w:hint="eastAsia" w:ascii="宋体"/>
                <w:sz w:val="24"/>
                <w:lang w:val="en-US" w:eastAsia="zh-CN"/>
              </w:rPr>
              <w:t>0～2</w:t>
            </w:r>
            <w:r>
              <w:rPr>
                <w:rFonts w:hint="eastAsia" w:asciiTheme="minorEastAsia" w:hAnsiTheme="minorEastAsia" w:eastAsiaTheme="minorEastAsia" w:cstheme="minorEastAsia"/>
                <w:color w:val="auto"/>
                <w:sz w:val="24"/>
                <w:lang w:val="en-US" w:eastAsia="zh-CN"/>
              </w:rPr>
              <w:t>]</w:t>
            </w:r>
            <w:r>
              <w:rPr>
                <w:rFonts w:hint="eastAsia" w:ascii="宋体" w:cs="宋体"/>
                <w:sz w:val="24"/>
              </w:rPr>
              <w:t>。</w:t>
            </w:r>
          </w:p>
        </w:tc>
        <w:tc>
          <w:tcPr>
            <w:tcW w:w="820" w:type="dxa"/>
            <w:vAlign w:val="center"/>
          </w:tcPr>
          <w:p>
            <w:pPr>
              <w:pStyle w:val="17"/>
              <w:jc w:val="center"/>
              <w:rPr>
                <w:rFonts w:ascii="宋体" w:cs="宋体"/>
                <w:sz w:val="24"/>
              </w:rPr>
            </w:pPr>
            <w:r>
              <w:rPr>
                <w:rFonts w:hint="eastAsia" w:ascii="宋体" w:cs="宋体"/>
                <w:sz w:val="24"/>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723" w:type="dxa"/>
            <w:vAlign w:val="center"/>
          </w:tcPr>
          <w:p>
            <w:pPr>
              <w:pStyle w:val="17"/>
              <w:jc w:val="center"/>
              <w:rPr>
                <w:rFonts w:ascii="宋体" w:cs="宋体"/>
                <w:sz w:val="24"/>
              </w:rPr>
            </w:pPr>
          </w:p>
        </w:tc>
        <w:tc>
          <w:tcPr>
            <w:tcW w:w="1560" w:type="dxa"/>
            <w:vAlign w:val="center"/>
          </w:tcPr>
          <w:p>
            <w:pPr>
              <w:pStyle w:val="17"/>
              <w:jc w:val="center"/>
              <w:rPr>
                <w:rFonts w:ascii="宋体" w:cs="宋体"/>
                <w:sz w:val="24"/>
              </w:rPr>
            </w:pPr>
            <w:r>
              <w:rPr>
                <w:rFonts w:hint="eastAsia" w:ascii="宋体" w:cs="宋体"/>
                <w:sz w:val="24"/>
              </w:rPr>
              <w:t>合计</w:t>
            </w:r>
          </w:p>
        </w:tc>
        <w:tc>
          <w:tcPr>
            <w:tcW w:w="5802" w:type="dxa"/>
          </w:tcPr>
          <w:p>
            <w:pPr>
              <w:pStyle w:val="17"/>
              <w:jc w:val="left"/>
              <w:rPr>
                <w:rFonts w:ascii="宋体" w:cs="宋体"/>
                <w:sz w:val="24"/>
              </w:rPr>
            </w:pPr>
          </w:p>
        </w:tc>
        <w:tc>
          <w:tcPr>
            <w:tcW w:w="820" w:type="dxa"/>
            <w:vAlign w:val="center"/>
          </w:tcPr>
          <w:p>
            <w:pPr>
              <w:pStyle w:val="17"/>
              <w:jc w:val="center"/>
              <w:rPr>
                <w:rFonts w:ascii="宋体" w:cs="宋体"/>
                <w:sz w:val="24"/>
              </w:rPr>
            </w:pPr>
            <w:r>
              <w:rPr>
                <w:rFonts w:hint="eastAsia" w:ascii="宋体" w:cs="宋体"/>
                <w:sz w:val="24"/>
              </w:rPr>
              <w:t>25</w:t>
            </w:r>
          </w:p>
        </w:tc>
      </w:tr>
    </w:tbl>
    <w:p>
      <w:pPr>
        <w:pStyle w:val="6"/>
        <w:rPr>
          <w:rFonts w:ascii="宋体" w:cs="宋体"/>
          <w:b/>
          <w:bCs/>
          <w:sz w:val="24"/>
        </w:rPr>
      </w:pPr>
    </w:p>
    <w:p>
      <w:r>
        <w:br w:type="page"/>
      </w:r>
    </w:p>
    <w:p>
      <w:pPr>
        <w:pStyle w:val="6"/>
      </w:pPr>
    </w:p>
    <w:p>
      <w:pPr>
        <w:numPr>
          <w:ilvl w:val="0"/>
          <w:numId w:val="3"/>
        </w:numPr>
        <w:spacing w:line="480" w:lineRule="exact"/>
        <w:rPr>
          <w:rFonts w:ascii="宋体" w:cs="宋体"/>
          <w:b/>
          <w:bCs/>
          <w:color w:val="000000"/>
          <w:sz w:val="24"/>
        </w:rPr>
      </w:pPr>
      <w:r>
        <w:rPr>
          <w:rFonts w:hint="eastAsia" w:ascii="宋体" w:cs="宋体"/>
          <w:b/>
          <w:bCs/>
          <w:color w:val="000000"/>
          <w:sz w:val="24"/>
        </w:rPr>
        <w:t>技术评分标准（45分）</w:t>
      </w:r>
    </w:p>
    <w:tbl>
      <w:tblPr>
        <w:tblStyle w:val="22"/>
        <w:tblpPr w:leftFromText="180" w:rightFromText="180" w:vertAnchor="text" w:horzAnchor="page" w:tblpX="1681" w:tblpY="301"/>
        <w:tblOverlap w:val="never"/>
        <w:tblW w:w="8717"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1233"/>
        <w:gridCol w:w="6255"/>
        <w:gridCol w:w="67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557" w:type="dxa"/>
            <w:vAlign w:val="center"/>
          </w:tcPr>
          <w:p>
            <w:pPr>
              <w:pStyle w:val="17"/>
              <w:jc w:val="left"/>
              <w:rPr>
                <w:rFonts w:ascii="宋体"/>
                <w:sz w:val="24"/>
              </w:rPr>
            </w:pPr>
            <w:r>
              <w:rPr>
                <w:rFonts w:hint="eastAsia" w:ascii="宋体"/>
                <w:sz w:val="24"/>
              </w:rPr>
              <w:t>序号</w:t>
            </w:r>
          </w:p>
        </w:tc>
        <w:tc>
          <w:tcPr>
            <w:tcW w:w="1233" w:type="dxa"/>
            <w:vAlign w:val="center"/>
          </w:tcPr>
          <w:p>
            <w:pPr>
              <w:pStyle w:val="17"/>
              <w:jc w:val="left"/>
              <w:rPr>
                <w:rFonts w:ascii="宋体"/>
                <w:sz w:val="24"/>
              </w:rPr>
            </w:pPr>
            <w:r>
              <w:rPr>
                <w:rFonts w:hint="eastAsia" w:ascii="宋体"/>
                <w:sz w:val="24"/>
              </w:rPr>
              <w:t>评分因素</w:t>
            </w:r>
          </w:p>
        </w:tc>
        <w:tc>
          <w:tcPr>
            <w:tcW w:w="6255" w:type="dxa"/>
            <w:vAlign w:val="center"/>
          </w:tcPr>
          <w:p>
            <w:pPr>
              <w:pStyle w:val="17"/>
              <w:jc w:val="center"/>
              <w:rPr>
                <w:rFonts w:ascii="宋体"/>
                <w:sz w:val="24"/>
              </w:rPr>
            </w:pPr>
            <w:r>
              <w:rPr>
                <w:rFonts w:hint="eastAsia" w:ascii="宋体"/>
                <w:sz w:val="24"/>
              </w:rPr>
              <w:t>评分标准</w:t>
            </w:r>
          </w:p>
        </w:tc>
        <w:tc>
          <w:tcPr>
            <w:tcW w:w="672" w:type="dxa"/>
            <w:vAlign w:val="center"/>
          </w:tcPr>
          <w:p>
            <w:pPr>
              <w:pStyle w:val="17"/>
              <w:jc w:val="left"/>
              <w:rPr>
                <w:rFonts w:ascii="宋体"/>
                <w:sz w:val="24"/>
              </w:rPr>
            </w:pPr>
            <w:r>
              <w:rPr>
                <w:rFonts w:hint="eastAsia" w:ascii="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557" w:type="dxa"/>
            <w:vMerge w:val="restart"/>
            <w:vAlign w:val="center"/>
          </w:tcPr>
          <w:p>
            <w:pPr>
              <w:pStyle w:val="17"/>
              <w:jc w:val="left"/>
              <w:rPr>
                <w:rFonts w:ascii="宋体"/>
                <w:sz w:val="24"/>
              </w:rPr>
            </w:pPr>
            <w:r>
              <w:rPr>
                <w:rFonts w:hint="eastAsia" w:ascii="宋体"/>
                <w:sz w:val="24"/>
              </w:rPr>
              <w:t>1</w:t>
            </w:r>
          </w:p>
        </w:tc>
        <w:tc>
          <w:tcPr>
            <w:tcW w:w="1233" w:type="dxa"/>
            <w:vMerge w:val="restart"/>
            <w:vAlign w:val="center"/>
          </w:tcPr>
          <w:p>
            <w:pPr>
              <w:pStyle w:val="17"/>
              <w:jc w:val="left"/>
              <w:rPr>
                <w:rFonts w:ascii="宋体"/>
                <w:sz w:val="24"/>
              </w:rPr>
            </w:pPr>
            <w:r>
              <w:rPr>
                <w:rFonts w:hint="eastAsia" w:ascii="宋体"/>
                <w:sz w:val="24"/>
              </w:rPr>
              <w:t>产品技术指标及生产能力技术部分</w:t>
            </w:r>
          </w:p>
        </w:tc>
        <w:tc>
          <w:tcPr>
            <w:tcW w:w="6255" w:type="dxa"/>
          </w:tcPr>
          <w:p>
            <w:pPr>
              <w:pStyle w:val="17"/>
              <w:jc w:val="left"/>
              <w:rPr>
                <w:rFonts w:ascii="宋体"/>
                <w:sz w:val="24"/>
                <w:highlight w:val="none"/>
              </w:rPr>
            </w:pPr>
            <w:r>
              <w:rPr>
                <w:rFonts w:hint="eastAsia" w:ascii="宋体"/>
                <w:sz w:val="24"/>
                <w:highlight w:val="none"/>
              </w:rPr>
              <w:t>1、参数响应（满分16分）</w:t>
            </w:r>
          </w:p>
          <w:p>
            <w:pPr>
              <w:pStyle w:val="17"/>
              <w:jc w:val="left"/>
              <w:rPr>
                <w:rFonts w:ascii="宋体"/>
                <w:sz w:val="24"/>
                <w:highlight w:val="none"/>
              </w:rPr>
            </w:pPr>
            <w:r>
              <w:rPr>
                <w:rFonts w:hint="eastAsia" w:ascii="宋体"/>
                <w:sz w:val="24"/>
                <w:highlight w:val="none"/>
              </w:rPr>
              <w:t>①根据所投产品的技术参数优于或全部符合招标文件要求的响应程度进行综合评价打分。技术参数指标，每负偏离一项扣2分。单个产品上限扣4分，扣完为止。</w:t>
            </w:r>
          </w:p>
          <w:p>
            <w:pPr>
              <w:pStyle w:val="17"/>
              <w:jc w:val="left"/>
              <w:rPr>
                <w:rFonts w:ascii="宋体"/>
                <w:sz w:val="24"/>
                <w:highlight w:val="none"/>
              </w:rPr>
            </w:pPr>
            <w:r>
              <w:rPr>
                <w:rFonts w:hint="eastAsia" w:ascii="宋体"/>
                <w:sz w:val="24"/>
                <w:highlight w:val="none"/>
              </w:rPr>
              <w:t>②所投产品未按参数要求提供新兽药证书或者农业部进口兽药注册证书的扣2分。</w:t>
            </w:r>
          </w:p>
        </w:tc>
        <w:tc>
          <w:tcPr>
            <w:tcW w:w="672" w:type="dxa"/>
            <w:vAlign w:val="center"/>
          </w:tcPr>
          <w:p>
            <w:pPr>
              <w:pStyle w:val="17"/>
              <w:jc w:val="center"/>
              <w:rPr>
                <w:rFonts w:ascii="宋体"/>
                <w:sz w:val="24"/>
                <w:highlight w:val="none"/>
              </w:rPr>
            </w:pPr>
            <w:r>
              <w:rPr>
                <w:rFonts w:hint="eastAsia" w:ascii="宋体"/>
                <w:sz w:val="24"/>
                <w:highlight w:val="none"/>
              </w:rPr>
              <w:t>16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2、产品功能：（满分7分）</w:t>
            </w:r>
          </w:p>
          <w:p>
            <w:pPr>
              <w:pStyle w:val="17"/>
              <w:jc w:val="left"/>
              <w:rPr>
                <w:rFonts w:hint="eastAsia" w:ascii="宋体"/>
                <w:color w:val="auto"/>
                <w:sz w:val="24"/>
                <w:highlight w:val="none"/>
                <w:lang w:eastAsia="zh-CN"/>
              </w:rPr>
            </w:pPr>
            <w:r>
              <w:rPr>
                <w:rFonts w:hint="eastAsia" w:ascii="宋体"/>
                <w:color w:val="auto"/>
                <w:sz w:val="24"/>
                <w:highlight w:val="none"/>
              </w:rPr>
              <w:t>①所投产品具有完整的产品技术白皮书或产品说明书；每个产品</w:t>
            </w:r>
            <w:r>
              <w:rPr>
                <w:rFonts w:hint="eastAsia" w:ascii="宋体"/>
                <w:color w:val="auto"/>
                <w:sz w:val="24"/>
                <w:highlight w:val="none"/>
                <w:lang w:val="en-US" w:eastAsia="zh-CN"/>
              </w:rPr>
              <w:t>1</w:t>
            </w:r>
            <w:r>
              <w:rPr>
                <w:rFonts w:hint="eastAsia" w:ascii="宋体"/>
                <w:color w:val="auto"/>
                <w:sz w:val="24"/>
                <w:highlight w:val="none"/>
              </w:rPr>
              <w:t>分</w:t>
            </w:r>
            <w:r>
              <w:rPr>
                <w:rFonts w:hint="eastAsia" w:ascii="宋体"/>
                <w:color w:val="auto"/>
                <w:sz w:val="24"/>
                <w:highlight w:val="none"/>
                <w:lang w:eastAsia="zh-CN"/>
              </w:rPr>
              <w:t>。</w:t>
            </w:r>
          </w:p>
          <w:p>
            <w:pPr>
              <w:pStyle w:val="17"/>
              <w:jc w:val="left"/>
              <w:rPr>
                <w:rFonts w:ascii="宋体"/>
                <w:sz w:val="24"/>
                <w:highlight w:val="none"/>
              </w:rPr>
            </w:pPr>
            <w:r>
              <w:rPr>
                <w:rFonts w:hint="eastAsia" w:ascii="宋体"/>
                <w:color w:val="auto"/>
                <w:sz w:val="24"/>
                <w:highlight w:val="none"/>
              </w:rPr>
              <w:t>②未提供产品说明书或说明书与所投产品不符的每一个产品扣1分。</w:t>
            </w:r>
          </w:p>
        </w:tc>
        <w:tc>
          <w:tcPr>
            <w:tcW w:w="672" w:type="dxa"/>
            <w:vAlign w:val="center"/>
          </w:tcPr>
          <w:p>
            <w:pPr>
              <w:pStyle w:val="17"/>
              <w:jc w:val="center"/>
              <w:rPr>
                <w:rFonts w:ascii="宋体"/>
                <w:sz w:val="24"/>
                <w:highlight w:val="none"/>
              </w:rPr>
            </w:pPr>
            <w:r>
              <w:rPr>
                <w:rFonts w:hint="eastAsia" w:ascii="宋体"/>
                <w:sz w:val="24"/>
                <w:highlight w:val="none"/>
              </w:rPr>
              <w:t>7</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color w:val="000000"/>
                <w:sz w:val="24"/>
              </w:rPr>
            </w:pPr>
            <w:r>
              <w:rPr>
                <w:rFonts w:hint="eastAsia" w:ascii="宋体"/>
                <w:sz w:val="24"/>
              </w:rPr>
              <w:t>3、包装、</w:t>
            </w:r>
            <w:r>
              <w:rPr>
                <w:rFonts w:hint="eastAsia" w:ascii="宋体" w:cs="宋体"/>
                <w:color w:val="000000"/>
                <w:sz w:val="24"/>
              </w:rPr>
              <w:t>运输（满分1分）</w:t>
            </w:r>
          </w:p>
          <w:p>
            <w:pPr>
              <w:pStyle w:val="17"/>
              <w:jc w:val="left"/>
              <w:rPr>
                <w:rFonts w:ascii="宋体"/>
                <w:sz w:val="24"/>
              </w:rPr>
            </w:pPr>
            <w:r>
              <w:rPr>
                <w:rFonts w:hint="eastAsia" w:ascii="宋体" w:cs="宋体"/>
                <w:color w:val="000000"/>
                <w:sz w:val="24"/>
              </w:rPr>
              <w:t>根据供应商投标文件中对运输、包装方案的描述，全面、合理、具体得1分，一般得0.5分，不够全面、</w:t>
            </w:r>
            <w:r>
              <w:rPr>
                <w:rFonts w:hint="eastAsia" w:ascii="宋体" w:cs="宋体"/>
                <w:color w:val="000000"/>
                <w:sz w:val="24"/>
                <w:lang w:val="en-US" w:eastAsia="zh-CN"/>
              </w:rPr>
              <w:t>不</w:t>
            </w:r>
            <w:r>
              <w:rPr>
                <w:rFonts w:hint="eastAsia" w:ascii="宋体" w:cs="宋体"/>
                <w:color w:val="000000"/>
                <w:sz w:val="24"/>
              </w:rPr>
              <w:t>合理、</w:t>
            </w:r>
            <w:r>
              <w:rPr>
                <w:rFonts w:hint="eastAsia" w:ascii="宋体" w:cs="宋体"/>
                <w:color w:val="000000"/>
                <w:sz w:val="24"/>
                <w:lang w:val="en-US" w:eastAsia="zh-CN"/>
              </w:rPr>
              <w:t>不</w:t>
            </w:r>
            <w:r>
              <w:rPr>
                <w:rFonts w:hint="eastAsia" w:ascii="宋体" w:cs="宋体"/>
                <w:color w:val="000000"/>
                <w:sz w:val="24"/>
              </w:rPr>
              <w:t>具体的或者没有提供方案的不得分。</w:t>
            </w:r>
          </w:p>
        </w:tc>
        <w:tc>
          <w:tcPr>
            <w:tcW w:w="672" w:type="dxa"/>
            <w:vAlign w:val="center"/>
          </w:tcPr>
          <w:p>
            <w:pPr>
              <w:pStyle w:val="17"/>
              <w:jc w:val="center"/>
              <w:rPr>
                <w:rFonts w:ascii="宋体"/>
                <w:sz w:val="24"/>
              </w:rPr>
            </w:pPr>
            <w:r>
              <w:rPr>
                <w:rFonts w:hint="eastAsia" w:ascii="宋体"/>
                <w:sz w:val="24"/>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4、安全性（满分14分）</w:t>
            </w:r>
          </w:p>
          <w:p>
            <w:pPr>
              <w:pStyle w:val="17"/>
              <w:jc w:val="left"/>
              <w:rPr>
                <w:rFonts w:ascii="宋体"/>
                <w:sz w:val="24"/>
                <w:highlight w:val="none"/>
              </w:rPr>
            </w:pPr>
            <w:r>
              <w:rPr>
                <w:rFonts w:hint="eastAsia" w:ascii="宋体"/>
                <w:sz w:val="24"/>
                <w:highlight w:val="none"/>
              </w:rPr>
              <w:t>①</w:t>
            </w:r>
            <w:r>
              <w:rPr>
                <w:rFonts w:hint="eastAsia" w:ascii="宋体" w:cs="宋体"/>
                <w:sz w:val="24"/>
                <w:highlight w:val="none"/>
              </w:rPr>
              <w:t>相关安全性证明文件，提供与投标产品相同的市级以上动物疾病预防控制中心机构产品使用证明，</w:t>
            </w:r>
            <w:r>
              <w:rPr>
                <w:rFonts w:hint="eastAsia" w:ascii="宋体"/>
                <w:sz w:val="24"/>
                <w:highlight w:val="none"/>
              </w:rPr>
              <w:t>进行综合评价打分</w:t>
            </w:r>
            <w:r>
              <w:rPr>
                <w:rFonts w:hint="eastAsia" w:ascii="宋体"/>
                <w:sz w:val="24"/>
                <w:highlight w:val="none"/>
                <w:lang w:eastAsia="zh-CN"/>
              </w:rPr>
              <w:t>，每有一个使用证明得0.5分</w:t>
            </w:r>
            <w:r>
              <w:rPr>
                <w:rFonts w:hint="eastAsia" w:ascii="宋体"/>
                <w:sz w:val="24"/>
                <w:highlight w:val="none"/>
                <w:lang w:val="en-US" w:eastAsia="zh-CN"/>
              </w:rPr>
              <w:t>,</w:t>
            </w:r>
            <w:r>
              <w:rPr>
                <w:rFonts w:hint="eastAsia" w:ascii="宋体"/>
                <w:sz w:val="24"/>
                <w:highlight w:val="none"/>
                <w:lang w:eastAsia="zh-CN"/>
              </w:rPr>
              <w:t>每个产品</w:t>
            </w:r>
            <w:r>
              <w:rPr>
                <w:rFonts w:hint="eastAsia" w:ascii="宋体"/>
                <w:sz w:val="24"/>
                <w:highlight w:val="none"/>
                <w:lang w:val="en-US" w:eastAsia="zh-CN"/>
              </w:rPr>
              <w:t>上限</w:t>
            </w:r>
            <w:r>
              <w:rPr>
                <w:rFonts w:hint="eastAsia" w:ascii="宋体"/>
                <w:sz w:val="24"/>
                <w:highlight w:val="none"/>
                <w:lang w:eastAsia="zh-CN"/>
              </w:rPr>
              <w:t>2分</w:t>
            </w:r>
            <w:r>
              <w:rPr>
                <w:rFonts w:hint="eastAsia" w:ascii="宋体"/>
                <w:sz w:val="24"/>
                <w:highlight w:val="none"/>
              </w:rPr>
              <w:t>；</w:t>
            </w:r>
          </w:p>
          <w:p>
            <w:pPr>
              <w:pStyle w:val="17"/>
              <w:jc w:val="left"/>
              <w:rPr>
                <w:rFonts w:ascii="宋体"/>
                <w:sz w:val="24"/>
                <w:highlight w:val="none"/>
              </w:rPr>
            </w:pPr>
            <w:r>
              <w:rPr>
                <w:rFonts w:hint="eastAsia" w:ascii="宋体"/>
                <w:sz w:val="24"/>
                <w:highlight w:val="none"/>
              </w:rPr>
              <w:t>②未提供或低于</w:t>
            </w:r>
            <w:r>
              <w:rPr>
                <w:rFonts w:hint="eastAsia" w:ascii="宋体"/>
                <w:sz w:val="24"/>
                <w:highlight w:val="none"/>
                <w:lang w:eastAsia="zh-CN"/>
              </w:rPr>
              <w:t>市级</w:t>
            </w:r>
            <w:r>
              <w:rPr>
                <w:rFonts w:hint="eastAsia" w:ascii="宋体"/>
                <w:sz w:val="24"/>
                <w:highlight w:val="none"/>
              </w:rPr>
              <w:t>级的证明</w:t>
            </w:r>
            <w:r>
              <w:rPr>
                <w:rFonts w:hint="eastAsia" w:ascii="宋体" w:cs="宋体"/>
                <w:color w:val="000000"/>
                <w:sz w:val="24"/>
                <w:highlight w:val="none"/>
              </w:rPr>
              <w:t>则不得分</w:t>
            </w:r>
            <w:r>
              <w:rPr>
                <w:rFonts w:hint="eastAsia" w:ascii="宋体"/>
                <w:sz w:val="24"/>
                <w:highlight w:val="none"/>
              </w:rPr>
              <w:t>；</w:t>
            </w:r>
          </w:p>
        </w:tc>
        <w:tc>
          <w:tcPr>
            <w:tcW w:w="672" w:type="dxa"/>
            <w:vAlign w:val="center"/>
          </w:tcPr>
          <w:p>
            <w:pPr>
              <w:pStyle w:val="17"/>
              <w:jc w:val="center"/>
              <w:rPr>
                <w:rFonts w:ascii="宋体"/>
                <w:sz w:val="24"/>
                <w:highlight w:val="none"/>
              </w:rPr>
            </w:pPr>
            <w:r>
              <w:rPr>
                <w:rFonts w:hint="eastAsia" w:ascii="宋体"/>
                <w:sz w:val="24"/>
                <w:highlight w:val="none"/>
              </w:rPr>
              <w:t>14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829"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5、响应程度（满分3分）</w:t>
            </w:r>
          </w:p>
          <w:p>
            <w:pPr>
              <w:pStyle w:val="17"/>
              <w:jc w:val="left"/>
              <w:rPr>
                <w:rFonts w:ascii="宋体"/>
                <w:sz w:val="24"/>
                <w:highlight w:val="none"/>
              </w:rPr>
            </w:pPr>
            <w:r>
              <w:rPr>
                <w:rFonts w:hint="eastAsia" w:ascii="宋体"/>
                <w:sz w:val="24"/>
                <w:highlight w:val="none"/>
              </w:rPr>
              <w:t>①</w:t>
            </w:r>
            <w:r>
              <w:rPr>
                <w:rFonts w:hint="eastAsia" w:ascii="宋体" w:cs="宋体"/>
                <w:sz w:val="24"/>
                <w:highlight w:val="none"/>
              </w:rPr>
              <w:t>企业的响应时间优于招标要求，措施全面可行性强，对动物疫病诊断试剂严重质量问题现场处置得当，响应时间短（24小时以内）的，并重新提供发货保证的，</w:t>
            </w:r>
            <w:r>
              <w:rPr>
                <w:rFonts w:hint="eastAsia" w:ascii="宋体"/>
                <w:sz w:val="24"/>
                <w:highlight w:val="none"/>
              </w:rPr>
              <w:t>进行综合评价打分；</w:t>
            </w:r>
          </w:p>
          <w:p>
            <w:pPr>
              <w:pStyle w:val="17"/>
              <w:jc w:val="left"/>
              <w:rPr>
                <w:rFonts w:ascii="宋体"/>
                <w:sz w:val="24"/>
                <w:highlight w:val="none"/>
              </w:rPr>
            </w:pPr>
            <w:r>
              <w:rPr>
                <w:rFonts w:hint="eastAsia" w:ascii="宋体"/>
                <w:sz w:val="24"/>
                <w:highlight w:val="none"/>
              </w:rPr>
              <w:t>②否</w:t>
            </w:r>
            <w:r>
              <w:rPr>
                <w:rFonts w:hint="eastAsia" w:ascii="宋体" w:cs="宋体"/>
                <w:color w:val="000000"/>
                <w:sz w:val="24"/>
                <w:highlight w:val="none"/>
              </w:rPr>
              <w:t>则不得分</w:t>
            </w:r>
            <w:r>
              <w:rPr>
                <w:rFonts w:hint="eastAsia" w:ascii="宋体"/>
                <w:sz w:val="24"/>
                <w:highlight w:val="none"/>
              </w:rPr>
              <w:t>；</w:t>
            </w:r>
          </w:p>
        </w:tc>
        <w:tc>
          <w:tcPr>
            <w:tcW w:w="672" w:type="dxa"/>
            <w:vAlign w:val="center"/>
          </w:tcPr>
          <w:p>
            <w:pPr>
              <w:pStyle w:val="17"/>
              <w:jc w:val="center"/>
              <w:rPr>
                <w:rFonts w:ascii="宋体"/>
                <w:sz w:val="24"/>
                <w:highlight w:val="none"/>
              </w:rPr>
            </w:pPr>
            <w:r>
              <w:rPr>
                <w:rFonts w:hint="eastAsia" w:ascii="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sz w:val="24"/>
                <w:highlight w:val="none"/>
              </w:rPr>
            </w:pPr>
            <w:r>
              <w:rPr>
                <w:rFonts w:hint="eastAsia" w:ascii="宋体" w:cs="宋体"/>
                <w:sz w:val="24"/>
                <w:highlight w:val="none"/>
              </w:rPr>
              <w:t>6、质量保障措施</w:t>
            </w:r>
            <w:r>
              <w:rPr>
                <w:rFonts w:hint="eastAsia" w:ascii="宋体"/>
                <w:sz w:val="24"/>
                <w:highlight w:val="none"/>
              </w:rPr>
              <w:t>（满分2分）</w:t>
            </w:r>
          </w:p>
          <w:p>
            <w:pPr>
              <w:pStyle w:val="17"/>
              <w:jc w:val="left"/>
              <w:rPr>
                <w:rFonts w:ascii="宋体" w:cs="宋体"/>
                <w:sz w:val="24"/>
                <w:highlight w:val="none"/>
              </w:rPr>
            </w:pPr>
            <w:r>
              <w:rPr>
                <w:rFonts w:hint="eastAsia" w:ascii="宋体"/>
                <w:sz w:val="24"/>
                <w:highlight w:val="none"/>
              </w:rPr>
              <w:t>在自治区内</w:t>
            </w:r>
            <w:r>
              <w:rPr>
                <w:rFonts w:hint="eastAsia" w:ascii="宋体" w:cs="宋体"/>
                <w:sz w:val="24"/>
                <w:highlight w:val="none"/>
              </w:rPr>
              <w:t>所投试剂供应企业能够提供售后保障服务网点，配备专业技术服务人员</w:t>
            </w:r>
            <w:r>
              <w:rPr>
                <w:rFonts w:hint="eastAsia" w:ascii="宋体" w:cs="宋体"/>
                <w:sz w:val="24"/>
                <w:highlight w:val="none"/>
                <w:lang w:val="en-US" w:eastAsia="zh-CN"/>
              </w:rPr>
              <w:t>需</w:t>
            </w:r>
            <w:r>
              <w:rPr>
                <w:rFonts w:hint="eastAsia" w:asciiTheme="minorEastAsia" w:hAnsiTheme="minorEastAsia" w:eastAsiaTheme="minorEastAsia" w:cstheme="minorEastAsia"/>
                <w:color w:val="auto"/>
                <w:sz w:val="24"/>
                <w:lang w:val="en-US" w:eastAsia="zh-CN"/>
              </w:rPr>
              <w:t>提供相关人员近半年任意连续三个月社保证明材料</w:t>
            </w:r>
            <w:r>
              <w:rPr>
                <w:rFonts w:hint="eastAsia" w:ascii="宋体" w:cs="宋体"/>
                <w:sz w:val="24"/>
                <w:highlight w:val="none"/>
              </w:rPr>
              <w:t>（包括委托相关有资质机构，如有委托，以委托文件为准），</w:t>
            </w:r>
            <w:r>
              <w:rPr>
                <w:rFonts w:hint="eastAsia" w:ascii="宋体"/>
                <w:sz w:val="24"/>
                <w:highlight w:val="none"/>
              </w:rPr>
              <w:t>进行综合评价打分</w:t>
            </w:r>
            <w:r>
              <w:rPr>
                <w:rFonts w:hint="eastAsia" w:ascii="宋体" w:cs="宋体"/>
                <w:sz w:val="24"/>
                <w:highlight w:val="none"/>
              </w:rPr>
              <w:t>；</w:t>
            </w:r>
          </w:p>
        </w:tc>
        <w:tc>
          <w:tcPr>
            <w:tcW w:w="672" w:type="dxa"/>
            <w:vAlign w:val="center"/>
          </w:tcPr>
          <w:p>
            <w:pPr>
              <w:pStyle w:val="17"/>
              <w:jc w:val="center"/>
              <w:rPr>
                <w:rFonts w:ascii="宋体" w:cs="宋体"/>
                <w:sz w:val="24"/>
                <w:highlight w:val="none"/>
              </w:rPr>
            </w:pPr>
            <w:r>
              <w:rPr>
                <w:rFonts w:hint="eastAsia" w:ascii="宋体" w:cs="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rPr>
                <w:rFonts w:ascii="宋体"/>
                <w:sz w:val="24"/>
                <w:highlight w:val="none"/>
              </w:rPr>
            </w:pPr>
            <w:bookmarkStart w:id="41" w:name="_GoBack"/>
            <w:r>
              <w:rPr>
                <w:rFonts w:hint="eastAsia" w:ascii="宋体" w:cs="宋体"/>
                <w:sz w:val="24"/>
                <w:highlight w:val="none"/>
              </w:rPr>
              <w:t>7、应急预案</w:t>
            </w:r>
            <w:r>
              <w:rPr>
                <w:rFonts w:hint="eastAsia" w:ascii="宋体"/>
                <w:sz w:val="24"/>
                <w:highlight w:val="none"/>
              </w:rPr>
              <w:t>（满分2分）</w:t>
            </w:r>
          </w:p>
          <w:p>
            <w:pPr>
              <w:pStyle w:val="17"/>
              <w:jc w:val="left"/>
              <w:rPr>
                <w:rFonts w:ascii="宋体" w:cs="宋体"/>
                <w:sz w:val="24"/>
                <w:highlight w:val="none"/>
              </w:rPr>
            </w:pPr>
            <w:r>
              <w:rPr>
                <w:rFonts w:hint="eastAsia" w:ascii="宋体"/>
                <w:sz w:val="24"/>
                <w:highlight w:val="none"/>
              </w:rPr>
              <w:t>①</w:t>
            </w:r>
            <w:r>
              <w:rPr>
                <w:rFonts w:hint="eastAsia" w:ascii="宋体" w:cs="宋体"/>
                <w:sz w:val="24"/>
                <w:highlight w:val="none"/>
              </w:rPr>
              <w:t>在紧急情况下，应急预案保证措施完善可行，交货期短且满足招标要求，保障性强等，</w:t>
            </w:r>
            <w:r>
              <w:rPr>
                <w:rFonts w:hint="eastAsia" w:ascii="宋体"/>
                <w:sz w:val="24"/>
                <w:highlight w:val="none"/>
              </w:rPr>
              <w:t>进行综合评价打分</w:t>
            </w:r>
            <w:r>
              <w:rPr>
                <w:rFonts w:hint="eastAsia" w:ascii="宋体" w:cs="宋体"/>
                <w:sz w:val="24"/>
                <w:highlight w:val="none"/>
              </w:rPr>
              <w:t>；</w:t>
            </w:r>
          </w:p>
          <w:p>
            <w:pPr>
              <w:pStyle w:val="17"/>
              <w:rPr>
                <w:rFonts w:ascii="宋体" w:cs="宋体"/>
                <w:sz w:val="24"/>
                <w:highlight w:val="none"/>
              </w:rPr>
            </w:pPr>
            <w:r>
              <w:rPr>
                <w:rFonts w:hint="eastAsia" w:ascii="宋体"/>
                <w:sz w:val="24"/>
                <w:highlight w:val="none"/>
              </w:rPr>
              <w:t>②</w:t>
            </w:r>
            <w:r>
              <w:rPr>
                <w:rFonts w:hint="eastAsia" w:ascii="宋体" w:cs="宋体"/>
                <w:color w:val="000000"/>
                <w:sz w:val="24"/>
                <w:highlight w:val="none"/>
              </w:rPr>
              <w:t>否则不得分</w:t>
            </w:r>
            <w:r>
              <w:rPr>
                <w:rFonts w:hint="eastAsia" w:ascii="宋体" w:cs="宋体"/>
                <w:sz w:val="24"/>
                <w:highlight w:val="none"/>
              </w:rPr>
              <w:t>。</w:t>
            </w:r>
            <w:bookmarkEnd w:id="41"/>
          </w:p>
        </w:tc>
        <w:tc>
          <w:tcPr>
            <w:tcW w:w="672" w:type="dxa"/>
            <w:vAlign w:val="center"/>
          </w:tcPr>
          <w:p>
            <w:pPr>
              <w:pStyle w:val="17"/>
              <w:jc w:val="center"/>
              <w:rPr>
                <w:rFonts w:ascii="宋体" w:cs="宋体"/>
                <w:sz w:val="24"/>
                <w:highlight w:val="none"/>
              </w:rPr>
            </w:pPr>
            <w:r>
              <w:rPr>
                <w:rFonts w:hint="eastAsia" w:ascii="宋体" w:cs="宋体"/>
                <w:sz w:val="24"/>
                <w:highlight w:val="none"/>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Align w:val="center"/>
          </w:tcPr>
          <w:p>
            <w:pPr>
              <w:pStyle w:val="17"/>
              <w:jc w:val="center"/>
              <w:rPr>
                <w:rFonts w:ascii="宋体" w:cs="宋体"/>
                <w:sz w:val="24"/>
              </w:rPr>
            </w:pPr>
          </w:p>
        </w:tc>
        <w:tc>
          <w:tcPr>
            <w:tcW w:w="1233" w:type="dxa"/>
            <w:vAlign w:val="center"/>
          </w:tcPr>
          <w:p>
            <w:pPr>
              <w:pStyle w:val="17"/>
              <w:jc w:val="center"/>
              <w:rPr>
                <w:rFonts w:ascii="宋体" w:cs="宋体"/>
                <w:sz w:val="24"/>
              </w:rPr>
            </w:pPr>
            <w:r>
              <w:rPr>
                <w:rFonts w:hint="eastAsia" w:ascii="宋体" w:cs="宋体"/>
                <w:color w:val="000000"/>
                <w:sz w:val="21"/>
                <w:szCs w:val="21"/>
              </w:rPr>
              <w:t>合计</w:t>
            </w:r>
          </w:p>
        </w:tc>
        <w:tc>
          <w:tcPr>
            <w:tcW w:w="6255" w:type="dxa"/>
          </w:tcPr>
          <w:p>
            <w:pPr>
              <w:pStyle w:val="17"/>
              <w:ind w:firstLine="420" w:firstLineChars="200"/>
              <w:jc w:val="left"/>
              <w:rPr>
                <w:rFonts w:ascii="宋体" w:cs="宋体"/>
                <w:color w:val="000000"/>
                <w:sz w:val="21"/>
                <w:szCs w:val="21"/>
              </w:rPr>
            </w:pPr>
          </w:p>
        </w:tc>
        <w:tc>
          <w:tcPr>
            <w:tcW w:w="672" w:type="dxa"/>
            <w:vAlign w:val="center"/>
          </w:tcPr>
          <w:p>
            <w:pPr>
              <w:pStyle w:val="17"/>
              <w:jc w:val="center"/>
              <w:rPr>
                <w:rFonts w:ascii="宋体" w:cs="宋体"/>
                <w:sz w:val="24"/>
              </w:rPr>
            </w:pPr>
            <w:r>
              <w:rPr>
                <w:rFonts w:hint="eastAsia" w:ascii="宋体" w:cs="宋体"/>
                <w:sz w:val="24"/>
              </w:rPr>
              <w:t>45</w:t>
            </w:r>
          </w:p>
        </w:tc>
      </w:tr>
    </w:tbl>
    <w:p>
      <w:pPr>
        <w:pStyle w:val="9"/>
        <w:numPr>
          <w:ilvl w:val="0"/>
          <w:numId w:val="0"/>
        </w:numPr>
        <w:rPr>
          <w:rFonts w:ascii="宋体" w:eastAsia="宋体" w:cs="宋体"/>
          <w:b/>
          <w:bCs/>
          <w:sz w:val="21"/>
          <w:szCs w:val="21"/>
        </w:rPr>
      </w:pPr>
    </w:p>
    <w:p>
      <w:pPr>
        <w:pStyle w:val="6"/>
      </w:pPr>
    </w:p>
    <w:p>
      <w:pPr>
        <w:pStyle w:val="3"/>
        <w:jc w:val="center"/>
        <w:rPr>
          <w:rFonts w:ascii="黑体" w:eastAsia="黑体" w:cs="黑体"/>
          <w:color w:val="000000"/>
          <w:sz w:val="24"/>
        </w:rPr>
      </w:pPr>
      <w:bookmarkStart w:id="22" w:name="_Toc564"/>
      <w:r>
        <w:rPr>
          <w:rFonts w:hint="eastAsia" w:ascii="黑体" w:eastAsia="黑体" w:cs="黑体"/>
          <w:sz w:val="24"/>
        </w:rPr>
        <w:t>第四章</w:t>
      </w:r>
      <w:r>
        <w:rPr>
          <w:rFonts w:hint="eastAsia" w:ascii="黑体" w:eastAsia="黑体" w:cs="黑体"/>
          <w:color w:val="000000"/>
          <w:sz w:val="24"/>
        </w:rPr>
        <w:t xml:space="preserve">  合同条款及格式</w:t>
      </w:r>
      <w:bookmarkEnd w:id="22"/>
    </w:p>
    <w:p>
      <w:pPr>
        <w:pStyle w:val="4"/>
        <w:jc w:val="center"/>
        <w:rPr>
          <w:rFonts w:cs="宋体"/>
          <w:sz w:val="24"/>
          <w:szCs w:val="24"/>
        </w:rPr>
      </w:pPr>
      <w:bookmarkStart w:id="23" w:name="_Toc3422"/>
      <w:bookmarkStart w:id="24" w:name="_Toc27231"/>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23"/>
      <w:r>
        <w:rPr>
          <w:rFonts w:hint="eastAsia" w:cs="宋体"/>
          <w:bCs/>
          <w:color w:val="000000"/>
          <w:sz w:val="24"/>
          <w:szCs w:val="24"/>
        </w:rPr>
        <w:t>通用合同条款</w:t>
      </w:r>
      <w:bookmarkEnd w:id="24"/>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4"/>
        <w:jc w:val="center"/>
        <w:rPr>
          <w:rFonts w:cs="宋体"/>
          <w:sz w:val="24"/>
          <w:szCs w:val="24"/>
        </w:rPr>
      </w:pPr>
      <w:bookmarkStart w:id="25" w:name="_Toc8447"/>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25"/>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（项目名称、项目编号)及相关结果，甲、乙双方经协商一致，签订本合同。   </w:t>
      </w:r>
    </w:p>
    <w:p>
      <w:pPr>
        <w:adjustRightInd w:val="0"/>
        <w:snapToGrid w:val="0"/>
        <w:spacing w:line="360" w:lineRule="auto"/>
        <w:rPr>
          <w:rFonts w:ascii="宋体" w:cs="宋体"/>
          <w:b/>
          <w:sz w:val="24"/>
        </w:rPr>
      </w:pPr>
      <w:r>
        <w:rPr>
          <w:rFonts w:hint="eastAsia" w:ascii="宋体" w:cs="宋体"/>
          <w:b/>
          <w:sz w:val="24"/>
        </w:rPr>
        <w:t>一、合同编号：</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二、签订地点：</w:t>
      </w:r>
    </w:p>
    <w:p>
      <w:pPr>
        <w:adjustRightInd w:val="0"/>
        <w:snapToGrid w:val="0"/>
        <w:spacing w:line="360" w:lineRule="auto"/>
        <w:rPr>
          <w:rFonts w:ascii="宋体" w:cs="宋体"/>
          <w:sz w:val="24"/>
        </w:rPr>
      </w:pPr>
    </w:p>
    <w:p>
      <w:pPr>
        <w:adjustRightInd w:val="0"/>
        <w:snapToGrid w:val="0"/>
        <w:spacing w:line="360" w:lineRule="auto"/>
        <w:rPr>
          <w:rFonts w:ascii="宋体" w:cs="宋体"/>
          <w:b/>
          <w:sz w:val="24"/>
        </w:rPr>
      </w:pPr>
      <w:r>
        <w:rPr>
          <w:rFonts w:hint="eastAsia" w:ascii="宋体" w:cs="宋体"/>
          <w:b/>
          <w:sz w:val="24"/>
        </w:rPr>
        <w:t>三、签订时间：</w:t>
      </w:r>
    </w:p>
    <w:p>
      <w:pPr>
        <w:adjustRightInd w:val="0"/>
        <w:snapToGrid w:val="0"/>
        <w:spacing w:line="360" w:lineRule="auto"/>
        <w:ind w:firstLine="480" w:firstLineChars="200"/>
        <w:rPr>
          <w:rFonts w:ascii="宋体" w:cs="宋体"/>
          <w:sz w:val="24"/>
        </w:rPr>
      </w:pPr>
      <w:r>
        <w:rPr>
          <w:rFonts w:hint="eastAsia" w:ascii="宋体" w:cs="宋体"/>
          <w:sz w:val="24"/>
          <w:u w:val="single"/>
        </w:rPr>
        <w:t xml:space="preserve">     年   月   日</w:t>
      </w:r>
    </w:p>
    <w:p>
      <w:pPr>
        <w:adjustRightInd w:val="0"/>
        <w:snapToGrid w:val="0"/>
        <w:spacing w:line="360" w:lineRule="auto"/>
        <w:rPr>
          <w:rFonts w:ascii="宋体" w:cs="宋体"/>
          <w:b/>
          <w:sz w:val="24"/>
        </w:rPr>
      </w:pPr>
      <w:r>
        <w:rPr>
          <w:rFonts w:hint="eastAsia" w:ascii="宋体" w:cs="宋体"/>
          <w:b/>
          <w:sz w:val="24"/>
        </w:rPr>
        <w:t>四、合同内容：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甲方向乙方采购的货物及服务如下：</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9"/>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9"/>
        <w:numPr>
          <w:ilvl w:val="0"/>
          <w:numId w:val="0"/>
        </w:numPr>
      </w:pPr>
    </w:p>
    <w:tbl>
      <w:tblPr>
        <w:tblStyle w:val="22"/>
        <w:tblW w:w="79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5" w:type="dxa"/>
            <w:vAlign w:val="center"/>
          </w:tcPr>
          <w:p>
            <w:pPr>
              <w:pStyle w:val="9"/>
              <w:numPr>
                <w:ilvl w:val="0"/>
                <w:numId w:val="0"/>
              </w:numPr>
              <w:jc w:val="center"/>
            </w:pPr>
            <w:r>
              <w:rPr>
                <w:rFonts w:hint="eastAsia"/>
              </w:rPr>
              <w:t>序号</w:t>
            </w:r>
          </w:p>
        </w:tc>
        <w:tc>
          <w:tcPr>
            <w:tcW w:w="1882" w:type="dxa"/>
            <w:vAlign w:val="center"/>
          </w:tcPr>
          <w:p>
            <w:pPr>
              <w:pStyle w:val="9"/>
              <w:numPr>
                <w:ilvl w:val="0"/>
                <w:numId w:val="0"/>
              </w:numPr>
              <w:jc w:val="center"/>
            </w:pPr>
            <w:r>
              <w:rPr>
                <w:rFonts w:hint="eastAsia"/>
              </w:rPr>
              <w:t>品名型号</w:t>
            </w:r>
          </w:p>
        </w:tc>
        <w:tc>
          <w:tcPr>
            <w:tcW w:w="1392" w:type="dxa"/>
            <w:vAlign w:val="center"/>
          </w:tcPr>
          <w:p>
            <w:pPr>
              <w:pStyle w:val="9"/>
              <w:numPr>
                <w:ilvl w:val="0"/>
                <w:numId w:val="0"/>
              </w:numPr>
              <w:jc w:val="center"/>
            </w:pPr>
            <w:r>
              <w:rPr>
                <w:rFonts w:hint="eastAsia"/>
              </w:rPr>
              <w:t>规格参数</w:t>
            </w:r>
          </w:p>
        </w:tc>
        <w:tc>
          <w:tcPr>
            <w:tcW w:w="1086" w:type="dxa"/>
            <w:vAlign w:val="center"/>
          </w:tcPr>
          <w:p>
            <w:pPr>
              <w:pStyle w:val="9"/>
              <w:numPr>
                <w:ilvl w:val="0"/>
                <w:numId w:val="0"/>
              </w:numPr>
              <w:jc w:val="center"/>
            </w:pPr>
            <w:r>
              <w:rPr>
                <w:rFonts w:hint="eastAsia"/>
              </w:rPr>
              <w:t>数量</w:t>
            </w:r>
          </w:p>
        </w:tc>
        <w:tc>
          <w:tcPr>
            <w:tcW w:w="1327" w:type="dxa"/>
            <w:vAlign w:val="center"/>
          </w:tcPr>
          <w:p>
            <w:pPr>
              <w:pStyle w:val="9"/>
              <w:numPr>
                <w:ilvl w:val="0"/>
                <w:numId w:val="0"/>
              </w:numPr>
              <w:jc w:val="center"/>
            </w:pPr>
            <w:r>
              <w:rPr>
                <w:rFonts w:hint="eastAsia"/>
              </w:rPr>
              <w:t>单价</w:t>
            </w:r>
          </w:p>
        </w:tc>
        <w:tc>
          <w:tcPr>
            <w:tcW w:w="1327" w:type="dxa"/>
            <w:vAlign w:val="center"/>
          </w:tcPr>
          <w:p>
            <w:pPr>
              <w:pStyle w:val="9"/>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1</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2</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ascii="宋体" w:eastAsia="宋体" w:cs="宋体"/>
              </w:rPr>
              <w:t>……</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总金额</w:t>
            </w:r>
          </w:p>
        </w:tc>
        <w:tc>
          <w:tcPr>
            <w:tcW w:w="5687" w:type="dxa"/>
            <w:gridSpan w:val="4"/>
            <w:vAlign w:val="center"/>
          </w:tcPr>
          <w:p>
            <w:pPr>
              <w:pStyle w:val="9"/>
              <w:numPr>
                <w:ilvl w:val="0"/>
                <w:numId w:val="0"/>
              </w:numPr>
              <w:jc w:val="center"/>
            </w:pPr>
          </w:p>
        </w:tc>
        <w:tc>
          <w:tcPr>
            <w:tcW w:w="1327" w:type="dxa"/>
            <w:vAlign w:val="center"/>
          </w:tcPr>
          <w:p>
            <w:pPr>
              <w:pStyle w:val="9"/>
              <w:numPr>
                <w:ilvl w:val="0"/>
                <w:numId w:val="0"/>
              </w:numPr>
              <w:jc w:val="center"/>
            </w:pPr>
          </w:p>
        </w:tc>
      </w:tr>
    </w:tbl>
    <w:p>
      <w:pPr>
        <w:pStyle w:val="9"/>
        <w:numPr>
          <w:ilvl w:val="0"/>
          <w:numId w:val="0"/>
        </w:numPr>
      </w:pP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2、价格解释：合同价格包括成本、税款、包装、运费、售后服务等全部费用，价格一次确定不再变更。</w:t>
      </w:r>
    </w:p>
    <w:p>
      <w:pPr>
        <w:tabs>
          <w:tab w:val="left" w:pos="840"/>
        </w:tabs>
        <w:adjustRightInd w:val="0"/>
        <w:snapToGrid w:val="0"/>
        <w:spacing w:line="360" w:lineRule="auto"/>
        <w:ind w:firstLine="482" w:firstLineChars="200"/>
        <w:rPr>
          <w:rFonts w:ascii="宋体" w:cs="宋体"/>
          <w:sz w:val="24"/>
        </w:rPr>
      </w:pPr>
      <w:r>
        <w:rPr>
          <w:rFonts w:hint="eastAsia" w:ascii="宋体" w:cs="宋体"/>
          <w:b/>
          <w:sz w:val="24"/>
        </w:rPr>
        <w:t>3、包装要求：</w:t>
      </w:r>
      <w:r>
        <w:rPr>
          <w:rFonts w:hint="eastAsia" w:ascii="宋体" w:cs="宋体"/>
          <w:sz w:val="24"/>
        </w:rPr>
        <w:t>不论采取何种包装形式，卖方均需确保货品无破损，无污染，且方便二次运输。产品包装按照大小包装分配成一定比例，而且标识清楚，以方便使用，避免浪费。因包装不当造成的损失由卖方负责，包退包换。</w:t>
      </w:r>
    </w:p>
    <w:p>
      <w:pPr>
        <w:pStyle w:val="9"/>
        <w:numPr>
          <w:ilvl w:val="0"/>
          <w:numId w:val="0"/>
        </w:numPr>
      </w:pPr>
    </w:p>
    <w:p>
      <w:pPr>
        <w:adjustRightInd w:val="0"/>
        <w:snapToGrid w:val="0"/>
        <w:spacing w:line="360" w:lineRule="auto"/>
        <w:rPr>
          <w:rFonts w:ascii="宋体" w:cs="宋体"/>
          <w:b/>
          <w:sz w:val="24"/>
        </w:rPr>
      </w:pPr>
      <w:r>
        <w:rPr>
          <w:rFonts w:hint="eastAsia" w:ascii="宋体" w:cs="宋体"/>
          <w:b/>
          <w:sz w:val="24"/>
        </w:rPr>
        <w:t>五、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rPr>
        <w:t>六、合同金额：</w:t>
      </w:r>
    </w:p>
    <w:p>
      <w:pPr>
        <w:adjustRightInd w:val="0"/>
        <w:snapToGrid w:val="0"/>
        <w:spacing w:line="360" w:lineRule="auto"/>
        <w:ind w:firstLine="480" w:firstLineChars="200"/>
        <w:rPr>
          <w:rFonts w:ascii="宋体" w:cs="宋体"/>
          <w:sz w:val="24"/>
          <w:u w:val="single"/>
        </w:rPr>
      </w:pPr>
      <w:r>
        <w:rPr>
          <w:rFonts w:hint="eastAsia" w:ascii="宋体" w:cs="宋体"/>
          <w:sz w:val="24"/>
        </w:rPr>
        <w:t>小写：</w:t>
      </w:r>
      <w:r>
        <w:rPr>
          <w:rFonts w:hint="eastAsia" w:ascii="宋体" w:cs="宋体"/>
          <w:sz w:val="24"/>
          <w:u w:val="single"/>
        </w:rPr>
        <w:t xml:space="preserve">¥   ，   ，   .00 </w:t>
      </w:r>
    </w:p>
    <w:p>
      <w:pPr>
        <w:adjustRightInd w:val="0"/>
        <w:snapToGrid w:val="0"/>
        <w:spacing w:line="360" w:lineRule="auto"/>
        <w:ind w:firstLine="480" w:firstLineChars="200"/>
        <w:rPr>
          <w:rFonts w:ascii="宋体" w:cs="宋体"/>
          <w:sz w:val="24"/>
          <w:u w:val="single"/>
        </w:rPr>
      </w:pPr>
      <w:r>
        <w:rPr>
          <w:rFonts w:hint="eastAsia" w:ascii="宋体" w:cs="宋体"/>
          <w:sz w:val="24"/>
        </w:rPr>
        <w:t>大写：</w:t>
      </w:r>
      <w:r>
        <w:rPr>
          <w:rFonts w:hint="eastAsia" w:ascii="宋体" w:cs="宋体"/>
          <w:sz w:val="24"/>
          <w:u w:val="single"/>
        </w:rPr>
        <w:t xml:space="preserve">                  </w:t>
      </w:r>
    </w:p>
    <w:p>
      <w:pPr>
        <w:adjustRightInd w:val="0"/>
        <w:snapToGrid w:val="0"/>
        <w:spacing w:line="360" w:lineRule="auto"/>
        <w:ind w:firstLine="480" w:firstLineChars="200"/>
        <w:rPr>
          <w:rFonts w:ascii="宋体" w:cs="宋体"/>
          <w:sz w:val="24"/>
        </w:rPr>
      </w:pPr>
      <w:r>
        <w:rPr>
          <w:rFonts w:hint="eastAsia" w:ascii="宋体" w:cs="宋体"/>
          <w:sz w:val="24"/>
        </w:rPr>
        <w:t>数量：</w:t>
      </w:r>
      <w:r>
        <w:rPr>
          <w:rFonts w:hint="eastAsia" w:ascii="宋体" w:cs="宋体"/>
          <w:sz w:val="24"/>
          <w:u w:val="single"/>
        </w:rPr>
        <w:t xml:space="preserve">                  </w:t>
      </w:r>
    </w:p>
    <w:p>
      <w:pPr>
        <w:adjustRightInd w:val="0"/>
        <w:snapToGrid w:val="0"/>
        <w:spacing w:line="360" w:lineRule="auto"/>
        <w:rPr>
          <w:rFonts w:ascii="宋体" w:cs="宋体"/>
          <w:b/>
          <w:sz w:val="24"/>
        </w:rPr>
      </w:pPr>
      <w:r>
        <w:rPr>
          <w:rFonts w:hint="eastAsia" w:ascii="宋体" w:cs="宋体"/>
          <w:b/>
          <w:sz w:val="24"/>
        </w:rPr>
        <w:t>七、一般条款：</w:t>
      </w:r>
    </w:p>
    <w:p>
      <w:pPr>
        <w:adjustRightInd w:val="0"/>
        <w:snapToGrid w:val="0"/>
        <w:spacing w:line="360" w:lineRule="auto"/>
        <w:ind w:firstLine="480" w:firstLineChars="200"/>
        <w:rPr>
          <w:rFonts w:ascii="宋体" w:cs="宋体"/>
          <w:sz w:val="24"/>
        </w:rPr>
      </w:pPr>
      <w:r>
        <w:rPr>
          <w:rFonts w:hint="eastAsia" w:ascii="宋体" w:cs="宋体"/>
          <w:sz w:val="24"/>
        </w:rPr>
        <w:t>1、卖方所提供的货物符合国家现行有效标准，因质量问题而发生的任何故障由卖方负责。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2、卖方承担交货前的一切责任和费用。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3、买方委托各市（州）兽医主管部门或动物防疫机构和新疆动物疫病预防控制中心在交货地点验收，如发现损坏、缺件等问题，由卖方负责。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4、卖方在发运货物时需提供相应的技术文件，包括使用说明等。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5、卖方对所供产品保质期应按生产厂商的承诺执行(附生产厂家承诺)。</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sz w:val="24"/>
        </w:rPr>
        <w:t>6、</w:t>
      </w:r>
      <w:r>
        <w:rPr>
          <w:rFonts w:hint="eastAsia" w:ascii="宋体" w:cs="宋体"/>
          <w:color w:val="000000"/>
          <w:sz w:val="24"/>
        </w:rPr>
        <w:t>付款方式：</w:t>
      </w:r>
      <w:r>
        <w:rPr>
          <w:rFonts w:ascii="宋体" w:cs="宋体"/>
          <w:color w:val="000000" w:themeColor="text1"/>
          <w:sz w:val="24"/>
          <w14:textFill>
            <w14:solidFill>
              <w14:schemeClr w14:val="tx1"/>
            </w14:solidFill>
          </w14:textFill>
        </w:rPr>
        <w:t>最终以与甲方签订的《采购供应合同》的具体约定为准</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7、合同所签定动物疾病诊断试剂数量仅为参考数量，买方可根据资金到位情况、国家免疫政策变化或免疫实际需求情况适当增减动物疾病诊断试剂数量。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8、凡货款由财政国库或采购人支付的,卖方凭合同向买方供货,未见合同供货而造成的一切后果由卖方负责。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9、买卖双方签订的合同，应在相关部门的监督下认真履行。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480" w:firstLineChars="200"/>
        <w:rPr>
          <w:rFonts w:ascii="宋体" w:cs="宋体"/>
          <w:sz w:val="24"/>
        </w:rPr>
      </w:pPr>
      <w:r>
        <w:rPr>
          <w:rFonts w:hint="eastAsia" w:ascii="宋体" w:cs="宋体"/>
          <w:sz w:val="24"/>
        </w:rPr>
        <w:t>（1）买方应当在10个工作日内完成到货验收工作，验收合格后在验收单上签署 “验收合格”字样，逾期验收视为验收合格。</w:t>
      </w:r>
    </w:p>
    <w:p>
      <w:pPr>
        <w:adjustRightInd w:val="0"/>
        <w:snapToGrid w:val="0"/>
        <w:spacing w:line="360" w:lineRule="auto"/>
        <w:ind w:firstLine="480" w:firstLineChars="200"/>
        <w:jc w:val="left"/>
        <w:rPr>
          <w:rFonts w:ascii="宋体" w:cs="宋体"/>
          <w:sz w:val="24"/>
        </w:rPr>
      </w:pPr>
      <w:r>
        <w:rPr>
          <w:rFonts w:hint="eastAsia" w:ascii="宋体" w:cs="宋体"/>
          <w:sz w:val="24"/>
        </w:rPr>
        <w:t>（2）买方委托的验收人在动物疾病诊断试剂验收中发现不符合合同要求和验收标准或有异议时，应由买方及时通知卖方，卖方应在接到通知后三天内给予答复，并负责处理，若需送法定质检部门检验，检验费用由卖方承担。如发现动物疾病诊断试剂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rPr>
        <w:t>八、交货时间、交货地点和验收单位：</w:t>
      </w:r>
    </w:p>
    <w:p>
      <w:pPr>
        <w:adjustRightInd w:val="0"/>
        <w:snapToGrid w:val="0"/>
        <w:spacing w:line="360" w:lineRule="auto"/>
        <w:ind w:firstLine="480" w:firstLineChars="200"/>
        <w:rPr>
          <w:rFonts w:ascii="宋体" w:cs="宋体"/>
          <w:sz w:val="24"/>
        </w:rPr>
      </w:pPr>
      <w:r>
        <w:rPr>
          <w:rFonts w:hint="eastAsia" w:ascii="宋体" w:cs="宋体"/>
          <w:sz w:val="24"/>
        </w:rPr>
        <w:t>（1）交货地点：</w:t>
      </w:r>
      <w:r>
        <w:rPr>
          <w:rFonts w:hint="eastAsia" w:ascii="宋体" w:cs="宋体"/>
          <w:color w:val="000000" w:themeColor="text1"/>
          <w:sz w:val="24"/>
          <w14:textFill>
            <w14:solidFill>
              <w14:schemeClr w14:val="tx1"/>
            </w14:solidFill>
          </w14:textFill>
        </w:rPr>
        <w:t>乌鲁木齐市高新技术开发区蓝天路268号新疆维吾尔自治区动物卫生监督所办公场所</w:t>
      </w:r>
    </w:p>
    <w:p>
      <w:pPr>
        <w:adjustRightInd w:val="0"/>
        <w:snapToGrid w:val="0"/>
        <w:spacing w:line="360" w:lineRule="auto"/>
        <w:ind w:firstLine="480" w:firstLineChars="200"/>
        <w:rPr>
          <w:rFonts w:ascii="宋体" w:cs="宋体"/>
          <w:sz w:val="24"/>
        </w:rPr>
      </w:pPr>
      <w:r>
        <w:rPr>
          <w:rFonts w:hint="eastAsia" w:ascii="宋体" w:cs="宋体"/>
          <w:sz w:val="24"/>
        </w:rPr>
        <w:t>（2）验收单位：收货单位为动物疾病诊断试剂验收第一责任单位，新疆维吾尔自治区动物卫生监督所委托的动物疾病诊断试剂运达地的兽医主管部门（动物防疫机构）负责动物疾病诊断试剂验收工作。</w:t>
      </w:r>
    </w:p>
    <w:p>
      <w:pPr>
        <w:adjustRightInd w:val="0"/>
        <w:snapToGrid w:val="0"/>
        <w:spacing w:line="360" w:lineRule="auto"/>
        <w:rPr>
          <w:rFonts w:ascii="宋体" w:cs="宋体"/>
          <w:b/>
          <w:sz w:val="24"/>
        </w:rPr>
      </w:pPr>
      <w:r>
        <w:rPr>
          <w:rFonts w:hint="eastAsia" w:ascii="宋体" w:cs="宋体"/>
          <w:b/>
          <w:sz w:val="24"/>
        </w:rPr>
        <w:t>九、经济责任：</w:t>
      </w:r>
    </w:p>
    <w:p>
      <w:pPr>
        <w:adjustRightInd w:val="0"/>
        <w:snapToGrid w:val="0"/>
        <w:spacing w:line="360" w:lineRule="auto"/>
        <w:ind w:firstLine="480" w:firstLineChars="200"/>
        <w:rPr>
          <w:rFonts w:ascii="宋体" w:cs="宋体"/>
          <w:sz w:val="24"/>
        </w:rPr>
      </w:pPr>
      <w:r>
        <w:rPr>
          <w:rFonts w:hint="eastAsia" w:ascii="宋体" w:cs="宋体"/>
          <w:sz w:val="24"/>
        </w:rPr>
        <w:t>卖方责任：</w:t>
      </w:r>
    </w:p>
    <w:p>
      <w:pPr>
        <w:adjustRightInd w:val="0"/>
        <w:snapToGrid w:val="0"/>
        <w:spacing w:line="360" w:lineRule="auto"/>
        <w:ind w:firstLine="480" w:firstLineChars="200"/>
        <w:rPr>
          <w:rFonts w:ascii="宋体" w:cs="宋体"/>
          <w:sz w:val="24"/>
        </w:rPr>
      </w:pPr>
      <w:r>
        <w:rPr>
          <w:rFonts w:hint="eastAsia" w:ascii="宋体" w:cs="宋体"/>
          <w:sz w:val="24"/>
        </w:rPr>
        <w:t>（1）卖方不履行合同或交付的动物疾病诊断试剂全部或部分不符合合同要求的，买方或买方委托验收人有权拒收不符合质量要求的全部或部分动物疾病诊断试剂，卖方须向买方支付拒收动物疫病诊断试剂价款总额10%的违约金。</w:t>
      </w:r>
    </w:p>
    <w:p>
      <w:pPr>
        <w:adjustRightInd w:val="0"/>
        <w:snapToGrid w:val="0"/>
        <w:spacing w:line="360" w:lineRule="auto"/>
        <w:ind w:firstLine="480" w:firstLineChars="200"/>
        <w:rPr>
          <w:rFonts w:ascii="宋体" w:cs="宋体"/>
          <w:sz w:val="24"/>
        </w:rPr>
      </w:pPr>
      <w:r>
        <w:rPr>
          <w:rFonts w:hint="eastAsia" w:ascii="宋体" w:cs="宋体"/>
          <w:sz w:val="24"/>
        </w:rPr>
        <w:t>（2）动物疾病诊断试剂质量不符合合同规定时，卖方负责包退包换。由于上述原因导致延误交货时间的，每延误一日，供应方应按逾期交货部分动物疾病诊断试剂价款总值的5‰向买方偿付违约金。</w:t>
      </w:r>
    </w:p>
    <w:p>
      <w:pPr>
        <w:adjustRightInd w:val="0"/>
        <w:snapToGrid w:val="0"/>
        <w:spacing w:line="360" w:lineRule="auto"/>
        <w:ind w:firstLine="480" w:firstLineChars="200"/>
        <w:rPr>
          <w:rFonts w:ascii="宋体" w:cs="宋体"/>
          <w:sz w:val="24"/>
        </w:rPr>
      </w:pPr>
      <w:r>
        <w:rPr>
          <w:rFonts w:hint="eastAsia" w:ascii="宋体" w:cs="宋体"/>
          <w:sz w:val="24"/>
        </w:rPr>
        <w:t>（3）卖方必须按合同规定的日期交货，每逾期一日，卖方必须向买方支付逾期交货疫苗总额5‰的违约金。逾期交货超过10日，买方有权解除合同，履约保证金不予退还。</w:t>
      </w:r>
    </w:p>
    <w:p>
      <w:pPr>
        <w:adjustRightInd w:val="0"/>
        <w:snapToGrid w:val="0"/>
        <w:spacing w:line="360" w:lineRule="auto"/>
        <w:ind w:firstLine="480" w:firstLineChars="200"/>
        <w:rPr>
          <w:rFonts w:ascii="宋体" w:cs="宋体"/>
          <w:sz w:val="24"/>
        </w:rPr>
      </w:pPr>
      <w:r>
        <w:rPr>
          <w:rFonts w:hint="eastAsia" w:ascii="宋体" w:cs="宋体"/>
          <w:sz w:val="24"/>
        </w:rPr>
        <w:t>（4）卖方提供的不符合质量要求的动物疾病诊断试剂超过本合同总量10%时，视为整批动物疾病诊断试剂不合格。</w:t>
      </w:r>
    </w:p>
    <w:p>
      <w:pPr>
        <w:adjustRightInd w:val="0"/>
        <w:snapToGrid w:val="0"/>
        <w:spacing w:line="360" w:lineRule="auto"/>
        <w:ind w:firstLine="480" w:firstLineChars="200"/>
        <w:rPr>
          <w:rFonts w:ascii="宋体" w:cs="宋体"/>
          <w:sz w:val="24"/>
        </w:rPr>
      </w:pPr>
      <w:r>
        <w:rPr>
          <w:rFonts w:hint="eastAsia" w:ascii="宋体" w:cs="宋体"/>
          <w:sz w:val="24"/>
        </w:rPr>
        <w:t>（5）动物疾病诊断试剂作为生物制品，在运输过程中必须按照生物制品运输保存的条件要求使用冷链进行运送，运输工具要配温度记录装置，疫苗接收单位将现场测温，对不符合动物疾病诊断试剂运输条件的动物疾病诊断试剂，动物疾病诊断试剂接收单位有权拒收。由此造成的一切损失由卖方承担，而且由此延误了供苗时间造成的损失应由卖方负责补偿。</w:t>
      </w:r>
    </w:p>
    <w:p>
      <w:pPr>
        <w:adjustRightInd w:val="0"/>
        <w:snapToGrid w:val="0"/>
        <w:spacing w:line="360" w:lineRule="auto"/>
        <w:rPr>
          <w:rFonts w:ascii="宋体" w:cs="宋体"/>
          <w:b/>
          <w:sz w:val="24"/>
        </w:rPr>
      </w:pPr>
      <w:r>
        <w:rPr>
          <w:rFonts w:hint="eastAsia" w:ascii="宋体" w:cs="宋体"/>
          <w:b/>
          <w:sz w:val="24"/>
        </w:rPr>
        <w:t xml:space="preserve">十、特殊条款 </w:t>
      </w:r>
    </w:p>
    <w:p>
      <w:pPr>
        <w:adjustRightInd w:val="0"/>
        <w:snapToGrid w:val="0"/>
        <w:spacing w:line="360" w:lineRule="auto"/>
        <w:ind w:firstLine="480" w:firstLineChars="200"/>
        <w:rPr>
          <w:rFonts w:ascii="宋体" w:cs="宋体"/>
          <w:sz w:val="24"/>
        </w:rPr>
      </w:pPr>
      <w:r>
        <w:rPr>
          <w:rFonts w:hint="eastAsia" w:ascii="宋体" w:cs="宋体"/>
          <w:sz w:val="24"/>
        </w:rPr>
        <w:t>(1)卖方应根据销售计划无偿为买方提供相关知识的培训，买方可以提出培训计划，培训费用由卖方承担，培训对象为买方确定的相关兽医技术人员。</w:t>
      </w:r>
    </w:p>
    <w:p>
      <w:pPr>
        <w:adjustRightInd w:val="0"/>
        <w:snapToGrid w:val="0"/>
        <w:spacing w:line="360" w:lineRule="auto"/>
        <w:ind w:firstLine="480" w:firstLineChars="200"/>
        <w:rPr>
          <w:rFonts w:ascii="宋体" w:cs="宋体"/>
          <w:sz w:val="24"/>
        </w:rPr>
      </w:pPr>
      <w:r>
        <w:rPr>
          <w:rFonts w:hint="eastAsia" w:ascii="宋体" w:cs="宋体"/>
          <w:sz w:val="24"/>
        </w:rPr>
        <w:t>(2)因动物疾病诊断试剂造成经济损失的，供货厂家48小时内派人现场调查解决或由供需双方组成联合调查组认定，确认是由于动物疾病诊断试剂质量引起的损失，将由供货厂家赔偿。</w:t>
      </w:r>
    </w:p>
    <w:p>
      <w:pPr>
        <w:adjustRightInd w:val="0"/>
        <w:snapToGrid w:val="0"/>
        <w:spacing w:line="360" w:lineRule="auto"/>
        <w:ind w:firstLine="480" w:firstLineChars="200"/>
        <w:rPr>
          <w:rFonts w:ascii="宋体" w:cs="宋体"/>
          <w:sz w:val="24"/>
        </w:rPr>
      </w:pPr>
      <w:r>
        <w:rPr>
          <w:rFonts w:hint="eastAsia" w:ascii="宋体" w:cs="宋体"/>
          <w:sz w:val="24"/>
        </w:rPr>
        <w:t>(3)如因动物疾病诊断试剂引起的损失，买方与供货厂家应会同有关部门组成调查小组查清原因，确认是由产品质量原因造成，供货厂家应承担经费，并赔偿相应的经济损失。</w:t>
      </w:r>
    </w:p>
    <w:p>
      <w:pPr>
        <w:adjustRightInd w:val="0"/>
        <w:snapToGrid w:val="0"/>
        <w:spacing w:line="360" w:lineRule="auto"/>
        <w:ind w:firstLine="480" w:firstLineChars="200"/>
        <w:rPr>
          <w:rFonts w:ascii="宋体" w:cs="宋体"/>
          <w:sz w:val="24"/>
        </w:rPr>
      </w:pPr>
      <w:r>
        <w:rPr>
          <w:rFonts w:hint="eastAsia" w:ascii="宋体" w:cs="宋体"/>
          <w:sz w:val="24"/>
        </w:rPr>
        <w:t>(4)如果中标人提供的动物疾病诊断试剂出现严重质量问题，卖方应在24小时内派专业技术人员到达现场，进行采样、分析和解决问题，并承担不良反应所造成的一切损失。</w:t>
      </w:r>
    </w:p>
    <w:p>
      <w:pPr>
        <w:adjustRightInd w:val="0"/>
        <w:snapToGrid w:val="0"/>
        <w:spacing w:line="360" w:lineRule="auto"/>
        <w:ind w:firstLine="480" w:firstLineChars="200"/>
        <w:rPr>
          <w:rFonts w:ascii="宋体" w:cs="宋体"/>
          <w:bCs/>
          <w:sz w:val="24"/>
        </w:rPr>
      </w:pPr>
      <w:r>
        <w:rPr>
          <w:rFonts w:hint="eastAsia" w:ascii="宋体" w:cs="宋体"/>
          <w:bCs/>
          <w:sz w:val="24"/>
        </w:rPr>
        <w:t>（5）经买方组织对各类</w:t>
      </w:r>
      <w:r>
        <w:rPr>
          <w:rFonts w:hint="eastAsia" w:ascii="宋体" w:cs="宋体"/>
          <w:sz w:val="24"/>
        </w:rPr>
        <w:t>动物疾病诊断试剂</w:t>
      </w:r>
      <w:r>
        <w:rPr>
          <w:rFonts w:hint="eastAsia" w:ascii="宋体" w:cs="宋体"/>
          <w:bCs/>
          <w:sz w:val="24"/>
        </w:rPr>
        <w:t>抗体效价测定，达不到国家要求的，停止继续使用，中止合同，必要时要对造成的损失进行赔偿。</w:t>
      </w:r>
    </w:p>
    <w:p>
      <w:pPr>
        <w:adjustRightInd w:val="0"/>
        <w:snapToGrid w:val="0"/>
        <w:spacing w:line="360" w:lineRule="auto"/>
        <w:ind w:firstLine="480" w:firstLineChars="200"/>
        <w:rPr>
          <w:rFonts w:ascii="宋体" w:cs="宋体"/>
          <w:sz w:val="24"/>
        </w:rPr>
      </w:pPr>
      <w:r>
        <w:rPr>
          <w:rFonts w:hint="eastAsia" w:ascii="宋体" w:cs="宋体"/>
          <w:sz w:val="24"/>
        </w:rPr>
        <w:t>（6）各中标企业向动物疾病诊断试剂接收单位供货时，产品包装按照大小包装分配成一定比例供货，而且标识清楚，以方便使用，避免造成动物疫病诊断试剂浪费。</w:t>
      </w:r>
    </w:p>
    <w:p>
      <w:pPr>
        <w:adjustRightInd w:val="0"/>
        <w:snapToGrid w:val="0"/>
        <w:spacing w:line="360" w:lineRule="auto"/>
        <w:ind w:firstLine="480" w:firstLineChars="200"/>
        <w:rPr>
          <w:rFonts w:ascii="宋体" w:cs="宋体"/>
          <w:sz w:val="24"/>
        </w:rPr>
      </w:pPr>
      <w:r>
        <w:rPr>
          <w:rFonts w:hint="eastAsia" w:ascii="宋体" w:cs="宋体"/>
          <w:sz w:val="24"/>
        </w:rPr>
        <w:t>（7）供货方的其他售后服务承诺。</w:t>
      </w:r>
    </w:p>
    <w:p>
      <w:pPr>
        <w:adjustRightInd w:val="0"/>
        <w:snapToGrid w:val="0"/>
        <w:spacing w:line="360" w:lineRule="auto"/>
        <w:rPr>
          <w:rFonts w:ascii="宋体" w:cs="宋体"/>
          <w:b/>
          <w:sz w:val="24"/>
        </w:rPr>
      </w:pPr>
      <w:r>
        <w:rPr>
          <w:rFonts w:hint="eastAsia" w:ascii="宋体" w:cs="宋体"/>
          <w:b/>
          <w:sz w:val="24"/>
        </w:rPr>
        <w:t>十一、合同解释：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十二、争议解决</w:t>
      </w:r>
    </w:p>
    <w:p>
      <w:pPr>
        <w:adjustRightInd w:val="0"/>
        <w:snapToGrid w:val="0"/>
        <w:spacing w:line="360" w:lineRule="auto"/>
        <w:ind w:firstLine="480" w:firstLineChars="200"/>
        <w:rPr>
          <w:rFonts w:ascii="宋体" w:cs="宋体"/>
          <w:color w:val="00B0F0"/>
          <w:sz w:val="24"/>
        </w:rPr>
      </w:pPr>
      <w:r>
        <w:rPr>
          <w:rFonts w:hint="eastAsia" w:ascii="宋体" w:cs="宋体"/>
          <w:sz w:val="24"/>
        </w:rPr>
        <w:t>合同执行过程中发生的</w:t>
      </w:r>
      <w:r>
        <w:rPr>
          <w:rFonts w:hint="eastAsia" w:ascii="宋体" w:cs="宋体"/>
          <w:color w:val="000000" w:themeColor="text1"/>
          <w:sz w:val="24"/>
          <w14:textFill>
            <w14:solidFill>
              <w14:schemeClr w14:val="tx1"/>
            </w14:solidFill>
          </w14:textFill>
        </w:rPr>
        <w:t>一切争议，双方应通过友好协商解决，如协商不能解决，提交甲方所在地人民法院诉讼解决。</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十三、合同生效</w:t>
      </w:r>
    </w:p>
    <w:p>
      <w:pPr>
        <w:adjustRightInd w:val="0"/>
        <w:snapToGrid w:val="0"/>
        <w:spacing w:line="360" w:lineRule="auto"/>
        <w:ind w:firstLine="480" w:firstLineChars="200"/>
        <w:rPr>
          <w:rFonts w:ascii="宋体" w:cs="宋体"/>
          <w:sz w:val="24"/>
        </w:rPr>
      </w:pPr>
      <w:r>
        <w:rPr>
          <w:rFonts w:hint="eastAsia" w:ascii="宋体" w:cs="宋体"/>
          <w:sz w:val="24"/>
        </w:rPr>
        <w:t>本合同经买卖双方及招标单位授权代表签字盖章后生效</w:t>
      </w:r>
      <w:r>
        <w:rPr>
          <w:rFonts w:hint="eastAsia" w:ascii="宋体" w:cs="宋体"/>
          <w:color w:val="000000" w:themeColor="text1"/>
          <w:sz w:val="24"/>
          <w14:textFill>
            <w14:solidFill>
              <w14:schemeClr w14:val="tx1"/>
            </w14:solidFill>
          </w14:textFill>
        </w:rPr>
        <w:t>且买方收到卖方缴纳的全部履约保证金后生效。本</w:t>
      </w:r>
      <w:r>
        <w:rPr>
          <w:rFonts w:hint="eastAsia" w:ascii="宋体" w:cs="宋体"/>
          <w:sz w:val="24"/>
        </w:rPr>
        <w:t>合同具有法律效力，受国家法律保护。</w:t>
      </w:r>
    </w:p>
    <w:p>
      <w:pPr>
        <w:adjustRightInd w:val="0"/>
        <w:snapToGrid w:val="0"/>
        <w:spacing w:line="360" w:lineRule="auto"/>
        <w:rPr>
          <w:rFonts w:ascii="宋体" w:cs="宋体"/>
          <w:b/>
          <w:sz w:val="24"/>
        </w:rPr>
      </w:pPr>
      <w:r>
        <w:rPr>
          <w:rFonts w:hint="eastAsia" w:ascii="宋体" w:cs="宋体"/>
          <w:b/>
          <w:sz w:val="24"/>
        </w:rPr>
        <w:t>十四、合同份数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十五、其他</w:t>
      </w:r>
    </w:p>
    <w:p>
      <w:pPr>
        <w:adjustRightInd w:val="0"/>
        <w:snapToGrid w:val="0"/>
        <w:spacing w:line="360" w:lineRule="auto"/>
        <w:ind w:firstLine="480" w:firstLineChars="200"/>
        <w:rPr>
          <w:rFonts w:ascii="宋体" w:cs="宋体"/>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rPr>
          <w:rFonts w:ascii="仿宋" w:eastAsia="仿宋"/>
          <w:sz w:val="30"/>
          <w:szCs w:val="30"/>
        </w:rPr>
      </w:pPr>
      <w:r>
        <w:rPr>
          <w:rFonts w:hint="eastAsia" w:ascii="宋体" w:cs="宋体"/>
          <w:color w:val="333333"/>
          <w:kern w:val="0"/>
          <w:sz w:val="24"/>
        </w:rPr>
        <w:t>日 期：                           日期：</w:t>
      </w:r>
    </w:p>
    <w:p>
      <w:pPr>
        <w:pStyle w:val="9"/>
        <w:numPr>
          <w:ilvl w:val="0"/>
          <w:numId w:val="0"/>
        </w:numPr>
      </w:pPr>
    </w:p>
    <w:p>
      <w:pPr>
        <w:pStyle w:val="9"/>
        <w:numPr>
          <w:ilvl w:val="0"/>
          <w:numId w:val="0"/>
        </w:numPr>
      </w:pPr>
    </w:p>
    <w:p>
      <w:pPr>
        <w:spacing w:line="360" w:lineRule="auto"/>
        <w:rPr>
          <w:rFonts w:ascii="宋体" w:cs="宋体"/>
          <w:szCs w:val="21"/>
        </w:rPr>
      </w:pPr>
    </w:p>
    <w:p>
      <w:pPr>
        <w:spacing w:line="360" w:lineRule="auto"/>
        <w:rPr>
          <w:rFonts w:ascii="宋体" w:cs="宋体"/>
          <w:szCs w:val="21"/>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26" w:name="_Toc18924"/>
      <w:r>
        <w:rPr>
          <w:rFonts w:hint="eastAsia" w:ascii="黑体" w:eastAsia="黑体" w:cs="黑体"/>
          <w:color w:val="000000"/>
          <w:sz w:val="24"/>
        </w:rPr>
        <w:t>第五章</w:t>
      </w:r>
      <w:r>
        <w:rPr>
          <w:rFonts w:hint="eastAsia" w:ascii="黑体" w:eastAsia="黑体" w:cs="黑体"/>
          <w:sz w:val="24"/>
        </w:rPr>
        <w:t xml:space="preserve">  技术标准和要求</w:t>
      </w:r>
      <w:bookmarkEnd w:id="26"/>
    </w:p>
    <w:p>
      <w:pPr>
        <w:numPr>
          <w:ilvl w:val="0"/>
          <w:numId w:val="4"/>
        </w:numPr>
      </w:pPr>
      <w:r>
        <w:rPr>
          <w:rFonts w:hint="eastAsia"/>
        </w:rPr>
        <w:t>投标人所投产品须符合或优于《技术标准和要求》；</w:t>
      </w:r>
    </w:p>
    <w:p>
      <w:r>
        <w:rPr>
          <w:rFonts w:hint="eastAsia"/>
        </w:rPr>
        <w:t>2. 投标报价时每个产品数量按1（盒、支、个、管、瓶、头份等）报单价，之后计算单价之和；</w:t>
      </w:r>
    </w:p>
    <w:p>
      <w:r>
        <w:rPr>
          <w:rFonts w:hint="eastAsia"/>
        </w:rPr>
        <w:t>3. 所投产品的数量为预估数值，实际采购数量以与采购人签订的</w:t>
      </w:r>
      <w:r>
        <w:rPr>
          <w:rFonts w:hint="eastAsia" w:ascii="宋体" w:cs="宋体"/>
          <w:kern w:val="0"/>
          <w:szCs w:val="21"/>
        </w:rPr>
        <w:t>《采购供应合同》</w:t>
      </w:r>
      <w:r>
        <w:rPr>
          <w:rFonts w:hint="eastAsia"/>
        </w:rPr>
        <w:t>为准；</w:t>
      </w:r>
    </w:p>
    <w:p>
      <w:r>
        <w:rPr>
          <w:rFonts w:hint="eastAsia"/>
        </w:rPr>
        <w:t xml:space="preserve">4. </w:t>
      </w:r>
      <w:r>
        <w:rPr>
          <w:rFonts w:hint="eastAsia" w:ascii="宋体" w:cs="宋体"/>
          <w:kern w:val="0"/>
          <w:szCs w:val="21"/>
        </w:rPr>
        <w:t>《采购供应合同》</w:t>
      </w:r>
      <w:r>
        <w:rPr>
          <w:rFonts w:hint="eastAsia"/>
        </w:rPr>
        <w:t>不得超过本项目的预算总额；</w:t>
      </w:r>
    </w:p>
    <w:p>
      <w:r>
        <w:rPr>
          <w:rFonts w:hint="eastAsia"/>
        </w:rPr>
        <w:t>5. 核心产品：猪繁殖障碍与呼吸综合征间接ELISA抗体检测试剂盒。</w:t>
      </w:r>
    </w:p>
    <w:tbl>
      <w:tblPr>
        <w:tblStyle w:val="22"/>
        <w:tblW w:w="8721"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375"/>
        <w:gridCol w:w="4677"/>
        <w:gridCol w:w="1000"/>
        <w:gridCol w:w="10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tcPr>
          <w:p>
            <w:pPr>
              <w:spacing w:line="360" w:lineRule="auto"/>
              <w:jc w:val="center"/>
              <w:rPr>
                <w:rFonts w:ascii="宋体" w:cs="宋体"/>
                <w:szCs w:val="21"/>
              </w:rPr>
            </w:pPr>
            <w:r>
              <w:rPr>
                <w:rFonts w:hint="eastAsia" w:ascii="宋体" w:cs="宋体"/>
                <w:szCs w:val="21"/>
              </w:rPr>
              <w:t>序号</w:t>
            </w:r>
            <w:r>
              <w:rPr>
                <w:rFonts w:hint="eastAsia" w:ascii="宋体" w:cs="宋体"/>
                <w:szCs w:val="21"/>
              </w:rPr>
              <w:br w:type="page"/>
            </w:r>
          </w:p>
        </w:tc>
        <w:tc>
          <w:tcPr>
            <w:tcW w:w="1375" w:type="dxa"/>
          </w:tcPr>
          <w:p>
            <w:pPr>
              <w:spacing w:line="360" w:lineRule="auto"/>
              <w:jc w:val="center"/>
              <w:rPr>
                <w:rFonts w:ascii="宋体" w:cs="宋体"/>
                <w:szCs w:val="21"/>
              </w:rPr>
            </w:pPr>
            <w:r>
              <w:rPr>
                <w:rFonts w:hint="eastAsia" w:ascii="宋体" w:cs="宋体"/>
                <w:color w:val="000000"/>
                <w:kern w:val="0"/>
                <w:szCs w:val="21"/>
              </w:rPr>
              <w:t>试剂盒名称</w:t>
            </w:r>
          </w:p>
        </w:tc>
        <w:tc>
          <w:tcPr>
            <w:tcW w:w="4677" w:type="dxa"/>
          </w:tcPr>
          <w:p>
            <w:pPr>
              <w:spacing w:line="360" w:lineRule="auto"/>
              <w:jc w:val="center"/>
              <w:rPr>
                <w:rFonts w:ascii="宋体" w:cs="宋体"/>
                <w:szCs w:val="21"/>
              </w:rPr>
            </w:pPr>
            <w:r>
              <w:rPr>
                <w:rFonts w:hint="eastAsia" w:ascii="宋体" w:cs="宋体"/>
                <w:color w:val="000000"/>
                <w:kern w:val="0"/>
                <w:szCs w:val="21"/>
              </w:rPr>
              <w:t>主要技术参数</w:t>
            </w:r>
          </w:p>
        </w:tc>
        <w:tc>
          <w:tcPr>
            <w:tcW w:w="1000" w:type="dxa"/>
          </w:tcPr>
          <w:p>
            <w:pPr>
              <w:spacing w:line="360" w:lineRule="auto"/>
              <w:jc w:val="center"/>
              <w:rPr>
                <w:rFonts w:ascii="宋体" w:cs="宋体"/>
                <w:szCs w:val="21"/>
              </w:rPr>
            </w:pPr>
            <w:r>
              <w:rPr>
                <w:rFonts w:hint="eastAsia" w:ascii="宋体" w:cs="宋体"/>
                <w:szCs w:val="21"/>
              </w:rPr>
              <w:t>数量</w:t>
            </w:r>
          </w:p>
        </w:tc>
        <w:tc>
          <w:tcPr>
            <w:tcW w:w="1000" w:type="dxa"/>
          </w:tcPr>
          <w:p>
            <w:pPr>
              <w:spacing w:line="360" w:lineRule="auto"/>
              <w:jc w:val="center"/>
              <w:rPr>
                <w:rFonts w:hint="eastAsia" w:ascii="宋体" w:eastAsia="宋体" w:cs="宋体"/>
                <w:szCs w:val="21"/>
                <w:lang w:val="en-US" w:eastAsia="zh-CN"/>
              </w:rPr>
            </w:pPr>
            <w:r>
              <w:rPr>
                <w:rFonts w:hint="eastAsia" w:ascii="宋体" w:cs="宋体"/>
                <w:color w:val="FF0000"/>
                <w:szCs w:val="21"/>
                <w:lang w:val="en-US" w:eastAsia="zh-CN"/>
              </w:rPr>
              <w:t>单项最高限价</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1</w:t>
            </w:r>
          </w:p>
        </w:tc>
        <w:tc>
          <w:tcPr>
            <w:tcW w:w="1375" w:type="dxa"/>
            <w:vAlign w:val="center"/>
          </w:tcPr>
          <w:p>
            <w:pPr>
              <w:keepNext/>
              <w:widowControl/>
              <w:jc w:val="center"/>
              <w:rPr>
                <w:rFonts w:ascii="宋体" w:cs="宋体"/>
                <w:szCs w:val="21"/>
              </w:rPr>
            </w:pPr>
            <w:r>
              <w:rPr>
                <w:rFonts w:hint="eastAsia" w:ascii="宋体" w:cs="宋体"/>
                <w:color w:val="000000"/>
                <w:kern w:val="0"/>
                <w:sz w:val="22"/>
                <w:szCs w:val="22"/>
              </w:rPr>
              <w:t>小反刍兽疫病毒抗体检测竞争ELISA试剂盒（竞争法）</w:t>
            </w:r>
          </w:p>
        </w:tc>
        <w:tc>
          <w:tcPr>
            <w:tcW w:w="4677" w:type="dxa"/>
          </w:tcPr>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1.有质量管理体系认证证书。</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 xml:space="preserve">2.有兽药GMP证书，产品均在动物疫病诊断生物制品GMP车间分子生物学类诊断制品生产线生产，质量稳定。                                       </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 xml:space="preserve">3.试剂盒名称或说明书必须明确检测方法采用竞争ELISA方法，检测绵羊和山羊血清或血浆中的小反刍兽疫病毒蛋白的抗体。                                          </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 xml:space="preserve">4.96*5板/盒（可拆条）。                                      </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5.符合国家标准或有关规定。</w:t>
            </w:r>
          </w:p>
          <w:p>
            <w:pPr>
              <w:keepNext/>
              <w:widowControl/>
              <w:jc w:val="left"/>
              <w:rPr>
                <w:rFonts w:ascii="宋体" w:cs="宋体"/>
                <w:szCs w:val="21"/>
              </w:rPr>
            </w:pPr>
            <w:r>
              <w:rPr>
                <w:rFonts w:hint="eastAsia" w:ascii="宋体" w:cs="宋体"/>
                <w:color w:val="000000" w:themeColor="text1"/>
                <w:kern w:val="0"/>
                <w:sz w:val="22"/>
                <w:szCs w:val="22"/>
                <w14:textFill>
                  <w14:solidFill>
                    <w14:schemeClr w14:val="tx1"/>
                  </w14:solidFill>
                </w14:textFill>
              </w:rPr>
              <w:t>6.贮藏与有效期：试剂盒2～8℃保存，有效期不少</w:t>
            </w:r>
            <w:r>
              <w:rPr>
                <w:rFonts w:hint="eastAsia" w:ascii="宋体" w:cs="宋体"/>
                <w:color w:val="000000" w:themeColor="text1"/>
                <w:kern w:val="0"/>
                <w:sz w:val="22"/>
                <w:szCs w:val="22"/>
                <w:highlight w:val="none"/>
                <w14:textFill>
                  <w14:solidFill>
                    <w14:schemeClr w14:val="tx1"/>
                  </w14:solidFill>
                </w14:textFill>
              </w:rPr>
              <w:t>于15个月</w:t>
            </w:r>
            <w:r>
              <w:rPr>
                <w:rFonts w:hint="eastAsia" w:ascii="宋体" w:cs="宋体"/>
                <w:color w:val="000000" w:themeColor="text1"/>
                <w:kern w:val="0"/>
                <w:sz w:val="22"/>
                <w:szCs w:val="22"/>
                <w14:textFill>
                  <w14:solidFill>
                    <w14:schemeClr w14:val="tx1"/>
                  </w14:solidFill>
                </w14:textFill>
              </w:rPr>
              <w:t>。</w:t>
            </w:r>
          </w:p>
        </w:tc>
        <w:tc>
          <w:tcPr>
            <w:tcW w:w="1000" w:type="dxa"/>
            <w:vAlign w:val="center"/>
          </w:tcPr>
          <w:p>
            <w:pPr>
              <w:spacing w:line="360" w:lineRule="auto"/>
              <w:jc w:val="center"/>
              <w:rPr>
                <w:rFonts w:ascii="宋体" w:cs="宋体"/>
                <w:szCs w:val="21"/>
              </w:rPr>
            </w:pPr>
            <w:r>
              <w:rPr>
                <w:rFonts w:hint="eastAsia" w:ascii="宋体" w:cs="宋体"/>
                <w:szCs w:val="21"/>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4900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2</w:t>
            </w:r>
          </w:p>
        </w:tc>
        <w:tc>
          <w:tcPr>
            <w:tcW w:w="1375" w:type="dxa"/>
            <w:vAlign w:val="center"/>
          </w:tcPr>
          <w:p>
            <w:pPr>
              <w:keepNext/>
              <w:widowControl/>
              <w:jc w:val="center"/>
              <w:rPr>
                <w:rFonts w:ascii="宋体" w:cs="宋体"/>
                <w:szCs w:val="21"/>
              </w:rPr>
            </w:pPr>
            <w:r>
              <w:rPr>
                <w:rFonts w:hint="eastAsia" w:ascii="宋体" w:cs="宋体"/>
                <w:color w:val="000000"/>
                <w:kern w:val="0"/>
                <w:sz w:val="22"/>
                <w:szCs w:val="22"/>
              </w:rPr>
              <w:t>小反刍兽疫野毒株实时荧光RT-PCR试剂盒（不带抽提）</w:t>
            </w:r>
          </w:p>
        </w:tc>
        <w:tc>
          <w:tcPr>
            <w:tcW w:w="4677" w:type="dxa"/>
          </w:tcPr>
          <w:p>
            <w:pPr>
              <w:keepNext/>
              <w:widowControl/>
              <w:jc w:val="left"/>
              <w:rPr>
                <w:rFonts w:ascii="宋体" w:cs="宋体"/>
                <w:color w:val="000000"/>
                <w:kern w:val="0"/>
                <w:sz w:val="22"/>
                <w:szCs w:val="22"/>
              </w:rPr>
            </w:pPr>
            <w:r>
              <w:rPr>
                <w:rFonts w:hint="eastAsia" w:ascii="宋体" w:cs="宋体"/>
                <w:color w:val="000000"/>
                <w:kern w:val="0"/>
                <w:sz w:val="22"/>
                <w:szCs w:val="22"/>
              </w:rPr>
              <w:t>1. 作用与用途：用于鼻腔拭子、口腔拭子、眼拭子以及淋巴结、脾、肾、直肠、结肠、 肺等组织等样品中小反刍兽疫病毒（PPRV）核酸的检测</w:t>
            </w:r>
          </w:p>
          <w:p>
            <w:pPr>
              <w:keepNext/>
              <w:widowControl/>
              <w:jc w:val="left"/>
              <w:rPr>
                <w:rFonts w:ascii="宋体" w:cs="宋体"/>
                <w:color w:val="000000"/>
                <w:kern w:val="0"/>
                <w:sz w:val="22"/>
                <w:szCs w:val="22"/>
              </w:rPr>
            </w:pPr>
            <w:r>
              <w:rPr>
                <w:rFonts w:hint="eastAsia" w:ascii="宋体" w:cs="宋体"/>
                <w:color w:val="000000"/>
                <w:kern w:val="0"/>
                <w:sz w:val="22"/>
                <w:szCs w:val="22"/>
              </w:rPr>
              <w:t>2．保存条件：-20℃以下冷冻保存</w:t>
            </w:r>
          </w:p>
          <w:p>
            <w:pPr>
              <w:keepNext/>
              <w:widowControl/>
              <w:jc w:val="left"/>
              <w:rPr>
                <w:rFonts w:ascii="宋体" w:cs="宋体"/>
                <w:color w:val="000000"/>
                <w:kern w:val="0"/>
                <w:sz w:val="22"/>
                <w:szCs w:val="22"/>
              </w:rPr>
            </w:pPr>
            <w:r>
              <w:rPr>
                <w:rFonts w:hint="eastAsia" w:ascii="宋体" w:cs="宋体"/>
                <w:color w:val="000000"/>
                <w:kern w:val="0"/>
                <w:sz w:val="22"/>
                <w:szCs w:val="22"/>
              </w:rPr>
              <w:t>3．试剂盒规格： 50 次/盒</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4. 试剂盒组成：RTPCR 酶反应液 100μl/管 、引物探针 、阳性对照 500µl/管 、阴性对照 500μl/管 </w:t>
            </w:r>
          </w:p>
          <w:p>
            <w:pPr>
              <w:keepNext/>
              <w:widowControl/>
              <w:jc w:val="left"/>
              <w:rPr>
                <w:rFonts w:ascii="宋体" w:cs="宋体"/>
                <w:color w:val="000000"/>
                <w:kern w:val="0"/>
                <w:sz w:val="22"/>
                <w:szCs w:val="22"/>
              </w:rPr>
            </w:pPr>
            <w:r>
              <w:rPr>
                <w:rFonts w:hint="eastAsia" w:ascii="宋体" w:cs="宋体"/>
                <w:color w:val="000000"/>
                <w:kern w:val="0"/>
                <w:sz w:val="22"/>
                <w:szCs w:val="22"/>
              </w:rPr>
              <w:t>5．反应程序：① 50 Cº 反转录 15 分钟；②95 Cº 预变性 1 分钟；③ 95 Cº 变性 10 秒，60 Cº 延伸 30 秒，共 40 个循环；设置 60 Cº 收集 FAM 荧光信号。</w:t>
            </w:r>
          </w:p>
          <w:p>
            <w:pPr>
              <w:keepNext/>
              <w:widowControl/>
              <w:jc w:val="left"/>
              <w:rPr>
                <w:rFonts w:ascii="宋体" w:cs="宋体"/>
                <w:color w:val="000000"/>
                <w:kern w:val="0"/>
                <w:sz w:val="22"/>
                <w:szCs w:val="22"/>
              </w:rPr>
            </w:pPr>
            <w:r>
              <w:rPr>
                <w:rFonts w:hint="eastAsia" w:ascii="宋体" w:cs="宋体"/>
                <w:color w:val="000000"/>
                <w:kern w:val="0"/>
                <w:sz w:val="22"/>
                <w:szCs w:val="22"/>
              </w:rPr>
              <w:t>6．结果判定：不产生疑值，无需重复检查。阳性对照应出现特异性扩增曲线且 Ct 值＜35，且阴性对照无特异性扩增曲线或无 Ct 值，则试验成立样品的扩增结果有典型的扩增曲线且 Ct 值≤40 时可判定为小反刍兽疫病 毒核酸阳性，Ct 值＞40 或无 Ct 值时可判定为小反刍兽疫病毒核酸阴性。</w:t>
            </w:r>
          </w:p>
          <w:p>
            <w:pPr>
              <w:keepNext/>
              <w:widowControl/>
              <w:jc w:val="left"/>
              <w:rPr>
                <w:rFonts w:ascii="宋体" w:cs="宋体"/>
                <w:szCs w:val="21"/>
              </w:rPr>
            </w:pPr>
            <w:r>
              <w:rPr>
                <w:rFonts w:hint="eastAsia" w:ascii="宋体" w:cs="宋体"/>
                <w:color w:val="000000"/>
                <w:kern w:val="0"/>
                <w:sz w:val="22"/>
                <w:szCs w:val="22"/>
              </w:rPr>
              <w:t>7．试剂盒有效期15个月。</w:t>
            </w:r>
          </w:p>
        </w:tc>
        <w:tc>
          <w:tcPr>
            <w:tcW w:w="1000" w:type="dxa"/>
            <w:vAlign w:val="center"/>
          </w:tcPr>
          <w:p>
            <w:pPr>
              <w:spacing w:line="360" w:lineRule="auto"/>
              <w:jc w:val="center"/>
              <w:rPr>
                <w:rFonts w:ascii="宋体" w:cs="宋体"/>
                <w:szCs w:val="21"/>
              </w:rPr>
            </w:pPr>
            <w:r>
              <w:rPr>
                <w:rFonts w:hint="eastAsia" w:ascii="宋体" w:cs="宋体"/>
                <w:szCs w:val="21"/>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3</w:t>
            </w:r>
          </w:p>
        </w:tc>
        <w:tc>
          <w:tcPr>
            <w:tcW w:w="1375" w:type="dxa"/>
            <w:vAlign w:val="center"/>
          </w:tcPr>
          <w:p>
            <w:pPr>
              <w:keepNext/>
              <w:widowControl/>
              <w:jc w:val="center"/>
              <w:rPr>
                <w:rFonts w:ascii="宋体" w:cs="宋体"/>
                <w:szCs w:val="21"/>
              </w:rPr>
            </w:pPr>
            <w:r>
              <w:rPr>
                <w:rFonts w:hint="eastAsia" w:ascii="宋体" w:cs="宋体"/>
                <w:color w:val="000000"/>
                <w:kern w:val="0"/>
                <w:sz w:val="22"/>
                <w:szCs w:val="22"/>
              </w:rPr>
              <w:t>小反刍兽疫病毒通用荧光RT-PCR试剂盒（不带抽提）</w:t>
            </w:r>
          </w:p>
        </w:tc>
        <w:tc>
          <w:tcPr>
            <w:tcW w:w="4677" w:type="dxa"/>
          </w:tcPr>
          <w:p>
            <w:pPr>
              <w:keepNext/>
              <w:widowControl/>
              <w:jc w:val="left"/>
              <w:rPr>
                <w:rFonts w:ascii="宋体" w:cs="宋体"/>
                <w:color w:val="000000"/>
                <w:kern w:val="0"/>
                <w:sz w:val="22"/>
                <w:szCs w:val="22"/>
              </w:rPr>
            </w:pPr>
            <w:r>
              <w:rPr>
                <w:rFonts w:hint="eastAsia" w:ascii="宋体" w:cs="宋体"/>
                <w:color w:val="000000"/>
                <w:kern w:val="0"/>
                <w:sz w:val="22"/>
                <w:szCs w:val="22"/>
              </w:rPr>
              <w:t>1. 作用与用途：用于鼻腔拭子、口腔拭子、眼拭子以及淋巴结、脾、肾、直肠、结肠、 肺等组织等样品中小反刍兽疫病毒（PPRV）核酸的检测</w:t>
            </w:r>
          </w:p>
          <w:p>
            <w:pPr>
              <w:keepNext/>
              <w:widowControl/>
              <w:jc w:val="left"/>
              <w:rPr>
                <w:rFonts w:ascii="宋体" w:cs="宋体"/>
                <w:color w:val="000000"/>
                <w:kern w:val="0"/>
                <w:sz w:val="22"/>
                <w:szCs w:val="22"/>
              </w:rPr>
            </w:pPr>
            <w:r>
              <w:rPr>
                <w:rFonts w:hint="eastAsia" w:ascii="宋体" w:cs="宋体"/>
                <w:color w:val="000000"/>
                <w:kern w:val="0"/>
                <w:sz w:val="22"/>
                <w:szCs w:val="22"/>
              </w:rPr>
              <w:t>2．保存条件：-20℃以下冷冻保存</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3．试剂盒规格：50 检份/盒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4. 试剂盒组成：RTPCR 酶反应液 100μl/管 、引物探针 、阳性对照 500µl/管 、阴性对照 500μl/管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5．反应程序：① 50 Cº 反转录 15 分钟；②95 Cº 预变性 1 分钟；③ 95 Cº 变性 10 秒，60 Cº 延伸 30 秒，共 40 个循环；设置 60 Cº 收集 FAM 荧光信号。 </w:t>
            </w:r>
          </w:p>
          <w:p>
            <w:pPr>
              <w:keepNext/>
              <w:widowControl/>
              <w:jc w:val="left"/>
              <w:rPr>
                <w:rFonts w:ascii="宋体" w:cs="宋体"/>
                <w:color w:val="000000"/>
                <w:kern w:val="0"/>
                <w:sz w:val="22"/>
                <w:szCs w:val="22"/>
              </w:rPr>
            </w:pPr>
            <w:r>
              <w:rPr>
                <w:rFonts w:hint="eastAsia" w:ascii="宋体" w:cs="宋体"/>
                <w:color w:val="000000"/>
                <w:kern w:val="0"/>
                <w:sz w:val="22"/>
                <w:szCs w:val="22"/>
              </w:rPr>
              <w:t>6．结果判定：不产生疑值，无需重复检查。阳性对照应出现特异性扩增曲线且 Ct 值＜35，且阴性对照无特异性扩增曲线或无 Ct 值，则试验成立.样品的扩增结果有典型的扩增曲线且 Ct 值≤35 时可判定为小反刍兽疫 病毒野毒株核酸阳性，Ct 值＞35 或无 Ct 值时可判定为小反刍兽疫病毒野毒株核酸阴性</w:t>
            </w:r>
          </w:p>
          <w:p>
            <w:pPr>
              <w:keepNext/>
              <w:widowControl/>
              <w:jc w:val="left"/>
              <w:rPr>
                <w:rFonts w:ascii="宋体" w:cs="宋体"/>
                <w:szCs w:val="21"/>
              </w:rPr>
            </w:pPr>
            <w:r>
              <w:rPr>
                <w:rFonts w:hint="eastAsia" w:ascii="宋体" w:cs="宋体"/>
                <w:color w:val="000000"/>
                <w:kern w:val="0"/>
                <w:sz w:val="22"/>
                <w:szCs w:val="22"/>
              </w:rPr>
              <w:t>7.试剂盒有效期15个月。</w:t>
            </w:r>
          </w:p>
        </w:tc>
        <w:tc>
          <w:tcPr>
            <w:tcW w:w="1000" w:type="dxa"/>
            <w:vAlign w:val="center"/>
          </w:tcPr>
          <w:p>
            <w:pPr>
              <w:spacing w:line="360" w:lineRule="auto"/>
              <w:jc w:val="center"/>
              <w:rPr>
                <w:rFonts w:ascii="宋体" w:cs="宋体"/>
                <w:szCs w:val="21"/>
              </w:rPr>
            </w:pPr>
            <w:r>
              <w:rPr>
                <w:rFonts w:hint="eastAsia" w:ascii="宋体" w:cs="宋体"/>
                <w:szCs w:val="21"/>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4</w:t>
            </w:r>
          </w:p>
        </w:tc>
        <w:tc>
          <w:tcPr>
            <w:tcW w:w="1375" w:type="dxa"/>
            <w:vAlign w:val="center"/>
          </w:tcPr>
          <w:p>
            <w:pPr>
              <w:keepNext/>
              <w:widowControl/>
              <w:jc w:val="center"/>
              <w:rPr>
                <w:rFonts w:ascii="宋体" w:cs="宋体"/>
                <w:szCs w:val="21"/>
              </w:rPr>
            </w:pPr>
            <w:r>
              <w:rPr>
                <w:rFonts w:hint="eastAsia" w:ascii="宋体" w:cs="宋体"/>
                <w:color w:val="000000"/>
                <w:kern w:val="0"/>
                <w:sz w:val="22"/>
                <w:szCs w:val="22"/>
              </w:rPr>
              <w:t>小反刍兽疫病毒野毒株与疫苗株双重荧光 RT-PCR 检测试剂盒</w:t>
            </w:r>
          </w:p>
        </w:tc>
        <w:tc>
          <w:tcPr>
            <w:tcW w:w="4677" w:type="dxa"/>
          </w:tcPr>
          <w:p>
            <w:pPr>
              <w:keepNext/>
              <w:widowControl/>
              <w:jc w:val="left"/>
              <w:rPr>
                <w:rFonts w:ascii="宋体" w:cs="宋体"/>
                <w:sz w:val="22"/>
                <w:szCs w:val="22"/>
              </w:rPr>
            </w:pPr>
            <w:r>
              <w:rPr>
                <w:rFonts w:hint="eastAsia" w:ascii="宋体" w:cs="宋体"/>
                <w:sz w:val="22"/>
                <w:szCs w:val="22"/>
              </w:rPr>
              <w:t>1. 作用与用途：用于山羊和绵羊鼻腔拭子、口腔拭子、眼拭子以及淋巴结、脾、肾、直肠、结肠、肺等组织等样品中小反刍兽疫病毒野毒株和疫苗株核酸的鉴别检测。</w:t>
            </w:r>
          </w:p>
          <w:p>
            <w:pPr>
              <w:keepNext/>
              <w:widowControl/>
              <w:jc w:val="left"/>
              <w:rPr>
                <w:rFonts w:ascii="宋体" w:cs="宋体"/>
                <w:sz w:val="22"/>
                <w:szCs w:val="22"/>
              </w:rPr>
            </w:pPr>
            <w:r>
              <w:rPr>
                <w:rFonts w:hint="eastAsia" w:ascii="宋体" w:cs="宋体"/>
                <w:sz w:val="22"/>
                <w:szCs w:val="22"/>
              </w:rPr>
              <w:t>2．保存条件：-20℃以下冷冻保存</w:t>
            </w:r>
          </w:p>
          <w:p>
            <w:pPr>
              <w:keepNext/>
              <w:widowControl/>
              <w:jc w:val="left"/>
              <w:rPr>
                <w:rFonts w:ascii="宋体" w:cs="宋体"/>
                <w:sz w:val="22"/>
                <w:szCs w:val="22"/>
              </w:rPr>
            </w:pPr>
            <w:r>
              <w:rPr>
                <w:rFonts w:hint="eastAsia" w:ascii="宋体" w:cs="宋体"/>
                <w:sz w:val="22"/>
                <w:szCs w:val="22"/>
              </w:rPr>
              <w:t xml:space="preserve">3．试剂盒规格： 50 检份/盒 </w:t>
            </w:r>
          </w:p>
          <w:p>
            <w:pPr>
              <w:keepNext/>
              <w:widowControl/>
              <w:jc w:val="left"/>
              <w:rPr>
                <w:rFonts w:ascii="宋体" w:cs="宋体"/>
                <w:sz w:val="22"/>
                <w:szCs w:val="22"/>
              </w:rPr>
            </w:pPr>
            <w:r>
              <w:rPr>
                <w:rFonts w:hint="eastAsia" w:ascii="宋体" w:cs="宋体"/>
                <w:sz w:val="22"/>
                <w:szCs w:val="22"/>
              </w:rPr>
              <w:t>4. 试剂盒组成：RT-PCR 酶反应液 100 μl/管×1 管 、 引物探针   900 μl/管×1 管、阳性对照500μl/管×1 管 、阴性对照500μl/管×1 管</w:t>
            </w:r>
          </w:p>
          <w:p>
            <w:pPr>
              <w:keepNext/>
              <w:widowControl/>
              <w:jc w:val="left"/>
              <w:rPr>
                <w:rFonts w:ascii="宋体" w:cs="宋体"/>
                <w:sz w:val="22"/>
                <w:szCs w:val="22"/>
              </w:rPr>
            </w:pPr>
            <w:r>
              <w:rPr>
                <w:rFonts w:hint="eastAsia" w:ascii="宋体" w:cs="宋体"/>
                <w:sz w:val="22"/>
                <w:szCs w:val="22"/>
              </w:rPr>
              <w:t>5．结果判定：</w:t>
            </w:r>
            <w:r>
              <w:rPr>
                <w:rFonts w:cs="Calibri"/>
                <w:sz w:val="22"/>
                <w:szCs w:val="22"/>
              </w:rPr>
              <w:t>①</w:t>
            </w:r>
            <w:r>
              <w:rPr>
                <w:rFonts w:hint="eastAsia" w:ascii="宋体" w:cs="宋体"/>
                <w:sz w:val="22"/>
                <w:szCs w:val="22"/>
              </w:rPr>
              <w:t>小反刍兽疫病毒野毒株   FAM 信号通道下样品的扩增结果有典型的扩增曲线且 Ct 值≤40  时可判定为小反刍兽疫病毒野毒株核酸阳性；当样品的扩增结果 Ct 值＞40 或无 Ct 值 时，判定为小反刍兽疫病毒野毒株核酸阴性。</w:t>
            </w:r>
          </w:p>
          <w:p>
            <w:pPr>
              <w:keepNext/>
              <w:widowControl/>
              <w:jc w:val="left"/>
              <w:rPr>
                <w:rFonts w:ascii="宋体" w:cs="宋体"/>
                <w:sz w:val="22"/>
                <w:szCs w:val="22"/>
              </w:rPr>
            </w:pPr>
            <w:r>
              <w:rPr>
                <w:rFonts w:cs="Calibri"/>
                <w:sz w:val="22"/>
                <w:szCs w:val="22"/>
              </w:rPr>
              <w:t>②</w:t>
            </w:r>
            <w:r>
              <w:rPr>
                <w:rFonts w:hint="eastAsia" w:ascii="宋体" w:cs="宋体"/>
                <w:sz w:val="22"/>
                <w:szCs w:val="22"/>
              </w:rPr>
              <w:t>小反刍兽疫病毒疫苗株   VIC 信号通道下样品的扩增结果有典型的扩增曲线且 Ct 值≤40  时可判定为小反刍兽疫病毒疫苗株核酸阳性；当样品的扩增结果 Ct 值＞40 或无 Ct 值 时，判定为小反刍兽疫病毒疫苗株核酸阴性。</w:t>
            </w:r>
          </w:p>
          <w:p>
            <w:pPr>
              <w:keepNext/>
              <w:widowControl/>
              <w:jc w:val="left"/>
              <w:rPr>
                <w:rFonts w:ascii="宋体" w:cs="宋体"/>
                <w:szCs w:val="21"/>
              </w:rPr>
            </w:pPr>
            <w:r>
              <w:rPr>
                <w:rFonts w:hint="eastAsia" w:ascii="宋体" w:cs="宋体"/>
                <w:sz w:val="22"/>
                <w:szCs w:val="22"/>
              </w:rPr>
              <w:t>6.保质期15个月。</w:t>
            </w:r>
          </w:p>
        </w:tc>
        <w:tc>
          <w:tcPr>
            <w:tcW w:w="1000" w:type="dxa"/>
            <w:vAlign w:val="center"/>
          </w:tcPr>
          <w:p>
            <w:pPr>
              <w:spacing w:line="360" w:lineRule="auto"/>
              <w:jc w:val="center"/>
              <w:rPr>
                <w:rFonts w:ascii="宋体" w:cs="宋体"/>
                <w:szCs w:val="21"/>
              </w:rPr>
            </w:pPr>
            <w:r>
              <w:rPr>
                <w:rFonts w:hint="eastAsia" w:ascii="宋体" w:cs="宋体"/>
                <w:szCs w:val="21"/>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5</w:t>
            </w:r>
          </w:p>
        </w:tc>
        <w:tc>
          <w:tcPr>
            <w:tcW w:w="1375" w:type="dxa"/>
            <w:vAlign w:val="center"/>
          </w:tcPr>
          <w:p>
            <w:pPr>
              <w:keepNext/>
              <w:widowControl/>
              <w:jc w:val="center"/>
              <w:rPr>
                <w:rFonts w:ascii="宋体" w:cs="宋体"/>
                <w:szCs w:val="21"/>
              </w:rPr>
            </w:pPr>
            <w:r>
              <w:rPr>
                <w:rFonts w:hint="eastAsia" w:ascii="宋体" w:cs="宋体"/>
                <w:color w:val="000000"/>
                <w:kern w:val="0"/>
                <w:sz w:val="22"/>
                <w:szCs w:val="22"/>
              </w:rPr>
              <w:t>牛结节性皮肤病抗体ELISA试剂盒（夹心法）</w:t>
            </w:r>
          </w:p>
        </w:tc>
        <w:tc>
          <w:tcPr>
            <w:tcW w:w="4677" w:type="dxa"/>
          </w:tcPr>
          <w:p>
            <w:pPr>
              <w:keepNext/>
              <w:widowControl/>
              <w:jc w:val="left"/>
              <w:rPr>
                <w:rFonts w:ascii="宋体" w:cs="宋体"/>
                <w:color w:val="000000"/>
                <w:kern w:val="0"/>
                <w:sz w:val="22"/>
                <w:szCs w:val="22"/>
              </w:rPr>
            </w:pPr>
            <w:r>
              <w:rPr>
                <w:rFonts w:hint="eastAsia" w:ascii="宋体" w:cs="宋体"/>
                <w:color w:val="000000"/>
                <w:kern w:val="0"/>
                <w:sz w:val="22"/>
                <w:szCs w:val="22"/>
              </w:rPr>
              <w:t>1. 作用与用途：用于检测牛血清或血浆中牛结节性皮肤病病毒（LSDV）抗体。特别是用于检测牛免疫山羊痘疫苗后的抗体监测。</w:t>
            </w:r>
          </w:p>
          <w:p>
            <w:pPr>
              <w:keepNext/>
              <w:widowControl/>
              <w:jc w:val="left"/>
              <w:rPr>
                <w:rFonts w:ascii="宋体" w:cs="宋体"/>
                <w:color w:val="000000"/>
                <w:kern w:val="0"/>
                <w:sz w:val="22"/>
                <w:szCs w:val="22"/>
              </w:rPr>
            </w:pPr>
            <w:r>
              <w:rPr>
                <w:rFonts w:hint="eastAsia" w:ascii="宋体" w:cs="宋体"/>
                <w:color w:val="000000"/>
                <w:kern w:val="0"/>
                <w:sz w:val="22"/>
                <w:szCs w:val="22"/>
              </w:rPr>
              <w:t>2．保存条件： 2~8℃保存</w:t>
            </w:r>
          </w:p>
          <w:p>
            <w:pPr>
              <w:keepNext/>
              <w:widowControl/>
              <w:jc w:val="left"/>
              <w:rPr>
                <w:rFonts w:ascii="宋体" w:cs="宋体"/>
                <w:color w:val="000000"/>
                <w:kern w:val="0"/>
                <w:sz w:val="22"/>
                <w:szCs w:val="22"/>
              </w:rPr>
            </w:pPr>
            <w:r>
              <w:rPr>
                <w:rFonts w:hint="eastAsia" w:ascii="宋体" w:cs="宋体"/>
                <w:color w:val="000000"/>
                <w:kern w:val="0"/>
                <w:sz w:val="22"/>
                <w:szCs w:val="22"/>
              </w:rPr>
              <w:t>3.试剂盒规格：480 孔/盒</w:t>
            </w:r>
          </w:p>
          <w:p>
            <w:pPr>
              <w:keepNext/>
              <w:widowControl/>
              <w:jc w:val="left"/>
              <w:rPr>
                <w:rFonts w:ascii="宋体" w:cs="宋体"/>
                <w:color w:val="000000"/>
                <w:kern w:val="0"/>
                <w:sz w:val="22"/>
                <w:szCs w:val="22"/>
              </w:rPr>
            </w:pPr>
            <w:r>
              <w:rPr>
                <w:rFonts w:hint="eastAsia" w:ascii="宋体" w:cs="宋体"/>
                <w:color w:val="000000"/>
                <w:kern w:val="0"/>
                <w:sz w:val="22"/>
                <w:szCs w:val="22"/>
              </w:rPr>
              <w:t>4. 试剂盒组成：LSDV抗原包被板 、LSDV阴性血清、LSDV阳性血清、洗涤液 20×、酶标抗体、底物溶液 A、底物溶液 B、终止液</w:t>
            </w:r>
          </w:p>
          <w:p>
            <w:pPr>
              <w:keepNext/>
              <w:widowControl/>
              <w:jc w:val="left"/>
              <w:rPr>
                <w:rFonts w:ascii="宋体" w:cs="宋体"/>
                <w:color w:val="000000"/>
                <w:kern w:val="0"/>
                <w:sz w:val="22"/>
                <w:szCs w:val="22"/>
              </w:rPr>
            </w:pPr>
            <w:r>
              <w:rPr>
                <w:rFonts w:hint="eastAsia" w:ascii="宋体" w:cs="宋体"/>
                <w:color w:val="000000"/>
                <w:kern w:val="0"/>
                <w:sz w:val="22"/>
                <w:szCs w:val="22"/>
              </w:rPr>
              <w:t>5．结果判定：（1） LSDV 阴性血清（III）的平均 OD 值即 ODNC；LSDV 阳性血清（IV）的平均 OD 值即 ODPC；样品的OD 值称为 ODS；</w:t>
            </w:r>
          </w:p>
          <w:p>
            <w:pPr>
              <w:keepNext/>
              <w:widowControl/>
              <w:jc w:val="left"/>
              <w:rPr>
                <w:rFonts w:ascii="宋体" w:cs="宋体"/>
                <w:color w:val="000000"/>
                <w:kern w:val="0"/>
                <w:sz w:val="22"/>
                <w:szCs w:val="22"/>
              </w:rPr>
            </w:pPr>
            <w:r>
              <w:rPr>
                <w:rFonts w:hint="eastAsia" w:ascii="宋体" w:cs="宋体"/>
                <w:color w:val="000000"/>
                <w:kern w:val="0"/>
                <w:sz w:val="22"/>
                <w:szCs w:val="22"/>
              </w:rPr>
              <w:t>（2） 试验成立条件：ODNC 值≤0.3 且 ODPC 值≥0.6，试验结果有效；否则重新进行试验；</w:t>
            </w:r>
          </w:p>
          <w:p>
            <w:pPr>
              <w:keepNext/>
              <w:widowControl/>
              <w:jc w:val="left"/>
              <w:rPr>
                <w:rFonts w:ascii="宋体" w:cs="宋体"/>
                <w:color w:val="000000"/>
                <w:kern w:val="0"/>
                <w:sz w:val="22"/>
                <w:szCs w:val="22"/>
              </w:rPr>
            </w:pPr>
            <w:r>
              <w:rPr>
                <w:rFonts w:hint="eastAsia" w:ascii="宋体" w:cs="宋体"/>
                <w:color w:val="000000"/>
                <w:kern w:val="0"/>
                <w:sz w:val="22"/>
                <w:szCs w:val="22"/>
              </w:rPr>
              <w:t>（3）  阈值（Cut Off 值）计算：Cut Off 值=ODNC×2.1（若ODNC≥0.05 则按实际值计算；若 ODNC＜0.05 则按0.05 计算）；</w:t>
            </w:r>
          </w:p>
          <w:p>
            <w:pPr>
              <w:keepNext/>
              <w:widowControl/>
              <w:jc w:val="left"/>
              <w:rPr>
                <w:rFonts w:ascii="宋体" w:cs="宋体"/>
                <w:color w:val="000000"/>
                <w:kern w:val="0"/>
                <w:sz w:val="22"/>
                <w:szCs w:val="22"/>
              </w:rPr>
            </w:pPr>
            <w:r>
              <w:rPr>
                <w:rFonts w:hint="eastAsia" w:ascii="宋体" w:cs="宋体"/>
                <w:color w:val="000000"/>
                <w:kern w:val="0"/>
                <w:sz w:val="22"/>
                <w:szCs w:val="22"/>
              </w:rPr>
              <w:t>（4）判定： ODS＜Cut Off 值，结果判为阴性；ODS≥Cut Off 值，结果判为阳性。</w:t>
            </w:r>
          </w:p>
          <w:p>
            <w:pPr>
              <w:keepNext/>
              <w:widowControl/>
              <w:jc w:val="left"/>
              <w:rPr>
                <w:rFonts w:ascii="宋体" w:cs="宋体"/>
                <w:szCs w:val="21"/>
              </w:rPr>
            </w:pPr>
            <w:r>
              <w:rPr>
                <w:rFonts w:hint="eastAsia" w:ascii="宋体" w:cs="宋体"/>
                <w:color w:val="000000"/>
                <w:kern w:val="0"/>
                <w:sz w:val="22"/>
                <w:szCs w:val="22"/>
              </w:rPr>
              <w:t>6．试剂盒有效期12个月。</w:t>
            </w:r>
          </w:p>
        </w:tc>
        <w:tc>
          <w:tcPr>
            <w:tcW w:w="1000" w:type="dxa"/>
            <w:vAlign w:val="center"/>
          </w:tcPr>
          <w:p>
            <w:pPr>
              <w:spacing w:line="360" w:lineRule="auto"/>
              <w:jc w:val="center"/>
              <w:rPr>
                <w:rFonts w:ascii="宋体" w:cs="宋体"/>
                <w:szCs w:val="21"/>
              </w:rPr>
            </w:pPr>
            <w:r>
              <w:rPr>
                <w:rFonts w:hint="eastAsia" w:ascii="宋体" w:cs="宋体"/>
                <w:szCs w:val="21"/>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highlight w:val="none"/>
              </w:rPr>
            </w:pPr>
            <w:r>
              <w:rPr>
                <w:rFonts w:hint="eastAsia" w:ascii="宋体" w:cs="宋体"/>
                <w:szCs w:val="21"/>
                <w:highlight w:val="none"/>
              </w:rPr>
              <w:t>6</w:t>
            </w:r>
          </w:p>
        </w:tc>
        <w:tc>
          <w:tcPr>
            <w:tcW w:w="1375" w:type="dxa"/>
            <w:vAlign w:val="center"/>
          </w:tcPr>
          <w:p>
            <w:pPr>
              <w:keepNext/>
              <w:widowControl/>
              <w:jc w:val="center"/>
              <w:rPr>
                <w:rFonts w:ascii="宋体" w:cs="宋体"/>
                <w:color w:val="000000"/>
                <w:kern w:val="0"/>
                <w:sz w:val="22"/>
                <w:szCs w:val="22"/>
                <w:highlight w:val="none"/>
              </w:rPr>
            </w:pPr>
            <w:r>
              <w:rPr>
                <w:rFonts w:hint="eastAsia" w:ascii="宋体" w:cs="宋体"/>
                <w:color w:val="000000"/>
                <w:kern w:val="0"/>
                <w:sz w:val="22"/>
                <w:szCs w:val="22"/>
                <w:highlight w:val="none"/>
              </w:rPr>
              <w:t>猪繁殖障碍与呼吸综合征间接ELISA抗体检测试剂盒</w:t>
            </w:r>
          </w:p>
        </w:tc>
        <w:tc>
          <w:tcPr>
            <w:tcW w:w="4677" w:type="dxa"/>
          </w:tcPr>
          <w:p>
            <w:pPr>
              <w:keepNext/>
              <w:widowControl/>
              <w:jc w:val="left"/>
              <w:rPr>
                <w:rFonts w:ascii="宋体" w:cs="宋体"/>
                <w:color w:val="000000"/>
                <w:kern w:val="0"/>
                <w:sz w:val="22"/>
                <w:szCs w:val="22"/>
                <w:highlight w:val="none"/>
              </w:rPr>
            </w:pPr>
            <w:r>
              <w:rPr>
                <w:rFonts w:hint="eastAsia" w:ascii="宋体" w:cs="宋体"/>
                <w:color w:val="000000"/>
                <w:kern w:val="0"/>
                <w:sz w:val="22"/>
                <w:szCs w:val="22"/>
                <w:highlight w:val="none"/>
              </w:rPr>
              <w:t xml:space="preserve">1、获得新兽药证书或农业部进口兽药注册证书。               </w:t>
            </w:r>
          </w:p>
          <w:p>
            <w:pPr>
              <w:keepNext/>
              <w:widowControl/>
              <w:jc w:val="left"/>
              <w:rPr>
                <w:rFonts w:ascii="宋体" w:cs="宋体"/>
                <w:color w:val="000000"/>
                <w:kern w:val="0"/>
                <w:sz w:val="22"/>
                <w:szCs w:val="22"/>
                <w:highlight w:val="none"/>
              </w:rPr>
            </w:pPr>
            <w:r>
              <w:rPr>
                <w:rFonts w:hint="eastAsia" w:ascii="宋体" w:cs="宋体"/>
                <w:color w:val="000000"/>
                <w:kern w:val="0"/>
                <w:sz w:val="22"/>
                <w:szCs w:val="22"/>
                <w:highlight w:val="none"/>
              </w:rPr>
              <w:t xml:space="preserve">2、试剂盒名称或说明书必须明确检测方法采用间接法，检测猪繁殖与呼吸综合征病毒抗体。               </w:t>
            </w:r>
          </w:p>
          <w:p>
            <w:pPr>
              <w:keepNext/>
              <w:widowControl/>
              <w:jc w:val="left"/>
              <w:rPr>
                <w:rFonts w:ascii="宋体" w:cs="宋体"/>
                <w:color w:val="000000"/>
                <w:kern w:val="0"/>
                <w:sz w:val="22"/>
                <w:szCs w:val="22"/>
                <w:highlight w:val="none"/>
              </w:rPr>
            </w:pPr>
            <w:r>
              <w:rPr>
                <w:rFonts w:hint="eastAsia" w:ascii="宋体" w:cs="宋体"/>
                <w:color w:val="000000"/>
                <w:kern w:val="0"/>
                <w:sz w:val="22"/>
                <w:szCs w:val="22"/>
                <w:highlight w:val="none"/>
              </w:rPr>
              <w:t xml:space="preserve">3、规格：96*5/盒（可拆条）。                                </w:t>
            </w:r>
          </w:p>
          <w:p>
            <w:pPr>
              <w:keepNext/>
              <w:widowControl/>
              <w:jc w:val="left"/>
              <w:rPr>
                <w:rFonts w:ascii="宋体" w:cs="宋体"/>
                <w:color w:val="000000"/>
                <w:kern w:val="0"/>
                <w:sz w:val="22"/>
                <w:szCs w:val="22"/>
                <w:highlight w:val="none"/>
              </w:rPr>
            </w:pPr>
            <w:r>
              <w:rPr>
                <w:rFonts w:hint="eastAsia" w:ascii="宋体" w:cs="宋体"/>
                <w:color w:val="000000"/>
                <w:kern w:val="0"/>
                <w:sz w:val="22"/>
                <w:szCs w:val="22"/>
                <w:highlight w:val="none"/>
              </w:rPr>
              <w:t xml:space="preserve">4、符合国家标准或有关规定               </w:t>
            </w:r>
          </w:p>
          <w:p>
            <w:pPr>
              <w:keepNext/>
              <w:widowControl/>
              <w:jc w:val="left"/>
              <w:rPr>
                <w:rFonts w:ascii="宋体" w:cs="宋体"/>
                <w:color w:val="000000"/>
                <w:kern w:val="0"/>
                <w:sz w:val="22"/>
                <w:szCs w:val="22"/>
                <w:highlight w:val="none"/>
              </w:rPr>
            </w:pPr>
            <w:r>
              <w:rPr>
                <w:rFonts w:hint="eastAsia" w:ascii="宋体" w:cs="宋体"/>
                <w:color w:val="000000"/>
                <w:kern w:val="0"/>
                <w:sz w:val="22"/>
                <w:szCs w:val="22"/>
                <w:highlight w:val="none"/>
              </w:rPr>
              <w:t>5、贮藏与有效期：试剂盒2～8℃保存，有效期不少于12个月。</w:t>
            </w:r>
          </w:p>
          <w:p>
            <w:pPr>
              <w:keepNext/>
              <w:widowControl/>
              <w:jc w:val="left"/>
              <w:rPr>
                <w:rFonts w:ascii="宋体" w:cs="宋体"/>
                <w:color w:val="000000"/>
                <w:kern w:val="0"/>
                <w:sz w:val="22"/>
                <w:szCs w:val="22"/>
                <w:highlight w:val="none"/>
              </w:rPr>
            </w:pPr>
            <w:r>
              <w:rPr>
                <w:rFonts w:hint="eastAsia" w:ascii="宋体" w:cs="宋体"/>
                <w:color w:val="000000"/>
                <w:kern w:val="0"/>
                <w:sz w:val="22"/>
                <w:szCs w:val="22"/>
                <w:highlight w:val="none"/>
              </w:rPr>
              <w:t xml:space="preserve">6、特异性、敏感性，批内差、批间差符合有关要求。                                           </w:t>
            </w:r>
          </w:p>
          <w:p>
            <w:pPr>
              <w:keepNext/>
              <w:widowControl/>
              <w:jc w:val="left"/>
              <w:rPr>
                <w:rFonts w:ascii="宋体" w:cs="宋体"/>
                <w:color w:val="000000"/>
                <w:kern w:val="0"/>
                <w:sz w:val="22"/>
                <w:szCs w:val="22"/>
                <w:highlight w:val="none"/>
              </w:rPr>
            </w:pPr>
            <w:r>
              <w:rPr>
                <w:rFonts w:hint="eastAsia" w:ascii="宋体" w:cs="宋体"/>
                <w:color w:val="000000"/>
                <w:kern w:val="0"/>
                <w:sz w:val="22"/>
                <w:szCs w:val="22"/>
                <w:highlight w:val="none"/>
              </w:rPr>
              <w:t xml:space="preserve">7、配备中文使用说明书。                            </w:t>
            </w:r>
          </w:p>
        </w:tc>
        <w:tc>
          <w:tcPr>
            <w:tcW w:w="1000" w:type="dxa"/>
            <w:vAlign w:val="center"/>
          </w:tcPr>
          <w:p>
            <w:pPr>
              <w:spacing w:line="360" w:lineRule="auto"/>
              <w:jc w:val="center"/>
              <w:rPr>
                <w:rFonts w:ascii="宋体" w:cs="宋体"/>
                <w:szCs w:val="21"/>
              </w:rPr>
            </w:pPr>
            <w:r>
              <w:rPr>
                <w:rFonts w:hint="eastAsia" w:ascii="宋体" w:cs="宋体"/>
                <w:szCs w:val="21"/>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5600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9" w:type="dxa"/>
            <w:vAlign w:val="center"/>
          </w:tcPr>
          <w:p>
            <w:pPr>
              <w:spacing w:line="360" w:lineRule="auto"/>
              <w:jc w:val="center"/>
              <w:rPr>
                <w:rFonts w:ascii="宋体" w:cs="宋体"/>
                <w:szCs w:val="21"/>
              </w:rPr>
            </w:pPr>
            <w:r>
              <w:rPr>
                <w:rFonts w:hint="eastAsia" w:ascii="宋体" w:cs="宋体"/>
                <w:szCs w:val="21"/>
              </w:rPr>
              <w:t>7</w:t>
            </w:r>
          </w:p>
        </w:tc>
        <w:tc>
          <w:tcPr>
            <w:tcW w:w="1375" w:type="dxa"/>
            <w:vAlign w:val="center"/>
          </w:tcPr>
          <w:p>
            <w:pPr>
              <w:keepNext/>
              <w:widowControl/>
              <w:jc w:val="center"/>
              <w:rPr>
                <w:rFonts w:ascii="宋体" w:cs="宋体"/>
                <w:szCs w:val="21"/>
              </w:rPr>
            </w:pPr>
            <w:r>
              <w:rPr>
                <w:rFonts w:hint="eastAsia" w:ascii="宋体" w:cs="宋体"/>
                <w:color w:val="000000"/>
                <w:kern w:val="0"/>
                <w:sz w:val="22"/>
                <w:szCs w:val="22"/>
              </w:rPr>
              <w:t>猪瘟病毒和高致病性猪繁殖与呼吸综合征病毒双重荧光RT-PCR 检测试剂盒</w:t>
            </w:r>
          </w:p>
        </w:tc>
        <w:tc>
          <w:tcPr>
            <w:tcW w:w="4677" w:type="dxa"/>
          </w:tcPr>
          <w:p>
            <w:pPr>
              <w:keepNext/>
              <w:widowControl/>
              <w:jc w:val="left"/>
              <w:rPr>
                <w:rFonts w:ascii="宋体" w:cs="宋体"/>
                <w:color w:val="000000"/>
                <w:kern w:val="0"/>
                <w:sz w:val="22"/>
                <w:szCs w:val="22"/>
              </w:rPr>
            </w:pPr>
            <w:r>
              <w:rPr>
                <w:rFonts w:hint="eastAsia" w:ascii="宋体" w:cs="宋体"/>
                <w:color w:val="000000"/>
                <w:kern w:val="0"/>
                <w:sz w:val="22"/>
                <w:szCs w:val="22"/>
              </w:rPr>
              <w:t xml:space="preserve">1. 作用与用途： 用于猪的扁桃体、脾脏、淋巴结、肾脏、肝脏、肌肉、血液、精液等样 品中的猪瘟病毒（CSFV）和高致病性猪繁殖与呼吸综合征病毒（HPPRRSV）核酸检测。 </w:t>
            </w:r>
          </w:p>
          <w:p>
            <w:pPr>
              <w:keepNext/>
              <w:widowControl/>
              <w:jc w:val="left"/>
              <w:rPr>
                <w:rFonts w:ascii="宋体" w:cs="宋体"/>
                <w:color w:val="000000"/>
                <w:kern w:val="0"/>
                <w:sz w:val="22"/>
                <w:szCs w:val="22"/>
              </w:rPr>
            </w:pPr>
            <w:r>
              <w:rPr>
                <w:rFonts w:hint="eastAsia" w:ascii="宋体" w:cs="宋体"/>
                <w:color w:val="000000"/>
                <w:kern w:val="0"/>
                <w:sz w:val="22"/>
                <w:szCs w:val="22"/>
              </w:rPr>
              <w:t>2．保存条件：-20℃以下冷冻保存</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3．试剂盒规格： 50 检份/盒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4. 试剂盒组成：RTPCR 酶反应液 100μl/管 、引物探针 、阳性对照 500µl/管 、阴性对照 500μl/管 </w:t>
            </w:r>
          </w:p>
          <w:p>
            <w:pPr>
              <w:keepNext/>
              <w:widowControl/>
              <w:jc w:val="left"/>
              <w:rPr>
                <w:rFonts w:ascii="宋体" w:cs="宋体"/>
                <w:color w:val="000000"/>
                <w:kern w:val="0"/>
                <w:sz w:val="22"/>
                <w:szCs w:val="22"/>
              </w:rPr>
            </w:pPr>
            <w:r>
              <w:rPr>
                <w:rFonts w:hint="eastAsia" w:ascii="宋体" w:cs="宋体"/>
                <w:color w:val="000000"/>
                <w:kern w:val="0"/>
                <w:sz w:val="22"/>
                <w:szCs w:val="22"/>
              </w:rPr>
              <w:t>5．反应程序：①  50 Cº 反转录 15 分钟；② 95Cº 预变性 30 秒；③ 95Cº 变性 10 秒，60Cº 延伸 30 秒，共 40 个循环；设置 60 Cº 收集 FAM 与 HEX 荧光信号。</w:t>
            </w:r>
          </w:p>
          <w:p>
            <w:pPr>
              <w:keepNext/>
              <w:widowControl/>
              <w:jc w:val="left"/>
              <w:rPr>
                <w:rFonts w:ascii="宋体" w:cs="宋体"/>
                <w:color w:val="000000"/>
                <w:kern w:val="0"/>
                <w:sz w:val="22"/>
                <w:szCs w:val="22"/>
              </w:rPr>
            </w:pPr>
            <w:r>
              <w:rPr>
                <w:rFonts w:hint="eastAsia" w:ascii="宋体" w:cs="宋体"/>
                <w:color w:val="000000"/>
                <w:kern w:val="0"/>
                <w:sz w:val="22"/>
                <w:szCs w:val="22"/>
              </w:rPr>
              <w:t>6．结果判定：  猪瘟病毒 FAM 信号通道下，阳性对照应出现特异性扩增曲线且 Ct 值≤35，且阴性对照无特异性扩增曲线或无 Ct 值，则试验成立。高致病性猪繁殖与呼吸综合征病毒 HEX 信号通道下，阳性对照应出现特异性扩增曲线且 Ct 值≤35，且阴性对照无特异性扩增曲线或无 Ct 值，则试验成立；样品的扩增结果有典型的扩增曲线且 Ct 值≤38 时可判定为猪瘟病毒核 酸阳性，Ct 值＞40 或无 Ct 值时可判定为猪瘟病毒核酸阴性；当样品 38＜Ct 值≤40 时判定为 猪瘟病毒核酸可疑，需重新提取核酸，重复检测仍为可疑则判定为猪瘟病毒核酸阳性。HEX 信号通道下，当样品的扩增结果有典型的扩增曲线且 Ct 值≤38 时可判定为高致病性猪繁殖与呼吸综合征病毒核酸阳性，Ct 值＞40 或无 Ct 值时可判定为高致病性猪繁殖与呼吸综合征病毒核酸阴性；当样品 38＜Ct 值≤40 时判定为高致病性猪繁殖与呼吸综合征病毒核酸可疑，需重新提取核酸，重复检测仍为可疑则判定为高致病性猪繁殖与呼吸综合征病毒核酸阳性。</w:t>
            </w:r>
          </w:p>
          <w:p>
            <w:pPr>
              <w:keepNext/>
              <w:widowControl/>
              <w:jc w:val="left"/>
              <w:rPr>
                <w:rFonts w:ascii="宋体" w:cs="宋体"/>
                <w:szCs w:val="21"/>
              </w:rPr>
            </w:pPr>
            <w:r>
              <w:rPr>
                <w:rFonts w:hint="eastAsia" w:ascii="宋体" w:cs="宋体"/>
                <w:color w:val="000000"/>
                <w:kern w:val="0"/>
                <w:sz w:val="22"/>
                <w:szCs w:val="22"/>
              </w:rPr>
              <w:t>7．试剂盒有效期12个月。</w:t>
            </w:r>
          </w:p>
        </w:tc>
        <w:tc>
          <w:tcPr>
            <w:tcW w:w="1000" w:type="dxa"/>
            <w:vAlign w:val="center"/>
          </w:tcPr>
          <w:p>
            <w:pPr>
              <w:spacing w:line="360" w:lineRule="auto"/>
              <w:jc w:val="center"/>
              <w:rPr>
                <w:rFonts w:ascii="宋体" w:cs="宋体"/>
                <w:szCs w:val="21"/>
              </w:rPr>
            </w:pPr>
            <w:r>
              <w:rPr>
                <w:rFonts w:hint="eastAsia" w:ascii="宋体" w:cs="宋体"/>
                <w:szCs w:val="21"/>
              </w:rPr>
              <w:t>1</w:t>
            </w:r>
          </w:p>
        </w:tc>
        <w:tc>
          <w:tcPr>
            <w:tcW w:w="1000" w:type="dxa"/>
            <w:vAlign w:val="center"/>
          </w:tcPr>
          <w:p>
            <w:pPr>
              <w:keepNext w:val="0"/>
              <w:keepLines w:val="0"/>
              <w:widowControl/>
              <w:suppressLineNumbers w:val="0"/>
              <w:jc w:val="center"/>
              <w:textAlignment w:val="center"/>
              <w:rPr>
                <w:rFonts w:hint="eastAsia" w:ascii="宋体" w:cs="宋体"/>
                <w:szCs w:val="21"/>
              </w:rPr>
            </w:pPr>
            <w:r>
              <w:rPr>
                <w:rFonts w:hint="eastAsia" w:ascii="宋体" w:hAnsi="宋体" w:eastAsia="宋体" w:cs="宋体"/>
                <w:i w:val="0"/>
                <w:iCs w:val="0"/>
                <w:color w:val="000000"/>
                <w:kern w:val="0"/>
                <w:sz w:val="22"/>
                <w:szCs w:val="22"/>
                <w:u w:val="none"/>
                <w:lang w:val="en-US" w:eastAsia="zh-CN" w:bidi="ar"/>
              </w:rPr>
              <w:t>4000</w:t>
            </w:r>
          </w:p>
        </w:tc>
      </w:tr>
    </w:tbl>
    <w:p>
      <w:pPr>
        <w:spacing w:line="360" w:lineRule="auto"/>
        <w:rPr>
          <w:rFonts w:ascii="宋体" w:cs="宋体"/>
          <w:sz w:val="24"/>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27" w:name="_Toc23084"/>
      <w:r>
        <w:rPr>
          <w:rFonts w:hint="eastAsia" w:ascii="黑体" w:eastAsia="黑体" w:cs="黑体"/>
          <w:sz w:val="24"/>
        </w:rPr>
        <w:t>第六章  投标文件格式</w:t>
      </w:r>
      <w:bookmarkEnd w:id="27"/>
    </w:p>
    <w:p>
      <w:pPr>
        <w:tabs>
          <w:tab w:val="center" w:pos="4832"/>
          <w:tab w:val="left" w:pos="7140"/>
        </w:tabs>
        <w:spacing w:line="360" w:lineRule="auto"/>
        <w:jc w:val="center"/>
        <w:outlineLvl w:val="1"/>
        <w:rPr>
          <w:rFonts w:ascii="宋体" w:cs="宋体"/>
          <w:b/>
          <w:sz w:val="24"/>
        </w:rPr>
      </w:pPr>
      <w:bookmarkStart w:id="28" w:name="_Toc29701"/>
      <w:bookmarkStart w:id="29" w:name="_Toc31796"/>
      <w:r>
        <w:rPr>
          <w:rFonts w:hint="eastAsia" w:ascii="宋体" w:cs="宋体"/>
          <w:b/>
          <w:sz w:val="24"/>
        </w:rPr>
        <w:t>第一节 投标文件封面示例</w:t>
      </w:r>
      <w:bookmarkEnd w:id="28"/>
      <w:bookmarkEnd w:id="29"/>
    </w:p>
    <w:p>
      <w:pPr>
        <w:pStyle w:val="11"/>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4"/>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联系人：</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1"/>
        <w:rPr>
          <w:rFonts w:cs="宋体"/>
          <w:color w:val="000000"/>
          <w:kern w:val="0"/>
          <w:sz w:val="24"/>
        </w:rPr>
      </w:pPr>
    </w:p>
    <w:p>
      <w:pPr>
        <w:rPr>
          <w:rFonts w:ascii="宋体" w:cs="宋体"/>
          <w:b/>
          <w:sz w:val="24"/>
        </w:rPr>
      </w:pPr>
      <w:bookmarkStart w:id="30"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1" w:name="_Toc17307"/>
      <w:r>
        <w:rPr>
          <w:rFonts w:hint="eastAsia" w:ascii="宋体" w:cs="宋体"/>
          <w:b/>
          <w:sz w:val="24"/>
        </w:rPr>
        <w:t>第二节 投标文件目录示例</w:t>
      </w:r>
      <w:bookmarkEnd w:id="30"/>
      <w:bookmarkEnd w:id="31"/>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、开标一览表（报价单）</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ascii="宋体"/>
          <w:kern w:val="0"/>
          <w:sz w:val="24"/>
        </w:rPr>
      </w:pPr>
      <w:r>
        <w:rPr>
          <w:rFonts w:hint="eastAsia" w:ascii="宋体"/>
          <w:kern w:val="0"/>
          <w:sz w:val="24"/>
        </w:rPr>
        <w:t>9、中小微企业声明函</w:t>
      </w:r>
    </w:p>
    <w:p>
      <w:pPr>
        <w:spacing w:line="360" w:lineRule="auto"/>
        <w:rPr>
          <w:rFonts w:ascii="宋体"/>
          <w:kern w:val="0"/>
          <w:sz w:val="24"/>
        </w:rPr>
      </w:pPr>
      <w:r>
        <w:rPr>
          <w:rFonts w:hint="eastAsia" w:ascii="宋体"/>
          <w:kern w:val="0"/>
          <w:sz w:val="24"/>
        </w:rPr>
        <w:t>10、投标人近3年类似项目情况表</w:t>
      </w:r>
    </w:p>
    <w:p>
      <w:pPr>
        <w:spacing w:line="360" w:lineRule="auto"/>
        <w:rPr>
          <w:rFonts w:ascii="宋体"/>
          <w:kern w:val="0"/>
          <w:sz w:val="24"/>
        </w:rPr>
      </w:pPr>
      <w:r>
        <w:rPr>
          <w:rFonts w:hint="eastAsia" w:ascii="宋体"/>
          <w:kern w:val="0"/>
          <w:sz w:val="24"/>
        </w:rPr>
        <w:t>11、其他需要提交的资料（根据招标文件的要求和投标人认为需要提供的资料）</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pPr>
        <w:rPr>
          <w:rFonts w:ascii="宋体" w:cs="宋体"/>
          <w:b/>
          <w:sz w:val="24"/>
        </w:rPr>
      </w:pPr>
    </w:p>
    <w:p>
      <w:pPr>
        <w:pStyle w:val="9"/>
        <w:numPr>
          <w:ilvl w:val="0"/>
          <w:numId w:val="0"/>
        </w:numPr>
      </w:pPr>
    </w:p>
    <w:p>
      <w:pPr>
        <w:rPr>
          <w:rFonts w:ascii="宋体"/>
          <w:b/>
          <w:bCs/>
          <w:kern w:val="0"/>
          <w:sz w:val="24"/>
        </w:rPr>
      </w:pPr>
      <w:r>
        <w:rPr>
          <w:rFonts w:hint="eastAsia" w:ascii="宋体"/>
          <w:b/>
          <w:bCs/>
          <w:kern w:val="0"/>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rPr>
        <w:t>7.1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1"/>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项目名称、项目编号</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1"/>
        <w:tabs>
          <w:tab w:val="left" w:pos="5580"/>
        </w:tabs>
        <w:spacing w:line="360" w:lineRule="auto"/>
        <w:ind w:firstLine="482" w:firstLineChars="200"/>
        <w:rPr>
          <w:b/>
          <w:bCs/>
          <w:sz w:val="24"/>
        </w:rPr>
      </w:pPr>
      <w:r>
        <w:rPr>
          <w:rFonts w:hint="eastAsia"/>
          <w:b/>
          <w:bCs/>
          <w:sz w:val="24"/>
        </w:rPr>
        <w:t>据此，签字代表宣布同意如下：</w:t>
      </w:r>
    </w:p>
    <w:p>
      <w:pPr>
        <w:pStyle w:val="11"/>
        <w:tabs>
          <w:tab w:val="left" w:pos="5580"/>
        </w:tabs>
        <w:spacing w:line="360" w:lineRule="auto"/>
        <w:ind w:firstLine="480" w:firstLineChars="200"/>
        <w:rPr>
          <w:b/>
          <w:bCs/>
          <w:sz w:val="24"/>
        </w:rPr>
      </w:pPr>
      <w:r>
        <w:rPr>
          <w:rFonts w:hint="eastAsia" w:cs="宋体"/>
          <w:kern w:val="0"/>
          <w:sz w:val="24"/>
        </w:rPr>
        <w:t>1.本标包我方投标价格为人民币（大写）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rPr>
        <w:t>。</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  。</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3.</w:t>
      </w:r>
      <w:r>
        <w:rPr>
          <w:rFonts w:hint="eastAsia" w:ascii="宋体" w:cs="宋体"/>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kern w:val="0"/>
          <w:sz w:val="24"/>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p>
    <w:p>
      <w:pPr>
        <w:pStyle w:val="11"/>
        <w:tabs>
          <w:tab w:val="left" w:pos="5580"/>
        </w:tabs>
        <w:spacing w:line="360" w:lineRule="auto"/>
        <w:ind w:firstLine="480" w:firstLineChars="200"/>
        <w:rPr>
          <w:sz w:val="24"/>
        </w:rPr>
      </w:pPr>
      <w:r>
        <w:rPr>
          <w:rFonts w:hint="eastAsia"/>
          <w:kern w:val="0"/>
          <w:sz w:val="24"/>
        </w:rPr>
        <w:t>5</w:t>
      </w:r>
      <w:r>
        <w:rPr>
          <w:kern w:val="0"/>
          <w:sz w:val="24"/>
        </w:rPr>
        <w:t>.</w:t>
      </w:r>
      <w:r>
        <w:rPr>
          <w:rFonts w:hint="eastAsia"/>
          <w:sz w:val="24"/>
        </w:rPr>
        <w:t>本投标文件有效期为</w:t>
      </w:r>
      <w:r>
        <w:rPr>
          <w:rFonts w:hint="eastAsia"/>
          <w:sz w:val="24"/>
          <w:u w:val="single"/>
        </w:rPr>
        <w:t xml:space="preserve">                 </w:t>
      </w:r>
      <w:r>
        <w:rPr>
          <w:rFonts w:hint="eastAsia"/>
          <w:sz w:val="24"/>
        </w:rPr>
        <w:t>日。</w:t>
      </w:r>
    </w:p>
    <w:p>
      <w:pPr>
        <w:pStyle w:val="11"/>
        <w:tabs>
          <w:tab w:val="left" w:pos="5580"/>
        </w:tabs>
        <w:spacing w:line="360" w:lineRule="auto"/>
        <w:ind w:firstLine="480" w:firstLineChars="200"/>
        <w:rPr>
          <w:sz w:val="24"/>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p>
    <w:p>
      <w:pPr>
        <w:widowControl/>
        <w:shd w:val="clear" w:color="auto" w:fill="FFFFFF"/>
        <w:snapToGrid w:val="0"/>
        <w:spacing w:line="384" w:lineRule="auto"/>
        <w:ind w:firstLine="480" w:firstLineChars="200"/>
        <w:jc w:val="left"/>
        <w:rPr>
          <w:rFonts w:ascii="宋体" w:cs="宋体"/>
          <w:sz w:val="24"/>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8.按照招标文件的规定，在中标后向贵方一次性支付招标代理费。</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9.我方愿意提供贵方可能要求的与投标有关的一切数据或资料，完全理解贵方不一定接受最低投标报价的投标或收到的任何投标。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10.按照招标文件的规定履行合同责任和义务。</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11.完全理解并无条件承担中标后不依法与采购人签订合同的法律后果。</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p>
    <w:p>
      <w:pPr>
        <w:pStyle w:val="11"/>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1"/>
        <w:tabs>
          <w:tab w:val="left" w:pos="5580"/>
        </w:tabs>
        <w:spacing w:line="360" w:lineRule="auto"/>
        <w:ind w:left="359" w:leftChars="68" w:hanging="216" w:hangingChars="90"/>
        <w:rPr>
          <w:sz w:val="24"/>
        </w:rPr>
      </w:pPr>
    </w:p>
    <w:p>
      <w:pPr>
        <w:pStyle w:val="11"/>
        <w:tabs>
          <w:tab w:val="left" w:pos="5580"/>
        </w:tabs>
        <w:spacing w:line="360" w:lineRule="auto"/>
        <w:ind w:firstLine="480" w:firstLineChars="200"/>
        <w:rPr>
          <w:sz w:val="24"/>
        </w:rPr>
      </w:pPr>
      <w:r>
        <w:rPr>
          <w:rFonts w:hint="eastAsia"/>
          <w:sz w:val="24"/>
        </w:rPr>
        <w:t>与本投标有关的一切正式往来信函请寄：</w:t>
      </w:r>
    </w:p>
    <w:p>
      <w:pPr>
        <w:pStyle w:val="11"/>
        <w:tabs>
          <w:tab w:val="left" w:pos="5580"/>
        </w:tabs>
        <w:spacing w:line="360" w:lineRule="auto"/>
        <w:ind w:left="1080" w:leftChars="257" w:hanging="540"/>
        <w:rPr>
          <w:sz w:val="24"/>
        </w:rPr>
      </w:pPr>
      <w:r>
        <w:rPr>
          <w:rFonts w:hint="eastAsia"/>
          <w:sz w:val="24"/>
        </w:rPr>
        <w:t>地址：</w:t>
      </w:r>
    </w:p>
    <w:p>
      <w:pPr>
        <w:pStyle w:val="11"/>
        <w:tabs>
          <w:tab w:val="left" w:pos="5580"/>
        </w:tabs>
        <w:spacing w:line="360" w:lineRule="auto"/>
        <w:ind w:left="1080" w:leftChars="257" w:hanging="540"/>
        <w:rPr>
          <w:sz w:val="24"/>
        </w:rPr>
      </w:pPr>
      <w:r>
        <w:rPr>
          <w:rFonts w:hint="eastAsia"/>
          <w:sz w:val="24"/>
        </w:rPr>
        <w:t>电话：</w:t>
      </w:r>
    </w:p>
    <w:p>
      <w:pPr>
        <w:pStyle w:val="11"/>
        <w:tabs>
          <w:tab w:val="left" w:pos="5580"/>
        </w:tabs>
        <w:spacing w:line="360" w:lineRule="auto"/>
        <w:ind w:left="1080" w:leftChars="257" w:hanging="540"/>
        <w:rPr>
          <w:sz w:val="24"/>
        </w:rPr>
      </w:pPr>
      <w:r>
        <w:rPr>
          <w:rFonts w:hint="eastAsia"/>
          <w:sz w:val="24"/>
        </w:rPr>
        <w:t>传真：</w:t>
      </w:r>
    </w:p>
    <w:p>
      <w:pPr>
        <w:pStyle w:val="11"/>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sz w:val="24"/>
        </w:rPr>
      </w:pPr>
      <w:r>
        <w:rPr>
          <w:rFonts w:hint="eastAsia" w:ascii="宋体" w:cs="宋体"/>
          <w:sz w:val="24"/>
        </w:rPr>
        <w:t>日期：       年   月   日</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rPr>
        <w:t>7.2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240" w:type="dxa"/>
            <w:vAlign w:val="center"/>
          </w:tcPr>
          <w:p>
            <w:pPr>
              <w:jc w:val="center"/>
              <w:rPr>
                <w:rFonts w:ascii="宋体" w:cs="宋体"/>
                <w:szCs w:val="21"/>
              </w:rPr>
            </w:pPr>
            <w:r>
              <w:rPr>
                <w:rFonts w:hint="eastAsia" w:ascii="宋体" w:cs="宋体"/>
                <w:szCs w:val="21"/>
              </w:rPr>
              <w:t>项目名称（标包号）</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240" w:type="dxa"/>
            <w:vAlign w:val="center"/>
          </w:tcPr>
          <w:p>
            <w:pPr>
              <w:jc w:val="center"/>
              <w:rPr>
                <w:rFonts w:ascii="宋体" w:cs="宋体"/>
                <w:szCs w:val="21"/>
              </w:rPr>
            </w:pPr>
            <w:r>
              <w:rPr>
                <w:rFonts w:hint="eastAsia" w:ascii="宋体" w:cs="宋体"/>
                <w:szCs w:val="21"/>
              </w:rPr>
              <w:t>单价之合</w:t>
            </w:r>
          </w:p>
        </w:tc>
        <w:tc>
          <w:tcPr>
            <w:tcW w:w="4562" w:type="dxa"/>
            <w:vAlign w:val="center"/>
          </w:tcPr>
          <w:p>
            <w:pPr>
              <w:pStyle w:val="9"/>
              <w:numPr>
                <w:ilvl w:val="0"/>
                <w:numId w:val="0"/>
              </w:numPr>
              <w:tabs>
                <w:tab w:val="left" w:pos="825"/>
              </w:tabs>
              <w:jc w:val="left"/>
              <w:rPr>
                <w:rFonts w:ascii="宋体" w:eastAsia="宋体" w:cs="宋体"/>
                <w:sz w:val="21"/>
                <w:szCs w:val="21"/>
              </w:rPr>
            </w:pPr>
            <w:r>
              <w:rPr>
                <w:rFonts w:hint="eastAsia" w:ascii="宋体" w:eastAsia="宋体" w:cs="宋体"/>
                <w:sz w:val="21"/>
                <w:szCs w:val="21"/>
              </w:rPr>
              <w:t>大写：</w:t>
            </w:r>
          </w:p>
        </w:tc>
        <w:tc>
          <w:tcPr>
            <w:tcW w:w="2138" w:type="dxa"/>
            <w:vAlign w:val="center"/>
          </w:tcPr>
          <w:p>
            <w:pPr>
              <w:pStyle w:val="9"/>
              <w:numPr>
                <w:ilvl w:val="0"/>
                <w:numId w:val="0"/>
              </w:numPr>
              <w:jc w:val="left"/>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2240" w:type="dxa"/>
            <w:vAlign w:val="center"/>
          </w:tcPr>
          <w:p>
            <w:pPr>
              <w:jc w:val="center"/>
              <w:rPr>
                <w:rFonts w:ascii="宋体" w:cs="宋体"/>
                <w:szCs w:val="21"/>
              </w:rPr>
            </w:pPr>
            <w:r>
              <w:rPr>
                <w:rFonts w:hint="eastAsia" w:ascii="宋体" w:cs="宋体"/>
                <w:szCs w:val="21"/>
              </w:rPr>
              <w:t>供货时间</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投标人名称</w:t>
            </w:r>
          </w:p>
        </w:tc>
        <w:tc>
          <w:tcPr>
            <w:tcW w:w="6700" w:type="dxa"/>
            <w:gridSpan w:val="2"/>
            <w:vAlign w:val="center"/>
          </w:tcPr>
          <w:p>
            <w:pPr>
              <w:rPr>
                <w:rFonts w:ascii="宋体" w:cs="宋体"/>
                <w:szCs w:val="21"/>
              </w:rPr>
            </w:pPr>
          </w:p>
        </w:tc>
      </w:tr>
    </w:tbl>
    <w:p>
      <w:pPr>
        <w:spacing w:line="360" w:lineRule="auto"/>
        <w:rPr>
          <w:rFonts w:ascii="宋体" w:cs="宋体"/>
          <w:b/>
          <w:bCs/>
          <w:color w:val="000000" w:themeColor="text1"/>
          <w:szCs w:val="21"/>
          <w14:textFill>
            <w14:solidFill>
              <w14:schemeClr w14:val="tx1"/>
            </w14:solidFill>
          </w14:textFill>
        </w:rPr>
      </w:pPr>
      <w:r>
        <w:rPr>
          <w:rFonts w:hint="eastAsia" w:ascii="宋体" w:cs="宋体"/>
          <w:b/>
          <w:bCs/>
          <w:szCs w:val="21"/>
        </w:rPr>
        <w:t>备注：</w:t>
      </w:r>
      <w:r>
        <w:rPr>
          <w:rFonts w:hint="eastAsia" w:ascii="宋体" w:cs="宋体"/>
          <w:b/>
          <w:bCs/>
          <w:color w:val="000000" w:themeColor="text1"/>
          <w:szCs w:val="21"/>
          <w14:textFill>
            <w14:solidFill>
              <w14:schemeClr w14:val="tx1"/>
            </w14:solidFill>
          </w14:textFill>
        </w:rPr>
        <w:t>1、本次采购属于一次性采购分批供应。</w:t>
      </w:r>
    </w:p>
    <w:p>
      <w:pPr>
        <w:numPr>
          <w:ilvl w:val="0"/>
          <w:numId w:val="5"/>
        </w:numPr>
        <w:spacing w:line="360" w:lineRule="auto"/>
        <w:ind w:firstLine="632" w:firstLineChars="300"/>
        <w:rPr>
          <w:rFonts w:ascii="宋体" w:cs="宋体"/>
          <w:b/>
          <w:bCs/>
          <w:color w:val="auto"/>
          <w:szCs w:val="21"/>
        </w:rPr>
      </w:pPr>
      <w:r>
        <w:rPr>
          <w:rFonts w:hint="eastAsia" w:ascii="宋体" w:cs="宋体"/>
          <w:b/>
          <w:bCs/>
          <w:color w:val="000000" w:themeColor="text1"/>
          <w:szCs w:val="21"/>
          <w14:textFill>
            <w14:solidFill>
              <w14:schemeClr w14:val="tx1"/>
            </w14:solidFill>
          </w14:textFill>
        </w:rPr>
        <w:t>该项目采购数量为</w:t>
      </w:r>
      <w:r>
        <w:rPr>
          <w:rFonts w:hint="eastAsia" w:ascii="宋体" w:cs="宋体"/>
          <w:b/>
          <w:bCs/>
          <w:color w:val="auto"/>
          <w:szCs w:val="21"/>
        </w:rPr>
        <w:t>：标包预算金额/该标包货物投标单价（采购数量取整数）。</w:t>
      </w:r>
    </w:p>
    <w:p>
      <w:pPr>
        <w:numPr>
          <w:ilvl w:val="0"/>
          <w:numId w:val="5"/>
        </w:numPr>
        <w:spacing w:line="360" w:lineRule="auto"/>
        <w:ind w:firstLine="632" w:firstLineChars="300"/>
        <w:rPr>
          <w:rFonts w:ascii="宋体" w:cs="宋体"/>
          <w:b/>
          <w:bCs/>
          <w:color w:val="auto"/>
          <w:szCs w:val="21"/>
        </w:rPr>
      </w:pPr>
      <w:r>
        <w:rPr>
          <w:rFonts w:hint="eastAsia" w:ascii="宋体" w:cs="宋体"/>
          <w:b/>
          <w:bCs/>
          <w:color w:val="auto"/>
          <w:szCs w:val="21"/>
        </w:rPr>
        <w:t xml:space="preserve">除试剂盒单位规格为“盒”外其它单位规格为“支、个、管、瓶、头份”。   </w:t>
      </w:r>
    </w:p>
    <w:p>
      <w:pPr>
        <w:spacing w:line="360" w:lineRule="auto"/>
        <w:ind w:firstLine="632" w:firstLineChars="300"/>
        <w:rPr>
          <w:rFonts w:ascii="宋体" w:cs="宋体"/>
          <w:b/>
          <w:bCs/>
          <w:color w:val="auto"/>
          <w:szCs w:val="21"/>
        </w:rPr>
      </w:pPr>
      <w:r>
        <w:rPr>
          <w:rFonts w:hint="eastAsia" w:ascii="宋体" w:cs="宋体"/>
          <w:b/>
          <w:bCs/>
          <w:color w:val="auto"/>
          <w:szCs w:val="21"/>
        </w:rPr>
        <w:t>4、该项目将以货物单价之和作为经济标计算得分。</w:t>
      </w:r>
    </w:p>
    <w:p>
      <w:pPr>
        <w:spacing w:line="360" w:lineRule="auto"/>
        <w:ind w:firstLine="632" w:firstLineChars="300"/>
        <w:rPr>
          <w:rFonts w:ascii="宋体" w:cs="宋体"/>
          <w:b/>
          <w:bCs/>
          <w:color w:val="auto"/>
          <w:szCs w:val="21"/>
        </w:rPr>
      </w:pPr>
      <w:r>
        <w:rPr>
          <w:rFonts w:hint="eastAsia" w:ascii="宋体" w:cs="宋体"/>
          <w:b/>
          <w:bCs/>
          <w:color w:val="auto"/>
          <w:szCs w:val="21"/>
        </w:rPr>
        <w:t>5、所投货物数量≥采购数量。</w:t>
      </w:r>
    </w:p>
    <w:p>
      <w:pPr>
        <w:keepNext/>
        <w:widowControl/>
        <w:ind w:firstLine="632" w:firstLineChars="300"/>
        <w:jc w:val="left"/>
        <w:rPr>
          <w:rFonts w:hint="eastAsia"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6、单价之和为所投标包涵盖的所有产品的单价之和，以单价之和作为投标报价计算依据。</w:t>
      </w: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szCs w:val="21"/>
        </w:rPr>
      </w:pPr>
      <w:r>
        <w:rPr>
          <w:rFonts w:hint="eastAsia" w:ascii="宋体" w:cs="宋体"/>
          <w:szCs w:val="21"/>
        </w:rPr>
        <w:t>2、本项目各标包分别报价，投标人对每标包所投标产品报且只能报一个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pPr>
      <w:r>
        <w:rPr>
          <w:rFonts w:hint="eastAsia" w:ascii="宋体" w:cs="宋体"/>
          <w:szCs w:val="21"/>
        </w:rPr>
        <w:t>4、所有优惠均体现在投标报价中，额外标明或承诺提供其他费用或物品均不予认可。</w:t>
      </w:r>
    </w:p>
    <w:p>
      <w:pPr>
        <w:pStyle w:val="2"/>
      </w:pPr>
    </w:p>
    <w:p>
      <w:pPr>
        <w:pStyle w:val="2"/>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2"/>
      </w:pPr>
    </w:p>
    <w:p>
      <w:pPr>
        <w:spacing w:line="360" w:lineRule="auto"/>
        <w:jc w:val="center"/>
        <w:rPr>
          <w:rFonts w:ascii="宋体" w:cs="宋体"/>
          <w:sz w:val="24"/>
          <w:u w:val="single"/>
        </w:rPr>
      </w:pPr>
      <w:r>
        <w:rPr>
          <w:rFonts w:hint="eastAsia"/>
          <w:b/>
          <w:bCs/>
          <w:sz w:val="32"/>
          <w:szCs w:val="32"/>
        </w:rPr>
        <w:t>报价明细表</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338"/>
        <w:gridCol w:w="1650"/>
        <w:gridCol w:w="667"/>
        <w:gridCol w:w="800"/>
        <w:gridCol w:w="767"/>
        <w:gridCol w:w="16"/>
        <w:gridCol w:w="734"/>
        <w:gridCol w:w="1066"/>
        <w:gridCol w:w="11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140" w:type="dxa"/>
            <w:gridSpan w:val="2"/>
            <w:vAlign w:val="center"/>
          </w:tcPr>
          <w:p>
            <w:pPr>
              <w:jc w:val="center"/>
              <w:rPr>
                <w:rFonts w:ascii="宋体" w:cs="宋体"/>
                <w:szCs w:val="21"/>
              </w:rPr>
            </w:pPr>
            <w:r>
              <w:rPr>
                <w:rFonts w:hint="eastAsia" w:ascii="宋体" w:cs="宋体"/>
                <w:szCs w:val="21"/>
              </w:rPr>
              <w:t>项目名称（标包号）</w:t>
            </w:r>
          </w:p>
        </w:tc>
        <w:tc>
          <w:tcPr>
            <w:tcW w:w="6800" w:type="dxa"/>
            <w:gridSpan w:val="8"/>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序号</w:t>
            </w:r>
          </w:p>
        </w:tc>
        <w:tc>
          <w:tcPr>
            <w:tcW w:w="1338" w:type="dxa"/>
            <w:vAlign w:val="center"/>
          </w:tcPr>
          <w:p>
            <w:pPr>
              <w:jc w:val="center"/>
              <w:rPr>
                <w:rFonts w:ascii="宋体" w:cs="宋体"/>
                <w:szCs w:val="21"/>
              </w:rPr>
            </w:pPr>
            <w:r>
              <w:rPr>
                <w:rFonts w:hint="eastAsia" w:ascii="宋体" w:cs="宋体"/>
                <w:szCs w:val="21"/>
              </w:rPr>
              <w:t>产品名称</w:t>
            </w:r>
          </w:p>
        </w:tc>
        <w:tc>
          <w:tcPr>
            <w:tcW w:w="165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6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数量</w:t>
            </w:r>
          </w:p>
        </w:tc>
        <w:tc>
          <w:tcPr>
            <w:tcW w:w="8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单位</w:t>
            </w:r>
          </w:p>
        </w:tc>
        <w:tc>
          <w:tcPr>
            <w:tcW w:w="7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单价</w:t>
            </w:r>
          </w:p>
        </w:tc>
        <w:tc>
          <w:tcPr>
            <w:tcW w:w="750" w:type="dxa"/>
            <w:gridSpan w:val="2"/>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合计</w:t>
            </w:r>
          </w:p>
        </w:tc>
        <w:tc>
          <w:tcPr>
            <w:tcW w:w="1066"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质保期限</w:t>
            </w:r>
          </w:p>
        </w:tc>
        <w:tc>
          <w:tcPr>
            <w:tcW w:w="11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供货时间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1</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2</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w:t>
            </w:r>
          </w:p>
        </w:tc>
        <w:tc>
          <w:tcPr>
            <w:tcW w:w="1338" w:type="dxa"/>
            <w:vAlign w:val="center"/>
          </w:tcPr>
          <w:p>
            <w:pPr>
              <w:jc w:val="center"/>
              <w:rPr>
                <w:rFonts w:ascii="宋体" w:cs="宋体"/>
                <w:szCs w:val="21"/>
              </w:rPr>
            </w:pPr>
          </w:p>
        </w:tc>
        <w:tc>
          <w:tcPr>
            <w:tcW w:w="1650" w:type="dxa"/>
            <w:vAlign w:val="center"/>
          </w:tcPr>
          <w:p>
            <w:pPr>
              <w:pStyle w:val="9"/>
              <w:numPr>
                <w:ilvl w:val="0"/>
                <w:numId w:val="0"/>
              </w:numPr>
              <w:jc w:val="center"/>
              <w:rPr>
                <w:rFonts w:ascii="宋体" w:eastAsia="宋体" w:cs="宋体"/>
                <w:sz w:val="21"/>
                <w:szCs w:val="21"/>
              </w:rPr>
            </w:pPr>
          </w:p>
        </w:tc>
        <w:tc>
          <w:tcPr>
            <w:tcW w:w="667" w:type="dxa"/>
            <w:vAlign w:val="center"/>
          </w:tcPr>
          <w:p>
            <w:pPr>
              <w:pStyle w:val="9"/>
              <w:numPr>
                <w:ilvl w:val="0"/>
                <w:numId w:val="0"/>
              </w:numPr>
              <w:jc w:val="center"/>
              <w:rPr>
                <w:rFonts w:ascii="宋体" w:eastAsia="宋体" w:cs="宋体"/>
                <w:sz w:val="21"/>
                <w:szCs w:val="21"/>
              </w:rPr>
            </w:pPr>
          </w:p>
        </w:tc>
        <w:tc>
          <w:tcPr>
            <w:tcW w:w="800" w:type="dxa"/>
            <w:vAlign w:val="center"/>
          </w:tcPr>
          <w:p>
            <w:pPr>
              <w:pStyle w:val="9"/>
              <w:numPr>
                <w:ilvl w:val="0"/>
                <w:numId w:val="0"/>
              </w:numPr>
              <w:jc w:val="center"/>
              <w:rPr>
                <w:rFonts w:ascii="宋体" w:eastAsia="宋体" w:cs="宋体"/>
                <w:sz w:val="21"/>
                <w:szCs w:val="21"/>
              </w:rPr>
            </w:pPr>
          </w:p>
        </w:tc>
        <w:tc>
          <w:tcPr>
            <w:tcW w:w="767" w:type="dxa"/>
            <w:vAlign w:val="center"/>
          </w:tcPr>
          <w:p>
            <w:pPr>
              <w:pStyle w:val="9"/>
              <w:numPr>
                <w:ilvl w:val="0"/>
                <w:numId w:val="0"/>
              </w:numPr>
              <w:jc w:val="center"/>
              <w:rPr>
                <w:rFonts w:ascii="宋体" w:eastAsia="宋体" w:cs="宋体"/>
                <w:sz w:val="21"/>
                <w:szCs w:val="21"/>
              </w:rPr>
            </w:pPr>
          </w:p>
        </w:tc>
        <w:tc>
          <w:tcPr>
            <w:tcW w:w="750" w:type="dxa"/>
            <w:gridSpan w:val="2"/>
            <w:vAlign w:val="center"/>
          </w:tcPr>
          <w:p>
            <w:pPr>
              <w:pStyle w:val="9"/>
              <w:numPr>
                <w:ilvl w:val="0"/>
                <w:numId w:val="0"/>
              </w:numPr>
              <w:jc w:val="center"/>
              <w:rPr>
                <w:rFonts w:ascii="宋体" w:eastAsia="宋体" w:cs="宋体"/>
                <w:sz w:val="21"/>
                <w:szCs w:val="21"/>
              </w:rPr>
            </w:pPr>
          </w:p>
        </w:tc>
        <w:tc>
          <w:tcPr>
            <w:tcW w:w="1066" w:type="dxa"/>
            <w:vAlign w:val="center"/>
          </w:tcPr>
          <w:p>
            <w:pPr>
              <w:pStyle w:val="9"/>
              <w:numPr>
                <w:ilvl w:val="0"/>
                <w:numId w:val="0"/>
              </w:numPr>
              <w:jc w:val="center"/>
              <w:rPr>
                <w:rFonts w:ascii="宋体" w:eastAsia="宋体" w:cs="宋体"/>
                <w:sz w:val="21"/>
                <w:szCs w:val="21"/>
              </w:rPr>
            </w:pPr>
          </w:p>
        </w:tc>
        <w:tc>
          <w:tcPr>
            <w:tcW w:w="1100"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140" w:type="dxa"/>
            <w:gridSpan w:val="2"/>
            <w:vAlign w:val="center"/>
          </w:tcPr>
          <w:p>
            <w:pPr>
              <w:jc w:val="center"/>
              <w:rPr>
                <w:rFonts w:ascii="宋体" w:cs="宋体"/>
                <w:szCs w:val="21"/>
              </w:rPr>
            </w:pPr>
            <w:r>
              <w:rPr>
                <w:rFonts w:hint="eastAsia" w:ascii="宋体" w:cs="宋体"/>
                <w:szCs w:val="21"/>
              </w:rPr>
              <w:t>单价之和</w:t>
            </w:r>
          </w:p>
        </w:tc>
        <w:tc>
          <w:tcPr>
            <w:tcW w:w="3900" w:type="dxa"/>
            <w:gridSpan w:val="5"/>
            <w:vAlign w:val="center"/>
          </w:tcPr>
          <w:p>
            <w:pPr>
              <w:pStyle w:val="9"/>
              <w:numPr>
                <w:ilvl w:val="0"/>
                <w:numId w:val="0"/>
              </w:numPr>
              <w:rPr>
                <w:rFonts w:ascii="宋体" w:eastAsia="宋体" w:cs="宋体"/>
                <w:sz w:val="21"/>
                <w:szCs w:val="21"/>
              </w:rPr>
            </w:pPr>
            <w:r>
              <w:rPr>
                <w:rFonts w:hint="eastAsia" w:ascii="宋体" w:eastAsia="宋体" w:cs="宋体"/>
                <w:sz w:val="21"/>
                <w:szCs w:val="21"/>
              </w:rPr>
              <w:t>大写</w:t>
            </w:r>
          </w:p>
        </w:tc>
        <w:tc>
          <w:tcPr>
            <w:tcW w:w="2900" w:type="dxa"/>
            <w:gridSpan w:val="3"/>
            <w:vAlign w:val="center"/>
          </w:tcPr>
          <w:p>
            <w:pPr>
              <w:pStyle w:val="9"/>
              <w:numPr>
                <w:ilvl w:val="0"/>
                <w:numId w:val="0"/>
              </w:numPr>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140" w:type="dxa"/>
            <w:gridSpan w:val="2"/>
            <w:vAlign w:val="center"/>
          </w:tcPr>
          <w:p>
            <w:pPr>
              <w:jc w:val="center"/>
              <w:rPr>
                <w:rFonts w:ascii="宋体" w:cs="宋体"/>
                <w:szCs w:val="21"/>
              </w:rPr>
            </w:pPr>
            <w:r>
              <w:rPr>
                <w:rFonts w:hint="eastAsia" w:ascii="宋体" w:cs="宋体"/>
                <w:szCs w:val="21"/>
              </w:rPr>
              <w:t>投标人名称</w:t>
            </w:r>
          </w:p>
        </w:tc>
        <w:tc>
          <w:tcPr>
            <w:tcW w:w="6800" w:type="dxa"/>
            <w:gridSpan w:val="8"/>
            <w:vAlign w:val="center"/>
          </w:tcPr>
          <w:p>
            <w:pPr>
              <w:rPr>
                <w:rFonts w:ascii="宋体" w:cs="宋体"/>
                <w:szCs w:val="21"/>
              </w:rPr>
            </w:pPr>
          </w:p>
        </w:tc>
      </w:tr>
    </w:tbl>
    <w:p>
      <w:pPr>
        <w:spacing w:line="360" w:lineRule="auto"/>
        <w:rPr>
          <w:rFonts w:ascii="宋体" w:cs="宋体"/>
          <w:b/>
          <w:bCs/>
          <w:color w:val="FF0000"/>
          <w:szCs w:val="21"/>
        </w:rPr>
      </w:pP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2、本项目各标包分别报价，投标人对每标包所投标产品报且只能报一个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b/>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
      <w:r>
        <w:rPr>
          <w:rFonts w:hint="eastAsia"/>
        </w:rPr>
        <w:br w:type="page"/>
      </w:r>
    </w:p>
    <w:p>
      <w:pPr>
        <w:widowControl/>
        <w:jc w:val="left"/>
        <w:textAlignment w:val="center"/>
        <w:rPr>
          <w:rFonts w:ascii="宋体" w:cs="宋体"/>
          <w:b/>
          <w:sz w:val="30"/>
          <w:szCs w:val="30"/>
        </w:rPr>
      </w:pPr>
      <w:r>
        <w:rPr>
          <w:rFonts w:hint="eastAsia" w:ascii="宋体"/>
          <w:b/>
          <w:bCs/>
          <w:kern w:val="0"/>
          <w:sz w:val="24"/>
        </w:rPr>
        <w:t>7.3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cs="宋体"/>
          <w:sz w:val="24"/>
        </w:rPr>
      </w:pPr>
      <w:r>
        <w:rPr>
          <w:rFonts w:hint="eastAsia" w:ascii="宋体" w:cs="宋体"/>
          <w:sz w:val="24"/>
        </w:rPr>
        <w:t>姓名：性别：年龄：职务：系（投标人名称）的法定代表人。为参加本项目，签署上述的投标文件、进行合同谈判、签署合同和处理与之有关的一切事物。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dXzPVAAAA&#10;CAEAAA8AAAAAAAAAAQAgAAAAIgAAAGRycy9kb3ducmV2LnhtbFBLAQIUABQAAAAIAIdO4kAycTmD&#10;IAIAAA4EAAAOAAAAAAAAAAEAIAAAACQBAABkcnMvZTJvRG9jLnhtbFBLBQYAAAAABgAGAFkBAAC2&#10;BQ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7Y0/SAAAABwEA&#10;AA8AAAAAAAAAAQAgAAAAIgAAAGRycy9kb3ducmV2LnhtbFBLAQIUABQAAAAIAIdO4kAANy8YIAIA&#10;AA8EAAAOAAAAAAAAAAEAIAAAACEBAABkcnMvZTJvRG9jLnhtbFBLBQYAAAAABgAGAFkBAACzBQAA&#10;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spacing w:line="360" w:lineRule="auto"/>
        <w:rPr>
          <w:rFonts w:ascii="宋体" w:cs="宋体"/>
          <w:sz w:val="24"/>
        </w:rPr>
      </w:pPr>
    </w:p>
    <w:p>
      <w:pPr>
        <w:pStyle w:val="11"/>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9"/>
        <w:numPr>
          <w:ilvl w:val="0"/>
          <w:numId w:val="0"/>
        </w:numPr>
      </w:pP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rPr>
        <w:t>7.4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（招标项目名称、项目编号）的投标活动，代理人在开标、评标、合同谈判过程中所签署的一切文件和处理与之有关的事务，我公司均予以承认，其法律后果由我公司承担。</w:t>
      </w:r>
    </w:p>
    <w:p>
      <w:pPr>
        <w:pStyle w:val="9"/>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ascii="宋体" w:cs="宋体"/>
          <w:kern w:val="0"/>
          <w:sz w:val="24"/>
          <w:u w:val="single"/>
        </w:rPr>
      </w:pPr>
      <w:r>
        <w:rPr>
          <w:rFonts w:hint="eastAsia" w:ascii="宋体" w:cs="宋体"/>
          <w:kern w:val="0"/>
          <w:sz w:val="24"/>
        </w:rPr>
        <w:t>代理人：性别： 年龄：</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身份证号码：部门：</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4yf&#10;hdgAAAAJAQAADwAAAAAAAAABACAAAAAiAAAAZHJzL2Rvd25yZXYueG1sUEsBAhQAFAAAAAgAh07i&#10;QEV+PZgiAgAADwQAAA4AAAAAAAAAAQAgAAAAJwEAAGRycy9lMm9Eb2MueG1sUEsFBgAAAAAGAAYA&#10;WQEAALsFA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y7agdMAAAAI&#10;AQAADwAAAAAAAAABACAAAAAiAAAAZHJzL2Rvd25yZXYueG1sUEsBAhQAFAAAAAgAh07iQPtW760h&#10;AgAADwQAAA4AAAAAAAAAAQAgAAAAIgEAAGRycy9lMm9Eb2MueG1sUEsFBgAAAAAGAAYAWQEAALUF&#10;A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4yDrUAAAA&#10;CQEAAA8AAAAAAAAAAQAgAAAAIgAAAGRycy9kb3ducmV2LnhtbFBLAQIUABQAAAAIAIdO4kDrnw0j&#10;IQIAAA8EAAAOAAAAAAAAAAEAIAAAACMBAABkcnMvZTJvRG9jLnhtbFBLBQYAAAAABgAGAFkBAAC2&#10;BQ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1"/>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DRLK1QAA&#10;AAkBAAAPAAAAAAAAAAEAIAAAACIAAABkcnMvZG93bnJldi54bWxQSwECFAAUAAAACACHTuJA2cGQ&#10;oCECAAAPBAAADgAAAAAAAAABACAAAAAkAQAAZHJzL2Uyb0RvYy54bWxQSwUGAAAAAAYABgBZAQAA&#10;twUAAAAA&#10;">
                <v:fill on="f" focussize="0,0"/>
                <v:stroke weight="2pt" color="#000000" joinstyle="round"/>
                <v:imagedata o:title=""/>
                <o:lock v:ext="edit" aspectratio="f"/>
                <v:textbox>
                  <w:txbxContent>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p>
                    <w:p>
                      <w:pPr>
                        <w:pStyle w:val="30"/>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pStyle w:val="11"/>
        <w:tabs>
          <w:tab w:val="left" w:pos="5580"/>
        </w:tabs>
        <w:spacing w:line="360" w:lineRule="auto"/>
        <w:ind w:firstLine="480" w:firstLineChars="200"/>
        <w:rPr>
          <w:sz w:val="24"/>
          <w:u w:val="single" w:color="FFFFFF"/>
        </w:rPr>
      </w:pPr>
    </w:p>
    <w:p>
      <w:pPr>
        <w:spacing w:line="360" w:lineRule="auto"/>
        <w:ind w:firstLine="720" w:firstLineChars="3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bookmarkStart w:id="32" w:name="_Toc27766"/>
      <w:bookmarkStart w:id="33" w:name="_Toc11547"/>
      <w:r>
        <w:rPr>
          <w:rFonts w:hint="eastAsia" w:ascii="宋体"/>
          <w:b/>
          <w:bCs/>
          <w:kern w:val="0"/>
          <w:sz w:val="24"/>
        </w:rPr>
        <w:t>7.5 投标人概况</w:t>
      </w:r>
    </w:p>
    <w:p>
      <w:pPr>
        <w:jc w:val="center"/>
        <w:rPr>
          <w:b/>
          <w:bCs/>
          <w:sz w:val="32"/>
          <w:szCs w:val="32"/>
        </w:rPr>
      </w:pPr>
      <w:bookmarkStart w:id="34" w:name="_Toc505078023"/>
      <w:r>
        <w:rPr>
          <w:rFonts w:hint="eastAsia"/>
          <w:b/>
          <w:bCs/>
          <w:sz w:val="32"/>
          <w:szCs w:val="32"/>
        </w:rPr>
        <w:t>投标人概况</w:t>
      </w:r>
      <w:bookmarkEnd w:id="34"/>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b/>
          <w:sz w:val="30"/>
          <w:szCs w:val="30"/>
        </w:rPr>
      </w:pPr>
      <w:r>
        <w:rPr>
          <w:rFonts w:hint="eastAsia" w:ascii="宋体" w:cs="宋体"/>
          <w:sz w:val="24"/>
        </w:rPr>
        <w:t>注：须附营业执照副本，“信用中国”网站（</w:t>
      </w:r>
      <w:r>
        <w:fldChar w:fldCharType="begin"/>
      </w:r>
      <w:r>
        <w:instrText xml:space="preserve"> HYPERLINK "http://www.creditchina.gov.cn/" </w:instrText>
      </w:r>
      <w:r>
        <w:fldChar w:fldCharType="separate"/>
      </w:r>
      <w:r>
        <w:rPr>
          <w:rFonts w:hint="eastAsia" w:ascii="宋体" w:cs="宋体"/>
          <w:sz w:val="24"/>
        </w:rPr>
        <w:t>www.creditchina.gov.cn</w:t>
      </w:r>
      <w:r>
        <w:rPr>
          <w:rFonts w:hint="eastAsia" w:ascii="宋体" w:cs="宋体"/>
          <w:sz w:val="24"/>
        </w:rPr>
        <w:fldChar w:fldCharType="end"/>
      </w:r>
      <w:r>
        <w:rPr>
          <w:rFonts w:hint="eastAsia" w:ascii="宋体" w:cs="宋体"/>
          <w:sz w:val="24"/>
        </w:rPr>
        <w:t>）截图、中国政府采购网（</w:t>
      </w:r>
      <w:r>
        <w:fldChar w:fldCharType="begin"/>
      </w:r>
      <w:r>
        <w:instrText xml:space="preserve"> HYPERLINK "http://www.ccgp.gov.cn/" </w:instrText>
      </w:r>
      <w:r>
        <w:fldChar w:fldCharType="separate"/>
      </w:r>
      <w:r>
        <w:rPr>
          <w:rFonts w:hint="eastAsia" w:ascii="宋体" w:cs="宋体"/>
          <w:sz w:val="24"/>
        </w:rPr>
        <w:t>www.ccgp.gov.cn</w:t>
      </w:r>
      <w:r>
        <w:rPr>
          <w:rFonts w:hint="eastAsia" w:ascii="宋体" w:cs="宋体"/>
          <w:sz w:val="24"/>
        </w:rPr>
        <w:fldChar w:fldCharType="end"/>
      </w:r>
      <w:r>
        <w:rPr>
          <w:rFonts w:hint="eastAsia" w:ascii="宋体" w:cs="宋体"/>
          <w:sz w:val="24"/>
        </w:rPr>
        <w:t>）截图复印件。</w:t>
      </w:r>
    </w:p>
    <w:p>
      <w:pPr>
        <w:tabs>
          <w:tab w:val="center" w:pos="4832"/>
          <w:tab w:val="left" w:pos="7140"/>
        </w:tabs>
        <w:jc w:val="center"/>
        <w:outlineLvl w:val="1"/>
        <w:rPr>
          <w:rFonts w:ascii="宋体"/>
          <w:sz w:val="24"/>
        </w:rPr>
      </w:pPr>
      <w:r>
        <w:rPr>
          <w:rFonts w:ascii="宋体"/>
          <w:kern w:val="0"/>
          <w:sz w:val="24"/>
        </w:rPr>
        <w:br w:type="page"/>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t>7.6 技术条款偏离表</w:t>
      </w:r>
    </w:p>
    <w:p>
      <w:pPr>
        <w:spacing w:line="360" w:lineRule="auto"/>
        <w:jc w:val="center"/>
        <w:rPr>
          <w:rFonts w:ascii="宋体"/>
          <w:b/>
          <w:bCs/>
          <w:sz w:val="32"/>
          <w:szCs w:val="32"/>
        </w:rPr>
      </w:pPr>
      <w:bookmarkStart w:id="35" w:name="_Toc16454"/>
      <w:bookmarkStart w:id="36" w:name="_Toc568"/>
    </w:p>
    <w:p>
      <w:pPr>
        <w:spacing w:line="360" w:lineRule="auto"/>
        <w:jc w:val="center"/>
        <w:rPr>
          <w:rFonts w:ascii="宋体"/>
          <w:b/>
          <w:bCs/>
          <w:sz w:val="32"/>
          <w:szCs w:val="32"/>
        </w:rPr>
      </w:pPr>
      <w:r>
        <w:rPr>
          <w:rFonts w:hint="eastAsia" w:ascii="宋体"/>
          <w:b/>
          <w:bCs/>
          <w:sz w:val="32"/>
          <w:szCs w:val="32"/>
        </w:rPr>
        <w:t>技术条款偏离表</w:t>
      </w:r>
    </w:p>
    <w:tbl>
      <w:tblPr>
        <w:tblStyle w:val="22"/>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rPr>
            </w:pPr>
            <w:r>
              <w:rPr>
                <w:rFonts w:hint="eastAsia" w:ascii="宋体" w:cs="宋体"/>
                <w:bCs/>
                <w:sz w:val="24"/>
              </w:rPr>
              <w:t>序号</w:t>
            </w:r>
          </w:p>
        </w:tc>
        <w:tc>
          <w:tcPr>
            <w:tcW w:w="1357" w:type="dxa"/>
            <w:noWrap/>
            <w:vAlign w:val="center"/>
          </w:tcPr>
          <w:p>
            <w:pPr>
              <w:jc w:val="center"/>
              <w:rPr>
                <w:rFonts w:ascii="宋体" w:cs="宋体"/>
                <w:bCs/>
                <w:sz w:val="24"/>
              </w:rPr>
            </w:pPr>
            <w:r>
              <w:rPr>
                <w:rFonts w:hint="eastAsia" w:ascii="宋体" w:cs="宋体"/>
                <w:bCs/>
                <w:sz w:val="24"/>
              </w:rPr>
              <w:t>货物名称</w:t>
            </w:r>
          </w:p>
        </w:tc>
        <w:tc>
          <w:tcPr>
            <w:tcW w:w="1326" w:type="dxa"/>
            <w:noWrap/>
            <w:vAlign w:val="center"/>
          </w:tcPr>
          <w:p>
            <w:pPr>
              <w:jc w:val="center"/>
              <w:rPr>
                <w:rFonts w:ascii="宋体" w:cs="宋体"/>
                <w:bCs/>
                <w:sz w:val="24"/>
              </w:rPr>
            </w:pPr>
            <w:r>
              <w:rPr>
                <w:rFonts w:hint="eastAsia" w:ascii="宋体" w:cs="宋体"/>
                <w:bCs/>
                <w:sz w:val="24"/>
              </w:rPr>
              <w:t>招标文件条目号</w:t>
            </w:r>
          </w:p>
        </w:tc>
        <w:tc>
          <w:tcPr>
            <w:tcW w:w="1326" w:type="dxa"/>
            <w:noWrap/>
            <w:vAlign w:val="center"/>
          </w:tcPr>
          <w:p>
            <w:pPr>
              <w:jc w:val="center"/>
              <w:rPr>
                <w:rFonts w:ascii="宋体" w:cs="宋体"/>
                <w:bCs/>
                <w:sz w:val="24"/>
              </w:rPr>
            </w:pPr>
            <w:r>
              <w:rPr>
                <w:rFonts w:hint="eastAsia" w:ascii="宋体" w:cs="宋体"/>
                <w:bCs/>
                <w:sz w:val="24"/>
              </w:rPr>
              <w:t>招标文件要求规格</w:t>
            </w:r>
          </w:p>
        </w:tc>
        <w:tc>
          <w:tcPr>
            <w:tcW w:w="1326" w:type="dxa"/>
            <w:noWrap/>
            <w:vAlign w:val="center"/>
          </w:tcPr>
          <w:p>
            <w:pPr>
              <w:jc w:val="center"/>
              <w:rPr>
                <w:rFonts w:ascii="宋体" w:cs="宋体"/>
                <w:bCs/>
                <w:sz w:val="24"/>
              </w:rPr>
            </w:pPr>
            <w:r>
              <w:rPr>
                <w:rFonts w:hint="eastAsia" w:ascii="宋体" w:cs="宋体"/>
                <w:bCs/>
                <w:sz w:val="24"/>
              </w:rPr>
              <w:t>投标规格</w:t>
            </w:r>
          </w:p>
        </w:tc>
        <w:tc>
          <w:tcPr>
            <w:tcW w:w="1327" w:type="dxa"/>
            <w:noWrap/>
            <w:vAlign w:val="center"/>
          </w:tcPr>
          <w:p>
            <w:pPr>
              <w:jc w:val="center"/>
              <w:rPr>
                <w:rFonts w:ascii="宋体" w:cs="宋体"/>
                <w:bCs/>
                <w:sz w:val="24"/>
              </w:rPr>
            </w:pPr>
            <w:r>
              <w:rPr>
                <w:rFonts w:hint="eastAsia" w:ascii="宋体" w:cs="宋体"/>
                <w:bCs/>
                <w:sz w:val="24"/>
              </w:rPr>
              <w:t>偏离</w:t>
            </w:r>
          </w:p>
        </w:tc>
        <w:tc>
          <w:tcPr>
            <w:tcW w:w="1327"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tabs>
          <w:tab w:val="center" w:pos="4832"/>
          <w:tab w:val="left" w:pos="7140"/>
        </w:tabs>
        <w:jc w:val="center"/>
        <w:outlineLvl w:val="1"/>
        <w:rPr>
          <w:rFonts w:ascii="宋体" w:cs="宋体"/>
          <w:b/>
          <w:sz w:val="24"/>
        </w:rPr>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rPr>
        <w:t>7.7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35"/>
    <w:bookmarkEnd w:id="36"/>
    <w:tbl>
      <w:tblPr>
        <w:tblStyle w:val="22"/>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rPr>
            </w:pPr>
            <w:r>
              <w:rPr>
                <w:rFonts w:hint="eastAsia" w:ascii="宋体" w:cs="宋体"/>
                <w:bCs/>
                <w:sz w:val="24"/>
              </w:rPr>
              <w:t>序号</w:t>
            </w:r>
          </w:p>
        </w:tc>
        <w:tc>
          <w:tcPr>
            <w:tcW w:w="2070" w:type="dxa"/>
            <w:noWrap/>
            <w:vAlign w:val="center"/>
          </w:tcPr>
          <w:p>
            <w:pPr>
              <w:jc w:val="center"/>
              <w:rPr>
                <w:rFonts w:ascii="宋体" w:cs="宋体"/>
                <w:bCs/>
                <w:sz w:val="24"/>
              </w:rPr>
            </w:pPr>
            <w:r>
              <w:rPr>
                <w:rFonts w:hint="eastAsia" w:ascii="宋体" w:cs="宋体"/>
                <w:bCs/>
                <w:sz w:val="24"/>
              </w:rPr>
              <w:t>招标文件条目号</w:t>
            </w:r>
          </w:p>
        </w:tc>
        <w:tc>
          <w:tcPr>
            <w:tcW w:w="2052" w:type="dxa"/>
            <w:noWrap/>
            <w:vAlign w:val="center"/>
          </w:tcPr>
          <w:p>
            <w:pPr>
              <w:jc w:val="center"/>
              <w:rPr>
                <w:rFonts w:ascii="宋体" w:cs="宋体"/>
                <w:bCs/>
                <w:sz w:val="24"/>
              </w:rPr>
            </w:pPr>
            <w:r>
              <w:rPr>
                <w:rFonts w:hint="eastAsia" w:ascii="宋体" w:cs="宋体"/>
                <w:bCs/>
                <w:sz w:val="24"/>
              </w:rPr>
              <w:t>招标文件的商务条款</w:t>
            </w:r>
          </w:p>
        </w:tc>
        <w:tc>
          <w:tcPr>
            <w:tcW w:w="2126" w:type="dxa"/>
            <w:noWrap/>
            <w:vAlign w:val="center"/>
          </w:tcPr>
          <w:p>
            <w:pPr>
              <w:jc w:val="center"/>
              <w:rPr>
                <w:rFonts w:ascii="宋体" w:cs="宋体"/>
                <w:bCs/>
                <w:sz w:val="24"/>
              </w:rPr>
            </w:pPr>
            <w:r>
              <w:rPr>
                <w:rFonts w:hint="eastAsia" w:ascii="宋体" w:cs="宋体"/>
                <w:bCs/>
                <w:sz w:val="24"/>
              </w:rPr>
              <w:t>投标文件的商务条款</w:t>
            </w:r>
          </w:p>
        </w:tc>
        <w:tc>
          <w:tcPr>
            <w:tcW w:w="1985"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rPr>
        <w:t>7.</w:t>
      </w:r>
      <w:r>
        <w:rPr>
          <w:rFonts w:hint="eastAsia" w:ascii="宋体"/>
          <w:b/>
          <w:bCs/>
          <w:kern w:val="0"/>
          <w:sz w:val="24"/>
          <w:lang w:val="en-US" w:eastAsia="zh-CN"/>
        </w:rPr>
        <w:t>8</w:t>
      </w:r>
      <w:r>
        <w:rPr>
          <w:rFonts w:hint="eastAsia" w:ascii="宋体"/>
          <w:b/>
          <w:bCs/>
          <w:kern w:val="0"/>
          <w:sz w:val="24"/>
        </w:rPr>
        <w:t xml:space="preserve">  反商业贿赂承诺书</w:t>
      </w:r>
    </w:p>
    <w:p>
      <w:pPr>
        <w:spacing w:before="156" w:beforeLines="50" w:after="156" w:afterLines="50" w:line="360" w:lineRule="auto"/>
        <w:jc w:val="center"/>
        <w:rPr>
          <w:rFonts w:ascii="宋体" w:cs="宋体"/>
          <w:b/>
          <w:bCs/>
          <w:sz w:val="32"/>
          <w:szCs w:val="32"/>
        </w:rPr>
      </w:pPr>
      <w:r>
        <w:rPr>
          <w:rFonts w:hint="eastAsia" w:ascii="宋体"/>
          <w:b/>
          <w:bCs/>
          <w:sz w:val="32"/>
          <w:szCs w:val="32"/>
        </w:rPr>
        <w:t>（一）反商业</w:t>
      </w:r>
      <w:r>
        <w:rPr>
          <w:rFonts w:hint="eastAsia" w:ascii="宋体" w:cs="宋体"/>
          <w:b/>
          <w:bCs/>
          <w:sz w:val="32"/>
          <w:szCs w:val="32"/>
        </w:rPr>
        <w:t>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（项目编号、项目名称）  </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tabs>
          <w:tab w:val="left" w:pos="5580"/>
        </w:tabs>
        <w:spacing w:line="360" w:lineRule="auto"/>
        <w:ind w:firstLine="3600" w:firstLineChars="1500"/>
        <w:rPr>
          <w:sz w:val="24"/>
        </w:rPr>
      </w:pPr>
      <w:r>
        <w:rPr>
          <w:rFonts w:hint="eastAsia"/>
          <w:sz w:val="24"/>
        </w:rPr>
        <w:t>投标人（盖</w:t>
      </w:r>
      <w:r>
        <w:rPr>
          <w:sz w:val="24"/>
        </w:rPr>
        <w:t>章）：</w:t>
      </w:r>
    </w:p>
    <w:p>
      <w:pPr>
        <w:pStyle w:val="11"/>
        <w:tabs>
          <w:tab w:val="left" w:pos="5580"/>
        </w:tabs>
        <w:spacing w:line="360" w:lineRule="auto"/>
        <w:ind w:firstLine="3600" w:firstLineChars="1500"/>
        <w:rPr>
          <w:sz w:val="24"/>
          <w:u w:val="single"/>
        </w:rPr>
      </w:pPr>
      <w:r>
        <w:rPr>
          <w:rFonts w:hint="eastAsia"/>
          <w:sz w:val="24"/>
        </w:rPr>
        <w:t>法定代表人（签章）：</w:t>
      </w:r>
    </w:p>
    <w:p>
      <w:pPr>
        <w:pStyle w:val="11"/>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spacing w:line="360" w:lineRule="auto"/>
        <w:jc w:val="center"/>
        <w:rPr>
          <w:rFonts w:ascii="宋体" w:cs="宋体"/>
          <w:sz w:val="32"/>
          <w:szCs w:val="32"/>
        </w:rPr>
      </w:pPr>
      <w:r>
        <w:rPr>
          <w:rFonts w:hint="eastAsia" w:ascii="宋体" w:cs="宋体"/>
          <w:b/>
          <w:bCs/>
          <w:sz w:val="32"/>
          <w:szCs w:val="32"/>
        </w:rPr>
        <w:t>（二）参加政府采购活动前3年内</w:t>
      </w:r>
      <w:bookmarkStart w:id="37" w:name="_Toc518923113"/>
      <w:r>
        <w:rPr>
          <w:rFonts w:hint="eastAsia" w:ascii="宋体" w:cs="宋体"/>
          <w:b/>
          <w:bCs/>
          <w:sz w:val="32"/>
          <w:szCs w:val="32"/>
        </w:rPr>
        <w:t>在经营活动中没有重大违法记录的承诺书</w:t>
      </w:r>
      <w:bookmarkEnd w:id="37"/>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ascii="宋体" w:cs="宋体"/>
          <w:b/>
          <w:bCs/>
          <w:kern w:val="0"/>
          <w:sz w:val="24"/>
        </w:rPr>
      </w:pPr>
      <w:r>
        <w:rPr>
          <w:rFonts w:hint="eastAsia" w:ascii="宋体" w:cs="宋体"/>
          <w:b/>
          <w:bCs/>
          <w:kern w:val="0"/>
          <w:sz w:val="24"/>
        </w:rPr>
        <w:br w:type="page"/>
      </w:r>
    </w:p>
    <w:p>
      <w:pPr>
        <w:spacing w:line="360" w:lineRule="auto"/>
        <w:rPr>
          <w:rFonts w:ascii="宋体" w:cs="宋体"/>
          <w:b/>
          <w:bCs/>
          <w:sz w:val="24"/>
        </w:rPr>
      </w:pPr>
      <w:r>
        <w:rPr>
          <w:rFonts w:hint="eastAsia" w:ascii="宋体" w:cs="宋体"/>
          <w:b/>
          <w:bCs/>
          <w:kern w:val="0"/>
          <w:sz w:val="24"/>
        </w:rPr>
        <w:t>7.9中小微企业声明函</w:t>
      </w:r>
    </w:p>
    <w:p>
      <w:pPr>
        <w:spacing w:line="360" w:lineRule="auto"/>
        <w:jc w:val="center"/>
        <w:rPr>
          <w:rFonts w:ascii="宋体" w:cs="宋体"/>
          <w:sz w:val="32"/>
          <w:szCs w:val="32"/>
        </w:rPr>
      </w:pPr>
      <w:bookmarkStart w:id="38" w:name="_Toc37868813"/>
      <w:r>
        <w:rPr>
          <w:rFonts w:hint="eastAsia" w:ascii="宋体" w:cs="宋体"/>
          <w:b/>
          <w:bCs/>
          <w:sz w:val="32"/>
          <w:szCs w:val="32"/>
        </w:rPr>
        <w:t>（一）中小微企业声明函</w:t>
      </w:r>
    </w:p>
    <w:p>
      <w:pPr>
        <w:spacing w:line="360" w:lineRule="auto"/>
        <w:ind w:firstLine="480" w:firstLineChars="200"/>
        <w:rPr>
          <w:rFonts w:ascii="宋体" w:cs="宋体"/>
          <w:sz w:val="24"/>
        </w:rPr>
      </w:pPr>
      <w:r>
        <w:rPr>
          <w:rFonts w:hint="eastAsia" w:ascii="宋体" w:cs="宋体"/>
          <w:sz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宋体" w:cs="宋体"/>
          <w:sz w:val="24"/>
        </w:rPr>
      </w:pPr>
      <w:r>
        <w:rPr>
          <w:rFonts w:hint="eastAsia" w:ascii="宋体" w:cs="宋体"/>
          <w:sz w:val="24"/>
        </w:rPr>
        <w:t>（1）根据《工业和信息化部、国家统计局、国家发展和改革委员会、财政部关于印发中小企业划型标准规定的通知》（工信部联企业[2011]300号）规定的划分标准，本企业为______（请填写：中型、小型、微型）企业。</w:t>
      </w:r>
    </w:p>
    <w:p>
      <w:pPr>
        <w:spacing w:line="360" w:lineRule="auto"/>
        <w:ind w:firstLine="480" w:firstLineChars="200"/>
        <w:rPr>
          <w:rFonts w:ascii="宋体" w:cs="宋体"/>
          <w:sz w:val="24"/>
        </w:rPr>
      </w:pPr>
      <w:r>
        <w:rPr>
          <w:rFonts w:hint="eastAsia" w:ascii="宋体" w:cs="宋体"/>
          <w:sz w:val="24"/>
        </w:rPr>
        <w:t>（2）本企业提供其他______（请填写：中型、小型、微型）企业制造的货物。本条所称货物不包括使用大型企业注册商标的货物。</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spacing w:line="360" w:lineRule="auto"/>
        <w:ind w:firstLine="960" w:firstLineChars="400"/>
        <w:rPr>
          <w:rFonts w:ascii="宋体" w:cs="宋体"/>
          <w:sz w:val="24"/>
        </w:rPr>
      </w:pPr>
      <w:r>
        <w:rPr>
          <w:rFonts w:hint="eastAsia" w:ascii="宋体" w:cs="宋体"/>
          <w:sz w:val="24"/>
        </w:rPr>
        <w:t>投标人（盖章）：</w:t>
      </w:r>
    </w:p>
    <w:p>
      <w:pPr>
        <w:spacing w:line="360" w:lineRule="auto"/>
        <w:ind w:firstLine="960" w:firstLineChars="400"/>
        <w:rPr>
          <w:rFonts w:ascii="宋体" w:cs="宋体"/>
          <w:sz w:val="24"/>
        </w:rPr>
      </w:pPr>
      <w:r>
        <w:rPr>
          <w:rFonts w:hint="eastAsia" w:ascii="宋体" w:cs="宋体"/>
          <w:sz w:val="24"/>
        </w:rPr>
        <w:t>法定代表人或委托代理人（签字）：</w:t>
      </w:r>
    </w:p>
    <w:p>
      <w:pPr>
        <w:spacing w:line="360" w:lineRule="auto"/>
        <w:ind w:firstLine="960" w:firstLineChars="400"/>
        <w:rPr>
          <w:rFonts w:ascii="宋体" w:cs="宋体"/>
          <w:sz w:val="24"/>
        </w:rPr>
      </w:pPr>
      <w:r>
        <w:rPr>
          <w:rFonts w:hint="eastAsia" w:ascii="宋体" w:cs="宋体"/>
          <w:sz w:val="24"/>
        </w:rPr>
        <w:t>日期：       年   月   日</w:t>
      </w:r>
    </w:p>
    <w:p>
      <w:pPr>
        <w:jc w:val="center"/>
        <w:rPr>
          <w:rFonts w:ascii="宋体"/>
          <w:b/>
          <w:kern w:val="0"/>
          <w:sz w:val="32"/>
          <w:szCs w:val="32"/>
        </w:rPr>
      </w:pPr>
      <w:bookmarkStart w:id="39" w:name="_Toc37868812"/>
      <w:r>
        <w:rPr>
          <w:rFonts w:hint="eastAsia"/>
          <w:b/>
          <w:bCs/>
          <w:sz w:val="32"/>
          <w:szCs w:val="32"/>
        </w:rPr>
        <w:t>（二）</w:t>
      </w:r>
      <w:r>
        <w:rPr>
          <w:b/>
          <w:bCs/>
          <w:sz w:val="32"/>
          <w:szCs w:val="32"/>
        </w:rPr>
        <w:t>投标人</w:t>
      </w:r>
      <w:r>
        <w:rPr>
          <w:rFonts w:hint="eastAsia"/>
          <w:b/>
          <w:bCs/>
          <w:sz w:val="32"/>
          <w:szCs w:val="32"/>
        </w:rPr>
        <w:t>监狱企业</w:t>
      </w:r>
      <w:r>
        <w:rPr>
          <w:b/>
          <w:bCs/>
          <w:sz w:val="32"/>
          <w:szCs w:val="32"/>
        </w:rPr>
        <w:t>声明函</w:t>
      </w:r>
      <w:bookmarkEnd w:id="39"/>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sz w:val="24"/>
        </w:rPr>
      </w:pPr>
      <w:r>
        <w:rPr>
          <w:rFonts w:hint="eastAsia" w:ascii="宋体" w:cs="宋体"/>
          <w:sz w:val="24"/>
        </w:rPr>
        <w:t>（1）本企业（单位）（请填写：是、不是）监狱企业。后附省级以上监狱管理局、戒毒管理局（含新疆生产建设兵团）出具的属于监狱企业的证明文件。</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ascii="宋体"/>
          <w:b/>
          <w:kern w:val="0"/>
          <w:sz w:val="24"/>
          <w:szCs w:val="20"/>
        </w:rPr>
        <w:t>　</w:t>
      </w:r>
    </w:p>
    <w:p>
      <w:pPr>
        <w:pStyle w:val="11"/>
        <w:tabs>
          <w:tab w:val="left" w:pos="5580"/>
        </w:tabs>
        <w:spacing w:line="360" w:lineRule="auto"/>
        <w:ind w:firstLine="3120" w:firstLineChars="1300"/>
        <w:rPr>
          <w:sz w:val="24"/>
        </w:rPr>
      </w:pPr>
      <w:r>
        <w:rPr>
          <w:rFonts w:hint="eastAsia"/>
          <w:sz w:val="24"/>
        </w:rPr>
        <w:t>投标人（盖</w:t>
      </w:r>
      <w:r>
        <w:rPr>
          <w:sz w:val="24"/>
        </w:rPr>
        <w:t>章）：</w:t>
      </w:r>
    </w:p>
    <w:p>
      <w:pPr>
        <w:pStyle w:val="11"/>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9"/>
        <w:numPr>
          <w:ilvl w:val="0"/>
          <w:numId w:val="0"/>
        </w:numPr>
        <w:rPr>
          <w:rFonts w:ascii="宋体" w:hAnsi="宋体" w:cs="宋体"/>
          <w:kern w:val="0"/>
          <w:sz w:val="24"/>
          <w:u w:val="single"/>
        </w:rPr>
      </w:pPr>
    </w:p>
    <w:p>
      <w:pPr>
        <w:pStyle w:val="9"/>
        <w:numPr>
          <w:ilvl w:val="0"/>
          <w:numId w:val="0"/>
        </w:numPr>
        <w:rPr>
          <w:rFonts w:ascii="宋体" w:hAnsi="宋体" w:cs="宋体"/>
          <w:kern w:val="0"/>
          <w:sz w:val="24"/>
          <w:u w:val="single"/>
        </w:rPr>
      </w:pPr>
    </w:p>
    <w:p>
      <w:pPr>
        <w:rPr>
          <w:b/>
          <w:bCs/>
          <w:sz w:val="24"/>
        </w:rPr>
      </w:pPr>
      <w:r>
        <w:rPr>
          <w:rFonts w:hint="eastAsia"/>
          <w:b/>
          <w:bCs/>
          <w:sz w:val="24"/>
        </w:rPr>
        <w:br w:type="page"/>
      </w:r>
    </w:p>
    <w:p>
      <w:pPr>
        <w:jc w:val="center"/>
        <w:rPr>
          <w:b/>
          <w:bCs/>
          <w:sz w:val="32"/>
          <w:szCs w:val="32"/>
        </w:rPr>
      </w:pPr>
      <w:r>
        <w:rPr>
          <w:rFonts w:hint="eastAsia"/>
          <w:b/>
          <w:bCs/>
          <w:sz w:val="32"/>
          <w:szCs w:val="32"/>
        </w:rPr>
        <w:t>（三）残疾人福利性单位声明函</w:t>
      </w:r>
      <w:bookmarkEnd w:id="38"/>
    </w:p>
    <w:p>
      <w:pPr>
        <w:spacing w:line="360" w:lineRule="auto"/>
        <w:ind w:left="1080" w:leftChars="257" w:hanging="540"/>
        <w:jc w:val="center"/>
        <w:rPr>
          <w:rFonts w:ascii="宋体"/>
          <w:kern w:val="0"/>
          <w:sz w:val="24"/>
          <w:szCs w:val="20"/>
        </w:rPr>
      </w:pPr>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w:t>
      </w:r>
      <w:r>
        <w:rPr>
          <w:rFonts w:ascii="宋体"/>
          <w:kern w:val="0"/>
          <w:sz w:val="24"/>
          <w:szCs w:val="20"/>
        </w:rPr>
        <w:t>福利性单位</w:t>
      </w:r>
      <w:r>
        <w:rPr>
          <w:rFonts w:hint="eastAsia" w:ascii="宋体"/>
          <w:kern w:val="0"/>
          <w:sz w:val="24"/>
          <w:szCs w:val="20"/>
        </w:rPr>
        <w:t>名称（盖公章）：</w:t>
      </w:r>
    </w:p>
    <w:p>
      <w:pPr>
        <w:spacing w:line="360" w:lineRule="auto"/>
        <w:ind w:left="1080" w:leftChars="257" w:hanging="540"/>
        <w:jc w:val="center"/>
        <w:rPr>
          <w:rFonts w:ascii="宋体"/>
          <w:kern w:val="0"/>
          <w:sz w:val="24"/>
          <w:szCs w:val="20"/>
        </w:rPr>
      </w:pPr>
    </w:p>
    <w:p>
      <w:pPr>
        <w:spacing w:line="360" w:lineRule="auto"/>
        <w:ind w:left="645" w:leftChars="307" w:firstLine="2640" w:firstLineChars="1100"/>
        <w:rPr>
          <w:rFonts w:ascii="宋体"/>
          <w:kern w:val="0"/>
          <w:sz w:val="24"/>
          <w:szCs w:val="20"/>
          <w:u w:val="single"/>
        </w:rPr>
      </w:pPr>
      <w:r>
        <w:rPr>
          <w:rFonts w:hint="eastAsia" w:ascii="宋体"/>
          <w:kern w:val="0"/>
          <w:sz w:val="24"/>
          <w:szCs w:val="20"/>
        </w:rPr>
        <w:t>日  期：</w:t>
      </w: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pPr>
    </w:p>
    <w:p>
      <w:pPr>
        <w:pStyle w:val="21"/>
        <w:spacing w:line="432" w:lineRule="auto"/>
        <w:jc w:val="both"/>
        <w:rPr>
          <w:sz w:val="32"/>
          <w:szCs w:val="32"/>
        </w:rPr>
      </w:pPr>
    </w:p>
    <w:p>
      <w:pPr>
        <w:jc w:val="center"/>
        <w:rPr>
          <w:b/>
          <w:bCs/>
          <w:sz w:val="32"/>
          <w:szCs w:val="32"/>
        </w:rPr>
      </w:pPr>
      <w:bookmarkStart w:id="40" w:name="_Toc37868814"/>
      <w:r>
        <w:rPr>
          <w:rFonts w:hint="eastAsia"/>
          <w:b/>
          <w:bCs/>
          <w:sz w:val="32"/>
          <w:szCs w:val="32"/>
        </w:rPr>
        <w:t>（四）制造商</w:t>
      </w:r>
      <w:r>
        <w:rPr>
          <w:b/>
          <w:bCs/>
          <w:sz w:val="32"/>
          <w:szCs w:val="32"/>
        </w:rPr>
        <w:t>企业</w:t>
      </w:r>
      <w:r>
        <w:rPr>
          <w:rFonts w:hint="eastAsia"/>
          <w:b/>
          <w:bCs/>
          <w:sz w:val="32"/>
          <w:szCs w:val="32"/>
        </w:rPr>
        <w:t>（单位）</w:t>
      </w:r>
      <w:r>
        <w:rPr>
          <w:b/>
          <w:bCs/>
          <w:sz w:val="32"/>
          <w:szCs w:val="32"/>
        </w:rPr>
        <w:t>类型声明函</w:t>
      </w:r>
      <w:bookmarkEnd w:id="40"/>
    </w:p>
    <w:p>
      <w:pPr>
        <w:spacing w:line="360" w:lineRule="auto"/>
        <w:ind w:left="1080" w:leftChars="257" w:hanging="540"/>
        <w:jc w:val="center"/>
        <w:rPr>
          <w:rFonts w:ascii="宋体"/>
          <w:b/>
          <w:kern w:val="0"/>
          <w:sz w:val="24"/>
          <w:szCs w:val="20"/>
        </w:rPr>
      </w:pP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本企业（单位）提供企业（单位）制造的货物。</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w:t>
      </w:r>
      <w:r>
        <w:rPr>
          <w:rFonts w:ascii="宋体" w:cs="宋体"/>
          <w:kern w:val="0"/>
          <w:sz w:val="24"/>
        </w:rPr>
        <w:t>（</w:t>
      </w:r>
      <w:r>
        <w:rPr>
          <w:rFonts w:hint="eastAsia" w:ascii="宋体" w:cs="宋体"/>
          <w:kern w:val="0"/>
          <w:sz w:val="24"/>
        </w:rPr>
        <w:t>单位</w:t>
      </w:r>
      <w:r>
        <w:rPr>
          <w:rFonts w:asci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w:t>
      </w:r>
      <w:r>
        <w:rPr>
          <w:rFonts w:ascii="宋体" w:cs="宋体"/>
          <w:kern w:val="0"/>
          <w:sz w:val="24"/>
        </w:rPr>
        <w:t>声明函经制造商和投标人</w:t>
      </w:r>
      <w:r>
        <w:rPr>
          <w:rFonts w:hint="eastAsia" w:ascii="宋体" w:cs="宋体"/>
          <w:kern w:val="0"/>
          <w:sz w:val="24"/>
        </w:rPr>
        <w:t>共同</w:t>
      </w:r>
      <w:r>
        <w:rPr>
          <w:rFonts w:ascii="宋体" w:cs="宋体"/>
          <w:kern w:val="0"/>
          <w:sz w:val="24"/>
        </w:rPr>
        <w:t>盖章</w:t>
      </w:r>
      <w:r>
        <w:rPr>
          <w:rFonts w:hint="eastAsia" w:ascii="宋体" w:cs="宋体"/>
          <w:kern w:val="0"/>
          <w:sz w:val="24"/>
        </w:rPr>
        <w:t>生</w:t>
      </w:r>
      <w:r>
        <w:rPr>
          <w:rFonts w:ascii="宋体" w:cs="宋体"/>
          <w:kern w:val="0"/>
          <w:sz w:val="24"/>
        </w:rPr>
        <w:t>效。</w:t>
      </w:r>
    </w:p>
    <w:p>
      <w:pPr>
        <w:widowControl/>
        <w:spacing w:before="100" w:beforeAutospacing="1" w:after="100" w:afterAutospacing="1" w:line="360" w:lineRule="auto"/>
        <w:ind w:firstLine="5160" w:firstLineChars="2150"/>
        <w:jc w:val="left"/>
        <w:rPr>
          <w:rFonts w:ascii="宋体" w:cs="宋体"/>
          <w:kern w:val="0"/>
          <w:sz w:val="24"/>
        </w:rPr>
      </w:pPr>
    </w:p>
    <w:p>
      <w:pPr>
        <w:widowControl/>
        <w:spacing w:before="100" w:beforeAutospacing="1" w:after="100" w:afterAutospacing="1" w:line="360" w:lineRule="auto"/>
        <w:ind w:firstLine="3960" w:firstLineChars="1650"/>
        <w:jc w:val="left"/>
        <w:rPr>
          <w:rFonts w:ascii="宋体" w:cs="宋体"/>
          <w:kern w:val="0"/>
          <w:sz w:val="24"/>
          <w:u w:val="single"/>
        </w:rPr>
      </w:pPr>
      <w:r>
        <w:rPr>
          <w:rFonts w:hint="eastAsia" w:ascii="宋体" w:cs="宋体"/>
          <w:kern w:val="0"/>
          <w:sz w:val="24"/>
        </w:rPr>
        <w:t>制造商</w:t>
      </w:r>
      <w:r>
        <w:rPr>
          <w:rFonts w:ascii="宋体" w:cs="宋体"/>
          <w:kern w:val="0"/>
          <w:sz w:val="24"/>
        </w:rPr>
        <w:t>名称（</w:t>
      </w:r>
      <w:r>
        <w:rPr>
          <w:rFonts w:hint="eastAsia" w:ascii="宋体" w:cs="宋体"/>
          <w:kern w:val="0"/>
          <w:sz w:val="24"/>
        </w:rPr>
        <w:t>盖公</w:t>
      </w:r>
      <w:r>
        <w:rPr>
          <w:rFonts w:ascii="宋体" w:cs="宋体"/>
          <w:kern w:val="0"/>
          <w:sz w:val="24"/>
        </w:rPr>
        <w:t>章）</w:t>
      </w:r>
      <w:r>
        <w:rPr>
          <w:rFonts w:hint="eastAsia" w:ascii="宋体" w:cs="宋体"/>
          <w:kern w:val="0"/>
          <w:sz w:val="24"/>
        </w:rPr>
        <w:t>：</w:t>
      </w:r>
    </w:p>
    <w:p>
      <w:pPr>
        <w:widowControl/>
        <w:spacing w:before="100" w:beforeAutospacing="1" w:after="100" w:afterAutospacing="1" w:line="360" w:lineRule="auto"/>
        <w:ind w:firstLine="3960" w:firstLineChars="1650"/>
        <w:jc w:val="left"/>
        <w:rPr>
          <w:rFonts w:ascii="宋体" w:cs="宋体"/>
          <w:kern w:val="0"/>
          <w:sz w:val="24"/>
        </w:rPr>
      </w:pPr>
      <w:r>
        <w:rPr>
          <w:rFonts w:hint="eastAsia" w:ascii="宋体" w:cs="宋体"/>
          <w:kern w:val="0"/>
          <w:sz w:val="24"/>
        </w:rPr>
        <w:t>投标人</w:t>
      </w:r>
      <w:r>
        <w:rPr>
          <w:rFonts w:ascii="宋体" w:cs="宋体"/>
          <w:kern w:val="0"/>
          <w:sz w:val="24"/>
        </w:rPr>
        <w:t>名称（盖</w:t>
      </w:r>
      <w:r>
        <w:rPr>
          <w:rFonts w:hint="eastAsia" w:ascii="宋体" w:cs="宋体"/>
          <w:kern w:val="0"/>
          <w:sz w:val="24"/>
        </w:rPr>
        <w:t>公</w:t>
      </w:r>
      <w:r>
        <w:rPr>
          <w:rFonts w:ascii="宋体" w:cs="宋体"/>
          <w:kern w:val="0"/>
          <w:sz w:val="24"/>
        </w:rPr>
        <w:t>章）：</w:t>
      </w:r>
    </w:p>
    <w:p>
      <w:pPr>
        <w:widowControl/>
        <w:spacing w:before="100" w:beforeAutospacing="1" w:after="100" w:afterAutospacing="1" w:line="360" w:lineRule="auto"/>
        <w:ind w:firstLine="3720" w:firstLineChars="1550"/>
        <w:jc w:val="left"/>
        <w:rPr>
          <w:rFonts w:ascii="宋体" w:cs="宋体"/>
          <w:kern w:val="0"/>
          <w:sz w:val="24"/>
        </w:rPr>
      </w:pPr>
      <w:r>
        <w:rPr>
          <w:rFonts w:ascii="宋体" w:cs="宋体"/>
          <w:kern w:val="0"/>
          <w:sz w:val="24"/>
        </w:rPr>
        <w:t>　日　期：</w:t>
      </w:r>
    </w:p>
    <w:p>
      <w:r>
        <w:br w:type="page"/>
      </w:r>
    </w:p>
    <w:p>
      <w:pPr>
        <w:rPr>
          <w:rFonts w:ascii="宋体"/>
          <w:b/>
          <w:bCs/>
          <w:kern w:val="0"/>
          <w:sz w:val="24"/>
        </w:rPr>
      </w:pPr>
      <w:r>
        <w:rPr>
          <w:rFonts w:hint="eastAsia" w:ascii="宋体"/>
          <w:b/>
          <w:bCs/>
          <w:kern w:val="0"/>
          <w:sz w:val="24"/>
        </w:rPr>
        <w:t>7.10 投标人近3年类似项目情况表</w:t>
      </w:r>
    </w:p>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投标人近3年类似项目情况表</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（格式自拟）</w:t>
      </w:r>
    </w:p>
    <w:tbl>
      <w:tblPr>
        <w:tblStyle w:val="22"/>
        <w:tblW w:w="923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8"/>
        <w:gridCol w:w="2885"/>
        <w:gridCol w:w="1442"/>
        <w:gridCol w:w="1426"/>
        <w:gridCol w:w="1425"/>
        <w:gridCol w:w="11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序号</w:t>
            </w:r>
          </w:p>
        </w:tc>
        <w:tc>
          <w:tcPr>
            <w:tcW w:w="2885" w:type="dxa"/>
            <w:tcBorders>
              <w:left w:val="single" w:color="auto" w:sz="4" w:space="0"/>
            </w:tcBorders>
            <w:noWrap/>
            <w:vAlign w:val="center"/>
          </w:tcPr>
          <w:p>
            <w:pPr>
              <w:jc w:val="center"/>
              <w:rPr>
                <w:rFonts w:ascii="宋体"/>
                <w:sz w:val="24"/>
              </w:rPr>
            </w:pPr>
            <w:r>
              <w:rPr>
                <w:rFonts w:hint="eastAsia" w:ascii="宋体"/>
                <w:sz w:val="24"/>
              </w:rPr>
              <w:t>项目名称</w:t>
            </w:r>
          </w:p>
        </w:tc>
        <w:tc>
          <w:tcPr>
            <w:tcW w:w="1442" w:type="dxa"/>
            <w:tcBorders>
              <w:right w:val="single" w:color="auto" w:sz="4" w:space="0"/>
            </w:tcBorders>
            <w:noWrap/>
            <w:vAlign w:val="center"/>
          </w:tcPr>
          <w:p>
            <w:pPr>
              <w:jc w:val="center"/>
              <w:rPr>
                <w:rFonts w:ascii="宋体"/>
                <w:sz w:val="24"/>
              </w:rPr>
            </w:pPr>
            <w:r>
              <w:rPr>
                <w:rFonts w:hint="eastAsia" w:ascii="宋体"/>
                <w:sz w:val="24"/>
              </w:rPr>
              <w:t>采购人</w:t>
            </w:r>
          </w:p>
        </w:tc>
        <w:tc>
          <w:tcPr>
            <w:tcW w:w="1426" w:type="dxa"/>
            <w:tcBorders>
              <w:left w:val="single" w:color="auto" w:sz="4" w:space="0"/>
              <w:right w:val="single" w:color="auto" w:sz="4" w:space="0"/>
            </w:tcBorders>
            <w:noWrap/>
            <w:vAlign w:val="center"/>
          </w:tcPr>
          <w:p>
            <w:pPr>
              <w:jc w:val="center"/>
              <w:rPr>
                <w:rFonts w:ascii="宋体"/>
                <w:sz w:val="24"/>
              </w:rPr>
            </w:pPr>
            <w:r>
              <w:rPr>
                <w:rFonts w:hint="eastAsia" w:ascii="宋体"/>
                <w:sz w:val="24"/>
              </w:rPr>
              <w:t>合同金额</w:t>
            </w:r>
          </w:p>
        </w:tc>
        <w:tc>
          <w:tcPr>
            <w:tcW w:w="1425" w:type="dxa"/>
            <w:tcBorders>
              <w:left w:val="single" w:color="auto" w:sz="4" w:space="0"/>
              <w:right w:val="single" w:color="auto" w:sz="4" w:space="0"/>
            </w:tcBorders>
            <w:noWrap/>
            <w:vAlign w:val="center"/>
          </w:tcPr>
          <w:p>
            <w:pPr>
              <w:jc w:val="center"/>
              <w:rPr>
                <w:rFonts w:ascii="宋体"/>
                <w:sz w:val="24"/>
              </w:rPr>
            </w:pPr>
            <w:r>
              <w:rPr>
                <w:rFonts w:hint="eastAsia" w:ascii="宋体"/>
                <w:sz w:val="24"/>
              </w:rPr>
              <w:t>签约日期</w:t>
            </w:r>
          </w:p>
        </w:tc>
        <w:tc>
          <w:tcPr>
            <w:tcW w:w="1181" w:type="dxa"/>
            <w:tcBorders>
              <w:left w:val="single" w:color="auto" w:sz="4" w:space="0"/>
            </w:tcBorders>
            <w:noWrap/>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1</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2</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noWrap/>
            <w:vAlign w:val="center"/>
          </w:tcPr>
          <w:p>
            <w:pPr>
              <w:jc w:val="center"/>
              <w:rPr>
                <w:rFonts w:ascii="宋体"/>
                <w:sz w:val="24"/>
              </w:rPr>
            </w:pPr>
            <w:r>
              <w:rPr>
                <w:rFonts w:hint="eastAsia" w:ascii="宋体"/>
                <w:sz w:val="24"/>
              </w:rPr>
              <w:t>3</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4" w:hRule="atLeast"/>
          <w:jc w:val="center"/>
        </w:trPr>
        <w:tc>
          <w:tcPr>
            <w:tcW w:w="878" w:type="dxa"/>
            <w:tcBorders>
              <w:right w:val="single" w:color="auto" w:sz="4" w:space="0"/>
            </w:tcBorders>
            <w:noWrap/>
            <w:vAlign w:val="center"/>
          </w:tcPr>
          <w:p>
            <w:pPr>
              <w:jc w:val="center"/>
              <w:rPr>
                <w:rFonts w:ascii="宋体"/>
                <w:sz w:val="24"/>
              </w:rPr>
            </w:pPr>
            <w:r>
              <w:rPr>
                <w:rFonts w:hint="eastAsia" w:ascii="宋体" w:cs="宋体"/>
                <w:sz w:val="24"/>
              </w:rPr>
              <w:t>……</w:t>
            </w:r>
          </w:p>
        </w:tc>
        <w:tc>
          <w:tcPr>
            <w:tcW w:w="2885" w:type="dxa"/>
            <w:tcBorders>
              <w:left w:val="single" w:color="auto" w:sz="4" w:space="0"/>
            </w:tcBorders>
            <w:noWrap/>
            <w:vAlign w:val="center"/>
          </w:tcPr>
          <w:p>
            <w:pPr>
              <w:jc w:val="center"/>
              <w:rPr>
                <w:rFonts w:ascii="宋体"/>
                <w:sz w:val="24"/>
              </w:rPr>
            </w:pPr>
          </w:p>
        </w:tc>
        <w:tc>
          <w:tcPr>
            <w:tcW w:w="1442" w:type="dxa"/>
            <w:tcBorders>
              <w:right w:val="single" w:color="auto" w:sz="4" w:space="0"/>
            </w:tcBorders>
            <w:noWrap/>
            <w:vAlign w:val="center"/>
          </w:tcPr>
          <w:p>
            <w:pPr>
              <w:jc w:val="center"/>
              <w:rPr>
                <w:rFonts w:ascii="宋体"/>
                <w:sz w:val="24"/>
              </w:rPr>
            </w:pPr>
          </w:p>
        </w:tc>
        <w:tc>
          <w:tcPr>
            <w:tcW w:w="1426" w:type="dxa"/>
            <w:tcBorders>
              <w:left w:val="single" w:color="auto" w:sz="4" w:space="0"/>
              <w:right w:val="single" w:color="auto" w:sz="4" w:space="0"/>
            </w:tcBorders>
            <w:noWrap/>
            <w:vAlign w:val="center"/>
          </w:tcPr>
          <w:p>
            <w:pPr>
              <w:jc w:val="center"/>
              <w:rPr>
                <w:rFonts w:ascii="宋体"/>
                <w:sz w:val="24"/>
              </w:rPr>
            </w:pPr>
          </w:p>
        </w:tc>
        <w:tc>
          <w:tcPr>
            <w:tcW w:w="1425" w:type="dxa"/>
            <w:tcBorders>
              <w:left w:val="single" w:color="auto" w:sz="4" w:space="0"/>
              <w:right w:val="single" w:color="auto" w:sz="4" w:space="0"/>
            </w:tcBorders>
            <w:noWrap/>
            <w:vAlign w:val="center"/>
          </w:tcPr>
          <w:p>
            <w:pPr>
              <w:jc w:val="center"/>
              <w:rPr>
                <w:rFonts w:ascii="宋体"/>
                <w:sz w:val="24"/>
              </w:rPr>
            </w:pPr>
          </w:p>
        </w:tc>
        <w:tc>
          <w:tcPr>
            <w:tcW w:w="1181" w:type="dxa"/>
            <w:tcBorders>
              <w:left w:val="single" w:color="auto" w:sz="4" w:space="0"/>
            </w:tcBorders>
            <w:noWrap/>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1、本表后须附</w:t>
      </w:r>
      <w:r>
        <w:rPr>
          <w:rFonts w:hint="eastAsia" w:ascii="宋体"/>
          <w:color w:val="auto"/>
          <w:sz w:val="24"/>
          <w:lang w:val="en-US" w:eastAsia="zh-CN"/>
        </w:rPr>
        <w:t>自</w:t>
      </w:r>
      <w:r>
        <w:rPr>
          <w:rFonts w:hint="eastAsia" w:ascii="宋体" w:cs="宋体"/>
          <w:color w:val="auto"/>
          <w:sz w:val="24"/>
          <w:lang w:val="en-US" w:eastAsia="zh-CN"/>
        </w:rPr>
        <w:t>2019年6月1日至今政府采购类的同类项目业绩证明</w:t>
      </w:r>
      <w:r>
        <w:rPr>
          <w:rFonts w:hint="eastAsia" w:ascii="宋体"/>
          <w:sz w:val="24"/>
        </w:rPr>
        <w:t>资料（中标通知书或合同复印件）</w:t>
      </w:r>
    </w:p>
    <w:p>
      <w:pPr>
        <w:spacing w:line="360" w:lineRule="auto"/>
        <w:jc w:val="left"/>
      </w:pPr>
      <w:r>
        <w:rPr>
          <w:rFonts w:hint="eastAsia" w:ascii="宋体"/>
          <w:sz w:val="24"/>
        </w:rPr>
        <w:t>2、表格填写项目信息，并注明序号、页码。</w:t>
      </w:r>
    </w:p>
    <w:p>
      <w:r>
        <w:rPr>
          <w:rFonts w:hint="eastAsia" w:ascii="宋体"/>
          <w:b/>
          <w:bCs/>
          <w:kern w:val="0"/>
          <w:sz w:val="24"/>
        </w:rPr>
        <w:t>7.2.11. 其他需要提交的资料</w:t>
      </w:r>
    </w:p>
    <w:p>
      <w:pPr>
        <w:shd w:val="clear" w:color="auto" w:fill="FFFFFF"/>
        <w:snapToGrid w:val="0"/>
        <w:spacing w:line="384" w:lineRule="auto"/>
        <w:jc w:val="center"/>
        <w:rPr>
          <w:rFonts w:ascii="宋体"/>
          <w:sz w:val="32"/>
          <w:szCs w:val="32"/>
        </w:rPr>
      </w:pPr>
      <w:r>
        <w:rPr>
          <w:rFonts w:hint="eastAsia" w:ascii="宋体"/>
          <w:b/>
          <w:bCs/>
          <w:sz w:val="32"/>
          <w:szCs w:val="32"/>
        </w:rPr>
        <w:t>（一）资格声明（制造商、代理商或经销商）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为响应（招标项目标段名称）招标文件的要求，我方作为本次投标货物的</w:t>
      </w:r>
      <w:r>
        <w:rPr>
          <w:rFonts w:hint="eastAsia" w:ascii="宋体"/>
          <w:b/>
          <w:sz w:val="24"/>
          <w:u w:val="single"/>
        </w:rPr>
        <w:t>（制造商、代理商或经销商）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1、投标人基本情况表</w:t>
      </w:r>
    </w:p>
    <w:p>
      <w:pPr>
        <w:shd w:val="clear" w:color="auto" w:fill="FFFFFF"/>
        <w:snapToGrid w:val="0"/>
        <w:spacing w:line="384" w:lineRule="auto"/>
        <w:rPr>
          <w:rFonts w:ascii="宋体"/>
          <w:sz w:val="24"/>
        </w:rPr>
      </w:pPr>
      <w:r>
        <w:rPr>
          <w:rFonts w:hint="eastAsia" w:ascii="宋体"/>
          <w:sz w:val="24"/>
        </w:rPr>
        <w:t>2、投标货物生产能力说明（如有时，制造商提供）</w:t>
      </w:r>
    </w:p>
    <w:p>
      <w:pPr>
        <w:shd w:val="clear" w:color="auto" w:fill="FFFFFF"/>
        <w:snapToGrid w:val="0"/>
        <w:spacing w:line="384" w:lineRule="auto"/>
        <w:rPr>
          <w:rFonts w:ascii="宋体"/>
          <w:sz w:val="24"/>
        </w:rPr>
      </w:pPr>
      <w:r>
        <w:rPr>
          <w:rFonts w:hint="eastAsia" w:ascii="宋体"/>
          <w:sz w:val="24"/>
        </w:rPr>
        <w:t>3、制造商授权书（如有时，代理商或经销商提供）</w:t>
      </w:r>
    </w:p>
    <w:p>
      <w:pPr>
        <w:shd w:val="clear" w:color="auto" w:fill="FFFFFF"/>
        <w:snapToGrid w:val="0"/>
        <w:spacing w:line="384" w:lineRule="auto"/>
        <w:rPr>
          <w:rFonts w:ascii="宋体" w:hAnsi="宋体"/>
          <w:kern w:val="0"/>
          <w:sz w:val="24"/>
        </w:rPr>
      </w:pPr>
      <w:r>
        <w:rPr>
          <w:rFonts w:hint="eastAsia" w:ascii="宋体"/>
          <w:sz w:val="24"/>
        </w:rPr>
        <w:t>4、投标人近年类似供货项目情况表</w:t>
      </w:r>
    </w:p>
    <w:p>
      <w:pPr>
        <w:spacing w:line="360" w:lineRule="auto"/>
        <w:jc w:val="center"/>
        <w:rPr>
          <w:b/>
          <w:bCs/>
          <w:sz w:val="32"/>
          <w:szCs w:val="32"/>
        </w:rPr>
      </w:pPr>
      <w:r>
        <w:rPr>
          <w:rFonts w:hint="eastAsia"/>
          <w:b/>
          <w:bCs/>
          <w:sz w:val="32"/>
          <w:szCs w:val="32"/>
        </w:rPr>
        <w:t>（二）供货计划</w:t>
      </w:r>
    </w:p>
    <w:p>
      <w:pPr>
        <w:spacing w:line="360" w:lineRule="auto"/>
        <w:rPr>
          <w:rFonts w:ascii="宋体" w:cs="宋体"/>
          <w:b/>
          <w:sz w:val="30"/>
          <w:szCs w:val="30"/>
        </w:rPr>
      </w:pPr>
      <w:r>
        <w:rPr>
          <w:rFonts w:hint="eastAsia"/>
          <w:sz w:val="24"/>
        </w:rPr>
        <w:t>投标人根据企业自身情况编制供货详则。</w:t>
      </w:r>
    </w:p>
    <w:p>
      <w:pPr>
        <w:pStyle w:val="11"/>
        <w:jc w:val="center"/>
        <w:rPr>
          <w:sz w:val="32"/>
          <w:szCs w:val="32"/>
        </w:rPr>
      </w:pPr>
      <w:r>
        <w:rPr>
          <w:rFonts w:hint="eastAsia"/>
          <w:b/>
          <w:bCs/>
          <w:sz w:val="32"/>
          <w:szCs w:val="32"/>
        </w:rPr>
        <w:t>（三）服务方案</w:t>
      </w:r>
    </w:p>
    <w:p>
      <w:pPr>
        <w:pStyle w:val="11"/>
        <w:ind w:firstLine="480" w:firstLineChars="200"/>
        <w:rPr>
          <w:rFonts w:ascii="宋体" w:cs="宋体"/>
          <w:sz w:val="24"/>
        </w:rPr>
      </w:pPr>
      <w:r>
        <w:rPr>
          <w:rFonts w:hint="eastAsia" w:cs="宋体"/>
          <w:bCs/>
          <w:sz w:val="24"/>
        </w:rPr>
        <w:t>投标人根据此次项目实际需求，制定具体的供货服务方案。</w:t>
      </w:r>
      <w:bookmarkEnd w:id="32"/>
      <w:bookmarkEnd w:id="33"/>
    </w:p>
    <w:sectPr>
      <w:footerReference r:id="rId5" w:type="default"/>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no959cAAAADAQAA&#10;DwAAAAAAAAABACAAAAAiAAAAZHJzL2Rvd25yZXYueG1sUEsBAhQAFAAAAAgAh07iQNMRTi3hAQAA&#10;mgMAAA4AAAAAAAAAAQAgAAAAJgEAAGRycy9lMm9Eb2MueG1sUEsFBgAAAAAGAAYAWQEAAHkFAAAA&#10;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E6B83"/>
    <w:multiLevelType w:val="singleLevel"/>
    <w:tmpl w:val="D46E6B83"/>
    <w:lvl w:ilvl="0" w:tentative="0">
      <w:start w:val="1"/>
      <w:numFmt w:val="decimal"/>
      <w:suff w:val="space"/>
      <w:lvlText w:val="%1."/>
      <w:lvlJc w:val="left"/>
    </w:lvl>
  </w:abstractNum>
  <w:abstractNum w:abstractNumId="1">
    <w:nsid w:val="FDE47DAE"/>
    <w:multiLevelType w:val="singleLevel"/>
    <w:tmpl w:val="FDE47DAE"/>
    <w:lvl w:ilvl="0" w:tentative="0">
      <w:start w:val="3"/>
      <w:numFmt w:val="decimal"/>
      <w:suff w:val="nothing"/>
      <w:lvlText w:val="%1、"/>
      <w:lvlJc w:val="left"/>
      <w:pPr>
        <w:tabs>
          <w:tab w:val="left" w:pos="0"/>
        </w:tabs>
        <w:ind w:left="210" w:hanging="210"/>
      </w:pPr>
    </w:lvl>
  </w:abstractNum>
  <w:abstractNum w:abstractNumId="2">
    <w:nsid w:val="FFCD3149"/>
    <w:multiLevelType w:val="singleLevel"/>
    <w:tmpl w:val="FFCD3149"/>
    <w:lvl w:ilvl="0" w:tentative="0">
      <w:start w:val="1"/>
      <w:numFmt w:val="chineseCounting"/>
      <w:suff w:val="space"/>
      <w:lvlText w:val="第%1章"/>
      <w:lvlJc w:val="left"/>
      <w:rPr>
        <w:rFonts w:hint="eastAsia"/>
      </w:rPr>
    </w:lvl>
  </w:abstractNum>
  <w:abstractNum w:abstractNumId="3">
    <w:nsid w:val="0000000D"/>
    <w:multiLevelType w:val="multilevel"/>
    <w:tmpl w:val="0000000D"/>
    <w:lvl w:ilvl="0" w:tentative="0">
      <w:start w:val="1"/>
      <w:numFmt w:val="decimal"/>
      <w:pStyle w:val="9"/>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abstractNum w:abstractNumId="4">
    <w:nsid w:val="1A95274C"/>
    <w:multiLevelType w:val="singleLevel"/>
    <w:tmpl w:val="1A95274C"/>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NTNlYzU2NDZlZWRhZGY1YzdjNGExMDUwNGJjODllMjkifQ=="/>
  </w:docVars>
  <w:rsids>
    <w:rsidRoot w:val="00DE2F82"/>
    <w:rsid w:val="00000731"/>
    <w:rsid w:val="0021069E"/>
    <w:rsid w:val="002A7AE5"/>
    <w:rsid w:val="004A2A8D"/>
    <w:rsid w:val="00655F44"/>
    <w:rsid w:val="00B66EA5"/>
    <w:rsid w:val="00CF0B79"/>
    <w:rsid w:val="00DE2F82"/>
    <w:rsid w:val="00EF5F59"/>
    <w:rsid w:val="00FB6155"/>
    <w:rsid w:val="031F19C3"/>
    <w:rsid w:val="049D3D2D"/>
    <w:rsid w:val="04F512AE"/>
    <w:rsid w:val="06B71DFB"/>
    <w:rsid w:val="06F3033E"/>
    <w:rsid w:val="07067990"/>
    <w:rsid w:val="08021565"/>
    <w:rsid w:val="08AD757C"/>
    <w:rsid w:val="092E6436"/>
    <w:rsid w:val="094B0283"/>
    <w:rsid w:val="0A3129F8"/>
    <w:rsid w:val="0AC11D92"/>
    <w:rsid w:val="0B7A0B14"/>
    <w:rsid w:val="0D5A6EB9"/>
    <w:rsid w:val="0DAC5A79"/>
    <w:rsid w:val="0DD179C0"/>
    <w:rsid w:val="0E175646"/>
    <w:rsid w:val="11801926"/>
    <w:rsid w:val="17E27CB5"/>
    <w:rsid w:val="1B455BFF"/>
    <w:rsid w:val="1D292B87"/>
    <w:rsid w:val="1E2C7EFA"/>
    <w:rsid w:val="1F611F4A"/>
    <w:rsid w:val="21290BD0"/>
    <w:rsid w:val="238F5BA2"/>
    <w:rsid w:val="27431628"/>
    <w:rsid w:val="2B022BD1"/>
    <w:rsid w:val="2B277BDE"/>
    <w:rsid w:val="2B942A1A"/>
    <w:rsid w:val="2D855B88"/>
    <w:rsid w:val="2D932EEE"/>
    <w:rsid w:val="2DF81343"/>
    <w:rsid w:val="2F8A2A38"/>
    <w:rsid w:val="2FEC45E8"/>
    <w:rsid w:val="30E93D43"/>
    <w:rsid w:val="34FC6219"/>
    <w:rsid w:val="351D7170"/>
    <w:rsid w:val="362102F7"/>
    <w:rsid w:val="39066531"/>
    <w:rsid w:val="3B253993"/>
    <w:rsid w:val="3BD24ADA"/>
    <w:rsid w:val="3CDC1760"/>
    <w:rsid w:val="3CF662B0"/>
    <w:rsid w:val="3DBA2447"/>
    <w:rsid w:val="408A2F1C"/>
    <w:rsid w:val="40B70EA5"/>
    <w:rsid w:val="4108388B"/>
    <w:rsid w:val="41AD4A7B"/>
    <w:rsid w:val="41C175F4"/>
    <w:rsid w:val="41EF494F"/>
    <w:rsid w:val="43F473D5"/>
    <w:rsid w:val="46E05BF1"/>
    <w:rsid w:val="4828123E"/>
    <w:rsid w:val="4A9C4D9C"/>
    <w:rsid w:val="4D6E1755"/>
    <w:rsid w:val="4E1C7D87"/>
    <w:rsid w:val="4FF72AA1"/>
    <w:rsid w:val="509640F4"/>
    <w:rsid w:val="50A20476"/>
    <w:rsid w:val="53120065"/>
    <w:rsid w:val="53B05B15"/>
    <w:rsid w:val="547E50C0"/>
    <w:rsid w:val="597D28F2"/>
    <w:rsid w:val="5E17239A"/>
    <w:rsid w:val="5FBB6718"/>
    <w:rsid w:val="628D54C3"/>
    <w:rsid w:val="62D3622F"/>
    <w:rsid w:val="652F1636"/>
    <w:rsid w:val="657F5770"/>
    <w:rsid w:val="65CD6016"/>
    <w:rsid w:val="67587648"/>
    <w:rsid w:val="68354AD7"/>
    <w:rsid w:val="6A1567FD"/>
    <w:rsid w:val="6BFA09A6"/>
    <w:rsid w:val="707510DD"/>
    <w:rsid w:val="720521C9"/>
    <w:rsid w:val="72751179"/>
    <w:rsid w:val="75566BDA"/>
    <w:rsid w:val="783E0EE3"/>
    <w:rsid w:val="799F74F3"/>
    <w:rsid w:val="7DDA74B8"/>
    <w:rsid w:val="7F111831"/>
    <w:rsid w:val="7F2F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5"/>
    <w:qFormat/>
    <w:uiPriority w:val="0"/>
    <w:pPr>
      <w:spacing w:beforeAutospacing="1" w:afterAutospacing="1"/>
      <w:jc w:val="left"/>
      <w:outlineLvl w:val="1"/>
    </w:pPr>
    <w:rPr>
      <w:rFonts w:ascii="宋体" w:cs="Times New Roman"/>
      <w:b/>
      <w:kern w:val="0"/>
      <w:sz w:val="36"/>
      <w:szCs w:val="36"/>
    </w:rPr>
  </w:style>
  <w:style w:type="paragraph" w:styleId="2">
    <w:name w:val="heading 3"/>
    <w:basedOn w:val="1"/>
    <w:next w:val="1"/>
    <w:qFormat/>
    <w:uiPriority w:val="0"/>
    <w:pPr>
      <w:keepNext/>
      <w:keepLines/>
      <w:spacing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5">
    <w:name w:val="文档正文"/>
    <w:basedOn w:val="6"/>
    <w:qFormat/>
    <w:uiPriority w:val="0"/>
    <w:pPr>
      <w:spacing w:line="360" w:lineRule="auto"/>
    </w:pPr>
    <w:rPr>
      <w:rFonts w:ascii="宋体"/>
      <w:b/>
      <w:bCs/>
    </w:rPr>
  </w:style>
  <w:style w:type="paragraph" w:styleId="6">
    <w:name w:val="Normal Indent"/>
    <w:basedOn w:val="1"/>
    <w:next w:val="1"/>
    <w:qFormat/>
    <w:uiPriority w:val="0"/>
    <w:pPr>
      <w:ind w:firstLine="420"/>
    </w:pPr>
  </w:style>
  <w:style w:type="paragraph" w:styleId="7">
    <w:name w:val="index 8"/>
    <w:basedOn w:val="1"/>
    <w:next w:val="1"/>
    <w:qFormat/>
    <w:uiPriority w:val="0"/>
    <w:pPr>
      <w:ind w:left="1400" w:leftChars="1400"/>
    </w:pPr>
  </w:style>
  <w:style w:type="paragraph" w:styleId="8">
    <w:name w:val="annotation text"/>
    <w:basedOn w:val="1"/>
    <w:qFormat/>
    <w:uiPriority w:val="0"/>
    <w:pPr>
      <w:jc w:val="left"/>
    </w:pPr>
  </w:style>
  <w:style w:type="paragraph" w:styleId="9">
    <w:name w:val="Body Text"/>
    <w:basedOn w:val="1"/>
    <w:qFormat/>
    <w:uiPriority w:val="0"/>
    <w:pPr>
      <w:numPr>
        <w:ilvl w:val="0"/>
        <w:numId w:val="1"/>
      </w:numPr>
      <w:ind w:left="0" w:firstLine="0"/>
    </w:pPr>
    <w:rPr>
      <w:rFonts w:ascii="黑体" w:eastAsia="黑体"/>
      <w:sz w:val="22"/>
    </w:rPr>
  </w:style>
  <w:style w:type="paragraph" w:styleId="10">
    <w:name w:val="toc 3"/>
    <w:basedOn w:val="1"/>
    <w:next w:val="1"/>
    <w:qFormat/>
    <w:uiPriority w:val="0"/>
    <w:pPr>
      <w:ind w:left="400" w:leftChars="400"/>
    </w:pPr>
  </w:style>
  <w:style w:type="paragraph" w:styleId="11">
    <w:name w:val="Plain Text"/>
    <w:basedOn w:val="1"/>
    <w:next w:val="12"/>
    <w:qFormat/>
    <w:uiPriority w:val="0"/>
    <w:rPr>
      <w:rFonts w:ascii="宋体"/>
    </w:rPr>
  </w:style>
  <w:style w:type="paragraph" w:styleId="12">
    <w:name w:val="index 7"/>
    <w:basedOn w:val="1"/>
    <w:next w:val="1"/>
    <w:qFormat/>
    <w:uiPriority w:val="0"/>
    <w:pPr>
      <w:ind w:left="1200" w:leftChars="1200"/>
    </w:pPr>
  </w:style>
  <w:style w:type="paragraph" w:styleId="13">
    <w:name w:val="Date"/>
    <w:basedOn w:val="1"/>
    <w:next w:val="1"/>
    <w:qFormat/>
    <w:uiPriority w:val="0"/>
    <w:rPr>
      <w:szCs w:val="20"/>
    </w:rPr>
  </w:style>
  <w:style w:type="paragraph" w:styleId="14">
    <w:name w:val="Body Text Indent 2"/>
    <w:basedOn w:val="1"/>
    <w:qFormat/>
    <w:uiPriority w:val="0"/>
    <w:pPr>
      <w:spacing w:line="360" w:lineRule="auto"/>
      <w:ind w:firstLine="607"/>
    </w:pPr>
    <w:rPr>
      <w:rFonts w:ascii="楷体_GB2312" w:hAnsi="楷体_GB2312"/>
      <w:sz w:val="28"/>
      <w:szCs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tabs>
        <w:tab w:val="center" w:pos="4153"/>
        <w:tab w:val="right" w:pos="8306"/>
      </w:tabs>
      <w:snapToGrid w:val="0"/>
    </w:pPr>
    <w:rPr>
      <w:sz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rPr>
  </w:style>
  <w:style w:type="paragraph" w:styleId="20">
    <w:name w:val="toc 2"/>
    <w:basedOn w:val="1"/>
    <w:next w:val="1"/>
    <w:qFormat/>
    <w:uiPriority w:val="0"/>
    <w:pPr>
      <w:ind w:left="200" w:leftChars="200"/>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555555"/>
      <w:u w:val="none"/>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1">
    <w:name w:val="font21"/>
    <w:basedOn w:val="23"/>
    <w:qFormat/>
    <w:uiPriority w:val="0"/>
    <w:rPr>
      <w:rFonts w:ascii="宋体" w:eastAsia="宋体" w:cs="宋体"/>
      <w:color w:val="FF0000"/>
      <w:sz w:val="18"/>
      <w:szCs w:val="18"/>
      <w:u w:val="none"/>
    </w:rPr>
  </w:style>
  <w:style w:type="character" w:customStyle="1" w:styleId="32">
    <w:name w:val="font101"/>
    <w:basedOn w:val="23"/>
    <w:qFormat/>
    <w:uiPriority w:val="0"/>
    <w:rPr>
      <w:rFonts w:ascii="Calibri" w:hAnsi="Calibri" w:cs="Calibri"/>
      <w:color w:val="FF0000"/>
      <w:sz w:val="18"/>
      <w:szCs w:val="18"/>
      <w:u w:val="none"/>
    </w:rPr>
  </w:style>
  <w:style w:type="character" w:customStyle="1" w:styleId="33">
    <w:name w:val="font121"/>
    <w:basedOn w:val="23"/>
    <w:qFormat/>
    <w:uiPriority w:val="0"/>
    <w:rPr>
      <w:rFonts w:ascii="宋体" w:eastAsia="宋体" w:cs="宋体"/>
      <w:color w:val="FF0000"/>
      <w:sz w:val="22"/>
      <w:szCs w:val="22"/>
      <w:u w:val="none"/>
    </w:rPr>
  </w:style>
  <w:style w:type="character" w:customStyle="1" w:styleId="34">
    <w:name w:val="font11"/>
    <w:basedOn w:val="23"/>
    <w:qFormat/>
    <w:uiPriority w:val="0"/>
    <w:rPr>
      <w:rFonts w:ascii="Times New Roman" w:hAnsi="Times New Roman" w:cs="Times New Roman"/>
      <w:color w:val="FF0000"/>
      <w:sz w:val="22"/>
      <w:szCs w:val="22"/>
      <w:u w:val="none"/>
    </w:rPr>
  </w:style>
  <w:style w:type="character" w:customStyle="1" w:styleId="35">
    <w:name w:val="font41"/>
    <w:basedOn w:val="23"/>
    <w:qFormat/>
    <w:uiPriority w:val="0"/>
    <w:rPr>
      <w:rFonts w:ascii="宋体" w:eastAsia="宋体" w:cs="宋体"/>
      <w:color w:val="000000"/>
      <w:sz w:val="22"/>
      <w:szCs w:val="22"/>
      <w:u w:val="none"/>
    </w:rPr>
  </w:style>
  <w:style w:type="character" w:customStyle="1" w:styleId="36">
    <w:name w:val="font91"/>
    <w:basedOn w:val="23"/>
    <w:qFormat/>
    <w:uiPriority w:val="0"/>
    <w:rPr>
      <w:rFonts w:ascii="Times New Roman" w:hAnsi="Times New Roman" w:cs="Times New Roman"/>
      <w:color w:val="000000"/>
      <w:sz w:val="22"/>
      <w:szCs w:val="22"/>
      <w:u w:val="none"/>
    </w:rPr>
  </w:style>
  <w:style w:type="character" w:customStyle="1" w:styleId="37">
    <w:name w:val="font51"/>
    <w:basedOn w:val="23"/>
    <w:qFormat/>
    <w:uiPriority w:val="0"/>
    <w:rPr>
      <w:rFonts w:ascii="宋体" w:eastAsia="宋体" w:cs="宋体"/>
      <w:color w:val="000000"/>
      <w:sz w:val="18"/>
      <w:szCs w:val="18"/>
      <w:u w:val="none"/>
    </w:rPr>
  </w:style>
  <w:style w:type="character" w:customStyle="1" w:styleId="38">
    <w:name w:val="font01"/>
    <w:basedOn w:val="23"/>
    <w:qFormat/>
    <w:uiPriority w:val="0"/>
    <w:rPr>
      <w:rFonts w:ascii="宋体" w:eastAsia="宋体" w:cs="宋体"/>
      <w:b/>
      <w:color w:val="FF0000"/>
      <w:sz w:val="22"/>
      <w:szCs w:val="22"/>
      <w:u w:val="none"/>
    </w:rPr>
  </w:style>
  <w:style w:type="character" w:customStyle="1" w:styleId="39">
    <w:name w:val="font71"/>
    <w:basedOn w:val="23"/>
    <w:qFormat/>
    <w:uiPriority w:val="0"/>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37291</Words>
  <Characters>39355</Characters>
  <Lines>275</Lines>
  <Paragraphs>77</Paragraphs>
  <TotalTime>20</TotalTime>
  <ScaleCrop>false</ScaleCrop>
  <LinksUpToDate>false</LinksUpToDate>
  <CharactersWithSpaces>41445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Administrator</cp:lastModifiedBy>
  <cp:lastPrinted>2022-03-16T15:49:00Z</cp:lastPrinted>
  <dcterms:modified xsi:type="dcterms:W3CDTF">2022-06-06T10:08:12Z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A549AFD92943412B9ACA4C0C54A488CB</vt:lpwstr>
  </property>
</Properties>
</file>