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val="0"/>
        <w:autoSpaceDN w:val="0"/>
        <w:spacing w:before="0" w:after="160" w:line="240" w:lineRule="auto"/>
        <w:ind w:right="0" w:firstLine="0"/>
        <w:jc w:val="right"/>
        <w:rPr>
          <w:rFonts w:hint="eastAsia" w:ascii="宋体" w:hAnsi="宋体" w:eastAsia="宋体" w:cs="宋体"/>
          <w:b/>
          <w:color w:val="auto"/>
          <w:position w:val="0"/>
          <w:sz w:val="36"/>
          <w:szCs w:val="36"/>
          <w:lang w:eastAsia="zh-CN"/>
        </w:rPr>
      </w:pPr>
      <w:r>
        <w:rPr>
          <w:rFonts w:hint="eastAsia" w:ascii="宋体" w:hAnsi="宋体" w:eastAsia="宋体" w:cs="宋体"/>
          <w:b/>
          <w:color w:val="auto"/>
          <w:position w:val="0"/>
          <w:sz w:val="28"/>
          <w:szCs w:val="28"/>
        </w:rPr>
        <w:t>项目编号：DXZB【2022】-0</w:t>
      </w:r>
      <w:r>
        <w:rPr>
          <w:rFonts w:hint="eastAsia" w:ascii="宋体" w:hAnsi="宋体" w:eastAsia="宋体" w:cs="宋体"/>
          <w:b/>
          <w:color w:val="auto"/>
          <w:position w:val="0"/>
          <w:sz w:val="28"/>
          <w:szCs w:val="28"/>
          <w:lang w:val="en-US" w:eastAsia="zh-CN"/>
        </w:rPr>
        <w:t>4</w:t>
      </w:r>
    </w:p>
    <w:p>
      <w:pPr>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36"/>
          <w:szCs w:val="36"/>
        </w:rPr>
      </w:pPr>
    </w:p>
    <w:p>
      <w:pPr>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36"/>
          <w:szCs w:val="36"/>
        </w:rPr>
      </w:pPr>
    </w:p>
    <w:p>
      <w:pPr>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36"/>
          <w:szCs w:val="36"/>
        </w:rPr>
      </w:pPr>
    </w:p>
    <w:p>
      <w:pPr>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36"/>
          <w:szCs w:val="36"/>
        </w:rPr>
      </w:pPr>
    </w:p>
    <w:p>
      <w:pPr>
        <w:numPr>
          <w:ilvl w:val="0"/>
          <w:numId w:val="0"/>
        </w:numPr>
        <w:autoSpaceDE w:val="0"/>
        <w:autoSpaceDN w:val="0"/>
        <w:spacing w:before="0" w:after="160" w:line="360" w:lineRule="auto"/>
        <w:ind w:right="0" w:firstLine="0"/>
        <w:jc w:val="center"/>
        <w:rPr>
          <w:rFonts w:hint="eastAsia" w:ascii="宋体" w:hAnsi="宋体" w:eastAsia="宋体" w:cs="宋体"/>
          <w:b/>
          <w:color w:val="auto"/>
          <w:position w:val="0"/>
          <w:sz w:val="36"/>
          <w:szCs w:val="36"/>
        </w:rPr>
      </w:pPr>
      <w:r>
        <w:rPr>
          <w:rFonts w:hint="eastAsia" w:ascii="宋体" w:hAnsi="宋体" w:eastAsia="宋体" w:cs="宋体"/>
          <w:b/>
          <w:color w:val="auto"/>
          <w:position w:val="0"/>
          <w:sz w:val="36"/>
          <w:szCs w:val="36"/>
        </w:rPr>
        <w:t>竞争性磋商文件</w:t>
      </w:r>
    </w:p>
    <w:p>
      <w:pPr>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36"/>
          <w:szCs w:val="36"/>
        </w:rPr>
      </w:pPr>
    </w:p>
    <w:p>
      <w:pPr>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numPr>
          <w:ilvl w:val="0"/>
          <w:numId w:val="0"/>
        </w:numPr>
        <w:autoSpaceDE w:val="0"/>
        <w:autoSpaceDN w:val="0"/>
        <w:spacing w:before="0" w:after="0" w:line="288" w:lineRule="auto"/>
        <w:ind w:right="0" w:firstLine="0"/>
        <w:jc w:val="left"/>
        <w:rPr>
          <w:rFonts w:hint="eastAsia" w:ascii="宋体" w:hAnsi="宋体" w:eastAsia="宋体" w:cs="宋体"/>
          <w:b/>
          <w:color w:val="000000"/>
          <w:position w:val="0"/>
          <w:sz w:val="24"/>
          <w:szCs w:val="24"/>
          <w:lang w:val="en-US" w:eastAsia="zh-CN"/>
        </w:rPr>
      </w:pPr>
      <w:r>
        <w:rPr>
          <w:rFonts w:hint="eastAsia" w:ascii="宋体" w:hAnsi="宋体" w:eastAsia="宋体" w:cs="宋体"/>
          <w:b/>
          <w:color w:val="000000"/>
          <w:position w:val="0"/>
          <w:sz w:val="24"/>
          <w:szCs w:val="24"/>
        </w:rPr>
        <w:t>项目名称：</w:t>
      </w:r>
      <w:r>
        <w:rPr>
          <w:rFonts w:hint="eastAsia" w:ascii="宋体" w:hAnsi="宋体" w:eastAsia="宋体" w:cs="宋体"/>
          <w:b/>
          <w:color w:val="000000"/>
          <w:position w:val="0"/>
          <w:sz w:val="24"/>
          <w:szCs w:val="24"/>
          <w:lang w:val="en-US" w:eastAsia="zh-CN"/>
        </w:rPr>
        <w:t>哈密市巴里坤县人民医院医技楼建设项目(检验科 放射科装修工程)</w:t>
      </w:r>
    </w:p>
    <w:p>
      <w:pPr>
        <w:numPr>
          <w:ilvl w:val="0"/>
          <w:numId w:val="0"/>
        </w:numPr>
        <w:autoSpaceDE w:val="0"/>
        <w:autoSpaceDN w:val="0"/>
        <w:spacing w:before="0" w:after="0" w:line="288" w:lineRule="auto"/>
        <w:ind w:right="0" w:firstLine="0"/>
        <w:jc w:val="left"/>
        <w:rPr>
          <w:rFonts w:hint="eastAsia" w:ascii="宋体" w:hAnsi="宋体" w:eastAsia="宋体" w:cs="宋体"/>
          <w:b/>
          <w:color w:val="000000"/>
          <w:position w:val="0"/>
          <w:sz w:val="24"/>
          <w:szCs w:val="24"/>
        </w:rPr>
      </w:pPr>
    </w:p>
    <w:p>
      <w:pPr>
        <w:numPr>
          <w:ilvl w:val="0"/>
          <w:numId w:val="0"/>
        </w:numPr>
        <w:autoSpaceDE w:val="0"/>
        <w:autoSpaceDN w:val="0"/>
        <w:spacing w:before="0" w:after="160" w:line="360" w:lineRule="auto"/>
        <w:ind w:right="0" w:firstLine="0"/>
        <w:jc w:val="left"/>
        <w:rPr>
          <w:rFonts w:hint="eastAsia" w:ascii="宋体" w:hAnsi="宋体" w:eastAsia="宋体" w:cs="宋体"/>
          <w:b/>
          <w:color w:val="000000"/>
          <w:position w:val="0"/>
          <w:sz w:val="24"/>
          <w:szCs w:val="24"/>
        </w:rPr>
      </w:pPr>
      <w:r>
        <w:rPr>
          <w:rFonts w:hint="eastAsia" w:ascii="宋体" w:hAnsi="宋体" w:eastAsia="宋体" w:cs="宋体"/>
          <w:b/>
          <w:color w:val="000000"/>
          <w:position w:val="0"/>
          <w:sz w:val="24"/>
          <w:szCs w:val="24"/>
        </w:rPr>
        <w:t>招标人：</w:t>
      </w:r>
      <w:r>
        <w:rPr>
          <w:rFonts w:hint="eastAsia" w:ascii="宋体" w:hAnsi="宋体" w:eastAsia="宋体" w:cs="宋体"/>
          <w:b/>
          <w:color w:val="000000"/>
          <w:position w:val="0"/>
          <w:sz w:val="24"/>
          <w:szCs w:val="24"/>
          <w:lang w:val="en-US" w:eastAsia="zh-CN"/>
        </w:rPr>
        <w:t>巴里坤哈萨克自治县人民医院</w:t>
      </w:r>
    </w:p>
    <w:p>
      <w:pPr>
        <w:numPr>
          <w:ilvl w:val="0"/>
          <w:numId w:val="0"/>
        </w:numPr>
        <w:autoSpaceDE w:val="0"/>
        <w:autoSpaceDN w:val="0"/>
        <w:spacing w:before="0" w:after="160" w:line="360" w:lineRule="auto"/>
        <w:ind w:right="0" w:firstLine="0"/>
        <w:jc w:val="left"/>
        <w:rPr>
          <w:rFonts w:hint="eastAsia" w:ascii="宋体" w:hAnsi="宋体" w:eastAsia="宋体" w:cs="宋体"/>
          <w:b/>
          <w:color w:val="000000"/>
          <w:position w:val="0"/>
          <w:sz w:val="24"/>
          <w:szCs w:val="24"/>
          <w:lang w:eastAsia="zh-CN"/>
        </w:rPr>
      </w:pPr>
      <w:r>
        <w:rPr>
          <w:rFonts w:hint="eastAsia" w:ascii="宋体" w:hAnsi="宋体" w:eastAsia="宋体" w:cs="宋体"/>
          <w:b/>
          <w:color w:val="000000"/>
          <w:position w:val="0"/>
          <w:sz w:val="24"/>
          <w:szCs w:val="24"/>
        </w:rPr>
        <w:t>联系人：</w:t>
      </w:r>
      <w:r>
        <w:rPr>
          <w:rFonts w:hint="eastAsia" w:ascii="宋体" w:hAnsi="宋体" w:eastAsia="宋体" w:cs="宋体"/>
          <w:b/>
          <w:color w:val="000000"/>
          <w:position w:val="0"/>
          <w:sz w:val="24"/>
          <w:szCs w:val="24"/>
          <w:lang w:eastAsia="zh-CN"/>
        </w:rPr>
        <w:t>祁光来</w:t>
      </w:r>
    </w:p>
    <w:p>
      <w:pPr>
        <w:numPr>
          <w:ilvl w:val="0"/>
          <w:numId w:val="0"/>
        </w:numPr>
        <w:autoSpaceDE w:val="0"/>
        <w:autoSpaceDN w:val="0"/>
        <w:spacing w:before="0" w:after="160" w:line="360" w:lineRule="auto"/>
        <w:ind w:right="0" w:firstLine="0"/>
        <w:jc w:val="left"/>
        <w:rPr>
          <w:rFonts w:hint="default" w:ascii="宋体" w:hAnsi="宋体" w:eastAsia="宋体" w:cs="宋体"/>
          <w:b/>
          <w:color w:val="000000"/>
          <w:position w:val="0"/>
          <w:sz w:val="24"/>
          <w:szCs w:val="24"/>
          <w:lang w:val="en-US" w:eastAsia="zh-CN"/>
        </w:rPr>
      </w:pPr>
      <w:r>
        <w:rPr>
          <w:rFonts w:hint="eastAsia" w:ascii="宋体" w:hAnsi="宋体" w:eastAsia="宋体" w:cs="宋体"/>
          <w:b/>
          <w:color w:val="000000"/>
          <w:position w:val="0"/>
          <w:sz w:val="24"/>
          <w:szCs w:val="24"/>
        </w:rPr>
        <w:t>电话：</w:t>
      </w:r>
      <w:r>
        <w:rPr>
          <w:rFonts w:hint="eastAsia" w:ascii="宋体" w:hAnsi="宋体" w:eastAsia="宋体" w:cs="宋体"/>
          <w:b/>
          <w:color w:val="000000"/>
          <w:position w:val="0"/>
          <w:sz w:val="24"/>
          <w:szCs w:val="24"/>
          <w:lang w:val="en-US" w:eastAsia="zh-CN"/>
        </w:rPr>
        <w:t>0902-6822877</w:t>
      </w:r>
    </w:p>
    <w:p>
      <w:pPr>
        <w:numPr>
          <w:ilvl w:val="0"/>
          <w:numId w:val="0"/>
        </w:numPr>
        <w:autoSpaceDE w:val="0"/>
        <w:autoSpaceDN w:val="0"/>
        <w:spacing w:before="0" w:after="160" w:line="480" w:lineRule="auto"/>
        <w:ind w:right="0" w:firstLine="0"/>
        <w:jc w:val="left"/>
        <w:rPr>
          <w:rFonts w:hint="eastAsia" w:ascii="宋体" w:hAnsi="宋体" w:eastAsia="宋体" w:cs="宋体"/>
          <w:b/>
          <w:color w:val="000000"/>
          <w:position w:val="0"/>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320040</wp:posOffset>
                </wp:positionV>
                <wp:extent cx="5602605" cy="1905"/>
                <wp:effectExtent l="0" t="0" r="0" b="0"/>
                <wp:wrapNone/>
                <wp:docPr id="9" name="直接连接符 9"/>
                <wp:cNvGraphicFramePr/>
                <a:graphic xmlns:a="http://schemas.openxmlformats.org/drawingml/2006/main">
                  <a:graphicData uri="http://schemas.microsoft.com/office/word/2010/wordprocessingShape">
                    <wps:wsp>
                      <wps:cNvCnPr/>
                      <wps:spPr>
                        <a:xfrm>
                          <a:off x="0" y="0"/>
                          <a:ext cx="5603240" cy="2540"/>
                        </a:xfrm>
                        <a:prstGeom prst="line">
                          <a:avLst/>
                        </a:prstGeom>
                        <a:ln w="12700" cap="flat" cmpd="sng">
                          <a:solidFill>
                            <a:prstClr val="black"/>
                          </a:solidFill>
                          <a:prstDash val="sysDot"/>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line id="_x0000_s1026" o:spid="_x0000_s1026" o:spt="20" style="position:absolute;left:0pt;margin-left:-11.2pt;margin-top:25.2pt;height:0.15pt;width:441.15pt;z-index:251660288;mso-width-relative:page;mso-height-relative:page;" filled="f" stroked="t" coordsize="21600,21600" o:gfxdata="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BZLiPYAAAACQEAAA8AAAAAAAAAAQAgAAAAIgAAAGRy&#10;cy9kb3ducmV2LnhtbFBLAQIUABQAAAAIAIdO4kCB2dEBdwIAAO0EAAAOAAAAAAAAAAEAIAAAACcB&#10;AABkcnMvZTJvRG9jLnhtbFBLBQYAAAAABgAGAFkBAAAQBgAAAAA=&#10;">
                <v:fill on="f" focussize="0,0"/>
                <v:stroke weight="1pt" color="#000000" joinstyle="round" dashstyle="1 1"/>
                <v:imagedata o:title=""/>
                <o:lock v:ext="edit" aspectratio="f"/>
              </v:line>
            </w:pict>
          </mc:Fallback>
        </mc:AlternateContent>
      </w:r>
    </w:p>
    <w:p>
      <w:pPr>
        <w:numPr>
          <w:ilvl w:val="0"/>
          <w:numId w:val="0"/>
        </w:numPr>
        <w:autoSpaceDE w:val="0"/>
        <w:autoSpaceDN w:val="0"/>
        <w:spacing w:before="0" w:after="160" w:line="480" w:lineRule="auto"/>
        <w:ind w:right="0" w:firstLine="0"/>
        <w:jc w:val="left"/>
        <w:rPr>
          <w:rFonts w:hint="eastAsia" w:ascii="宋体" w:hAnsi="宋体" w:eastAsia="宋体" w:cs="宋体"/>
          <w:b/>
          <w:color w:val="000000"/>
          <w:position w:val="0"/>
          <w:sz w:val="24"/>
          <w:szCs w:val="24"/>
        </w:rPr>
      </w:pPr>
    </w:p>
    <w:p>
      <w:pPr>
        <w:numPr>
          <w:ilvl w:val="0"/>
          <w:numId w:val="0"/>
        </w:numPr>
        <w:autoSpaceDE w:val="0"/>
        <w:autoSpaceDN w:val="0"/>
        <w:spacing w:before="0" w:after="160" w:line="360" w:lineRule="auto"/>
        <w:ind w:right="0" w:firstLine="0"/>
        <w:jc w:val="left"/>
        <w:rPr>
          <w:rFonts w:hint="eastAsia" w:ascii="宋体" w:hAnsi="宋体" w:eastAsia="宋体" w:cs="宋体"/>
          <w:b/>
          <w:color w:val="000000"/>
          <w:position w:val="0"/>
          <w:sz w:val="24"/>
          <w:szCs w:val="24"/>
        </w:rPr>
      </w:pPr>
      <w:r>
        <w:rPr>
          <w:rFonts w:hint="eastAsia" w:ascii="宋体" w:hAnsi="宋体" w:eastAsia="宋体" w:cs="宋体"/>
          <w:b/>
          <w:color w:val="000000"/>
          <w:position w:val="0"/>
          <w:sz w:val="24"/>
          <w:szCs w:val="24"/>
        </w:rPr>
        <w:t>招标代理机构：新疆鼎信项目管理咨询有限公司</w:t>
      </w:r>
    </w:p>
    <w:p>
      <w:pPr>
        <w:numPr>
          <w:ilvl w:val="0"/>
          <w:numId w:val="0"/>
        </w:numPr>
        <w:autoSpaceDE w:val="0"/>
        <w:autoSpaceDN w:val="0"/>
        <w:spacing w:before="0" w:after="160" w:line="360" w:lineRule="auto"/>
        <w:ind w:right="0" w:firstLine="0"/>
        <w:jc w:val="left"/>
        <w:rPr>
          <w:rFonts w:hint="eastAsia" w:ascii="宋体" w:hAnsi="宋体" w:eastAsia="宋体" w:cs="宋体"/>
          <w:b/>
          <w:color w:val="000000"/>
          <w:position w:val="0"/>
          <w:sz w:val="24"/>
          <w:szCs w:val="24"/>
          <w:lang w:eastAsia="zh-CN"/>
        </w:rPr>
      </w:pPr>
      <w:r>
        <w:rPr>
          <w:rFonts w:hint="eastAsia" w:ascii="宋体" w:hAnsi="宋体" w:eastAsia="宋体" w:cs="宋体"/>
          <w:b/>
          <w:color w:val="000000"/>
          <w:position w:val="0"/>
          <w:sz w:val="24"/>
          <w:szCs w:val="24"/>
        </w:rPr>
        <w:t>联系人：</w:t>
      </w:r>
      <w:r>
        <w:rPr>
          <w:rFonts w:hint="eastAsia" w:ascii="宋体" w:hAnsi="宋体" w:eastAsia="宋体" w:cs="宋体"/>
          <w:b/>
          <w:color w:val="000000"/>
          <w:position w:val="0"/>
          <w:sz w:val="24"/>
          <w:szCs w:val="24"/>
          <w:lang w:eastAsia="zh-CN"/>
        </w:rPr>
        <w:t>王迪</w:t>
      </w:r>
    </w:p>
    <w:p>
      <w:pPr>
        <w:numPr>
          <w:ilvl w:val="0"/>
          <w:numId w:val="0"/>
        </w:numPr>
        <w:autoSpaceDE w:val="0"/>
        <w:autoSpaceDN w:val="0"/>
        <w:spacing w:before="0" w:after="160" w:line="360" w:lineRule="auto"/>
        <w:ind w:right="0" w:firstLine="0"/>
        <w:jc w:val="left"/>
        <w:rPr>
          <w:rFonts w:hint="eastAsia" w:ascii="宋体" w:hAnsi="宋体" w:eastAsia="宋体" w:cs="宋体"/>
          <w:b/>
          <w:color w:val="000000"/>
          <w:position w:val="0"/>
          <w:sz w:val="24"/>
          <w:szCs w:val="24"/>
        </w:rPr>
      </w:pPr>
      <w:r>
        <w:rPr>
          <w:rFonts w:hint="eastAsia" w:ascii="宋体" w:hAnsi="宋体" w:eastAsia="宋体" w:cs="宋体"/>
          <w:b/>
          <w:color w:val="000000"/>
          <w:position w:val="0"/>
          <w:sz w:val="24"/>
          <w:szCs w:val="24"/>
        </w:rPr>
        <w:t>电话：0902-2250066</w:t>
      </w:r>
    </w:p>
    <w:p>
      <w:pPr>
        <w:numPr>
          <w:ilvl w:val="0"/>
          <w:numId w:val="0"/>
        </w:numPr>
        <w:autoSpaceDE w:val="0"/>
        <w:autoSpaceDN w:val="0"/>
        <w:spacing w:before="0" w:after="160" w:line="360" w:lineRule="auto"/>
        <w:ind w:right="0" w:firstLine="0"/>
        <w:jc w:val="left"/>
        <w:rPr>
          <w:rFonts w:hint="eastAsia" w:ascii="宋体" w:hAnsi="宋体" w:eastAsia="宋体" w:cs="宋体"/>
          <w:color w:val="000000"/>
          <w:position w:val="0"/>
          <w:sz w:val="24"/>
          <w:szCs w:val="24"/>
        </w:rPr>
      </w:pPr>
      <w:r>
        <w:rPr>
          <w:rFonts w:hint="eastAsia" w:ascii="宋体" w:hAnsi="宋体" w:eastAsia="宋体" w:cs="宋体"/>
          <w:b/>
          <w:color w:val="000000"/>
          <w:position w:val="0"/>
          <w:sz w:val="24"/>
          <w:szCs w:val="24"/>
        </w:rPr>
        <w:t>详细地址：新疆哈密市益寿路曙光新村12-4号</w:t>
      </w:r>
    </w:p>
    <w:p>
      <w:pPr>
        <w:numPr>
          <w:ilvl w:val="0"/>
          <w:numId w:val="0"/>
        </w:numPr>
        <w:autoSpaceDE w:val="0"/>
        <w:autoSpaceDN w:val="0"/>
        <w:spacing w:before="0" w:after="160" w:line="480" w:lineRule="auto"/>
        <w:ind w:right="0" w:firstLine="0"/>
        <w:jc w:val="left"/>
        <w:rPr>
          <w:rFonts w:hint="eastAsia" w:ascii="宋体" w:hAnsi="宋体" w:eastAsia="宋体" w:cs="宋体"/>
          <w:b/>
          <w:color w:val="000000"/>
          <w:position w:val="0"/>
          <w:sz w:val="24"/>
          <w:szCs w:val="24"/>
        </w:rPr>
      </w:pPr>
    </w:p>
    <w:p>
      <w:pPr>
        <w:numPr>
          <w:ilvl w:val="0"/>
          <w:numId w:val="0"/>
        </w:numPr>
        <w:tabs>
          <w:tab w:val="left" w:pos="1567"/>
        </w:tabs>
        <w:autoSpaceDE w:val="0"/>
        <w:autoSpaceDN w:val="0"/>
        <w:spacing w:before="28" w:after="160" w:line="240" w:lineRule="auto"/>
        <w:ind w:right="106" w:firstLine="0"/>
        <w:jc w:val="center"/>
        <w:rPr>
          <w:rFonts w:hint="eastAsia" w:ascii="宋体" w:hAnsi="宋体" w:eastAsia="宋体" w:cs="宋体"/>
          <w:b/>
          <w:color w:val="auto"/>
          <w:position w:val="0"/>
          <w:sz w:val="24"/>
          <w:szCs w:val="24"/>
        </w:rPr>
      </w:pPr>
    </w:p>
    <w:p>
      <w:pPr>
        <w:numPr>
          <w:ilvl w:val="0"/>
          <w:numId w:val="0"/>
        </w:numPr>
        <w:tabs>
          <w:tab w:val="left" w:pos="1567"/>
        </w:tabs>
        <w:autoSpaceDE w:val="0"/>
        <w:autoSpaceDN w:val="0"/>
        <w:spacing w:before="28" w:after="160" w:line="240" w:lineRule="auto"/>
        <w:ind w:right="106" w:firstLine="0"/>
        <w:jc w:val="center"/>
        <w:rPr>
          <w:rFonts w:hint="eastAsia" w:ascii="宋体" w:hAnsi="宋体" w:eastAsia="宋体" w:cs="宋体"/>
          <w:b/>
          <w:color w:val="auto"/>
          <w:position w:val="0"/>
          <w:sz w:val="28"/>
          <w:szCs w:val="28"/>
        </w:rPr>
      </w:pPr>
    </w:p>
    <w:p>
      <w:pPr>
        <w:numPr>
          <w:ilvl w:val="0"/>
          <w:numId w:val="0"/>
        </w:numPr>
        <w:tabs>
          <w:tab w:val="left" w:pos="1567"/>
        </w:tabs>
        <w:autoSpaceDE w:val="0"/>
        <w:autoSpaceDN w:val="0"/>
        <w:spacing w:before="28" w:after="160" w:line="240" w:lineRule="auto"/>
        <w:ind w:right="106"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目</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录</w:t>
      </w:r>
    </w:p>
    <w:p>
      <w:pPr>
        <w:numPr>
          <w:ilvl w:val="0"/>
          <w:numId w:val="0"/>
        </w:numPr>
        <w:tabs>
          <w:tab w:val="left" w:pos="1567"/>
        </w:tabs>
        <w:autoSpaceDE w:val="0"/>
        <w:autoSpaceDN w:val="0"/>
        <w:spacing w:before="28" w:after="160" w:line="360" w:lineRule="auto"/>
        <w:ind w:right="106" w:firstLine="0"/>
        <w:jc w:val="center"/>
        <w:rPr>
          <w:rFonts w:hint="eastAsia" w:ascii="宋体" w:hAnsi="宋体" w:eastAsia="宋体" w:cs="宋体"/>
          <w:b/>
          <w:color w:val="auto"/>
          <w:position w:val="0"/>
          <w:sz w:val="24"/>
          <w:szCs w:val="24"/>
        </w:rPr>
      </w:pPr>
    </w:p>
    <w:p>
      <w:pPr>
        <w:numPr>
          <w:ilvl w:val="0"/>
          <w:numId w:val="0"/>
        </w:numPr>
        <w:tabs>
          <w:tab w:val="left" w:pos="2205"/>
        </w:tabs>
        <w:autoSpaceDE w:val="0"/>
        <w:autoSpaceDN w:val="0"/>
        <w:spacing w:before="0" w:after="160" w:line="360" w:lineRule="auto"/>
        <w:ind w:left="600" w:right="5432" w:firstLine="0"/>
        <w:jc w:val="left"/>
        <w:rPr>
          <w:rFonts w:hint="eastAsia" w:ascii="宋体" w:hAnsi="宋体" w:eastAsia="宋体" w:cs="宋体"/>
          <w:color w:val="auto"/>
          <w:spacing w:val="-14"/>
          <w:position w:val="0"/>
          <w:sz w:val="24"/>
          <w:szCs w:val="24"/>
        </w:rPr>
      </w:pPr>
      <w:r>
        <w:rPr>
          <w:rFonts w:hint="eastAsia" w:ascii="宋体" w:hAnsi="宋体" w:eastAsia="宋体" w:cs="宋体"/>
          <w:color w:val="auto"/>
          <w:position w:val="0"/>
          <w:sz w:val="24"/>
          <w:szCs w:val="24"/>
        </w:rPr>
        <w:t>第一部分   竞争性磋商公</w:t>
      </w:r>
      <w:r>
        <w:rPr>
          <w:rFonts w:hint="eastAsia" w:ascii="宋体" w:hAnsi="宋体" w:eastAsia="宋体" w:cs="宋体"/>
          <w:color w:val="auto"/>
          <w:spacing w:val="-14"/>
          <w:position w:val="0"/>
          <w:sz w:val="24"/>
          <w:szCs w:val="24"/>
        </w:rPr>
        <w:t>告</w:t>
      </w:r>
    </w:p>
    <w:p>
      <w:pPr>
        <w:numPr>
          <w:ilvl w:val="0"/>
          <w:numId w:val="0"/>
        </w:numPr>
        <w:tabs>
          <w:tab w:val="left" w:pos="2205"/>
        </w:tabs>
        <w:autoSpaceDE w:val="0"/>
        <w:autoSpaceDN w:val="0"/>
        <w:spacing w:before="0" w:after="160" w:line="360" w:lineRule="auto"/>
        <w:ind w:left="600" w:right="5432"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第二部分</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投标人须知</w:t>
      </w:r>
    </w:p>
    <w:p>
      <w:pPr>
        <w:numPr>
          <w:ilvl w:val="0"/>
          <w:numId w:val="0"/>
        </w:numPr>
        <w:tabs>
          <w:tab w:val="left" w:pos="2246"/>
        </w:tabs>
        <w:autoSpaceDE w:val="0"/>
        <w:autoSpaceDN w:val="0"/>
        <w:spacing w:before="40" w:after="160" w:line="360" w:lineRule="auto"/>
        <w:ind w:left="1125"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一</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投</w:t>
      </w:r>
      <w:r>
        <w:rPr>
          <w:rFonts w:hint="eastAsia" w:ascii="宋体" w:hAnsi="宋体" w:eastAsia="宋体" w:cs="宋体"/>
          <w:color w:val="auto"/>
          <w:spacing w:val="-3"/>
          <w:position w:val="0"/>
          <w:sz w:val="24"/>
          <w:szCs w:val="24"/>
        </w:rPr>
        <w:t>标</w:t>
      </w:r>
      <w:r>
        <w:rPr>
          <w:rFonts w:hint="eastAsia" w:ascii="宋体" w:hAnsi="宋体" w:eastAsia="宋体" w:cs="宋体"/>
          <w:color w:val="auto"/>
          <w:position w:val="0"/>
          <w:sz w:val="24"/>
          <w:szCs w:val="24"/>
        </w:rPr>
        <w:t>人须知</w:t>
      </w:r>
    </w:p>
    <w:p>
      <w:pPr>
        <w:numPr>
          <w:ilvl w:val="0"/>
          <w:numId w:val="0"/>
        </w:numPr>
        <w:tabs>
          <w:tab w:val="left" w:pos="2246"/>
        </w:tabs>
        <w:autoSpaceDE w:val="0"/>
        <w:autoSpaceDN w:val="0"/>
        <w:spacing w:before="160" w:after="160" w:line="360" w:lineRule="auto"/>
        <w:ind w:left="1125" w:right="4836" w:firstLine="0"/>
        <w:jc w:val="left"/>
        <w:rPr>
          <w:rFonts w:hint="eastAsia" w:ascii="宋体" w:hAnsi="宋体" w:eastAsia="宋体" w:cs="宋体"/>
          <w:color w:val="auto"/>
          <w:spacing w:val="-11"/>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二</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竞</w:t>
      </w:r>
      <w:r>
        <w:rPr>
          <w:rFonts w:hint="eastAsia" w:ascii="宋体" w:hAnsi="宋体" w:eastAsia="宋体" w:cs="宋体"/>
          <w:color w:val="auto"/>
          <w:spacing w:val="-3"/>
          <w:position w:val="0"/>
          <w:sz w:val="24"/>
          <w:szCs w:val="24"/>
        </w:rPr>
        <w:t>争</w:t>
      </w:r>
      <w:r>
        <w:rPr>
          <w:rFonts w:hint="eastAsia" w:ascii="宋体" w:hAnsi="宋体" w:eastAsia="宋体" w:cs="宋体"/>
          <w:color w:val="auto"/>
          <w:position w:val="0"/>
          <w:sz w:val="24"/>
          <w:szCs w:val="24"/>
        </w:rPr>
        <w:t>性磋</w:t>
      </w:r>
      <w:r>
        <w:rPr>
          <w:rFonts w:hint="eastAsia" w:ascii="宋体" w:hAnsi="宋体" w:eastAsia="宋体" w:cs="宋体"/>
          <w:color w:val="auto"/>
          <w:spacing w:val="-3"/>
          <w:position w:val="0"/>
          <w:sz w:val="24"/>
          <w:szCs w:val="24"/>
        </w:rPr>
        <w:t>商</w:t>
      </w:r>
      <w:r>
        <w:rPr>
          <w:rFonts w:hint="eastAsia" w:ascii="宋体" w:hAnsi="宋体" w:eastAsia="宋体" w:cs="宋体"/>
          <w:color w:val="auto"/>
          <w:position w:val="0"/>
          <w:sz w:val="24"/>
          <w:szCs w:val="24"/>
        </w:rPr>
        <w:t>文件</w:t>
      </w:r>
      <w:r>
        <w:rPr>
          <w:rFonts w:hint="eastAsia" w:ascii="宋体" w:hAnsi="宋体" w:eastAsia="宋体" w:cs="宋体"/>
          <w:color w:val="auto"/>
          <w:spacing w:val="-3"/>
          <w:position w:val="0"/>
          <w:sz w:val="24"/>
          <w:szCs w:val="24"/>
        </w:rPr>
        <w:t>的</w:t>
      </w:r>
      <w:r>
        <w:rPr>
          <w:rFonts w:hint="eastAsia" w:ascii="宋体" w:hAnsi="宋体" w:eastAsia="宋体" w:cs="宋体"/>
          <w:color w:val="auto"/>
          <w:position w:val="0"/>
          <w:sz w:val="24"/>
          <w:szCs w:val="24"/>
        </w:rPr>
        <w:t>编</w:t>
      </w:r>
      <w:r>
        <w:rPr>
          <w:rFonts w:hint="eastAsia" w:ascii="宋体" w:hAnsi="宋体" w:eastAsia="宋体" w:cs="宋体"/>
          <w:color w:val="auto"/>
          <w:spacing w:val="-11"/>
          <w:position w:val="0"/>
          <w:sz w:val="24"/>
          <w:szCs w:val="24"/>
        </w:rPr>
        <w:t>写</w:t>
      </w:r>
    </w:p>
    <w:p>
      <w:pPr>
        <w:numPr>
          <w:ilvl w:val="0"/>
          <w:numId w:val="0"/>
        </w:numPr>
        <w:tabs>
          <w:tab w:val="left" w:pos="2246"/>
        </w:tabs>
        <w:autoSpaceDE w:val="0"/>
        <w:autoSpaceDN w:val="0"/>
        <w:spacing w:before="160" w:after="160" w:line="360" w:lineRule="auto"/>
        <w:ind w:left="1125" w:right="4836"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三</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响</w:t>
      </w:r>
      <w:r>
        <w:rPr>
          <w:rFonts w:hint="eastAsia" w:ascii="宋体" w:hAnsi="宋体" w:eastAsia="宋体" w:cs="宋体"/>
          <w:color w:val="auto"/>
          <w:spacing w:val="-3"/>
          <w:position w:val="0"/>
          <w:sz w:val="24"/>
          <w:szCs w:val="24"/>
        </w:rPr>
        <w:t>应</w:t>
      </w:r>
      <w:r>
        <w:rPr>
          <w:rFonts w:hint="eastAsia" w:ascii="宋体" w:hAnsi="宋体" w:eastAsia="宋体" w:cs="宋体"/>
          <w:color w:val="auto"/>
          <w:position w:val="0"/>
          <w:sz w:val="24"/>
          <w:szCs w:val="24"/>
        </w:rPr>
        <w:t>文件</w:t>
      </w:r>
      <w:r>
        <w:rPr>
          <w:rFonts w:hint="eastAsia" w:ascii="宋体" w:hAnsi="宋体" w:eastAsia="宋体" w:cs="宋体"/>
          <w:color w:val="auto"/>
          <w:spacing w:val="-3"/>
          <w:position w:val="0"/>
          <w:sz w:val="24"/>
          <w:szCs w:val="24"/>
        </w:rPr>
        <w:t>的</w:t>
      </w:r>
      <w:r>
        <w:rPr>
          <w:rFonts w:hint="eastAsia" w:ascii="宋体" w:hAnsi="宋体" w:eastAsia="宋体" w:cs="宋体"/>
          <w:color w:val="auto"/>
          <w:position w:val="0"/>
          <w:sz w:val="24"/>
          <w:szCs w:val="24"/>
        </w:rPr>
        <w:t>编写</w:t>
      </w:r>
    </w:p>
    <w:p>
      <w:pPr>
        <w:numPr>
          <w:ilvl w:val="0"/>
          <w:numId w:val="0"/>
        </w:numPr>
        <w:tabs>
          <w:tab w:val="left" w:pos="2246"/>
          <w:tab w:val="left" w:pos="2805"/>
        </w:tabs>
        <w:autoSpaceDE w:val="0"/>
        <w:autoSpaceDN w:val="0"/>
        <w:spacing w:before="1" w:after="160" w:line="360" w:lineRule="auto"/>
        <w:ind w:left="1125" w:right="5676" w:firstLine="0"/>
        <w:jc w:val="left"/>
        <w:rPr>
          <w:rFonts w:hint="eastAsia" w:ascii="宋体" w:hAnsi="宋体" w:eastAsia="宋体" w:cs="宋体"/>
          <w:color w:val="auto"/>
          <w:spacing w:val="-13"/>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四</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响</w:t>
      </w:r>
      <w:r>
        <w:rPr>
          <w:rFonts w:hint="eastAsia" w:ascii="宋体" w:hAnsi="宋体" w:eastAsia="宋体" w:cs="宋体"/>
          <w:color w:val="auto"/>
          <w:spacing w:val="-3"/>
          <w:position w:val="0"/>
          <w:sz w:val="24"/>
          <w:szCs w:val="24"/>
        </w:rPr>
        <w:t>应</w:t>
      </w:r>
      <w:r>
        <w:rPr>
          <w:rFonts w:hint="eastAsia" w:ascii="宋体" w:hAnsi="宋体" w:eastAsia="宋体" w:cs="宋体"/>
          <w:color w:val="auto"/>
          <w:position w:val="0"/>
          <w:sz w:val="24"/>
          <w:szCs w:val="24"/>
        </w:rPr>
        <w:t>文件</w:t>
      </w:r>
      <w:r>
        <w:rPr>
          <w:rFonts w:hint="eastAsia" w:ascii="宋体" w:hAnsi="宋体" w:eastAsia="宋体" w:cs="宋体"/>
          <w:color w:val="auto"/>
          <w:spacing w:val="-3"/>
          <w:position w:val="0"/>
          <w:sz w:val="24"/>
          <w:szCs w:val="24"/>
        </w:rPr>
        <w:t>的</w:t>
      </w:r>
      <w:r>
        <w:rPr>
          <w:rFonts w:hint="eastAsia" w:ascii="宋体" w:hAnsi="宋体" w:eastAsia="宋体" w:cs="宋体"/>
          <w:color w:val="auto"/>
          <w:position w:val="0"/>
          <w:sz w:val="24"/>
          <w:szCs w:val="24"/>
        </w:rPr>
        <w:t>递</w:t>
      </w:r>
      <w:r>
        <w:rPr>
          <w:rFonts w:hint="eastAsia" w:ascii="宋体" w:hAnsi="宋体" w:eastAsia="宋体" w:cs="宋体"/>
          <w:color w:val="auto"/>
          <w:spacing w:val="-13"/>
          <w:position w:val="0"/>
          <w:sz w:val="24"/>
          <w:szCs w:val="24"/>
        </w:rPr>
        <w:t>交</w:t>
      </w:r>
    </w:p>
    <w:p>
      <w:pPr>
        <w:numPr>
          <w:ilvl w:val="0"/>
          <w:numId w:val="0"/>
        </w:numPr>
        <w:tabs>
          <w:tab w:val="left" w:pos="2246"/>
          <w:tab w:val="left" w:pos="2805"/>
        </w:tabs>
        <w:autoSpaceDE w:val="0"/>
        <w:autoSpaceDN w:val="0"/>
        <w:spacing w:before="1" w:after="160" w:line="360" w:lineRule="auto"/>
        <w:ind w:left="1125" w:right="5676"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五</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开</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标</w:t>
      </w:r>
    </w:p>
    <w:p>
      <w:pPr>
        <w:numPr>
          <w:ilvl w:val="0"/>
          <w:numId w:val="0"/>
        </w:numPr>
        <w:tabs>
          <w:tab w:val="left" w:pos="2246"/>
          <w:tab w:val="left" w:pos="2805"/>
        </w:tabs>
        <w:autoSpaceDE w:val="0"/>
        <w:autoSpaceDN w:val="0"/>
        <w:spacing w:before="0" w:after="160" w:line="360" w:lineRule="auto"/>
        <w:ind w:left="1125" w:right="6516"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六</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评</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标</w:t>
      </w:r>
    </w:p>
    <w:p>
      <w:pPr>
        <w:numPr>
          <w:ilvl w:val="0"/>
          <w:numId w:val="0"/>
        </w:numPr>
        <w:tabs>
          <w:tab w:val="left" w:pos="2246"/>
          <w:tab w:val="left" w:pos="2805"/>
        </w:tabs>
        <w:autoSpaceDE w:val="0"/>
        <w:autoSpaceDN w:val="0"/>
        <w:spacing w:before="0" w:after="160" w:line="360" w:lineRule="auto"/>
        <w:ind w:left="1125" w:right="6516" w:firstLine="0"/>
        <w:jc w:val="left"/>
        <w:rPr>
          <w:rFonts w:hint="eastAsia" w:ascii="宋体" w:hAnsi="宋体" w:eastAsia="宋体" w:cs="宋体"/>
          <w:color w:val="auto"/>
          <w:spacing w:val="-15"/>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七</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授</w:t>
      </w:r>
      <w:r>
        <w:rPr>
          <w:rFonts w:hint="eastAsia" w:ascii="宋体" w:hAnsi="宋体" w:eastAsia="宋体" w:cs="宋体"/>
          <w:color w:val="auto"/>
          <w:spacing w:val="-3"/>
          <w:position w:val="0"/>
          <w:sz w:val="24"/>
          <w:szCs w:val="24"/>
        </w:rPr>
        <w:t>予</w:t>
      </w:r>
      <w:r>
        <w:rPr>
          <w:rFonts w:hint="eastAsia" w:ascii="宋体" w:hAnsi="宋体" w:eastAsia="宋体" w:cs="宋体"/>
          <w:color w:val="auto"/>
          <w:position w:val="0"/>
          <w:sz w:val="24"/>
          <w:szCs w:val="24"/>
        </w:rPr>
        <w:t>合</w:t>
      </w:r>
      <w:r>
        <w:rPr>
          <w:rFonts w:hint="eastAsia" w:ascii="宋体" w:hAnsi="宋体" w:eastAsia="宋体" w:cs="宋体"/>
          <w:color w:val="auto"/>
          <w:spacing w:val="-15"/>
          <w:position w:val="0"/>
          <w:sz w:val="24"/>
          <w:szCs w:val="24"/>
        </w:rPr>
        <w:t>同</w:t>
      </w:r>
    </w:p>
    <w:p>
      <w:pPr>
        <w:numPr>
          <w:ilvl w:val="0"/>
          <w:numId w:val="0"/>
        </w:numPr>
        <w:tabs>
          <w:tab w:val="left" w:pos="2246"/>
          <w:tab w:val="left" w:pos="2805"/>
        </w:tabs>
        <w:autoSpaceDE w:val="0"/>
        <w:autoSpaceDN w:val="0"/>
        <w:spacing w:before="0" w:after="160" w:line="360" w:lineRule="auto"/>
        <w:ind w:left="1125" w:right="6516"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八</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其</w:t>
      </w:r>
      <w:r>
        <w:rPr>
          <w:rFonts w:hint="eastAsia" w:ascii="宋体" w:hAnsi="宋体" w:eastAsia="宋体" w:cs="宋体"/>
          <w:color w:val="auto"/>
          <w:position w:val="0"/>
          <w:sz w:val="24"/>
          <w:szCs w:val="24"/>
          <w:lang w:val="en-US" w:eastAsia="zh-CN"/>
        </w:rPr>
        <w:t xml:space="preserve">   </w:t>
      </w:r>
      <w:r>
        <w:rPr>
          <w:rFonts w:hint="eastAsia" w:ascii="宋体" w:hAnsi="宋体" w:eastAsia="宋体" w:cs="宋体"/>
          <w:color w:val="auto"/>
          <w:position w:val="0"/>
          <w:sz w:val="24"/>
          <w:szCs w:val="24"/>
        </w:rPr>
        <w:t>他</w:t>
      </w:r>
    </w:p>
    <w:p>
      <w:pPr>
        <w:numPr>
          <w:ilvl w:val="0"/>
          <w:numId w:val="0"/>
        </w:numPr>
        <w:tabs>
          <w:tab w:val="left" w:pos="2246"/>
        </w:tabs>
        <w:autoSpaceDE w:val="0"/>
        <w:autoSpaceDN w:val="0"/>
        <w:spacing w:before="0" w:after="160" w:line="360" w:lineRule="auto"/>
        <w:ind w:left="1125"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w:t>
      </w:r>
      <w:r>
        <w:rPr>
          <w:rFonts w:hint="eastAsia" w:ascii="宋体" w:hAnsi="宋体" w:eastAsia="宋体" w:cs="宋体"/>
          <w:color w:val="auto"/>
          <w:spacing w:val="-3"/>
          <w:position w:val="0"/>
          <w:sz w:val="24"/>
          <w:szCs w:val="24"/>
        </w:rPr>
        <w:t>九</w:t>
      </w:r>
      <w:r>
        <w:rPr>
          <w:rFonts w:hint="eastAsia" w:ascii="宋体" w:hAnsi="宋体" w:eastAsia="宋体" w:cs="宋体"/>
          <w:color w:val="auto"/>
          <w:position w:val="0"/>
          <w:sz w:val="24"/>
          <w:szCs w:val="24"/>
        </w:rPr>
        <w:t>章</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质</w:t>
      </w:r>
      <w:r>
        <w:rPr>
          <w:rFonts w:hint="eastAsia" w:ascii="宋体" w:hAnsi="宋体" w:eastAsia="宋体" w:cs="宋体"/>
          <w:color w:val="auto"/>
          <w:spacing w:val="-3"/>
          <w:position w:val="0"/>
          <w:sz w:val="24"/>
          <w:szCs w:val="24"/>
        </w:rPr>
        <w:t>疑</w:t>
      </w:r>
      <w:r>
        <w:rPr>
          <w:rFonts w:hint="eastAsia" w:ascii="宋体" w:hAnsi="宋体" w:eastAsia="宋体" w:cs="宋体"/>
          <w:color w:val="auto"/>
          <w:position w:val="0"/>
          <w:sz w:val="24"/>
          <w:szCs w:val="24"/>
        </w:rPr>
        <w:t>的提</w:t>
      </w:r>
      <w:r>
        <w:rPr>
          <w:rFonts w:hint="eastAsia" w:ascii="宋体" w:hAnsi="宋体" w:eastAsia="宋体" w:cs="宋体"/>
          <w:color w:val="auto"/>
          <w:spacing w:val="-3"/>
          <w:position w:val="0"/>
          <w:sz w:val="24"/>
          <w:szCs w:val="24"/>
        </w:rPr>
        <w:t>出</w:t>
      </w:r>
      <w:r>
        <w:rPr>
          <w:rFonts w:hint="eastAsia" w:ascii="宋体" w:hAnsi="宋体" w:eastAsia="宋体" w:cs="宋体"/>
          <w:color w:val="auto"/>
          <w:position w:val="0"/>
          <w:sz w:val="24"/>
          <w:szCs w:val="24"/>
        </w:rPr>
        <w:t>及处理</w:t>
      </w:r>
    </w:p>
    <w:p>
      <w:pPr>
        <w:numPr>
          <w:ilvl w:val="0"/>
          <w:numId w:val="0"/>
        </w:numPr>
        <w:tabs>
          <w:tab w:val="left" w:pos="2212"/>
        </w:tabs>
        <w:autoSpaceDE w:val="0"/>
        <w:autoSpaceDN w:val="0"/>
        <w:spacing w:before="121" w:after="160" w:line="360" w:lineRule="auto"/>
        <w:ind w:left="604" w:right="4781"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第三部分</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采购内容及服务要</w:t>
      </w:r>
      <w:r>
        <w:rPr>
          <w:rFonts w:hint="eastAsia" w:ascii="宋体" w:hAnsi="宋体" w:eastAsia="宋体" w:cs="宋体"/>
          <w:color w:val="auto"/>
          <w:spacing w:val="-13"/>
          <w:position w:val="0"/>
          <w:sz w:val="24"/>
          <w:szCs w:val="24"/>
        </w:rPr>
        <w:t>求</w:t>
      </w:r>
    </w:p>
    <w:p>
      <w:pPr>
        <w:numPr>
          <w:ilvl w:val="0"/>
          <w:numId w:val="0"/>
        </w:numPr>
        <w:tabs>
          <w:tab w:val="left" w:pos="2212"/>
        </w:tabs>
        <w:autoSpaceDE w:val="0"/>
        <w:autoSpaceDN w:val="0"/>
        <w:spacing w:before="121" w:after="160" w:line="360" w:lineRule="auto"/>
        <w:ind w:left="604" w:right="4781"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第四部分</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合同条款</w:t>
      </w:r>
    </w:p>
    <w:p>
      <w:pPr>
        <w:numPr>
          <w:ilvl w:val="0"/>
          <w:numId w:val="0"/>
        </w:numPr>
        <w:tabs>
          <w:tab w:val="left" w:pos="2212"/>
        </w:tabs>
        <w:autoSpaceDE w:val="0"/>
        <w:autoSpaceDN w:val="0"/>
        <w:spacing w:before="6" w:after="160" w:line="360" w:lineRule="auto"/>
        <w:ind w:left="604"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第五部分</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附件</w:t>
      </w:r>
    </w:p>
    <w:p>
      <w:pPr>
        <w:numPr>
          <w:ilvl w:val="0"/>
          <w:numId w:val="0"/>
        </w:numPr>
        <w:autoSpaceDE w:val="0"/>
        <w:autoSpaceDN w:val="0"/>
        <w:spacing w:before="151" w:after="160" w:line="360" w:lineRule="auto"/>
        <w:ind w:left="1125"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响应文件编制顺序</w:t>
      </w:r>
    </w:p>
    <w:p>
      <w:pPr>
        <w:numPr>
          <w:ilvl w:val="0"/>
          <w:numId w:val="0"/>
        </w:numPr>
        <w:autoSpaceDE w:val="0"/>
        <w:autoSpaceDN w:val="0"/>
        <w:spacing w:before="159" w:after="160" w:line="360" w:lineRule="auto"/>
        <w:ind w:left="1125"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其他有关附件格式范本</w:t>
      </w:r>
    </w:p>
    <w:p>
      <w:pPr>
        <w:numPr>
          <w:ilvl w:val="0"/>
          <w:numId w:val="0"/>
        </w:numPr>
        <w:autoSpaceDE w:val="0"/>
        <w:autoSpaceDN w:val="0"/>
        <w:spacing w:before="159" w:after="160" w:line="240" w:lineRule="auto"/>
        <w:ind w:left="1125" w:right="0" w:firstLine="0"/>
        <w:jc w:val="left"/>
        <w:rPr>
          <w:rFonts w:hint="eastAsia" w:ascii="宋体" w:hAnsi="宋体" w:eastAsia="宋体" w:cs="宋体"/>
          <w:color w:val="auto"/>
          <w:position w:val="0"/>
          <w:sz w:val="24"/>
          <w:szCs w:val="24"/>
        </w:rPr>
        <w:sectPr>
          <w:footerReference r:id="rId3" w:type="default"/>
          <w:pgSz w:w="11910" w:h="16840"/>
          <w:pgMar w:top="1580" w:right="820" w:bottom="960" w:left="1200" w:header="0" w:footer="778" w:gutter="0"/>
          <w:pgNumType w:fmt="decimal" w:start="1"/>
          <w:cols w:space="720" w:num="1"/>
          <w:docGrid w:linePitch="360" w:charSpace="6144"/>
        </w:sectPr>
      </w:pPr>
    </w:p>
    <w:p>
      <w:pPr>
        <w:pStyle w:val="3"/>
        <w:numPr>
          <w:ilvl w:val="0"/>
          <w:numId w:val="0"/>
        </w:numPr>
        <w:tabs>
          <w:tab w:val="left" w:pos="3698"/>
          <w:tab w:val="center" w:pos="4920"/>
        </w:tabs>
        <w:autoSpaceDE/>
        <w:autoSpaceDN/>
        <w:spacing w:before="0" w:after="0" w:line="240" w:lineRule="auto"/>
        <w:ind w:right="91"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lang w:eastAsia="zh-CN"/>
        </w:rPr>
        <w:t>第一部分</w:t>
      </w:r>
      <w:r>
        <w:rPr>
          <w:rFonts w:hint="eastAsia" w:ascii="宋体" w:hAnsi="宋体" w:eastAsia="宋体" w:cs="宋体"/>
          <w:b/>
          <w:color w:val="auto"/>
          <w:position w:val="0"/>
          <w:sz w:val="28"/>
          <w:szCs w:val="28"/>
          <w:lang w:val="en-US" w:eastAsia="zh-CN"/>
        </w:rPr>
        <w:t xml:space="preserve">  </w:t>
      </w:r>
      <w:r>
        <w:rPr>
          <w:rFonts w:hint="eastAsia" w:ascii="宋体" w:hAnsi="宋体" w:eastAsia="宋体" w:cs="宋体"/>
          <w:b/>
          <w:color w:val="auto"/>
          <w:position w:val="0"/>
          <w:sz w:val="28"/>
          <w:szCs w:val="28"/>
        </w:rPr>
        <w:t>竞争性磋商公告</w:t>
      </w:r>
    </w:p>
    <w:tbl>
      <w:tblPr>
        <w:tblStyle w:val="16"/>
        <w:tblpPr w:leftFromText="180" w:rightFromText="180" w:vertAnchor="page" w:horzAnchor="page" w:tblpX="1508" w:tblpY="2280"/>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640" w:type="dxa"/>
            <w:noWrap w:val="0"/>
            <w:vAlign w:val="top"/>
          </w:tcPr>
          <w:p>
            <w:pPr>
              <w:spacing w:before="75" w:after="75" w:line="400" w:lineRule="exact"/>
              <w:ind w:left="9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p>
            <w:pPr>
              <w:spacing w:before="75" w:after="75" w:line="400" w:lineRule="exact"/>
              <w:ind w:left="9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哈密市巴里坤县人民医院医技楼建设项目(检验科 放射科装修工程)</w:t>
            </w:r>
            <w:r>
              <w:rPr>
                <w:rFonts w:hint="eastAsia" w:ascii="宋体" w:hAnsi="宋体" w:eastAsia="宋体" w:cs="宋体"/>
                <w:color w:val="000000"/>
                <w:kern w:val="0"/>
                <w:sz w:val="24"/>
                <w:szCs w:val="24"/>
              </w:rPr>
              <w:t>招标项目的潜在投标人应在</w:t>
            </w:r>
            <w:r>
              <w:rPr>
                <w:rFonts w:hint="eastAsia" w:ascii="宋体" w:hAnsi="宋体" w:eastAsia="宋体" w:cs="宋体"/>
                <w:color w:val="000000"/>
                <w:kern w:val="0"/>
                <w:sz w:val="24"/>
                <w:szCs w:val="24"/>
                <w:u w:val="single"/>
                <w:lang w:val="en-US" w:eastAsia="zh-CN"/>
              </w:rPr>
              <w:t>新疆哈密市伊州区曙光新村12-4</w:t>
            </w:r>
            <w:r>
              <w:rPr>
                <w:rFonts w:hint="eastAsia" w:ascii="宋体" w:hAnsi="宋体" w:eastAsia="宋体" w:cs="宋体"/>
                <w:color w:val="000000"/>
                <w:kern w:val="0"/>
                <w:sz w:val="24"/>
                <w:szCs w:val="24"/>
              </w:rPr>
              <w:t>获取招标文件，并于</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2022</w:t>
            </w:r>
            <w:r>
              <w:rPr>
                <w:rFonts w:hint="eastAsia" w:ascii="宋体" w:hAnsi="宋体" w:eastAsia="宋体" w:cs="宋体"/>
                <w:color w:val="000000"/>
                <w:kern w:val="0"/>
                <w:sz w:val="24"/>
                <w:szCs w:val="24"/>
                <w:u w:val="single"/>
              </w:rPr>
              <w:t>年</w:t>
            </w:r>
            <w:r>
              <w:rPr>
                <w:rFonts w:hint="eastAsia" w:ascii="宋体" w:hAnsi="宋体" w:eastAsia="宋体" w:cs="宋体"/>
                <w:color w:val="000000"/>
                <w:kern w:val="0"/>
                <w:sz w:val="24"/>
                <w:szCs w:val="24"/>
                <w:u w:val="single"/>
                <w:lang w:val="en-US" w:eastAsia="zh-CN"/>
              </w:rPr>
              <w:t>7</w:t>
            </w:r>
            <w:r>
              <w:rPr>
                <w:rFonts w:hint="eastAsia" w:ascii="宋体" w:hAnsi="宋体" w:eastAsia="宋体" w:cs="宋体"/>
                <w:color w:val="000000"/>
                <w:kern w:val="0"/>
                <w:sz w:val="24"/>
                <w:szCs w:val="24"/>
                <w:u w:val="single"/>
              </w:rPr>
              <w:t>月</w:t>
            </w:r>
            <w:r>
              <w:rPr>
                <w:rFonts w:hint="eastAsia" w:ascii="宋体" w:hAnsi="宋体" w:eastAsia="宋体" w:cs="宋体"/>
                <w:color w:val="000000"/>
                <w:kern w:val="0"/>
                <w:sz w:val="24"/>
                <w:szCs w:val="24"/>
                <w:u w:val="single"/>
                <w:lang w:val="en-US" w:eastAsia="zh-CN"/>
              </w:rPr>
              <w:t>1</w:t>
            </w:r>
            <w:r>
              <w:rPr>
                <w:rFonts w:hint="eastAsia" w:ascii="宋体" w:hAnsi="宋体" w:eastAsia="宋体" w:cs="宋体"/>
                <w:color w:val="000000"/>
                <w:kern w:val="0"/>
                <w:sz w:val="24"/>
                <w:szCs w:val="24"/>
                <w:u w:val="single"/>
              </w:rPr>
              <w:t xml:space="preserve">日 </w:t>
            </w:r>
            <w:r>
              <w:rPr>
                <w:rFonts w:hint="eastAsia" w:ascii="宋体" w:hAnsi="宋体" w:eastAsia="宋体" w:cs="宋体"/>
                <w:color w:val="000000"/>
                <w:kern w:val="0"/>
                <w:sz w:val="24"/>
                <w:szCs w:val="24"/>
                <w:u w:val="single"/>
                <w:lang w:val="en-US" w:eastAsia="zh-CN"/>
              </w:rPr>
              <w:t>10</w:t>
            </w:r>
            <w:r>
              <w:rPr>
                <w:rFonts w:hint="eastAsia" w:ascii="宋体" w:hAnsi="宋体" w:eastAsia="宋体" w:cs="宋体"/>
                <w:color w:val="000000"/>
                <w:kern w:val="0"/>
                <w:sz w:val="24"/>
                <w:szCs w:val="24"/>
                <w:u w:val="single"/>
              </w:rPr>
              <w:t xml:space="preserve">点 </w:t>
            </w:r>
            <w:r>
              <w:rPr>
                <w:rFonts w:hint="eastAsia" w:ascii="宋体" w:hAnsi="宋体" w:eastAsia="宋体" w:cs="宋体"/>
                <w:color w:val="000000"/>
                <w:kern w:val="0"/>
                <w:sz w:val="24"/>
                <w:szCs w:val="24"/>
                <w:u w:val="single"/>
                <w:lang w:val="en-US" w:eastAsia="zh-CN"/>
              </w:rPr>
              <w:t>30</w:t>
            </w:r>
            <w:r>
              <w:rPr>
                <w:rFonts w:hint="eastAsia" w:ascii="宋体" w:hAnsi="宋体" w:eastAsia="宋体" w:cs="宋体"/>
                <w:color w:val="000000"/>
                <w:kern w:val="0"/>
                <w:sz w:val="24"/>
                <w:szCs w:val="24"/>
                <w:u w:val="single"/>
              </w:rPr>
              <w:t>分</w:t>
            </w:r>
            <w:r>
              <w:rPr>
                <w:rFonts w:hint="eastAsia" w:ascii="宋体" w:hAnsi="宋体" w:eastAsia="宋体" w:cs="宋体"/>
                <w:color w:val="000000"/>
                <w:kern w:val="0"/>
                <w:sz w:val="24"/>
                <w:szCs w:val="24"/>
              </w:rPr>
              <w:t>（北京时间）前递交投标文件。</w:t>
            </w:r>
          </w:p>
        </w:tc>
      </w:tr>
    </w:tbl>
    <w:p>
      <w:pPr>
        <w:widowControl/>
        <w:spacing w:before="255" w:after="255" w:line="24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一、项目基本情况</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项目编号：DXZB【2022】-04</w:t>
      </w:r>
    </w:p>
    <w:p>
      <w:pPr>
        <w:widowControl/>
        <w:spacing w:before="75" w:after="75" w:line="240" w:lineRule="auto"/>
        <w:ind w:left="479" w:leftChars="228"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项目名称：哈密市巴里坤县人民医院医技楼建设项目(检验科 放射科装修工程)</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采购方式：竞争性磋商</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预算金额（元）：400万元</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建设规模及内容：二层检验大厅、采血室、微生物检验室。结核实验室、PCR实验室及办公更衣室等所属区域的地面、墙面、吊顶、有编号的内门、内窗装修及照明、应急照明、插座、监控、网络通信、门襟安装等。</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本项目（否）接受联合体投标。</w:t>
      </w:r>
    </w:p>
    <w:p>
      <w:pPr>
        <w:widowControl/>
        <w:numPr>
          <w:ilvl w:val="0"/>
          <w:numId w:val="1"/>
        </w:numPr>
        <w:spacing w:before="75" w:after="75" w:line="240" w:lineRule="auto"/>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申请人的资格要求：</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1.满足《中华人民共和国政府采购法》第二十二条要求：</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（1）具有独立承担民事责任的能力；</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（2）具有健全的财务会计制度；</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（3）具有履行合同所必需的设备和专业技术能力；</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（4）有依法缴纳税收和社会保障资金的良好记录；</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（5）参加政府采购活动前三年内，在经营活动中没有重大违法记录；</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（6）法律、行政法规规定的其他条件。</w:t>
      </w:r>
    </w:p>
    <w:p>
      <w:pPr>
        <w:pStyle w:val="14"/>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p>
    <w:p>
      <w:pPr>
        <w:pStyle w:val="14"/>
        <w:spacing w:line="240" w:lineRule="auto"/>
        <w:rPr>
          <w:rFonts w:hint="eastAsia" w:ascii="宋体" w:hAnsi="宋体" w:eastAsia="宋体" w:cs="宋体"/>
          <w:sz w:val="24"/>
          <w:szCs w:val="24"/>
        </w:rPr>
      </w:pPr>
      <w:r>
        <w:rPr>
          <w:rFonts w:hint="eastAsia" w:ascii="宋体" w:hAnsi="宋体" w:eastAsia="宋体" w:cs="宋体"/>
          <w:sz w:val="24"/>
          <w:szCs w:val="24"/>
        </w:rPr>
        <w:t>（1）财政部、国家发展改革委、生态环境部、市场监管总局《关于调整优化节能产品、环境标志产品政府采购执行机制的通知》（财库[2019]9号文）；</w:t>
      </w:r>
      <w:r>
        <w:rPr>
          <w:rFonts w:hint="eastAsia" w:ascii="宋体" w:hAnsi="宋体" w:eastAsia="宋体" w:cs="宋体"/>
          <w:sz w:val="24"/>
          <w:szCs w:val="24"/>
        </w:rPr>
        <w:br w:type="textWrapping"/>
      </w:r>
      <w:r>
        <w:rPr>
          <w:rFonts w:hint="eastAsia" w:ascii="宋体" w:hAnsi="宋体" w:eastAsia="宋体" w:cs="宋体"/>
          <w:sz w:val="24"/>
          <w:szCs w:val="24"/>
        </w:rPr>
        <w:t>（2）财政部、生态环境部《关于印发环境标志产品政府采购品目清单的通知》（财库[2019]18号文）；</w:t>
      </w:r>
      <w:r>
        <w:rPr>
          <w:rFonts w:hint="eastAsia" w:ascii="宋体" w:hAnsi="宋体" w:eastAsia="宋体" w:cs="宋体"/>
          <w:sz w:val="24"/>
          <w:szCs w:val="24"/>
        </w:rPr>
        <w:br w:type="textWrapping"/>
      </w:r>
      <w:r>
        <w:rPr>
          <w:rFonts w:hint="eastAsia" w:ascii="宋体" w:hAnsi="宋体" w:eastAsia="宋体" w:cs="宋体"/>
          <w:sz w:val="24"/>
          <w:szCs w:val="24"/>
        </w:rPr>
        <w:t>（3）财政部、发展改革委《关于印发节能产品政府采购品目清单的通知》（财库[2019]19号文）；</w:t>
      </w:r>
      <w:r>
        <w:rPr>
          <w:rFonts w:hint="eastAsia" w:ascii="宋体" w:hAnsi="宋体" w:eastAsia="宋体" w:cs="宋体"/>
          <w:sz w:val="24"/>
          <w:szCs w:val="24"/>
        </w:rPr>
        <w:br w:type="textWrapping"/>
      </w:r>
      <w:r>
        <w:rPr>
          <w:rFonts w:hint="eastAsia" w:ascii="宋体" w:hAnsi="宋体" w:eastAsia="宋体" w:cs="宋体"/>
          <w:sz w:val="24"/>
          <w:szCs w:val="24"/>
        </w:rPr>
        <w:t>（4）市场监管总局《市场监管总局关于发布参与实施政府采购节能产品、环境标志产品认证机构名录的公告》（2019年第16号）；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（5）财政部、工业和信息化部《关于印发《政府采购促进中小企业展暂行办法》的通知》（财库[2020]64号文）；</w:t>
      </w:r>
      <w:r>
        <w:rPr>
          <w:rFonts w:hint="eastAsia" w:ascii="宋体" w:hAnsi="宋体" w:eastAsia="宋体" w:cs="宋体"/>
          <w:sz w:val="24"/>
          <w:szCs w:val="24"/>
        </w:rPr>
        <w:br w:type="textWrapping"/>
      </w:r>
      <w:r>
        <w:rPr>
          <w:rFonts w:hint="eastAsia" w:ascii="宋体" w:hAnsi="宋体" w:eastAsia="宋体" w:cs="宋体"/>
          <w:sz w:val="24"/>
          <w:szCs w:val="24"/>
        </w:rPr>
        <w:t>（6）财政部、民政部、中国残疾人联合会《关于促进残疾人就业政府采购政策的通知》（财库[2017]141号）；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（7）财政部、司法部《关于政府采购支持监狱企业发展有关问题的通知》（财库[2014]68号文）。（中小企业优惠、监狱企业、节能产品、环境标志产品等）。</w:t>
      </w:r>
      <w:r>
        <w:rPr>
          <w:rFonts w:hint="eastAsia" w:ascii="宋体" w:hAnsi="宋体" w:eastAsia="宋体" w:cs="宋体"/>
          <w:sz w:val="24"/>
          <w:szCs w:val="24"/>
        </w:rPr>
        <w:br w:type="textWrapping"/>
      </w:r>
      <w:r>
        <w:rPr>
          <w:rFonts w:hint="eastAsia" w:ascii="宋体" w:hAnsi="宋体" w:eastAsia="宋体" w:cs="宋体"/>
          <w:sz w:val="24"/>
          <w:szCs w:val="24"/>
        </w:rPr>
        <w:t> </w:t>
      </w:r>
    </w:p>
    <w:p>
      <w:pPr>
        <w:pStyle w:val="14"/>
        <w:spacing w:line="24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14"/>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（1）投标人必须是具备独立法人资格，营业执照经营范围符合本次采购要求；</w:t>
      </w:r>
    </w:p>
    <w:p>
      <w:pPr>
        <w:pStyle w:val="14"/>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（2）法人应携带《法定代表人身份证明》及身份证原件或委托代理人应携带《法人代表授权委托书》及身份证原件；</w:t>
      </w:r>
    </w:p>
    <w:p>
      <w:pPr>
        <w:pStyle w:val="14"/>
        <w:spacing w:line="240" w:lineRule="auto"/>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（3）投标人须具备建设行政主管部门颁发的建筑装修装饰工程专业承包贰级及以上和建筑机电工程专业承包叁级及以上资质，具备有效的安全生产许可证；并在人员、设备、资金等方面具有相应的施工能力</w:t>
      </w:r>
      <w:r>
        <w:rPr>
          <w:rFonts w:hint="eastAsia" w:ascii="宋体" w:hAnsi="宋体" w:eastAsia="宋体" w:cs="宋体"/>
          <w:color w:val="000000"/>
          <w:sz w:val="24"/>
          <w:szCs w:val="24"/>
          <w:lang w:val="en-US" w:eastAsia="zh-CN"/>
        </w:rPr>
        <w:t>；</w:t>
      </w:r>
    </w:p>
    <w:p>
      <w:pPr>
        <w:pStyle w:val="14"/>
        <w:spacing w:line="24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（4）拟委派的项目经理须具备有效的建筑工程专业或机电工程专业注册建造师执业资格证书（须在本单位注册），同时具备有效的安全生产考核合格证。</w:t>
      </w:r>
    </w:p>
    <w:p>
      <w:pPr>
        <w:pStyle w:val="14"/>
        <w:spacing w:line="240" w:lineRule="auto"/>
        <w:jc w:val="both"/>
        <w:rPr>
          <w:rFonts w:hint="eastAsia" w:ascii="宋体" w:hAnsi="宋体" w:eastAsia="宋体" w:cs="宋体"/>
          <w:color w:val="000000"/>
          <w:sz w:val="24"/>
          <w:szCs w:val="24"/>
          <w:lang w:val="en-US" w:eastAsia="zh-CN"/>
        </w:rPr>
      </w:pPr>
    </w:p>
    <w:p>
      <w:pPr>
        <w:pStyle w:val="14"/>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（5）具有良好的商业信誉和健全的财务会计制度，提供近一年(2021年)的第三方财务审计报告；</w:t>
      </w:r>
    </w:p>
    <w:p>
      <w:pPr>
        <w:pStyle w:val="14"/>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（6）有依法缴纳税收和社会保障资金的良好纪录，提供近半年（2022年1月-2022年6月）单位缴纳税收证明和社保证明；</w:t>
      </w:r>
    </w:p>
    <w:p>
      <w:pPr>
        <w:pStyle w:val="14"/>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（7）外埠企业须在新疆建设云进行信息报送，提供新疆工程建设云上打印的企业信息报送册或提供进疆登记备案册、项目经理须为报送信息中的人员)；</w:t>
      </w:r>
    </w:p>
    <w:p>
      <w:pPr>
        <w:pStyle w:val="14"/>
        <w:spacing w:line="24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pStyle w:val="15"/>
        <w:numPr>
          <w:ilvl w:val="0"/>
          <w:numId w:val="0"/>
        </w:numPr>
        <w:spacing w:line="24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须供近2－3个月内的国家、各省备案公示的信用服务机构出具的企业信用评级报告及在哈密市发改委备案通过的信用评价机构出具信用评级报告均被认可。未提供或者信用等级为D级的投标人，将拒绝投标；</w:t>
      </w:r>
    </w:p>
    <w:p>
      <w:pPr>
        <w:pStyle w:val="15"/>
        <w:numPr>
          <w:ilvl w:val="0"/>
          <w:numId w:val="0"/>
        </w:numPr>
        <w:spacing w:line="24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（10）与招标人存在利害关系可能影响招标公正性的法人、其他组织或者个人，不得参加投标；</w:t>
      </w:r>
    </w:p>
    <w:p>
      <w:pPr>
        <w:widowControl/>
        <w:spacing w:before="75" w:after="75" w:line="24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（11）单位负责人为同一人或者存在控股、管理关系的不同单位，不得参加同一标段投标或者未划分标段的同一招标项目投标；</w:t>
      </w:r>
    </w:p>
    <w:p>
      <w:pPr>
        <w:widowControl/>
        <w:spacing w:before="75" w:after="75" w:line="240" w:lineRule="auto"/>
        <w:ind w:firstLine="240" w:firstLineChars="1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（12）项目不接受联合体投标。</w:t>
      </w:r>
    </w:p>
    <w:p>
      <w:pPr>
        <w:widowControl/>
        <w:spacing w:before="75" w:after="75" w:line="240" w:lineRule="auto"/>
        <w:ind w:firstLine="48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三、获取招标文件</w:t>
      </w:r>
    </w:p>
    <w:p>
      <w:pPr>
        <w:widowControl/>
        <w:spacing w:before="75" w:after="75" w:line="240" w:lineRule="auto"/>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时间：</w:t>
      </w:r>
      <w:r>
        <w:rPr>
          <w:rFonts w:hint="eastAsia" w:ascii="宋体" w:hAnsi="宋体" w:eastAsia="宋体" w:cs="宋体"/>
          <w:b w:val="0"/>
          <w:bCs w:val="0"/>
          <w:color w:val="000000"/>
          <w:kern w:val="2"/>
          <w:sz w:val="24"/>
          <w:szCs w:val="24"/>
          <w:lang w:val="en-US" w:eastAsia="zh-CN" w:bidi="ar-SA"/>
        </w:rPr>
        <w:t>2022年6月21日至2022年6月2</w:t>
      </w:r>
      <w:r>
        <w:rPr>
          <w:rFonts w:hint="eastAsia" w:ascii="宋体" w:hAnsi="宋体" w:cs="宋体"/>
          <w:b w:val="0"/>
          <w:bCs w:val="0"/>
          <w:color w:val="000000"/>
          <w:kern w:val="2"/>
          <w:sz w:val="24"/>
          <w:szCs w:val="24"/>
          <w:lang w:val="en-US" w:eastAsia="zh-CN" w:bidi="ar-SA"/>
        </w:rPr>
        <w:t>8</w:t>
      </w:r>
      <w:r>
        <w:rPr>
          <w:rFonts w:hint="eastAsia" w:ascii="宋体" w:hAnsi="宋体" w:eastAsia="宋体" w:cs="宋体"/>
          <w:b w:val="0"/>
          <w:bCs w:val="0"/>
          <w:color w:val="000000"/>
          <w:kern w:val="2"/>
          <w:sz w:val="24"/>
          <w:szCs w:val="24"/>
          <w:lang w:val="en-US" w:eastAsia="zh-CN" w:bidi="ar-SA"/>
        </w:rPr>
        <w:t>日，每天上午9:30至13:30，下午15:30至19:30（</w:t>
      </w:r>
      <w:r>
        <w:rPr>
          <w:rFonts w:hint="eastAsia" w:ascii="宋体" w:hAnsi="宋体" w:eastAsia="宋体" w:cs="宋体"/>
          <w:b w:val="0"/>
          <w:bCs w:val="0"/>
          <w:kern w:val="2"/>
          <w:sz w:val="24"/>
          <w:szCs w:val="24"/>
          <w:lang w:val="en-US" w:eastAsia="zh-CN" w:bidi="ar-SA"/>
        </w:rPr>
        <w:t>北京时间，法定节假日除外 ）</w:t>
      </w:r>
    </w:p>
    <w:p>
      <w:pPr>
        <w:widowControl/>
        <w:spacing w:before="75" w:after="75" w:line="240" w:lineRule="auto"/>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地点：新疆哈密市伊州区曙光新村12-4</w:t>
      </w:r>
    </w:p>
    <w:p>
      <w:pPr>
        <w:widowControl/>
        <w:spacing w:before="75" w:after="75" w:line="240" w:lineRule="auto"/>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方式：线下购买</w:t>
      </w:r>
    </w:p>
    <w:p>
      <w:pPr>
        <w:widowControl/>
        <w:spacing w:before="75" w:after="75" w:line="240" w:lineRule="auto"/>
        <w:ind w:firstLine="48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售价（元）：200</w:t>
      </w:r>
    </w:p>
    <w:p>
      <w:pPr>
        <w:widowControl/>
        <w:spacing w:before="75" w:after="75" w:line="240" w:lineRule="auto"/>
        <w:ind w:firstLine="48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四、提交投标文件截止时间、开标时间和地点</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截止时间：</w:t>
      </w:r>
      <w:r>
        <w:rPr>
          <w:rFonts w:hint="eastAsia" w:ascii="宋体" w:hAnsi="宋体" w:eastAsia="宋体" w:cs="宋体"/>
          <w:color w:val="000000"/>
          <w:kern w:val="2"/>
          <w:sz w:val="24"/>
          <w:szCs w:val="24"/>
          <w:lang w:val="en-US" w:eastAsia="zh-CN" w:bidi="ar-SA"/>
        </w:rPr>
        <w:t>2022年7月1日10点30分</w:t>
      </w:r>
      <w:r>
        <w:rPr>
          <w:rFonts w:hint="eastAsia" w:ascii="宋体" w:hAnsi="宋体" w:eastAsia="宋体" w:cs="宋体"/>
          <w:kern w:val="2"/>
          <w:sz w:val="24"/>
          <w:szCs w:val="24"/>
          <w:lang w:val="en-US" w:eastAsia="zh-CN" w:bidi="ar-SA"/>
        </w:rPr>
        <w:t>（北京时间）</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地点：新疆哈密市伊州区曙光新村12-4</w:t>
      </w:r>
    </w:p>
    <w:p>
      <w:pPr>
        <w:widowControl/>
        <w:spacing w:before="75" w:after="75" w:line="240" w:lineRule="auto"/>
        <w:ind w:firstLine="48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五、公告期限</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自本公告发布之日起5个工作日。</w:t>
      </w:r>
    </w:p>
    <w:p>
      <w:pPr>
        <w:widowControl/>
        <w:spacing w:before="75" w:after="75" w:line="240" w:lineRule="auto"/>
        <w:ind w:firstLine="48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六、其他补充事宜</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1、凡符合上述资格要求且有意参加投标的供应商，须携带营业执照副本、资质证书、项目负责人证书、近一年(2021年)的第三方财务审计报告、近半年（2022年1月-2022年6月）单位缴纳税收证明和社保证明、</w:t>
      </w:r>
      <w:r>
        <w:rPr>
          <w:rFonts w:hint="eastAsia" w:ascii="宋体" w:hAnsi="宋体" w:eastAsia="宋体" w:cs="宋体"/>
          <w:sz w:val="24"/>
          <w:szCs w:val="24"/>
          <w:lang w:val="en-US" w:eastAsia="zh-CN"/>
        </w:rPr>
        <w:t>外埠企业进疆登记备案册、</w:t>
      </w:r>
      <w:r>
        <w:rPr>
          <w:rFonts w:hint="eastAsia" w:ascii="宋体" w:hAnsi="宋体" w:eastAsia="宋体" w:cs="宋体"/>
          <w:kern w:val="2"/>
          <w:sz w:val="24"/>
          <w:szCs w:val="24"/>
          <w:lang w:val="en-US" w:eastAsia="zh-CN" w:bidi="ar-SA"/>
        </w:rPr>
        <w:t>“中国裁判文书网”（（http://wenshu.court.gov.cn/）、“信用中国”（www.creditchina.gov.cn）和中国政府采购网（http://www.ccgp.gov.cn/search/cr/）截图、近2－3个月内的国家、各省备案公示的信用服务机构出具的企业信用评级报告及在哈密市发改委备案通过的信用评价机构出具信用评级报告均被认可。企业法人身份证或法人代表授权委托书及被授权人身份证等（以上资料须提供原件并提供加盖公章的复印件一套供招标代理机构留存）到新疆鼎信项目管理咨询有限公司报名，领取招标文件。</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widowControl/>
        <w:spacing w:before="75" w:after="75" w:line="240" w:lineRule="auto"/>
        <w:ind w:firstLine="48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七、对本次采购提出询问，请按以下方式联系</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1.采购人信息</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名 称：巴里坤哈萨克自治县人民医院  </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地址：哈密市巴里坤县　　　　　</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联系方式：　　　　　　　　　　　 </w:t>
      </w:r>
      <w:bookmarkStart w:id="0" w:name="_Toc28359009"/>
      <w:bookmarkStart w:id="1" w:name="_Toc28359086"/>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2.采购代理机构信息</w:t>
      </w:r>
      <w:bookmarkEnd w:id="0"/>
      <w:bookmarkEnd w:id="1"/>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称：新疆鼎信项目管理咨询有限公司</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址：新疆哈密市伊州区曙光新村12-4号</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bookmarkStart w:id="2" w:name="_Toc28359087"/>
      <w:bookmarkStart w:id="3" w:name="_Toc28359010"/>
      <w:r>
        <w:rPr>
          <w:rFonts w:hint="eastAsia" w:ascii="宋体" w:hAnsi="宋体" w:eastAsia="宋体" w:cs="宋体"/>
          <w:kern w:val="2"/>
          <w:sz w:val="24"/>
          <w:szCs w:val="24"/>
          <w:lang w:val="en-US" w:eastAsia="zh-CN" w:bidi="ar-SA"/>
        </w:rPr>
        <w:t>09002-2250066</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3.项目联系方式</w:t>
      </w:r>
      <w:bookmarkEnd w:id="2"/>
      <w:bookmarkEnd w:id="3"/>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项目联系人：王迪</w:t>
      </w:r>
    </w:p>
    <w:p>
      <w:pPr>
        <w:widowControl/>
        <w:spacing w:before="75" w:after="75" w:line="240" w:lineRule="auto"/>
        <w:ind w:firstLine="48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　话：18160394511　　　　　</w:t>
      </w:r>
    </w:p>
    <w:p>
      <w:pPr>
        <w:rPr>
          <w:rFonts w:hint="eastAsia" w:ascii="宋体" w:hAnsi="宋体" w:eastAsia="宋体" w:cs="宋体"/>
          <w:sz w:val="24"/>
          <w:szCs w:val="24"/>
        </w:rPr>
      </w:pPr>
    </w:p>
    <w:p>
      <w:pPr>
        <w:pStyle w:val="5"/>
        <w:numPr>
          <w:ilvl w:val="0"/>
          <w:numId w:val="0"/>
        </w:numPr>
        <w:tabs>
          <w:tab w:val="left" w:pos="1804"/>
        </w:tabs>
        <w:autoSpaceDE w:val="0"/>
        <w:autoSpaceDN w:val="0"/>
        <w:spacing w:before="19" w:after="160" w:line="240" w:lineRule="auto"/>
        <w:ind w:right="605" w:firstLine="2891"/>
        <w:jc w:val="both"/>
        <w:outlineLvl w:val="1"/>
        <w:rPr>
          <w:rFonts w:hint="eastAsia" w:ascii="宋体" w:hAnsi="宋体" w:eastAsia="宋体" w:cs="宋体"/>
          <w:b/>
          <w:color w:val="auto"/>
          <w:position w:val="0"/>
          <w:sz w:val="24"/>
          <w:szCs w:val="24"/>
        </w:rPr>
      </w:pPr>
    </w:p>
    <w:p>
      <w:pPr>
        <w:pStyle w:val="5"/>
        <w:numPr>
          <w:ilvl w:val="0"/>
          <w:numId w:val="0"/>
        </w:numPr>
        <w:tabs>
          <w:tab w:val="left" w:pos="1804"/>
        </w:tabs>
        <w:autoSpaceDE w:val="0"/>
        <w:autoSpaceDN w:val="0"/>
        <w:spacing w:before="19" w:after="160" w:line="240" w:lineRule="auto"/>
        <w:ind w:right="605" w:firstLine="2891"/>
        <w:jc w:val="both"/>
        <w:outlineLvl w:val="1"/>
        <w:rPr>
          <w:rFonts w:hint="eastAsia" w:ascii="宋体" w:hAnsi="宋体" w:eastAsia="宋体" w:cs="宋体"/>
          <w:b/>
          <w:color w:val="auto"/>
          <w:position w:val="0"/>
          <w:sz w:val="24"/>
          <w:szCs w:val="24"/>
        </w:rPr>
      </w:pPr>
    </w:p>
    <w:p>
      <w:pPr>
        <w:pStyle w:val="5"/>
        <w:numPr>
          <w:ilvl w:val="0"/>
          <w:numId w:val="0"/>
        </w:numPr>
        <w:tabs>
          <w:tab w:val="left" w:pos="1804"/>
        </w:tabs>
        <w:autoSpaceDE w:val="0"/>
        <w:autoSpaceDN w:val="0"/>
        <w:spacing w:before="19" w:after="160" w:line="240" w:lineRule="auto"/>
        <w:ind w:right="605" w:firstLine="2891"/>
        <w:jc w:val="both"/>
        <w:outlineLvl w:val="1"/>
        <w:rPr>
          <w:rFonts w:hint="eastAsia" w:ascii="宋体" w:hAnsi="宋体" w:eastAsia="宋体" w:cs="宋体"/>
          <w:b/>
          <w:color w:val="auto"/>
          <w:position w:val="0"/>
          <w:sz w:val="24"/>
          <w:szCs w:val="24"/>
        </w:rPr>
      </w:pPr>
    </w:p>
    <w:p>
      <w:pPr>
        <w:pStyle w:val="5"/>
        <w:numPr>
          <w:ilvl w:val="0"/>
          <w:numId w:val="0"/>
        </w:numPr>
        <w:tabs>
          <w:tab w:val="left" w:pos="1804"/>
        </w:tabs>
        <w:autoSpaceDE w:val="0"/>
        <w:autoSpaceDN w:val="0"/>
        <w:spacing w:before="19" w:after="160" w:line="240" w:lineRule="auto"/>
        <w:ind w:right="605"/>
        <w:jc w:val="both"/>
        <w:outlineLvl w:val="1"/>
        <w:rPr>
          <w:rFonts w:hint="eastAsia" w:ascii="宋体" w:hAnsi="宋体" w:eastAsia="宋体" w:cs="宋体"/>
          <w:b/>
          <w:color w:val="auto"/>
          <w:position w:val="0"/>
          <w:sz w:val="24"/>
          <w:szCs w:val="24"/>
        </w:rPr>
      </w:pPr>
    </w:p>
    <w:p>
      <w:pPr>
        <w:pStyle w:val="5"/>
        <w:numPr>
          <w:ilvl w:val="0"/>
          <w:numId w:val="0"/>
        </w:numPr>
        <w:tabs>
          <w:tab w:val="left" w:pos="1804"/>
        </w:tabs>
        <w:autoSpaceDE w:val="0"/>
        <w:autoSpaceDN w:val="0"/>
        <w:spacing w:before="19" w:after="160" w:line="240" w:lineRule="auto"/>
        <w:ind w:right="605"/>
        <w:jc w:val="center"/>
        <w:outlineLvl w:val="1"/>
        <w:rPr>
          <w:rFonts w:hint="eastAsia" w:ascii="宋体" w:hAnsi="宋体" w:eastAsia="宋体" w:cs="宋体"/>
          <w:b/>
          <w:color w:val="auto"/>
          <w:position w:val="0"/>
          <w:sz w:val="28"/>
          <w:szCs w:val="28"/>
        </w:rPr>
      </w:pPr>
    </w:p>
    <w:p>
      <w:pPr>
        <w:pStyle w:val="5"/>
        <w:numPr>
          <w:ilvl w:val="0"/>
          <w:numId w:val="0"/>
        </w:numPr>
        <w:tabs>
          <w:tab w:val="left" w:pos="1804"/>
        </w:tabs>
        <w:autoSpaceDE w:val="0"/>
        <w:autoSpaceDN w:val="0"/>
        <w:spacing w:before="19" w:after="160" w:line="240" w:lineRule="auto"/>
        <w:ind w:right="605"/>
        <w:jc w:val="center"/>
        <w:outlineLvl w:val="1"/>
        <w:rPr>
          <w:rFonts w:hint="eastAsia" w:ascii="宋体" w:hAnsi="宋体" w:eastAsia="宋体" w:cs="宋体"/>
          <w:b/>
          <w:color w:val="auto"/>
          <w:position w:val="0"/>
          <w:sz w:val="28"/>
          <w:szCs w:val="28"/>
        </w:rPr>
      </w:pPr>
    </w:p>
    <w:p>
      <w:pPr>
        <w:pStyle w:val="5"/>
        <w:numPr>
          <w:ilvl w:val="0"/>
          <w:numId w:val="0"/>
        </w:numPr>
        <w:tabs>
          <w:tab w:val="left" w:pos="1804"/>
        </w:tabs>
        <w:autoSpaceDE w:val="0"/>
        <w:autoSpaceDN w:val="0"/>
        <w:spacing w:before="19" w:after="160" w:line="240" w:lineRule="auto"/>
        <w:ind w:right="605"/>
        <w:jc w:val="center"/>
        <w:outlineLvl w:val="1"/>
        <w:rPr>
          <w:rFonts w:hint="eastAsia" w:ascii="宋体" w:hAnsi="宋体" w:eastAsia="宋体" w:cs="宋体"/>
          <w:b/>
          <w:color w:val="auto"/>
          <w:position w:val="0"/>
          <w:sz w:val="28"/>
          <w:szCs w:val="28"/>
        </w:rPr>
      </w:pPr>
    </w:p>
    <w:p>
      <w:pPr>
        <w:pStyle w:val="5"/>
        <w:numPr>
          <w:ilvl w:val="0"/>
          <w:numId w:val="0"/>
        </w:numPr>
        <w:tabs>
          <w:tab w:val="left" w:pos="1804"/>
        </w:tabs>
        <w:autoSpaceDE w:val="0"/>
        <w:autoSpaceDN w:val="0"/>
        <w:spacing w:before="19" w:after="160" w:line="240" w:lineRule="auto"/>
        <w:ind w:right="605"/>
        <w:jc w:val="center"/>
        <w:outlineLvl w:val="1"/>
        <w:rPr>
          <w:rFonts w:hint="eastAsia" w:ascii="宋体" w:hAnsi="宋体" w:eastAsia="宋体" w:cs="宋体"/>
          <w:b/>
          <w:color w:val="auto"/>
          <w:position w:val="0"/>
          <w:sz w:val="28"/>
          <w:szCs w:val="28"/>
        </w:rPr>
      </w:pPr>
    </w:p>
    <w:p>
      <w:pPr>
        <w:pStyle w:val="5"/>
        <w:numPr>
          <w:ilvl w:val="0"/>
          <w:numId w:val="0"/>
        </w:numPr>
        <w:tabs>
          <w:tab w:val="left" w:pos="1804"/>
        </w:tabs>
        <w:autoSpaceDE w:val="0"/>
        <w:autoSpaceDN w:val="0"/>
        <w:spacing w:before="19" w:after="160" w:line="240" w:lineRule="auto"/>
        <w:ind w:right="605"/>
        <w:jc w:val="center"/>
        <w:outlineLvl w:val="1"/>
        <w:rPr>
          <w:rFonts w:hint="eastAsia" w:ascii="宋体" w:hAnsi="宋体" w:eastAsia="宋体" w:cs="宋体"/>
          <w:b/>
          <w:color w:val="auto"/>
          <w:position w:val="0"/>
          <w:sz w:val="28"/>
          <w:szCs w:val="28"/>
        </w:rPr>
      </w:pPr>
    </w:p>
    <w:p>
      <w:pPr>
        <w:pStyle w:val="5"/>
        <w:numPr>
          <w:ilvl w:val="0"/>
          <w:numId w:val="0"/>
        </w:numPr>
        <w:tabs>
          <w:tab w:val="left" w:pos="1804"/>
        </w:tabs>
        <w:autoSpaceDE w:val="0"/>
        <w:autoSpaceDN w:val="0"/>
        <w:spacing w:before="19" w:after="160" w:line="240" w:lineRule="auto"/>
        <w:ind w:right="605"/>
        <w:jc w:val="center"/>
        <w:outlineLvl w:val="1"/>
        <w:rPr>
          <w:rFonts w:hint="eastAsia" w:ascii="宋体" w:hAnsi="宋体" w:eastAsia="宋体" w:cs="宋体"/>
          <w:b/>
          <w:color w:val="auto"/>
          <w:position w:val="0"/>
          <w:sz w:val="28"/>
          <w:szCs w:val="28"/>
        </w:rPr>
      </w:pPr>
    </w:p>
    <w:p>
      <w:pPr>
        <w:pStyle w:val="5"/>
        <w:numPr>
          <w:ilvl w:val="0"/>
          <w:numId w:val="0"/>
        </w:numPr>
        <w:tabs>
          <w:tab w:val="left" w:pos="1804"/>
        </w:tabs>
        <w:autoSpaceDE w:val="0"/>
        <w:autoSpaceDN w:val="0"/>
        <w:spacing w:before="19" w:after="160" w:line="240" w:lineRule="auto"/>
        <w:ind w:right="605"/>
        <w:jc w:val="both"/>
        <w:outlineLvl w:val="1"/>
        <w:rPr>
          <w:rFonts w:hint="eastAsia" w:ascii="宋体" w:hAnsi="宋体" w:eastAsia="宋体" w:cs="宋体"/>
          <w:b/>
          <w:color w:val="auto"/>
          <w:position w:val="0"/>
          <w:sz w:val="28"/>
          <w:szCs w:val="28"/>
        </w:rPr>
      </w:pPr>
    </w:p>
    <w:p>
      <w:pPr>
        <w:pStyle w:val="5"/>
        <w:numPr>
          <w:ilvl w:val="0"/>
          <w:numId w:val="0"/>
        </w:numPr>
        <w:tabs>
          <w:tab w:val="left" w:pos="1804"/>
        </w:tabs>
        <w:autoSpaceDE w:val="0"/>
        <w:autoSpaceDN w:val="0"/>
        <w:spacing w:before="19" w:after="160" w:line="240" w:lineRule="auto"/>
        <w:ind w:right="605"/>
        <w:jc w:val="center"/>
        <w:outlineLvl w:val="1"/>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第二部分</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投标人须知</w:t>
      </w:r>
    </w:p>
    <w:p>
      <w:pPr>
        <w:pStyle w:val="7"/>
        <w:numPr>
          <w:ilvl w:val="0"/>
          <w:numId w:val="0"/>
        </w:numPr>
        <w:autoSpaceDE w:val="0"/>
        <w:autoSpaceDN w:val="0"/>
        <w:spacing w:before="101" w:after="14" w:line="240" w:lineRule="auto"/>
        <w:ind w:right="608" w:firstLine="0"/>
        <w:jc w:val="center"/>
        <w:outlineLvl w:val="3"/>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投标人须知前附表</w:t>
      </w:r>
    </w:p>
    <w:tbl>
      <w:tblPr>
        <w:tblStyle w:val="16"/>
        <w:tblW w:w="9356"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50"/>
        <w:gridCol w:w="34"/>
        <w:gridCol w:w="1179"/>
        <w:gridCol w:w="65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5" w:hRule="atLeast"/>
        </w:trPr>
        <w:tc>
          <w:tcPr>
            <w:tcW w:w="1550" w:type="dxa"/>
            <w:tcBorders>
              <w:bottom w:val="single" w:color="000000" w:sz="6" w:space="0"/>
              <w:right w:val="single" w:color="000000" w:sz="6" w:space="0"/>
            </w:tcBorders>
            <w:noWrap w:val="0"/>
            <w:vAlign w:val="top"/>
          </w:tcPr>
          <w:p>
            <w:pPr>
              <w:pStyle w:val="18"/>
              <w:numPr>
                <w:ilvl w:val="0"/>
                <w:numId w:val="0"/>
              </w:numPr>
              <w:autoSpaceDE w:val="0"/>
              <w:autoSpaceDN w:val="0"/>
              <w:spacing w:before="98" w:after="160" w:line="240" w:lineRule="auto"/>
              <w:ind w:left="21"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条款号</w:t>
            </w:r>
          </w:p>
        </w:tc>
        <w:tc>
          <w:tcPr>
            <w:tcW w:w="1213" w:type="dxa"/>
            <w:gridSpan w:val="2"/>
            <w:tcBorders>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98"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条款名称</w:t>
            </w:r>
          </w:p>
        </w:tc>
        <w:tc>
          <w:tcPr>
            <w:tcW w:w="6593" w:type="dxa"/>
            <w:tcBorders>
              <w:left w:val="single" w:color="000000" w:sz="6" w:space="0"/>
              <w:bottom w:val="single" w:color="000000" w:sz="6" w:space="0"/>
            </w:tcBorders>
            <w:noWrap w:val="0"/>
            <w:vAlign w:val="top"/>
          </w:tcPr>
          <w:p>
            <w:pPr>
              <w:pStyle w:val="18"/>
              <w:numPr>
                <w:ilvl w:val="0"/>
                <w:numId w:val="0"/>
              </w:numPr>
              <w:autoSpaceDE w:val="0"/>
              <w:autoSpaceDN w:val="0"/>
              <w:spacing w:before="98" w:after="160" w:line="240" w:lineRule="auto"/>
              <w:ind w:right="2779"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 xml:space="preserve">          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8"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98" w:after="160" w:line="240" w:lineRule="auto"/>
              <w:ind w:right="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1.1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项目名称</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lang w:val="en-US" w:eastAsia="zh-CN"/>
              </w:rPr>
              <w:t>哈密市巴里坤县人民医院医技楼建设项目(检验科 放射科装修工程)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1.2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采购方式</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竞争性磋商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3"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46"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1.3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right="87"/>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lang w:eastAsia="zh-CN"/>
              </w:rPr>
              <w:t>建设规模</w:t>
            </w:r>
            <w:r>
              <w:rPr>
                <w:rFonts w:hint="eastAsia" w:ascii="宋体" w:hAnsi="宋体" w:eastAsia="宋体" w:cs="宋体"/>
                <w:smallCaps w:val="0"/>
                <w:color w:val="000000"/>
                <w:spacing w:val="0"/>
                <w:position w:val="0"/>
                <w:sz w:val="21"/>
                <w:szCs w:val="21"/>
              </w:rPr>
              <w:t>内容</w:t>
            </w:r>
          </w:p>
        </w:tc>
        <w:tc>
          <w:tcPr>
            <w:tcW w:w="6593" w:type="dxa"/>
            <w:tcBorders>
              <w:top w:val="single" w:color="000000" w:sz="6" w:space="0"/>
              <w:left w:val="single" w:color="000000" w:sz="6" w:space="0"/>
              <w:bottom w:val="single" w:color="000000" w:sz="6" w:space="0"/>
            </w:tcBorders>
            <w:noWrap w:val="0"/>
            <w:vAlign w:val="top"/>
          </w:tcPr>
          <w:p>
            <w:pPr>
              <w:numPr>
                <w:ilvl w:val="0"/>
                <w:numId w:val="0"/>
              </w:numPr>
              <w:tabs>
                <w:tab w:val="left" w:pos="5695"/>
              </w:tabs>
              <w:autoSpaceDE w:val="0"/>
              <w:autoSpaceDN w:val="0"/>
              <w:spacing w:before="0" w:after="0" w:line="288" w:lineRule="auto"/>
              <w:ind w:right="0" w:firstLine="0"/>
              <w:jc w:val="both"/>
              <w:rPr>
                <w:rFonts w:hint="eastAsia" w:ascii="宋体" w:hAnsi="宋体" w:eastAsia="宋体" w:cs="宋体"/>
                <w:smallCaps w:val="0"/>
                <w:color w:val="000000"/>
                <w:spacing w:val="0"/>
                <w:position w:val="0"/>
                <w:sz w:val="21"/>
                <w:szCs w:val="21"/>
                <w:lang w:eastAsia="zh-CN"/>
              </w:rPr>
            </w:pPr>
            <w:r>
              <w:rPr>
                <w:rFonts w:hint="eastAsia" w:ascii="宋体" w:hAnsi="宋体" w:eastAsia="宋体" w:cs="宋体"/>
                <w:smallCaps w:val="0"/>
                <w:color w:val="000000"/>
                <w:spacing w:val="0"/>
                <w:position w:val="0"/>
                <w:sz w:val="21"/>
                <w:szCs w:val="21"/>
                <w:lang w:val="en-US" w:eastAsia="zh-CN"/>
              </w:rPr>
              <w:t>二层检验大厅、采血室、微生物检验室。结核实验室、PCR实验室及办公更衣室等所属区域的地面、墙面、吊顶、有编号的内门、内窗装修及照明、应急照明、插座、监控、网络通信、门襟安装等。</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1" w:after="160" w:line="259" w:lineRule="exact"/>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1.4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资金情况</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3"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83"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1.5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项目地点</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lang w:eastAsia="zh-CN"/>
              </w:rPr>
            </w:pPr>
            <w:r>
              <w:rPr>
                <w:rFonts w:hint="eastAsia" w:ascii="宋体" w:hAnsi="宋体" w:eastAsia="宋体" w:cs="宋体"/>
                <w:smallCaps w:val="0"/>
                <w:color w:val="000000"/>
                <w:spacing w:val="0"/>
                <w:position w:val="0"/>
                <w:sz w:val="21"/>
                <w:szCs w:val="21"/>
              </w:rPr>
              <w:t>哈密市</w:t>
            </w:r>
            <w:r>
              <w:rPr>
                <w:rFonts w:hint="eastAsia" w:ascii="宋体" w:hAnsi="宋体" w:eastAsia="宋体" w:cs="宋体"/>
                <w:smallCaps w:val="0"/>
                <w:color w:val="000000"/>
                <w:spacing w:val="0"/>
                <w:position w:val="0"/>
                <w:sz w:val="21"/>
                <w:szCs w:val="21"/>
                <w:lang w:eastAsia="zh-CN"/>
              </w:rPr>
              <w:t>巴里坤县</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85"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1.6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服务期限</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default" w:ascii="宋体" w:hAnsi="宋体" w:eastAsia="宋体" w:cs="宋体"/>
                <w:smallCaps w:val="0"/>
                <w:color w:val="000000"/>
                <w:spacing w:val="0"/>
                <w:position w:val="0"/>
                <w:sz w:val="21"/>
                <w:szCs w:val="21"/>
                <w:lang w:val="en-US" w:eastAsia="zh-CN"/>
              </w:rPr>
            </w:pPr>
            <w:r>
              <w:rPr>
                <w:rFonts w:hint="eastAsia" w:ascii="宋体" w:hAnsi="宋体" w:eastAsia="宋体" w:cs="宋体"/>
                <w:color w:val="auto"/>
                <w:position w:val="0"/>
                <w:sz w:val="21"/>
                <w:szCs w:val="21"/>
                <w:highlight w:val="none"/>
                <w:lang w:eastAsia="zh-CN"/>
              </w:rPr>
              <w:t>合同签订后六十天内完成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2.1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采购人</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采购人：</w:t>
            </w:r>
            <w:r>
              <w:rPr>
                <w:rFonts w:hint="eastAsia" w:ascii="宋体" w:hAnsi="宋体" w:eastAsia="宋体" w:cs="宋体"/>
                <w:smallCaps w:val="0"/>
                <w:color w:val="000000"/>
                <w:spacing w:val="0"/>
                <w:position w:val="0"/>
                <w:sz w:val="21"/>
                <w:szCs w:val="21"/>
                <w:lang w:val="en-US" w:eastAsia="zh-CN"/>
              </w:rPr>
              <w:t>巴里坤哈萨克自治县人民医院</w:t>
            </w:r>
          </w:p>
          <w:p>
            <w:pPr>
              <w:pStyle w:val="18"/>
              <w:numPr>
                <w:ilvl w:val="0"/>
                <w:numId w:val="0"/>
              </w:numPr>
              <w:autoSpaceDE w:val="0"/>
              <w:autoSpaceDN w:val="0"/>
              <w:spacing w:before="174" w:after="160" w:line="240" w:lineRule="auto"/>
              <w:ind w:left="111" w:right="87" w:firstLine="0"/>
              <w:jc w:val="both"/>
              <w:rPr>
                <w:rFonts w:hint="default" w:ascii="宋体" w:hAnsi="宋体" w:eastAsia="宋体" w:cs="宋体"/>
                <w:smallCaps w:val="0"/>
                <w:color w:val="000000"/>
                <w:spacing w:val="0"/>
                <w:position w:val="0"/>
                <w:sz w:val="21"/>
                <w:szCs w:val="21"/>
                <w:lang w:val="en-US" w:eastAsia="zh-CN"/>
              </w:rPr>
            </w:pPr>
            <w:r>
              <w:rPr>
                <w:rFonts w:hint="eastAsia" w:ascii="宋体" w:hAnsi="宋体" w:eastAsia="宋体" w:cs="宋体"/>
                <w:smallCaps w:val="0"/>
                <w:color w:val="000000"/>
                <w:spacing w:val="0"/>
                <w:position w:val="0"/>
                <w:sz w:val="21"/>
                <w:szCs w:val="21"/>
              </w:rPr>
              <w:t>联系人：</w:t>
            </w:r>
            <w:r>
              <w:rPr>
                <w:rFonts w:hint="eastAsia" w:ascii="宋体" w:hAnsi="宋体" w:eastAsia="宋体" w:cs="宋体"/>
                <w:smallCaps w:val="0"/>
                <w:color w:val="000000"/>
                <w:spacing w:val="0"/>
                <w:position w:val="0"/>
                <w:sz w:val="21"/>
                <w:szCs w:val="21"/>
                <w:lang w:eastAsia="zh-CN"/>
              </w:rPr>
              <w:t>祁光来</w:t>
            </w:r>
            <w:r>
              <w:rPr>
                <w:rFonts w:hint="eastAsia" w:ascii="宋体" w:hAnsi="宋体" w:eastAsia="宋体" w:cs="宋体"/>
                <w:smallCaps w:val="0"/>
                <w:color w:val="000000"/>
                <w:spacing w:val="0"/>
                <w:position w:val="0"/>
                <w:sz w:val="21"/>
                <w:szCs w:val="21"/>
              </w:rPr>
              <w:t xml:space="preserve">     </w:t>
            </w:r>
            <w:r>
              <w:rPr>
                <w:rFonts w:hint="eastAsia" w:ascii="宋体" w:hAnsi="宋体" w:eastAsia="宋体" w:cs="宋体"/>
                <w:smallCaps w:val="0"/>
                <w:color w:val="000000"/>
                <w:spacing w:val="0"/>
                <w:position w:val="0"/>
                <w:sz w:val="21"/>
                <w:szCs w:val="21"/>
              </w:rPr>
              <w:tab/>
            </w:r>
            <w:r>
              <w:rPr>
                <w:rFonts w:hint="eastAsia" w:ascii="宋体" w:hAnsi="宋体" w:eastAsia="宋体" w:cs="宋体"/>
                <w:smallCaps w:val="0"/>
                <w:color w:val="000000"/>
                <w:spacing w:val="0"/>
                <w:position w:val="0"/>
                <w:sz w:val="21"/>
                <w:szCs w:val="21"/>
              </w:rPr>
              <w:t>联系电话：</w:t>
            </w:r>
            <w:r>
              <w:rPr>
                <w:rFonts w:hint="eastAsia" w:ascii="宋体" w:hAnsi="宋体" w:eastAsia="宋体" w:cs="宋体"/>
                <w:smallCaps w:val="0"/>
                <w:color w:val="000000"/>
                <w:spacing w:val="0"/>
                <w:position w:val="0"/>
                <w:sz w:val="21"/>
                <w:szCs w:val="21"/>
                <w:lang w:val="en-US" w:eastAsia="zh-CN"/>
              </w:rPr>
              <w:t>0902-6822877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9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74"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2.2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代理机构</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名称：新疆鼎信项目管理咨询有限公司</w:t>
            </w: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 xml:space="preserve">地址：新疆哈密市伊州区益寿路曙光新村12-4号 </w:t>
            </w: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lang w:eastAsia="zh-CN"/>
              </w:rPr>
            </w:pPr>
            <w:r>
              <w:rPr>
                <w:rFonts w:hint="eastAsia" w:ascii="宋体" w:hAnsi="宋体" w:eastAsia="宋体" w:cs="宋体"/>
                <w:smallCaps w:val="0"/>
                <w:color w:val="000000"/>
                <w:spacing w:val="0"/>
                <w:position w:val="0"/>
                <w:sz w:val="21"/>
                <w:szCs w:val="21"/>
              </w:rPr>
              <w:t>联系人：</w:t>
            </w:r>
            <w:r>
              <w:rPr>
                <w:rFonts w:hint="eastAsia" w:ascii="宋体" w:hAnsi="宋体" w:eastAsia="宋体" w:cs="宋体"/>
                <w:smallCaps w:val="0"/>
                <w:color w:val="000000"/>
                <w:spacing w:val="0"/>
                <w:position w:val="0"/>
                <w:sz w:val="21"/>
                <w:szCs w:val="21"/>
                <w:lang w:eastAsia="zh-CN"/>
              </w:rPr>
              <w:t>王迪</w:t>
            </w: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电话：0902-2250066</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6" w:after="160" w:line="264" w:lineRule="exact"/>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2.9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偏离</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不接受实质性偏离及重大偏离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8" w:after="160" w:line="262" w:lineRule="exact"/>
              <w:ind w:left="19" w:right="0"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68" w:after="160" w:line="262" w:lineRule="exact"/>
              <w:ind w:left="19" w:right="0"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68" w:after="160" w:line="262" w:lineRule="exact"/>
              <w:ind w:left="19" w:right="0"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68" w:after="160" w:line="262" w:lineRule="exact"/>
              <w:ind w:left="19" w:right="0"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68" w:after="160" w:line="262" w:lineRule="exact"/>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3.1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供应商资格</w:t>
            </w:r>
          </w:p>
        </w:tc>
        <w:tc>
          <w:tcPr>
            <w:tcW w:w="6593" w:type="dxa"/>
            <w:tcBorders>
              <w:top w:val="single" w:color="000000" w:sz="6" w:space="0"/>
              <w:left w:val="single" w:color="000000" w:sz="6" w:space="0"/>
              <w:bottom w:val="single" w:color="000000" w:sz="6" w:space="0"/>
            </w:tcBorders>
            <w:noWrap w:val="0"/>
            <w:vAlign w:val="top"/>
          </w:tcPr>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rPr>
            </w:pPr>
            <w:r>
              <w:rPr>
                <w:rFonts w:hint="eastAsia" w:ascii="宋体" w:hAnsi="宋体" w:eastAsia="宋体" w:cs="宋体"/>
                <w:color w:val="000000"/>
                <w:position w:val="0"/>
                <w:sz w:val="21"/>
                <w:szCs w:val="21"/>
              </w:rPr>
              <w:t>1.满足《中华人民共和国政府采购法》第二十二条规定；</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rPr>
            </w:pPr>
            <w:r>
              <w:rPr>
                <w:rFonts w:hint="eastAsia" w:ascii="宋体" w:hAnsi="宋体" w:eastAsia="宋体" w:cs="宋体"/>
                <w:color w:val="000000"/>
                <w:position w:val="0"/>
                <w:sz w:val="21"/>
                <w:szCs w:val="21"/>
              </w:rPr>
              <w:t>2.落实政府采购政策需满足的资格要求：</w:t>
            </w:r>
            <w:r>
              <w:rPr>
                <w:rFonts w:hint="eastAsia" w:ascii="宋体" w:hAnsi="宋体" w:eastAsia="宋体" w:cs="宋体"/>
                <w:color w:val="000000"/>
                <w:position w:val="0"/>
                <w:sz w:val="21"/>
                <w:szCs w:val="21"/>
                <w:lang w:val="en-US" w:eastAsia="zh-CN"/>
              </w:rPr>
              <w:t>/</w:t>
            </w:r>
            <w:r>
              <w:rPr>
                <w:rFonts w:hint="eastAsia" w:ascii="宋体" w:hAnsi="宋体" w:eastAsia="宋体" w:cs="宋体"/>
                <w:color w:val="000000"/>
                <w:position w:val="0"/>
                <w:sz w:val="21"/>
                <w:szCs w:val="21"/>
              </w:rPr>
              <w:t>；</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rPr>
            </w:pPr>
            <w:r>
              <w:rPr>
                <w:rFonts w:hint="eastAsia" w:ascii="宋体" w:hAnsi="宋体" w:eastAsia="宋体" w:cs="宋体"/>
                <w:color w:val="000000"/>
                <w:position w:val="0"/>
                <w:sz w:val="21"/>
                <w:szCs w:val="21"/>
              </w:rPr>
              <w:t>3.本项目的特定资格要求：</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lang w:val="en-US" w:eastAsia="zh-CN"/>
              </w:rPr>
            </w:pPr>
            <w:r>
              <w:rPr>
                <w:rFonts w:hint="eastAsia" w:ascii="宋体" w:hAnsi="宋体" w:eastAsia="宋体" w:cs="宋体"/>
                <w:color w:val="000000"/>
                <w:position w:val="0"/>
                <w:sz w:val="21"/>
                <w:szCs w:val="21"/>
                <w:lang w:val="en-US" w:eastAsia="zh-CN"/>
              </w:rPr>
              <w:t>（1）投标人必须是具备独立法人资格，营业执照经营范围符合本次采购要求；</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lang w:val="en-US" w:eastAsia="zh-CN"/>
              </w:rPr>
            </w:pPr>
            <w:r>
              <w:rPr>
                <w:rFonts w:hint="eastAsia" w:ascii="宋体" w:hAnsi="宋体" w:eastAsia="宋体" w:cs="宋体"/>
                <w:color w:val="000000"/>
                <w:position w:val="0"/>
                <w:sz w:val="21"/>
                <w:szCs w:val="21"/>
                <w:lang w:val="en-US" w:eastAsia="zh-CN"/>
              </w:rPr>
              <w:t>（2）法人应携带《法定代表人身份证明》及身份证原件或委托代理人应携带《法人代表授权委托书》及身份证原件；</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lang w:val="en-US" w:eastAsia="zh-CN"/>
              </w:rPr>
            </w:pPr>
            <w:r>
              <w:rPr>
                <w:rFonts w:hint="eastAsia" w:ascii="宋体" w:hAnsi="宋体" w:eastAsia="宋体" w:cs="宋体"/>
                <w:color w:val="000000"/>
                <w:position w:val="0"/>
                <w:sz w:val="21"/>
                <w:szCs w:val="21"/>
                <w:lang w:val="en-US" w:eastAsia="zh-CN"/>
              </w:rPr>
              <w:t>（3）投标人须具备建设行政主管部门颁发的建筑装修装饰工程专业承包贰级及以上和建筑机电工程专业承包叁级及以上资质，具备有效的安全生产许可证；并在人员、设备、资金等方面具有相应的施工能力。</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lang w:val="en-US" w:eastAsia="zh-CN"/>
              </w:rPr>
            </w:pPr>
            <w:r>
              <w:rPr>
                <w:rFonts w:hint="eastAsia" w:ascii="宋体" w:hAnsi="宋体" w:eastAsia="宋体" w:cs="宋体"/>
                <w:color w:val="000000"/>
                <w:position w:val="0"/>
                <w:sz w:val="21"/>
                <w:szCs w:val="21"/>
                <w:lang w:val="en-US" w:eastAsia="zh-CN"/>
              </w:rPr>
              <w:t>（4）拟委派的项目经理须具备有效的建筑工程专业或机电工程专业注册建造师执业资格证书（须在本单位注册），同时具备有效的安全生产考核合格证。</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lang w:val="en-US" w:eastAsia="zh-CN"/>
              </w:rPr>
            </w:pPr>
            <w:r>
              <w:rPr>
                <w:rFonts w:hint="eastAsia" w:ascii="宋体" w:hAnsi="宋体" w:eastAsia="宋体" w:cs="宋体"/>
                <w:color w:val="000000"/>
                <w:position w:val="0"/>
                <w:sz w:val="21"/>
                <w:szCs w:val="21"/>
                <w:lang w:val="en-US" w:eastAsia="zh-CN"/>
              </w:rPr>
              <w:t>（5）具有良好的商业信誉和健全的财务会计制度，提供近一年(2021年)的第三方财务审计报告；</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lang w:val="en-US" w:eastAsia="zh-CN"/>
              </w:rPr>
            </w:pPr>
            <w:r>
              <w:rPr>
                <w:rFonts w:hint="eastAsia" w:ascii="宋体" w:hAnsi="宋体" w:eastAsia="宋体" w:cs="宋体"/>
                <w:color w:val="000000"/>
                <w:position w:val="0"/>
                <w:sz w:val="21"/>
                <w:szCs w:val="21"/>
                <w:lang w:val="en-US" w:eastAsia="zh-CN"/>
              </w:rPr>
              <w:t>（6）有依法缴纳税收和社会保障资金的良好纪录，提供近半年（2022年1月-2022年6月）单位缴纳税收证明和社保证明；</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lang w:val="en-US" w:eastAsia="zh-CN"/>
              </w:rPr>
            </w:pPr>
            <w:r>
              <w:rPr>
                <w:rFonts w:hint="eastAsia" w:ascii="宋体" w:hAnsi="宋体" w:eastAsia="宋体" w:cs="宋体"/>
                <w:color w:val="000000"/>
                <w:position w:val="0"/>
                <w:sz w:val="21"/>
                <w:szCs w:val="21"/>
                <w:lang w:val="en-US" w:eastAsia="zh-CN"/>
              </w:rPr>
              <w:t>（7）外埠企业须在新疆建设云进行信息报送，提供新疆工程建设云上打印的企业信息报送册或提供进疆登记备案册、项目经理须为报送信息中的人员)</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lang w:val="en-US" w:eastAsia="zh-CN"/>
              </w:rPr>
            </w:pPr>
            <w:r>
              <w:rPr>
                <w:rFonts w:hint="eastAsia" w:ascii="宋体" w:hAnsi="宋体" w:eastAsia="宋体" w:cs="宋体"/>
                <w:color w:val="000000"/>
                <w:position w:val="0"/>
                <w:sz w:val="21"/>
                <w:szCs w:val="21"/>
                <w:lang w:val="en-US" w:eastAsia="zh-CN"/>
              </w:rPr>
              <w:t>（8）在“信用中国”网站（www.creditchina.gov.cn）被列入失信被执行人、重大税收违法案件当事人名单(搜索栏输入单位全称-点击总公司-截图)、中国政府采购网（http://www.ccgp.gov.cn/search/cr/）严重违法失信行为记录名单的（尚在处罚期内的），将拒绝其参加本次招标活动；</w:t>
            </w:r>
          </w:p>
          <w:p>
            <w:pPr>
              <w:pageBreakBefore w:val="0"/>
              <w:numPr>
                <w:ilvl w:val="0"/>
                <w:numId w:val="0"/>
              </w:numPr>
              <w:autoSpaceDE/>
              <w:autoSpaceDN/>
              <w:bidi w:val="0"/>
              <w:spacing w:before="75" w:after="75" w:line="400" w:lineRule="exact"/>
              <w:ind w:right="0" w:firstLine="480"/>
              <w:jc w:val="both"/>
              <w:rPr>
                <w:rFonts w:hint="eastAsia" w:ascii="宋体" w:hAnsi="宋体" w:eastAsia="宋体" w:cs="宋体"/>
                <w:color w:val="000000"/>
                <w:position w:val="0"/>
                <w:sz w:val="21"/>
                <w:szCs w:val="21"/>
              </w:rPr>
            </w:pPr>
            <w:r>
              <w:rPr>
                <w:rFonts w:hint="eastAsia" w:ascii="宋体" w:hAnsi="宋体" w:eastAsia="宋体" w:cs="宋体"/>
                <w:color w:val="000000"/>
                <w:position w:val="0"/>
                <w:sz w:val="21"/>
                <w:szCs w:val="21"/>
                <w:lang w:val="en-US" w:eastAsia="zh-CN"/>
              </w:rPr>
              <w:t>（9）供应商须供近2－3个月内的国家、各省备案公示的信用服务机构出具的企业信用评级报告及在哈密市发改委备案通过的信用评价机构出具信用评级报告均被认可。未提供或者信用等级为D级的投标人，将拒绝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5"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7"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5.1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是否接受联合体投标</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本项目不接受联合体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46"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第一章 6.1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踏勘现场</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0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第三章 15.7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业绩</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174"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具有近三年类似项目业绩；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7" w:hRule="atLeast"/>
        </w:trPr>
        <w:tc>
          <w:tcPr>
            <w:tcW w:w="1550" w:type="dxa"/>
            <w:tcBorders>
              <w:top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第三章 16.3 款</w:t>
            </w:r>
          </w:p>
        </w:tc>
        <w:tc>
          <w:tcPr>
            <w:tcW w:w="1213" w:type="dxa"/>
            <w:gridSpan w:val="2"/>
            <w:tcBorders>
              <w:top w:val="single" w:color="000000" w:sz="6" w:space="0"/>
              <w:left w:val="single" w:color="000000" w:sz="6" w:space="0"/>
              <w:right w:val="single" w:color="000000" w:sz="6" w:space="0"/>
            </w:tcBorders>
            <w:noWrap w:val="0"/>
            <w:vAlign w:val="center"/>
          </w:tcPr>
          <w:p>
            <w:pPr>
              <w:autoSpaceDE w:val="0"/>
              <w:autoSpaceDN w:val="0"/>
              <w:jc w:val="center"/>
              <w:rPr>
                <w:rFonts w:hint="eastAsia" w:ascii="宋体" w:hAnsi="宋体" w:eastAsia="宋体" w:cs="宋体"/>
                <w:smallCaps w:val="0"/>
                <w:color w:val="000000"/>
                <w:spacing w:val="0"/>
                <w:w w:val="100"/>
                <w:kern w:val="0"/>
                <w:position w:val="0"/>
                <w:sz w:val="21"/>
                <w:szCs w:val="21"/>
                <w:shd w:val="clear" w:color="auto" w:fill="auto"/>
                <w:lang w:eastAsia="zh-CN"/>
              </w:rPr>
            </w:pPr>
            <w:r>
              <w:rPr>
                <w:rFonts w:hint="eastAsia" w:ascii="宋体" w:hAnsi="宋体" w:eastAsia="宋体" w:cs="宋体"/>
                <w:smallCaps w:val="0"/>
                <w:color w:val="000000"/>
                <w:spacing w:val="0"/>
                <w:w w:val="100"/>
                <w:kern w:val="0"/>
                <w:position w:val="0"/>
                <w:sz w:val="21"/>
                <w:szCs w:val="21"/>
                <w:shd w:val="clear" w:color="auto" w:fill="auto"/>
              </w:rPr>
              <w:t>最高投标限价</w:t>
            </w:r>
          </w:p>
        </w:tc>
        <w:tc>
          <w:tcPr>
            <w:tcW w:w="6593" w:type="dxa"/>
            <w:tcBorders>
              <w:top w:val="single" w:color="000000" w:sz="6" w:space="0"/>
              <w:left w:val="single" w:color="000000" w:sz="6" w:space="0"/>
            </w:tcBorders>
            <w:noWrap w:val="0"/>
            <w:vAlign w:val="center"/>
          </w:tcPr>
          <w:p>
            <w:pPr>
              <w:autoSpaceDE w:val="0"/>
              <w:autoSpaceDN w:val="0"/>
              <w:spacing w:line="360" w:lineRule="auto"/>
              <w:rPr>
                <w:rFonts w:hint="eastAsia" w:ascii="宋体" w:hAnsi="宋体" w:eastAsia="宋体" w:cs="宋体"/>
                <w:smallCaps w:val="0"/>
                <w:color w:val="000000"/>
                <w:spacing w:val="0"/>
                <w:w w:val="100"/>
                <w:kern w:val="0"/>
                <w:position w:val="0"/>
                <w:sz w:val="21"/>
                <w:szCs w:val="21"/>
                <w:shd w:val="clear" w:color="auto" w:fill="auto"/>
                <w:lang w:val="en-US" w:eastAsia="zh-CN"/>
              </w:rPr>
            </w:pPr>
            <w:r>
              <w:rPr>
                <w:rFonts w:hint="eastAsia" w:ascii="宋体" w:hAnsi="宋体" w:eastAsia="宋体" w:cs="宋体"/>
                <w:smallCaps w:val="0"/>
                <w:color w:val="000000"/>
                <w:spacing w:val="0"/>
                <w:w w:val="100"/>
                <w:kern w:val="0"/>
                <w:position w:val="0"/>
                <w:sz w:val="21"/>
                <w:szCs w:val="21"/>
                <w:shd w:val="clear" w:color="auto" w:fill="auto"/>
              </w:rPr>
              <w:t>本项目的最高投标限价为：</w:t>
            </w:r>
            <w:r>
              <w:rPr>
                <w:rFonts w:hint="eastAsia" w:ascii="宋体" w:hAnsi="宋体" w:eastAsia="宋体" w:cs="宋体"/>
                <w:b/>
                <w:bCs/>
                <w:smallCaps w:val="0"/>
                <w:color w:val="000000"/>
                <w:spacing w:val="0"/>
                <w:w w:val="100"/>
                <w:kern w:val="0"/>
                <w:position w:val="0"/>
                <w:sz w:val="21"/>
                <w:szCs w:val="21"/>
                <w:shd w:val="clear" w:color="auto" w:fill="auto"/>
                <w:lang w:val="en-US" w:eastAsia="zh-CN"/>
              </w:rPr>
              <w:t>3912166.82</w:t>
            </w:r>
            <w:r>
              <w:rPr>
                <w:rFonts w:hint="eastAsia" w:ascii="宋体" w:hAnsi="宋体" w:eastAsia="宋体" w:cs="宋体"/>
                <w:b/>
                <w:bCs/>
                <w:smallCaps w:val="0"/>
                <w:color w:val="000000"/>
                <w:spacing w:val="0"/>
                <w:w w:val="100"/>
                <w:kern w:val="0"/>
                <w:position w:val="0"/>
                <w:sz w:val="21"/>
                <w:szCs w:val="21"/>
                <w:shd w:val="clear" w:color="auto" w:fill="auto"/>
              </w:rPr>
              <w:t>元。</w:t>
            </w:r>
            <w:r>
              <w:rPr>
                <w:rFonts w:hint="eastAsia" w:ascii="宋体" w:hAnsi="宋体" w:eastAsia="宋体" w:cs="宋体"/>
                <w:smallCaps w:val="0"/>
                <w:color w:val="000000"/>
                <w:spacing w:val="0"/>
                <w:w w:val="100"/>
                <w:kern w:val="0"/>
                <w:position w:val="0"/>
                <w:sz w:val="21"/>
                <w:szCs w:val="21"/>
                <w:shd w:val="clear" w:color="auto" w:fill="auto"/>
              </w:rPr>
              <w:t>投标报价超过最高投标限价的，其投标报价将做废标处理。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5" w:hRule="atLeast"/>
        </w:trPr>
        <w:tc>
          <w:tcPr>
            <w:tcW w:w="1550" w:type="dxa"/>
            <w:tcBorders>
              <w:bottom w:val="single" w:color="000000" w:sz="6" w:space="0"/>
              <w:right w:val="single" w:color="000000" w:sz="6" w:space="0"/>
            </w:tcBorders>
            <w:noWrap w:val="0"/>
            <w:vAlign w:val="top"/>
          </w:tcPr>
          <w:p>
            <w:pPr>
              <w:pStyle w:val="18"/>
              <w:numPr>
                <w:ilvl w:val="0"/>
                <w:numId w:val="0"/>
              </w:numPr>
              <w:autoSpaceDE w:val="0"/>
              <w:autoSpaceDN w:val="0"/>
              <w:spacing w:before="100" w:after="160" w:line="240" w:lineRule="auto"/>
              <w:ind w:left="21"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条款号</w:t>
            </w:r>
          </w:p>
        </w:tc>
        <w:tc>
          <w:tcPr>
            <w:tcW w:w="1213" w:type="dxa"/>
            <w:gridSpan w:val="2"/>
            <w:tcBorders>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00" w:after="160" w:line="240" w:lineRule="auto"/>
              <w:ind w:left="240"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条款名称</w:t>
            </w:r>
          </w:p>
        </w:tc>
        <w:tc>
          <w:tcPr>
            <w:tcW w:w="6593" w:type="dxa"/>
            <w:tcBorders>
              <w:left w:val="single" w:color="000000" w:sz="6" w:space="0"/>
              <w:bottom w:val="single" w:color="000000" w:sz="6" w:space="0"/>
            </w:tcBorders>
            <w:noWrap w:val="0"/>
            <w:vAlign w:val="top"/>
          </w:tcPr>
          <w:p>
            <w:pPr>
              <w:pStyle w:val="18"/>
              <w:numPr>
                <w:ilvl w:val="0"/>
                <w:numId w:val="0"/>
              </w:numPr>
              <w:autoSpaceDE w:val="0"/>
              <w:autoSpaceDN w:val="0"/>
              <w:spacing w:before="100" w:after="160" w:line="240" w:lineRule="auto"/>
              <w:ind w:right="2779"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 xml:space="preserve">        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83"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第三章 17.1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83" w:after="160" w:line="240" w:lineRule="auto"/>
              <w:ind w:left="6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投标有效期</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83" w:after="160" w:line="240" w:lineRule="auto"/>
              <w:ind w:left="115"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lang w:val="en-US" w:eastAsia="zh-CN"/>
              </w:rPr>
              <w:t>60</w:t>
            </w:r>
            <w:r>
              <w:rPr>
                <w:rFonts w:hint="eastAsia" w:ascii="宋体" w:hAnsi="宋体" w:eastAsia="宋体" w:cs="宋体"/>
                <w:smallCaps w:val="0"/>
                <w:color w:val="000000"/>
                <w:spacing w:val="0"/>
                <w:position w:val="0"/>
                <w:sz w:val="21"/>
                <w:szCs w:val="21"/>
              </w:rPr>
              <w:t xml:space="preserve"> 日历天（从投标截止之日算起）。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19"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2"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第三章 18.1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2"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left="136"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磋商保证金</w:t>
            </w:r>
          </w:p>
        </w:tc>
        <w:tc>
          <w:tcPr>
            <w:tcW w:w="6593" w:type="dxa"/>
            <w:tcBorders>
              <w:top w:val="single" w:color="000000" w:sz="6" w:space="0"/>
              <w:left w:val="single" w:color="000000" w:sz="6" w:space="0"/>
              <w:bottom w:val="single" w:color="000000" w:sz="6" w:space="0"/>
            </w:tcBorders>
            <w:noWrap w:val="0"/>
            <w:vAlign w:val="top"/>
          </w:tcPr>
          <w:p>
            <w:pPr>
              <w:numPr>
                <w:ilvl w:val="0"/>
                <w:numId w:val="0"/>
              </w:numPr>
              <w:autoSpaceDE/>
              <w:autoSpaceDN/>
              <w:snapToGrid/>
              <w:spacing w:before="0" w:after="0" w:line="240" w:lineRule="auto"/>
              <w:ind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投标保证金提交方式为：可采用电汇或支票等非现金形式提交。（电汇时请在备注栏内注明项目名称简称投标保证金）；投标保证金缴纳时间：投标保证金应请在投标截止时间2天前确认到账到达新疆鼎信项目管理咨询有限公司以下账户，投标人凭汇款凭证到新疆鼎信项目管理咨询有限公司财务室开具投标保证金收据，该收据为缴纳投标保证金的唯一凭证。</w:t>
            </w:r>
          </w:p>
          <w:p>
            <w:pPr>
              <w:numPr>
                <w:ilvl w:val="0"/>
                <w:numId w:val="0"/>
              </w:numPr>
              <w:autoSpaceDE/>
              <w:autoSpaceDN/>
              <w:snapToGrid/>
              <w:spacing w:before="0" w:after="0" w:line="360" w:lineRule="exact"/>
              <w:ind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投标保证金金额：</w:t>
            </w:r>
            <w:r>
              <w:rPr>
                <w:rFonts w:hint="eastAsia" w:ascii="宋体" w:hAnsi="宋体" w:eastAsia="宋体" w:cs="宋体"/>
                <w:b w:val="0"/>
                <w:smallCaps w:val="0"/>
                <w:color w:val="000000"/>
                <w:spacing w:val="0"/>
                <w:position w:val="0"/>
                <w:sz w:val="21"/>
                <w:szCs w:val="21"/>
                <w:lang w:eastAsia="zh-CN"/>
              </w:rPr>
              <w:t>捌万</w:t>
            </w:r>
            <w:r>
              <w:rPr>
                <w:rFonts w:hint="eastAsia" w:ascii="宋体" w:hAnsi="宋体" w:eastAsia="宋体" w:cs="宋体"/>
                <w:b w:val="0"/>
                <w:smallCaps w:val="0"/>
                <w:color w:val="000000"/>
                <w:spacing w:val="0"/>
                <w:position w:val="0"/>
                <w:sz w:val="21"/>
                <w:szCs w:val="21"/>
              </w:rPr>
              <w:t>元整（</w:t>
            </w:r>
            <w:r>
              <w:rPr>
                <w:rFonts w:hint="eastAsia" w:ascii="宋体" w:hAnsi="宋体" w:eastAsia="宋体" w:cs="宋体"/>
                <w:b w:val="0"/>
                <w:smallCaps w:val="0"/>
                <w:color w:val="000000"/>
                <w:spacing w:val="0"/>
                <w:position w:val="0"/>
                <w:sz w:val="21"/>
                <w:szCs w:val="21"/>
                <w:lang w:val="en-US" w:eastAsia="zh-CN"/>
              </w:rPr>
              <w:t>80000</w:t>
            </w:r>
            <w:r>
              <w:rPr>
                <w:rFonts w:hint="eastAsia" w:ascii="宋体" w:hAnsi="宋体" w:eastAsia="宋体" w:cs="宋体"/>
                <w:b w:val="0"/>
                <w:smallCaps w:val="0"/>
                <w:color w:val="000000"/>
                <w:spacing w:val="0"/>
                <w:position w:val="0"/>
                <w:sz w:val="21"/>
                <w:szCs w:val="21"/>
              </w:rPr>
              <w:t>元）</w:t>
            </w:r>
          </w:p>
          <w:p>
            <w:pPr>
              <w:numPr>
                <w:ilvl w:val="0"/>
                <w:numId w:val="0"/>
              </w:numPr>
              <w:autoSpaceDE/>
              <w:autoSpaceDN/>
              <w:snapToGrid/>
              <w:spacing w:before="0" w:after="0" w:line="240" w:lineRule="auto"/>
              <w:ind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账户名：新疆鼎信项目管理咨询有限公司</w:t>
            </w:r>
          </w:p>
          <w:p>
            <w:pPr>
              <w:numPr>
                <w:ilvl w:val="0"/>
                <w:numId w:val="0"/>
              </w:numPr>
              <w:autoSpaceDE/>
              <w:autoSpaceDN/>
              <w:snapToGrid/>
              <w:spacing w:before="0" w:after="0" w:line="240" w:lineRule="auto"/>
              <w:ind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开户行：工行哈密广东路支行</w:t>
            </w:r>
          </w:p>
          <w:p>
            <w:pPr>
              <w:numPr>
                <w:ilvl w:val="0"/>
                <w:numId w:val="0"/>
              </w:numPr>
              <w:autoSpaceDE/>
              <w:autoSpaceDN/>
              <w:snapToGrid/>
              <w:spacing w:before="0" w:after="0" w:line="360" w:lineRule="exact"/>
              <w:ind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帐  号：3011033109200192874</w:t>
            </w:r>
          </w:p>
          <w:p>
            <w:pPr>
              <w:pStyle w:val="18"/>
              <w:numPr>
                <w:ilvl w:val="0"/>
                <w:numId w:val="0"/>
              </w:numPr>
              <w:autoSpaceDE w:val="0"/>
              <w:autoSpaceDN w:val="0"/>
              <w:spacing w:before="51" w:after="160" w:line="254" w:lineRule="exact"/>
              <w:ind w:left="115"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注：缴纳投标保证金时，必须填写本项目名称。投标书中需附新疆鼎信项目管理咨询有限公司出具的投标保证金收据复印件。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7"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1"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第三章 18.2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35" w:after="160" w:line="304" w:lineRule="auto"/>
              <w:ind w:left="115" w:right="85"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磋商保证金的退还</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1.投标人在投标截止时间前撤回已提交的响应文件的，采购人或者采购代理机构应当自收到投标人书面撤回通知之日起5 个工作日内，退还已收取的磋商保证金，但因投标人自身原因导致无法及时退还的除外。</w:t>
            </w:r>
          </w:p>
          <w:p>
            <w:pPr>
              <w:pStyle w:val="18"/>
              <w:numPr>
                <w:ilvl w:val="0"/>
                <w:numId w:val="0"/>
              </w:numPr>
              <w:tabs>
                <w:tab w:val="left" w:pos="651"/>
              </w:tabs>
              <w:autoSpaceDE w:val="0"/>
              <w:autoSpaceDN w:val="0"/>
              <w:spacing w:before="5" w:after="160" w:line="240" w:lineRule="auto"/>
              <w:ind w:left="114"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2.采购人或者采购代理机构应当自成交通知书发出之日起5个工</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作日内退还未成交人的磋商保证金，自采购合同签订之日起5个工作日内退还成交人的磋商保证金或者转为成交人的履约保证金。</w:t>
            </w:r>
          </w:p>
          <w:p>
            <w:pPr>
              <w:pStyle w:val="18"/>
              <w:numPr>
                <w:ilvl w:val="0"/>
                <w:numId w:val="0"/>
              </w:numPr>
              <w:autoSpaceDE w:val="0"/>
              <w:autoSpaceDN w:val="0"/>
              <w:spacing w:before="4" w:after="160" w:line="240" w:lineRule="auto"/>
              <w:ind w:left="115"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特别提示：退还磋商保证金的投标人办理退款业务时需提供以下资料:</w:t>
            </w:r>
          </w:p>
          <w:p>
            <w:pPr>
              <w:pStyle w:val="18"/>
              <w:numPr>
                <w:ilvl w:val="0"/>
                <w:numId w:val="0"/>
              </w:numPr>
              <w:autoSpaceDE w:val="0"/>
              <w:autoSpaceDN w:val="0"/>
              <w:spacing w:before="69" w:after="160" w:line="302" w:lineRule="auto"/>
              <w:ind w:left="115" w:right="55"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①采购代理机构财务部门开具的磋商保证金《财务收据》原件（以便核查）。</w:t>
            </w:r>
          </w:p>
          <w:p>
            <w:pPr>
              <w:pStyle w:val="18"/>
              <w:numPr>
                <w:ilvl w:val="0"/>
                <w:numId w:val="0"/>
              </w:numPr>
              <w:autoSpaceDE w:val="0"/>
              <w:autoSpaceDN w:val="0"/>
              <w:spacing w:before="1" w:after="160" w:line="302" w:lineRule="auto"/>
              <w:ind w:left="115" w:right="55"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②投标单位给代理机构开具的收款收据（收款单位开具并加盖收款单位财务章）。同时必须提供清晰的开户银行名称、账号及收款单位名称（加盖单位章）。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8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5"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第三章 18.3 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44" w:after="160" w:line="302" w:lineRule="auto"/>
              <w:ind w:left="136" w:right="105"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不予退还保证金的情形</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61" w:after="160" w:line="240" w:lineRule="auto"/>
              <w:ind w:left="115"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有下列情形之一的，保证金不予退还：</w:t>
            </w:r>
          </w:p>
          <w:p>
            <w:pPr>
              <w:pStyle w:val="18"/>
              <w:numPr>
                <w:ilvl w:val="0"/>
                <w:numId w:val="2"/>
              </w:numPr>
              <w:tabs>
                <w:tab w:val="left" w:pos="640"/>
              </w:tabs>
              <w:autoSpaceDE w:val="0"/>
              <w:autoSpaceDN w:val="0"/>
              <w:bidi w:val="0"/>
              <w:spacing w:before="72" w:after="160" w:line="240" w:lineRule="auto"/>
              <w:ind w:left="639" w:right="0" w:hanging="525"/>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供应商在提交响应文件截止时间后撤回响应文件的；</w:t>
            </w:r>
          </w:p>
          <w:p>
            <w:pPr>
              <w:pStyle w:val="18"/>
              <w:numPr>
                <w:ilvl w:val="0"/>
                <w:numId w:val="2"/>
              </w:numPr>
              <w:tabs>
                <w:tab w:val="left" w:pos="640"/>
              </w:tabs>
              <w:autoSpaceDE w:val="0"/>
              <w:autoSpaceDN w:val="0"/>
              <w:bidi w:val="0"/>
              <w:spacing w:before="71" w:after="160" w:line="240" w:lineRule="auto"/>
              <w:ind w:left="639" w:right="0" w:hanging="525"/>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供应商在响应文件中提供虚假材料的；</w:t>
            </w:r>
          </w:p>
          <w:p>
            <w:pPr>
              <w:pStyle w:val="18"/>
              <w:numPr>
                <w:ilvl w:val="0"/>
                <w:numId w:val="2"/>
              </w:numPr>
              <w:tabs>
                <w:tab w:val="left" w:pos="651"/>
              </w:tabs>
              <w:autoSpaceDE w:val="0"/>
              <w:autoSpaceDN w:val="0"/>
              <w:bidi w:val="0"/>
              <w:spacing w:before="70" w:after="160" w:line="304"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除因不可抗力或竞争性磋商文件认可的情形以外，成交供应商不与采购人签订合同的；</w:t>
            </w:r>
          </w:p>
          <w:p>
            <w:pPr>
              <w:pStyle w:val="18"/>
              <w:numPr>
                <w:ilvl w:val="0"/>
                <w:numId w:val="2"/>
              </w:numPr>
              <w:tabs>
                <w:tab w:val="left" w:pos="640"/>
              </w:tabs>
              <w:autoSpaceDE w:val="0"/>
              <w:autoSpaceDN w:val="0"/>
              <w:bidi w:val="0"/>
              <w:spacing w:before="0" w:after="160" w:line="267" w:lineRule="exact"/>
              <w:ind w:left="639" w:right="0" w:hanging="525"/>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供应商与采购人、其他供应商或者采购代理机构恶意串通的；</w:t>
            </w:r>
          </w:p>
          <w:p>
            <w:pPr>
              <w:pStyle w:val="18"/>
              <w:numPr>
                <w:ilvl w:val="0"/>
                <w:numId w:val="2"/>
              </w:numPr>
              <w:tabs>
                <w:tab w:val="left" w:pos="640"/>
              </w:tabs>
              <w:autoSpaceDE w:val="0"/>
              <w:autoSpaceDN w:val="0"/>
              <w:bidi w:val="0"/>
              <w:spacing w:before="69" w:after="160" w:line="259" w:lineRule="exact"/>
              <w:ind w:left="639" w:right="0" w:hanging="525"/>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竞争性磋商文件规定的其他情形。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7" w:hRule="atLeast"/>
        </w:trPr>
        <w:tc>
          <w:tcPr>
            <w:tcW w:w="1550" w:type="dxa"/>
            <w:tcBorders>
              <w:top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46" w:after="160" w:line="240" w:lineRule="auto"/>
              <w:ind w:left="19"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第三章 19.1 款</w:t>
            </w:r>
          </w:p>
        </w:tc>
        <w:tc>
          <w:tcPr>
            <w:tcW w:w="1213" w:type="dxa"/>
            <w:gridSpan w:val="2"/>
            <w:tcBorders>
              <w:top w:val="single" w:color="000000" w:sz="6" w:space="0"/>
              <w:left w:val="single" w:color="000000" w:sz="6" w:space="0"/>
              <w:right w:val="single" w:color="000000" w:sz="6" w:space="0"/>
            </w:tcBorders>
            <w:noWrap w:val="0"/>
            <w:vAlign w:val="top"/>
          </w:tcPr>
          <w:p>
            <w:pPr>
              <w:pStyle w:val="18"/>
              <w:numPr>
                <w:ilvl w:val="0"/>
                <w:numId w:val="0"/>
              </w:numPr>
              <w:autoSpaceDE w:val="0"/>
              <w:autoSpaceDN w:val="0"/>
              <w:spacing w:before="1"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304" w:lineRule="auto"/>
              <w:ind w:left="556" w:right="105" w:hanging="42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响应文件份数</w:t>
            </w:r>
          </w:p>
        </w:tc>
        <w:tc>
          <w:tcPr>
            <w:tcW w:w="6593" w:type="dxa"/>
            <w:tcBorders>
              <w:top w:val="single" w:color="000000" w:sz="6" w:space="0"/>
              <w:left w:val="single" w:color="000000" w:sz="6" w:space="0"/>
            </w:tcBorders>
            <w:noWrap w:val="0"/>
            <w:vAlign w:val="top"/>
          </w:tcPr>
          <w:p>
            <w:pPr>
              <w:pStyle w:val="18"/>
              <w:numPr>
                <w:ilvl w:val="0"/>
                <w:numId w:val="0"/>
              </w:numPr>
              <w:autoSpaceDE w:val="0"/>
              <w:autoSpaceDN w:val="0"/>
              <w:spacing w:before="61" w:after="160" w:line="240" w:lineRule="auto"/>
              <w:ind w:left="115" w:right="0" w:firstLine="0"/>
              <w:jc w:val="both"/>
              <w:rPr>
                <w:rFonts w:hint="default" w:ascii="宋体" w:hAnsi="宋体" w:eastAsia="宋体" w:cs="宋体"/>
                <w:smallCaps w:val="0"/>
                <w:color w:val="000000"/>
                <w:spacing w:val="0"/>
                <w:position w:val="0"/>
                <w:sz w:val="21"/>
                <w:szCs w:val="21"/>
                <w:lang w:val="en-US" w:eastAsia="zh-CN"/>
              </w:rPr>
            </w:pPr>
            <w:r>
              <w:rPr>
                <w:rFonts w:hint="eastAsia" w:ascii="宋体" w:hAnsi="宋体" w:eastAsia="宋体" w:cs="宋体"/>
                <w:smallCaps w:val="0"/>
                <w:color w:val="000000"/>
                <w:spacing w:val="0"/>
                <w:position w:val="0"/>
                <w:sz w:val="21"/>
                <w:szCs w:val="21"/>
              </w:rPr>
              <w:t>纸质版磋商响应文件：正本1份，副本2份，开标一览表1份；</w:t>
            </w:r>
            <w:r>
              <w:rPr>
                <w:rFonts w:hint="eastAsia" w:ascii="宋体" w:hAnsi="宋体" w:eastAsia="宋体" w:cs="宋体"/>
                <w:smallCaps w:val="0"/>
                <w:color w:val="000000"/>
                <w:spacing w:val="0"/>
                <w:position w:val="0"/>
                <w:sz w:val="21"/>
                <w:szCs w:val="21"/>
                <w:lang w:eastAsia="zh-CN"/>
              </w:rPr>
              <w:t>电子文件</w:t>
            </w:r>
            <w:r>
              <w:rPr>
                <w:rFonts w:hint="eastAsia" w:ascii="宋体" w:hAnsi="宋体" w:eastAsia="宋体" w:cs="宋体"/>
                <w:smallCaps w:val="0"/>
                <w:color w:val="000000"/>
                <w:spacing w:val="0"/>
                <w:position w:val="0"/>
                <w:sz w:val="21"/>
                <w:szCs w:val="21"/>
                <w:lang w:val="en-US" w:eastAsia="zh-CN"/>
              </w:rPr>
              <w:t>1份。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5" w:hRule="atLeast"/>
        </w:trPr>
        <w:tc>
          <w:tcPr>
            <w:tcW w:w="1550" w:type="dxa"/>
            <w:tcBorders>
              <w:bottom w:val="single" w:color="000000" w:sz="6" w:space="0"/>
              <w:right w:val="single" w:color="000000" w:sz="6" w:space="0"/>
            </w:tcBorders>
            <w:noWrap w:val="0"/>
            <w:vAlign w:val="top"/>
          </w:tcPr>
          <w:p>
            <w:pPr>
              <w:pStyle w:val="18"/>
              <w:numPr>
                <w:ilvl w:val="0"/>
                <w:numId w:val="0"/>
              </w:numPr>
              <w:autoSpaceDE w:val="0"/>
              <w:autoSpaceDN w:val="0"/>
              <w:spacing w:before="100" w:after="160" w:line="240" w:lineRule="auto"/>
              <w:ind w:left="460"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条款号</w:t>
            </w:r>
          </w:p>
        </w:tc>
        <w:tc>
          <w:tcPr>
            <w:tcW w:w="1213" w:type="dxa"/>
            <w:gridSpan w:val="2"/>
            <w:tcBorders>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00" w:after="160" w:line="240" w:lineRule="auto"/>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条款名称</w:t>
            </w:r>
          </w:p>
        </w:tc>
        <w:tc>
          <w:tcPr>
            <w:tcW w:w="6593" w:type="dxa"/>
            <w:tcBorders>
              <w:left w:val="single" w:color="000000" w:sz="6" w:space="0"/>
              <w:bottom w:val="single" w:color="000000" w:sz="6" w:space="0"/>
            </w:tcBorders>
            <w:noWrap w:val="0"/>
            <w:vAlign w:val="top"/>
          </w:tcPr>
          <w:p>
            <w:pPr>
              <w:pStyle w:val="18"/>
              <w:numPr>
                <w:ilvl w:val="0"/>
                <w:numId w:val="0"/>
              </w:numPr>
              <w:autoSpaceDE w:val="0"/>
              <w:autoSpaceDN w:val="0"/>
              <w:spacing w:before="100" w:after="160" w:line="240" w:lineRule="auto"/>
              <w:ind w:left="2815" w:right="2779"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16"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7"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left="107"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第四章20.1款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3"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304" w:lineRule="auto"/>
              <w:ind w:left="556" w:right="105" w:hanging="42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响应文件密封</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投标人须按竞争性磋商文件的规定制作响应文件，正、副本可以密封在同一文件袋中。密封袋封口处加盖单位公章，并注明“开标时启封”字样。</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投标人须制作“开标一览表”，并单独密封提交，并在信封上标明“开标一览表”的字样。</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响应文件袋和《开标一览表》袋上可写明：项目名称：</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项目编号：</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招标单位：</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投标单位名称：</w:t>
            </w:r>
            <w:r>
              <w:rPr>
                <w:rFonts w:hint="eastAsia" w:ascii="宋体" w:hAnsi="宋体" w:eastAsia="宋体" w:cs="宋体"/>
                <w:smallCaps w:val="0"/>
                <w:color w:val="000000"/>
                <w:spacing w:val="0"/>
                <w:position w:val="0"/>
                <w:sz w:val="21"/>
                <w:szCs w:val="21"/>
              </w:rPr>
              <w:tab/>
            </w:r>
            <w:r>
              <w:rPr>
                <w:rFonts w:hint="eastAsia" w:ascii="宋体" w:hAnsi="宋体" w:eastAsia="宋体" w:cs="宋体"/>
                <w:smallCaps w:val="0"/>
                <w:color w:val="000000"/>
                <w:spacing w:val="0"/>
                <w:position w:val="0"/>
                <w:sz w:val="21"/>
                <w:szCs w:val="21"/>
              </w:rPr>
              <w:t>（公章）</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投标单位地址：</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联系人：联系电话：</w:t>
            </w:r>
          </w:p>
          <w:p>
            <w:pPr>
              <w:pStyle w:val="18"/>
              <w:numPr>
                <w:ilvl w:val="0"/>
                <w:numId w:val="0"/>
              </w:numPr>
              <w:autoSpaceDE w:val="0"/>
              <w:autoSpaceDN w:val="0"/>
              <w:spacing w:before="71" w:after="160" w:line="302" w:lineRule="auto"/>
              <w:ind w:left="115"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年月日时（即开标时间）前不得开封。</w:t>
            </w:r>
          </w:p>
          <w:p>
            <w:pPr>
              <w:pStyle w:val="18"/>
              <w:numPr>
                <w:ilvl w:val="0"/>
                <w:numId w:val="0"/>
              </w:numPr>
              <w:autoSpaceDE w:val="0"/>
              <w:autoSpaceDN w:val="0"/>
              <w:spacing w:before="71" w:after="160" w:line="302" w:lineRule="auto"/>
              <w:ind w:right="7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（“正本”或“副本”）</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46" w:after="160" w:line="240" w:lineRule="auto"/>
              <w:ind w:left="107"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第四章21.1款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1" w:after="160" w:line="304" w:lineRule="auto"/>
              <w:ind w:left="136" w:right="105"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响应文件递交截止时间及地点</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61" w:after="160" w:line="304" w:lineRule="auto"/>
              <w:ind w:left="136" w:right="105"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时间：2022年</w:t>
            </w:r>
            <w:r>
              <w:rPr>
                <w:rFonts w:hint="eastAsia" w:ascii="宋体" w:hAnsi="宋体" w:eastAsia="宋体" w:cs="宋体"/>
                <w:smallCaps w:val="0"/>
                <w:color w:val="000000"/>
                <w:spacing w:val="0"/>
                <w:position w:val="0"/>
                <w:sz w:val="21"/>
                <w:szCs w:val="21"/>
                <w:lang w:val="en-US" w:eastAsia="zh-CN"/>
              </w:rPr>
              <w:t>7</w:t>
            </w:r>
            <w:r>
              <w:rPr>
                <w:rFonts w:hint="eastAsia" w:ascii="宋体" w:hAnsi="宋体" w:eastAsia="宋体" w:cs="宋体"/>
                <w:smallCaps w:val="0"/>
                <w:color w:val="000000"/>
                <w:spacing w:val="0"/>
                <w:position w:val="0"/>
                <w:sz w:val="21"/>
                <w:szCs w:val="21"/>
              </w:rPr>
              <w:t>月</w:t>
            </w:r>
            <w:r>
              <w:rPr>
                <w:rFonts w:hint="eastAsia" w:ascii="宋体" w:hAnsi="宋体" w:eastAsia="宋体" w:cs="宋体"/>
                <w:smallCaps w:val="0"/>
                <w:color w:val="000000"/>
                <w:spacing w:val="0"/>
                <w:position w:val="0"/>
                <w:sz w:val="21"/>
                <w:szCs w:val="21"/>
                <w:lang w:val="en-US" w:eastAsia="zh-CN"/>
              </w:rPr>
              <w:t>1</w:t>
            </w:r>
            <w:r>
              <w:rPr>
                <w:rFonts w:hint="eastAsia" w:ascii="宋体" w:hAnsi="宋体" w:eastAsia="宋体" w:cs="宋体"/>
                <w:smallCaps w:val="0"/>
                <w:color w:val="000000"/>
                <w:spacing w:val="0"/>
                <w:position w:val="0"/>
                <w:sz w:val="21"/>
                <w:szCs w:val="21"/>
              </w:rPr>
              <w:t>日1</w:t>
            </w:r>
            <w:r>
              <w:rPr>
                <w:rFonts w:hint="eastAsia" w:ascii="宋体" w:hAnsi="宋体" w:eastAsia="宋体" w:cs="宋体"/>
                <w:smallCaps w:val="0"/>
                <w:color w:val="000000"/>
                <w:spacing w:val="0"/>
                <w:position w:val="0"/>
                <w:sz w:val="21"/>
                <w:szCs w:val="21"/>
                <w:lang w:val="en-US" w:eastAsia="zh-CN"/>
              </w:rPr>
              <w:t>0</w:t>
            </w:r>
            <w:r>
              <w:rPr>
                <w:rFonts w:hint="eastAsia" w:ascii="宋体" w:hAnsi="宋体" w:eastAsia="宋体" w:cs="宋体"/>
                <w:smallCaps w:val="0"/>
                <w:color w:val="000000"/>
                <w:spacing w:val="0"/>
                <w:position w:val="0"/>
                <w:sz w:val="21"/>
                <w:szCs w:val="21"/>
              </w:rPr>
              <w:t>点30分（北京时间）</w:t>
            </w:r>
          </w:p>
          <w:p>
            <w:pPr>
              <w:pStyle w:val="18"/>
              <w:numPr>
                <w:ilvl w:val="0"/>
                <w:numId w:val="0"/>
              </w:numPr>
              <w:autoSpaceDE w:val="0"/>
              <w:autoSpaceDN w:val="0"/>
              <w:spacing w:before="61" w:after="160" w:line="304" w:lineRule="auto"/>
              <w:ind w:left="136" w:right="105"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地点：新疆哈密市伊州区益寿路曙光新村12-4号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 w:after="160" w:line="240" w:lineRule="auto"/>
              <w:ind w:left="107"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第五章22.1款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1" w:after="160" w:line="240" w:lineRule="auto"/>
              <w:ind w:left="116"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开标时间及地点</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61" w:after="160" w:line="304" w:lineRule="auto"/>
              <w:ind w:left="136" w:right="105"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开标时间：2022年</w:t>
            </w:r>
            <w:r>
              <w:rPr>
                <w:rFonts w:hint="eastAsia" w:ascii="宋体" w:hAnsi="宋体" w:eastAsia="宋体" w:cs="宋体"/>
                <w:smallCaps w:val="0"/>
                <w:color w:val="000000"/>
                <w:spacing w:val="0"/>
                <w:position w:val="0"/>
                <w:sz w:val="21"/>
                <w:szCs w:val="21"/>
                <w:lang w:val="en-US" w:eastAsia="zh-CN"/>
              </w:rPr>
              <w:t>7</w:t>
            </w:r>
            <w:r>
              <w:rPr>
                <w:rFonts w:hint="eastAsia" w:ascii="宋体" w:hAnsi="宋体" w:eastAsia="宋体" w:cs="宋体"/>
                <w:smallCaps w:val="0"/>
                <w:color w:val="000000"/>
                <w:spacing w:val="0"/>
                <w:position w:val="0"/>
                <w:sz w:val="21"/>
                <w:szCs w:val="21"/>
              </w:rPr>
              <w:t>月</w:t>
            </w:r>
            <w:r>
              <w:rPr>
                <w:rFonts w:hint="eastAsia" w:ascii="宋体" w:hAnsi="宋体" w:eastAsia="宋体" w:cs="宋体"/>
                <w:smallCaps w:val="0"/>
                <w:color w:val="000000"/>
                <w:spacing w:val="0"/>
                <w:position w:val="0"/>
                <w:sz w:val="21"/>
                <w:szCs w:val="21"/>
                <w:lang w:val="en-US" w:eastAsia="zh-CN"/>
              </w:rPr>
              <w:t>1</w:t>
            </w:r>
            <w:r>
              <w:rPr>
                <w:rFonts w:hint="eastAsia" w:ascii="宋体" w:hAnsi="宋体" w:eastAsia="宋体" w:cs="宋体"/>
                <w:smallCaps w:val="0"/>
                <w:color w:val="000000"/>
                <w:spacing w:val="0"/>
                <w:position w:val="0"/>
                <w:sz w:val="21"/>
                <w:szCs w:val="21"/>
              </w:rPr>
              <w:t>日1</w:t>
            </w:r>
            <w:r>
              <w:rPr>
                <w:rFonts w:hint="eastAsia" w:ascii="宋体" w:hAnsi="宋体" w:eastAsia="宋体" w:cs="宋体"/>
                <w:smallCaps w:val="0"/>
                <w:color w:val="000000"/>
                <w:spacing w:val="0"/>
                <w:position w:val="0"/>
                <w:sz w:val="21"/>
                <w:szCs w:val="21"/>
                <w:lang w:val="en-US" w:eastAsia="zh-CN"/>
              </w:rPr>
              <w:t>0</w:t>
            </w:r>
            <w:r>
              <w:rPr>
                <w:rFonts w:hint="eastAsia" w:ascii="宋体" w:hAnsi="宋体" w:eastAsia="宋体" w:cs="宋体"/>
                <w:smallCaps w:val="0"/>
                <w:color w:val="000000"/>
                <w:spacing w:val="0"/>
                <w:position w:val="0"/>
                <w:sz w:val="21"/>
                <w:szCs w:val="21"/>
              </w:rPr>
              <w:t>点30分（北京时间）</w:t>
            </w:r>
          </w:p>
          <w:p>
            <w:pPr>
              <w:pStyle w:val="18"/>
              <w:numPr>
                <w:ilvl w:val="0"/>
                <w:numId w:val="0"/>
              </w:numPr>
              <w:autoSpaceDE w:val="0"/>
              <w:autoSpaceDN w:val="0"/>
              <w:spacing w:before="61" w:after="160" w:line="304" w:lineRule="auto"/>
              <w:ind w:left="136" w:right="105"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 xml:space="preserve">开标地点：新疆哈密市伊州区益寿路曙光新村12-4号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1" w:after="160" w:line="240" w:lineRule="auto"/>
              <w:ind w:right="0" w:firstLine="210" w:firstLineChars="10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1" w:after="160" w:line="240" w:lineRule="auto"/>
              <w:ind w:right="0" w:firstLine="210" w:firstLineChars="10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第五章23.1款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302" w:lineRule="auto"/>
              <w:ind w:right="105"/>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0" w:after="160" w:line="302" w:lineRule="auto"/>
              <w:ind w:right="105"/>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开标现场须查验的证件</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tabs>
                <w:tab w:val="left" w:pos="651"/>
              </w:tabs>
              <w:autoSpaceDE w:val="0"/>
              <w:autoSpaceDN w:val="0"/>
              <w:spacing w:before="62" w:after="160" w:line="302" w:lineRule="auto"/>
              <w:ind w:left="115" w:right="53" w:firstLine="0"/>
              <w:jc w:val="both"/>
              <w:rPr>
                <w:rFonts w:hint="eastAsia" w:ascii="宋体" w:hAnsi="宋体" w:eastAsia="宋体" w:cs="宋体"/>
                <w:b/>
                <w:color w:val="auto"/>
                <w:spacing w:val="-2"/>
                <w:position w:val="0"/>
                <w:sz w:val="21"/>
                <w:szCs w:val="21"/>
              </w:rPr>
            </w:pPr>
          </w:p>
          <w:p>
            <w:pPr>
              <w:pStyle w:val="18"/>
              <w:numPr>
                <w:ilvl w:val="0"/>
                <w:numId w:val="0"/>
              </w:numPr>
              <w:tabs>
                <w:tab w:val="left" w:pos="651"/>
              </w:tabs>
              <w:autoSpaceDE w:val="0"/>
              <w:autoSpaceDN w:val="0"/>
              <w:spacing w:before="62" w:after="160" w:line="302" w:lineRule="auto"/>
              <w:ind w:left="115" w:right="53" w:firstLine="0"/>
              <w:jc w:val="both"/>
              <w:rPr>
                <w:rFonts w:hint="eastAsia" w:ascii="宋体" w:hAnsi="宋体" w:eastAsia="宋体" w:cs="宋体"/>
                <w:b w:val="0"/>
                <w:bCs/>
                <w:color w:val="auto"/>
                <w:position w:val="0"/>
                <w:sz w:val="21"/>
                <w:szCs w:val="21"/>
              </w:rPr>
            </w:pPr>
            <w:r>
              <w:rPr>
                <w:rFonts w:hint="eastAsia" w:ascii="宋体" w:hAnsi="宋体" w:eastAsia="宋体" w:cs="宋体"/>
                <w:b w:val="0"/>
                <w:bCs/>
                <w:color w:val="auto"/>
                <w:spacing w:val="-2"/>
                <w:position w:val="0"/>
                <w:sz w:val="21"/>
                <w:szCs w:val="21"/>
              </w:rPr>
              <w:t>1.法定代表人授权委托书原件</w:t>
            </w:r>
            <w:r>
              <w:rPr>
                <w:rFonts w:hint="eastAsia" w:ascii="宋体" w:hAnsi="宋体" w:eastAsia="宋体" w:cs="宋体"/>
                <w:b w:val="0"/>
                <w:bCs/>
                <w:color w:val="auto"/>
                <w:spacing w:val="-2"/>
                <w:position w:val="0"/>
                <w:sz w:val="21"/>
                <w:szCs w:val="21"/>
                <w:lang w:eastAsia="zh-CN"/>
              </w:rPr>
              <w:t>，</w:t>
            </w:r>
            <w:r>
              <w:rPr>
                <w:rFonts w:hint="eastAsia" w:ascii="宋体" w:hAnsi="宋体" w:eastAsia="宋体" w:cs="宋体"/>
                <w:b w:val="0"/>
                <w:bCs/>
                <w:color w:val="auto"/>
                <w:spacing w:val="-2"/>
                <w:position w:val="0"/>
                <w:sz w:val="21"/>
                <w:szCs w:val="21"/>
              </w:rPr>
              <w:t>法定代表人到场参与投标的，须提供法定代表人身份证明原件</w:t>
            </w:r>
            <w:r>
              <w:rPr>
                <w:rFonts w:hint="eastAsia" w:ascii="宋体" w:hAnsi="宋体" w:eastAsia="宋体" w:cs="宋体"/>
                <w:b w:val="0"/>
                <w:bCs/>
                <w:color w:val="auto"/>
                <w:spacing w:val="-3"/>
                <w:position w:val="0"/>
                <w:sz w:val="21"/>
                <w:szCs w:val="21"/>
              </w:rPr>
              <w:t>；</w:t>
            </w:r>
          </w:p>
          <w:p>
            <w:pPr>
              <w:pStyle w:val="18"/>
              <w:numPr>
                <w:ilvl w:val="0"/>
                <w:numId w:val="0"/>
              </w:numPr>
              <w:tabs>
                <w:tab w:val="left" w:pos="641"/>
              </w:tabs>
              <w:autoSpaceDE w:val="0"/>
              <w:autoSpaceDN w:val="0"/>
              <w:spacing w:before="5" w:after="160" w:line="240" w:lineRule="auto"/>
              <w:ind w:left="114" w:right="0" w:firstLine="0"/>
              <w:jc w:val="both"/>
              <w:rPr>
                <w:rFonts w:hint="eastAsia" w:ascii="宋体" w:hAnsi="宋体" w:eastAsia="宋体" w:cs="宋体"/>
                <w:b w:val="0"/>
                <w:bCs/>
                <w:color w:val="auto"/>
                <w:position w:val="0"/>
                <w:sz w:val="21"/>
                <w:szCs w:val="21"/>
              </w:rPr>
            </w:pPr>
            <w:r>
              <w:rPr>
                <w:rFonts w:hint="eastAsia" w:ascii="宋体" w:hAnsi="宋体" w:eastAsia="宋体" w:cs="宋体"/>
                <w:b w:val="0"/>
                <w:bCs/>
                <w:color w:val="auto"/>
                <w:position w:val="0"/>
                <w:sz w:val="21"/>
                <w:szCs w:val="21"/>
              </w:rPr>
              <w:t>2.营业执照（加盖公章的复印件）；</w:t>
            </w:r>
          </w:p>
          <w:p>
            <w:pPr>
              <w:pStyle w:val="18"/>
              <w:numPr>
                <w:ilvl w:val="0"/>
                <w:numId w:val="0"/>
              </w:numPr>
              <w:tabs>
                <w:tab w:val="left" w:pos="641"/>
              </w:tabs>
              <w:autoSpaceDE w:val="0"/>
              <w:autoSpaceDN w:val="0"/>
              <w:spacing w:before="69" w:after="160" w:line="304" w:lineRule="auto"/>
              <w:ind w:left="113" w:right="113" w:firstLine="0"/>
              <w:jc w:val="both"/>
              <w:rPr>
                <w:rFonts w:hint="eastAsia" w:ascii="宋体" w:hAnsi="宋体" w:eastAsia="宋体" w:cs="宋体"/>
                <w:b w:val="0"/>
                <w:bCs/>
                <w:color w:val="auto"/>
                <w:spacing w:val="-2"/>
                <w:position w:val="0"/>
                <w:sz w:val="21"/>
                <w:szCs w:val="21"/>
              </w:rPr>
            </w:pPr>
            <w:r>
              <w:rPr>
                <w:rFonts w:hint="eastAsia" w:ascii="宋体" w:hAnsi="宋体" w:eastAsia="宋体" w:cs="宋体"/>
                <w:b w:val="0"/>
                <w:bCs/>
                <w:color w:val="auto"/>
                <w:spacing w:val="-2"/>
                <w:position w:val="0"/>
                <w:sz w:val="21"/>
                <w:szCs w:val="21"/>
                <w:lang w:val="en-US" w:eastAsia="zh-CN"/>
              </w:rPr>
              <w:t>3</w:t>
            </w:r>
            <w:r>
              <w:rPr>
                <w:rFonts w:hint="eastAsia" w:ascii="宋体" w:hAnsi="宋体" w:eastAsia="宋体" w:cs="宋体"/>
                <w:b w:val="0"/>
                <w:bCs/>
                <w:color w:val="auto"/>
                <w:spacing w:val="-2"/>
                <w:position w:val="0"/>
                <w:sz w:val="21"/>
                <w:szCs w:val="21"/>
              </w:rPr>
              <w:t>.磋商保证金收据原件；</w:t>
            </w:r>
          </w:p>
          <w:p>
            <w:pPr>
              <w:pStyle w:val="18"/>
              <w:numPr>
                <w:ilvl w:val="0"/>
                <w:numId w:val="0"/>
              </w:numPr>
              <w:tabs>
                <w:tab w:val="left" w:pos="641"/>
              </w:tabs>
              <w:autoSpaceDE w:val="0"/>
              <w:autoSpaceDN w:val="0"/>
              <w:spacing w:before="69" w:after="160" w:line="304" w:lineRule="auto"/>
              <w:ind w:left="115" w:right="3727" w:firstLine="0"/>
              <w:jc w:val="both"/>
              <w:rPr>
                <w:rFonts w:hint="eastAsia" w:ascii="宋体" w:hAnsi="宋体" w:eastAsia="宋体" w:cs="宋体"/>
                <w:b w:val="0"/>
                <w:bCs/>
                <w:color w:val="auto"/>
                <w:position w:val="0"/>
                <w:sz w:val="21"/>
                <w:szCs w:val="21"/>
              </w:rPr>
            </w:pPr>
            <w:r>
              <w:rPr>
                <w:rFonts w:hint="eastAsia" w:ascii="宋体" w:hAnsi="宋体" w:eastAsia="宋体" w:cs="宋体"/>
                <w:b w:val="0"/>
                <w:bCs/>
                <w:color w:val="auto"/>
                <w:position w:val="0"/>
                <w:sz w:val="21"/>
                <w:szCs w:val="21"/>
              </w:rPr>
              <w:t>说明：</w:t>
            </w:r>
          </w:p>
          <w:p>
            <w:pPr>
              <w:pStyle w:val="18"/>
              <w:numPr>
                <w:ilvl w:val="0"/>
                <w:numId w:val="0"/>
              </w:numPr>
              <w:tabs>
                <w:tab w:val="left" w:pos="651"/>
              </w:tabs>
              <w:autoSpaceDE w:val="0"/>
              <w:autoSpaceDN w:val="0"/>
              <w:spacing w:before="62" w:after="160" w:line="302" w:lineRule="auto"/>
              <w:ind w:left="115" w:right="53"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bCs/>
                <w:color w:val="auto"/>
                <w:spacing w:val="-2"/>
                <w:position w:val="0"/>
                <w:sz w:val="21"/>
                <w:szCs w:val="21"/>
              </w:rPr>
              <w:t>上述第（1）-（</w:t>
            </w:r>
            <w:r>
              <w:rPr>
                <w:rFonts w:hint="eastAsia" w:ascii="宋体" w:hAnsi="宋体" w:eastAsia="宋体" w:cs="宋体"/>
                <w:b w:val="0"/>
                <w:bCs/>
                <w:color w:val="auto"/>
                <w:spacing w:val="-2"/>
                <w:position w:val="0"/>
                <w:sz w:val="21"/>
                <w:szCs w:val="21"/>
                <w:lang w:val="en-US" w:eastAsia="zh-CN"/>
              </w:rPr>
              <w:t>3</w:t>
            </w:r>
            <w:r>
              <w:rPr>
                <w:rFonts w:hint="eastAsia" w:ascii="宋体" w:hAnsi="宋体" w:eastAsia="宋体" w:cs="宋体"/>
                <w:b w:val="0"/>
                <w:bCs/>
                <w:color w:val="auto"/>
                <w:spacing w:val="-2"/>
                <w:position w:val="0"/>
                <w:sz w:val="21"/>
                <w:szCs w:val="21"/>
              </w:rPr>
              <w:t>）项为投标时资格审查的必备条件，投标人必须按要求现场单独提交，如果提供不全或密封在响应文件里，则视为对竞争性磋商文件资格审查内容的不响应，投标将被拒绝（不接受现场以外的二次提供）。</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3" w:after="160" w:line="259" w:lineRule="exact"/>
              <w:ind w:left="107"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第六章26.1款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3" w:after="160" w:line="259" w:lineRule="exact"/>
              <w:ind w:left="111" w:right="87"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评标方法</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63" w:after="160" w:line="259" w:lineRule="exact"/>
              <w:ind w:left="115"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综合评分法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0"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jc w:val="both"/>
              <w:rPr>
                <w:rFonts w:hint="eastAsia" w:ascii="宋体" w:hAnsi="宋体" w:eastAsia="宋体" w:cs="宋体"/>
                <w:smallCaps w:val="0"/>
                <w:color w:val="000000"/>
                <w:spacing w:val="0"/>
                <w:position w:val="0"/>
                <w:sz w:val="21"/>
                <w:szCs w:val="21"/>
              </w:rPr>
            </w:pPr>
          </w:p>
          <w:p>
            <w:pPr>
              <w:pStyle w:val="18"/>
              <w:numPr>
                <w:ilvl w:val="0"/>
                <w:numId w:val="0"/>
              </w:numPr>
              <w:autoSpaceDE w:val="0"/>
              <w:autoSpaceDN w:val="0"/>
              <w:spacing w:before="0" w:after="160" w:line="240" w:lineRule="auto"/>
              <w:ind w:right="0" w:firstLine="210" w:firstLineChars="10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第六章27.1款</w:t>
            </w:r>
          </w:p>
        </w:tc>
        <w:tc>
          <w:tcPr>
            <w:tcW w:w="121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302" w:lineRule="auto"/>
              <w:ind w:right="105"/>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推荐的成交候选人数量</w:t>
            </w:r>
          </w:p>
        </w:tc>
        <w:tc>
          <w:tcPr>
            <w:tcW w:w="6593" w:type="dxa"/>
            <w:tcBorders>
              <w:top w:val="single" w:color="000000" w:sz="6" w:space="0"/>
              <w:left w:val="single" w:color="000000" w:sz="6" w:space="0"/>
              <w:bottom w:val="single" w:color="000000" w:sz="6" w:space="0"/>
            </w:tcBorders>
            <w:noWrap w:val="0"/>
            <w:vAlign w:val="top"/>
          </w:tcPr>
          <w:p>
            <w:pPr>
              <w:pStyle w:val="18"/>
              <w:numPr>
                <w:ilvl w:val="0"/>
                <w:numId w:val="0"/>
              </w:numPr>
              <w:tabs>
                <w:tab w:val="left" w:pos="640"/>
                <w:tab w:val="left" w:pos="954"/>
              </w:tabs>
              <w:autoSpaceDE w:val="0"/>
              <w:autoSpaceDN w:val="0"/>
              <w:spacing w:before="0" w:after="160" w:line="240" w:lineRule="auto"/>
              <w:ind w:right="0"/>
              <w:jc w:val="both"/>
              <w:rPr>
                <w:rFonts w:hint="eastAsia" w:ascii="宋体" w:hAnsi="宋体" w:eastAsia="宋体" w:cs="宋体"/>
                <w:smallCaps w:val="0"/>
                <w:color w:val="000000"/>
                <w:spacing w:val="0"/>
                <w:position w:val="0"/>
                <w:sz w:val="21"/>
                <w:szCs w:val="21"/>
                <w:u w:val="none"/>
              </w:rPr>
            </w:pPr>
          </w:p>
          <w:p>
            <w:pPr>
              <w:pStyle w:val="18"/>
              <w:numPr>
                <w:ilvl w:val="0"/>
                <w:numId w:val="0"/>
              </w:numPr>
              <w:tabs>
                <w:tab w:val="left" w:pos="640"/>
                <w:tab w:val="left" w:pos="954"/>
              </w:tabs>
              <w:autoSpaceDE w:val="0"/>
              <w:autoSpaceDN w:val="0"/>
              <w:spacing w:before="0" w:after="160" w:line="240" w:lineRule="auto"/>
              <w:ind w:right="0" w:firstLine="210" w:firstLineChars="10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u w:val="none"/>
              </w:rPr>
              <w:t>3</w:t>
            </w:r>
            <w:r>
              <w:rPr>
                <w:rFonts w:hint="eastAsia" w:ascii="宋体" w:hAnsi="宋体" w:eastAsia="宋体" w:cs="宋体"/>
                <w:smallCaps w:val="0"/>
                <w:color w:val="000000"/>
                <w:spacing w:val="0"/>
                <w:position w:val="0"/>
                <w:sz w:val="21"/>
                <w:szCs w:val="21"/>
              </w:rPr>
              <w:t>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trPr>
        <w:tc>
          <w:tcPr>
            <w:tcW w:w="1550" w:type="dxa"/>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5" w:after="160" w:line="261" w:lineRule="exact"/>
              <w:ind w:left="107"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第七章28.1款</w:t>
            </w:r>
          </w:p>
        </w:tc>
        <w:tc>
          <w:tcPr>
            <w:tcW w:w="7806" w:type="dxa"/>
            <w:gridSpan w:val="3"/>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65" w:after="160" w:line="261" w:lineRule="exact"/>
              <w:ind w:left="115"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7" w:hRule="atLeast"/>
        </w:trPr>
        <w:tc>
          <w:tcPr>
            <w:tcW w:w="1584" w:type="dxa"/>
            <w:gridSpan w:val="2"/>
            <w:tcBorders>
              <w:top w:val="single" w:color="000000" w:sz="6" w:space="0"/>
              <w:right w:val="single" w:color="000000" w:sz="6" w:space="0"/>
            </w:tcBorders>
            <w:noWrap w:val="0"/>
            <w:vAlign w:val="top"/>
          </w:tcPr>
          <w:p>
            <w:pPr>
              <w:pStyle w:val="18"/>
              <w:numPr>
                <w:ilvl w:val="0"/>
                <w:numId w:val="0"/>
              </w:numPr>
              <w:autoSpaceDE w:val="0"/>
              <w:autoSpaceDN w:val="0"/>
              <w:spacing w:before="1"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left="143"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38.1.1</w:t>
            </w:r>
          </w:p>
        </w:tc>
        <w:tc>
          <w:tcPr>
            <w:tcW w:w="7772" w:type="dxa"/>
            <w:gridSpan w:val="2"/>
            <w:tcBorders>
              <w:top w:val="single" w:color="000000" w:sz="6" w:space="0"/>
              <w:left w:val="single" w:color="000000" w:sz="6" w:space="0"/>
            </w:tcBorders>
            <w:noWrap w:val="0"/>
            <w:vAlign w:val="top"/>
          </w:tcPr>
          <w:p>
            <w:pPr>
              <w:pStyle w:val="18"/>
              <w:numPr>
                <w:ilvl w:val="0"/>
                <w:numId w:val="0"/>
              </w:numPr>
              <w:autoSpaceDE w:val="0"/>
              <w:autoSpaceDN w:val="0"/>
              <w:spacing w:before="61" w:after="160" w:line="240" w:lineRule="auto"/>
              <w:ind w:left="114"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自购买竞争性磋商文件之日起，投标人应保证其提供的联系方式(电话、传真、电子邮件)一直有效，以保证往来函件(竞争性磋商文件的澄清、修改等)能及时通知投标人，并能及时反馈信息，否则采购人不承担由此引起的一切后果。</w:t>
            </w:r>
          </w:p>
        </w:tc>
      </w:tr>
    </w:tbl>
    <w:p>
      <w:pPr>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1"/>
          <w:szCs w:val="21"/>
        </w:rPr>
      </w:pPr>
    </w:p>
    <w:tbl>
      <w:tblPr>
        <w:tblStyle w:val="16"/>
        <w:tblW w:w="9356" w:type="dxa"/>
        <w:tblInd w:w="14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50"/>
        <w:gridCol w:w="34"/>
        <w:gridCol w:w="1274"/>
        <w:gridCol w:w="649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5" w:hRule="atLeast"/>
        </w:trPr>
        <w:tc>
          <w:tcPr>
            <w:tcW w:w="1550" w:type="dxa"/>
            <w:tcBorders>
              <w:bottom w:val="single" w:color="000000" w:sz="6" w:space="0"/>
              <w:right w:val="single" w:color="000000" w:sz="6" w:space="0"/>
            </w:tcBorders>
            <w:noWrap w:val="0"/>
            <w:vAlign w:val="top"/>
          </w:tcPr>
          <w:p>
            <w:pPr>
              <w:pStyle w:val="18"/>
              <w:numPr>
                <w:ilvl w:val="0"/>
                <w:numId w:val="0"/>
              </w:numPr>
              <w:autoSpaceDE w:val="0"/>
              <w:autoSpaceDN w:val="0"/>
              <w:spacing w:before="100" w:after="160" w:line="240" w:lineRule="auto"/>
              <w:ind w:left="460"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条款号</w:t>
            </w:r>
          </w:p>
        </w:tc>
        <w:tc>
          <w:tcPr>
            <w:tcW w:w="1308" w:type="dxa"/>
            <w:gridSpan w:val="2"/>
            <w:tcBorders>
              <w:left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00" w:after="160" w:line="240" w:lineRule="auto"/>
              <w:ind w:left="240"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条款名称</w:t>
            </w:r>
          </w:p>
        </w:tc>
        <w:tc>
          <w:tcPr>
            <w:tcW w:w="6498" w:type="dxa"/>
            <w:tcBorders>
              <w:left w:val="single" w:color="000000" w:sz="6" w:space="0"/>
              <w:bottom w:val="single" w:color="000000" w:sz="6" w:space="0"/>
            </w:tcBorders>
            <w:noWrap w:val="0"/>
            <w:vAlign w:val="top"/>
          </w:tcPr>
          <w:p>
            <w:pPr>
              <w:pStyle w:val="18"/>
              <w:numPr>
                <w:ilvl w:val="0"/>
                <w:numId w:val="0"/>
              </w:numPr>
              <w:autoSpaceDE w:val="0"/>
              <w:autoSpaceDN w:val="0"/>
              <w:spacing w:before="100" w:after="160" w:line="240" w:lineRule="auto"/>
              <w:ind w:left="2815" w:right="2779"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584" w:type="dxa"/>
            <w:gridSpan w:val="2"/>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61" w:after="160" w:line="259" w:lineRule="exact"/>
              <w:ind w:right="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36.1.2</w:t>
            </w:r>
          </w:p>
        </w:tc>
        <w:tc>
          <w:tcPr>
            <w:tcW w:w="7772" w:type="dxa"/>
            <w:gridSpan w:val="2"/>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72" w:after="160" w:line="240" w:lineRule="auto"/>
              <w:ind w:left="114"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b w:val="0"/>
                <w:smallCaps w:val="0"/>
                <w:color w:val="000000"/>
                <w:spacing w:val="0"/>
                <w:position w:val="0"/>
                <w:sz w:val="21"/>
                <w:szCs w:val="21"/>
              </w:rPr>
              <w:t>付款方式：根据甲方要求。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60" w:hRule="atLeast"/>
        </w:trPr>
        <w:tc>
          <w:tcPr>
            <w:tcW w:w="1584" w:type="dxa"/>
            <w:gridSpan w:val="2"/>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0" w:after="160" w:line="240" w:lineRule="auto"/>
              <w:ind w:right="0" w:firstLine="0"/>
              <w:jc w:val="both"/>
              <w:rPr>
                <w:rFonts w:hint="eastAsia" w:ascii="宋体" w:hAnsi="宋体" w:eastAsia="宋体" w:cs="宋体"/>
                <w:b w:val="0"/>
                <w:smallCaps w:val="0"/>
                <w:color w:val="000000"/>
                <w:spacing w:val="0"/>
                <w:position w:val="0"/>
                <w:sz w:val="21"/>
                <w:szCs w:val="21"/>
              </w:rPr>
            </w:pPr>
          </w:p>
          <w:p>
            <w:pPr>
              <w:pStyle w:val="18"/>
              <w:numPr>
                <w:ilvl w:val="0"/>
                <w:numId w:val="0"/>
              </w:numPr>
              <w:autoSpaceDE w:val="0"/>
              <w:autoSpaceDN w:val="0"/>
              <w:spacing w:before="0" w:after="160" w:line="240" w:lineRule="auto"/>
              <w:ind w:right="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36.1.3</w:t>
            </w:r>
          </w:p>
        </w:tc>
        <w:tc>
          <w:tcPr>
            <w:tcW w:w="7772" w:type="dxa"/>
            <w:gridSpan w:val="2"/>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62" w:after="160" w:line="302" w:lineRule="auto"/>
              <w:ind w:left="114" w:right="8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7" w:hRule="atLeast"/>
        </w:trPr>
        <w:tc>
          <w:tcPr>
            <w:tcW w:w="1584" w:type="dxa"/>
            <w:gridSpan w:val="2"/>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 w:after="160" w:line="240" w:lineRule="auto"/>
              <w:ind w:right="0"/>
              <w:jc w:val="both"/>
              <w:rPr>
                <w:rFonts w:hint="eastAsia" w:ascii="宋体" w:hAnsi="宋体" w:eastAsia="宋体" w:cs="宋体"/>
                <w:color w:val="auto"/>
                <w:position w:val="0"/>
                <w:sz w:val="21"/>
                <w:szCs w:val="21"/>
              </w:rPr>
            </w:pPr>
            <w:r>
              <w:rPr>
                <w:rFonts w:hint="eastAsia" w:ascii="宋体" w:hAnsi="宋体" w:eastAsia="宋体" w:cs="宋体"/>
                <w:color w:val="auto"/>
                <w:position w:val="0"/>
                <w:sz w:val="21"/>
                <w:szCs w:val="21"/>
              </w:rPr>
              <w:t>38.1.2</w:t>
            </w:r>
          </w:p>
        </w:tc>
        <w:tc>
          <w:tcPr>
            <w:tcW w:w="7772" w:type="dxa"/>
            <w:gridSpan w:val="2"/>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62" w:after="160" w:line="240" w:lineRule="auto"/>
              <w:ind w:left="114"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注：如本《投标人须知前附表》相关内容与竞争性磋商文件中的相关内容如有不一致处，则以本《投标人须知前附表》相关内容为准。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69" w:hRule="atLeast"/>
        </w:trPr>
        <w:tc>
          <w:tcPr>
            <w:tcW w:w="1584" w:type="dxa"/>
            <w:gridSpan w:val="2"/>
            <w:tcBorders>
              <w:top w:val="single" w:color="000000" w:sz="6" w:space="0"/>
              <w:bottom w:val="single" w:color="000000" w:sz="6" w:space="0"/>
              <w:right w:val="single" w:color="000000" w:sz="6" w:space="0"/>
            </w:tcBorders>
            <w:noWrap w:val="0"/>
            <w:vAlign w:val="top"/>
          </w:tcPr>
          <w:p>
            <w:pPr>
              <w:pStyle w:val="18"/>
              <w:numPr>
                <w:ilvl w:val="0"/>
                <w:numId w:val="0"/>
              </w:numPr>
              <w:autoSpaceDE w:val="0"/>
              <w:autoSpaceDN w:val="0"/>
              <w:spacing w:before="144" w:after="160" w:line="240" w:lineRule="auto"/>
              <w:ind w:right="0"/>
              <w:jc w:val="both"/>
              <w:rPr>
                <w:rFonts w:hint="eastAsia" w:ascii="宋体" w:hAnsi="宋体" w:eastAsia="宋体" w:cs="宋体"/>
                <w:color w:val="auto"/>
                <w:position w:val="0"/>
                <w:sz w:val="21"/>
                <w:szCs w:val="21"/>
              </w:rPr>
            </w:pPr>
            <w:r>
              <w:rPr>
                <w:rFonts w:hint="eastAsia" w:ascii="宋体" w:hAnsi="宋体" w:eastAsia="宋体" w:cs="宋体"/>
                <w:color w:val="auto"/>
                <w:position w:val="0"/>
                <w:sz w:val="21"/>
                <w:szCs w:val="21"/>
              </w:rPr>
              <w:t>38.1.3</w:t>
            </w:r>
          </w:p>
        </w:tc>
        <w:tc>
          <w:tcPr>
            <w:tcW w:w="7772" w:type="dxa"/>
            <w:gridSpan w:val="2"/>
            <w:tcBorders>
              <w:top w:val="single" w:color="000000" w:sz="6" w:space="0"/>
              <w:left w:val="single" w:color="000000" w:sz="6" w:space="0"/>
              <w:bottom w:val="single" w:color="000000" w:sz="6" w:space="0"/>
            </w:tcBorders>
            <w:noWrap w:val="0"/>
            <w:vAlign w:val="top"/>
          </w:tcPr>
          <w:p>
            <w:pPr>
              <w:pStyle w:val="18"/>
              <w:numPr>
                <w:ilvl w:val="0"/>
                <w:numId w:val="0"/>
              </w:numPr>
              <w:autoSpaceDE w:val="0"/>
              <w:autoSpaceDN w:val="0"/>
              <w:spacing w:before="72" w:after="160" w:line="257" w:lineRule="exact"/>
              <w:ind w:right="0" w:firstLine="0"/>
              <w:jc w:val="both"/>
              <w:rPr>
                <w:rFonts w:hint="eastAsia" w:ascii="宋体" w:hAnsi="宋体" w:eastAsia="宋体" w:cs="宋体"/>
                <w:b w:val="0"/>
                <w:smallCaps w:val="0"/>
                <w:color w:val="000000"/>
                <w:spacing w:val="0"/>
                <w:position w:val="0"/>
                <w:sz w:val="21"/>
                <w:szCs w:val="21"/>
              </w:rPr>
            </w:pPr>
            <w:r>
              <w:rPr>
                <w:rFonts w:hint="eastAsia" w:ascii="宋体" w:hAnsi="宋体" w:eastAsia="宋体" w:cs="宋体"/>
                <w:smallCaps w:val="0"/>
                <w:color w:val="000000"/>
                <w:spacing w:val="0"/>
                <w:position w:val="0"/>
                <w:sz w:val="21"/>
                <w:szCs w:val="21"/>
              </w:rPr>
              <w:t>招标代理服务费：成交供应商应向招标代理机构交纳代理服务费，由成交供应商领取成交通知书时向采购代理机构缴纳。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69" w:hRule="atLeast"/>
        </w:trPr>
        <w:tc>
          <w:tcPr>
            <w:tcW w:w="1584" w:type="dxa"/>
            <w:gridSpan w:val="2"/>
            <w:tcBorders>
              <w:top w:val="single" w:color="000000" w:sz="6" w:space="0"/>
              <w:right w:val="single" w:color="000000" w:sz="6" w:space="0"/>
            </w:tcBorders>
            <w:noWrap w:val="0"/>
            <w:vAlign w:val="top"/>
          </w:tcPr>
          <w:p>
            <w:pPr>
              <w:pStyle w:val="18"/>
              <w:numPr>
                <w:ilvl w:val="0"/>
                <w:numId w:val="0"/>
              </w:numPr>
              <w:autoSpaceDE w:val="0"/>
              <w:autoSpaceDN w:val="0"/>
              <w:spacing w:before="144" w:after="160" w:line="240" w:lineRule="auto"/>
              <w:ind w:right="0"/>
              <w:jc w:val="both"/>
              <w:rPr>
                <w:rFonts w:hint="eastAsia" w:ascii="宋体" w:hAnsi="宋体" w:eastAsia="宋体" w:cs="宋体"/>
                <w:color w:val="auto"/>
                <w:position w:val="0"/>
                <w:sz w:val="21"/>
                <w:szCs w:val="21"/>
              </w:rPr>
            </w:pPr>
          </w:p>
        </w:tc>
        <w:tc>
          <w:tcPr>
            <w:tcW w:w="7772" w:type="dxa"/>
            <w:gridSpan w:val="2"/>
            <w:tcBorders>
              <w:top w:val="single" w:color="000000" w:sz="6" w:space="0"/>
              <w:left w:val="single" w:color="000000" w:sz="6" w:space="0"/>
            </w:tcBorders>
            <w:noWrap w:val="0"/>
            <w:vAlign w:val="top"/>
          </w:tcPr>
          <w:p>
            <w:pPr>
              <w:pStyle w:val="18"/>
              <w:numPr>
                <w:ilvl w:val="0"/>
                <w:numId w:val="0"/>
              </w:numPr>
              <w:autoSpaceDE w:val="0"/>
              <w:autoSpaceDN w:val="0"/>
              <w:spacing w:before="72" w:after="160" w:line="257" w:lineRule="exact"/>
              <w:ind w:right="0" w:firstLine="0"/>
              <w:jc w:val="both"/>
              <w:rPr>
                <w:rFonts w:hint="eastAsia" w:ascii="宋体" w:hAnsi="宋体" w:eastAsia="宋体" w:cs="宋体"/>
                <w:smallCaps w:val="0"/>
                <w:color w:val="000000"/>
                <w:spacing w:val="0"/>
                <w:position w:val="0"/>
                <w:sz w:val="21"/>
                <w:szCs w:val="21"/>
              </w:rPr>
            </w:pPr>
            <w:r>
              <w:rPr>
                <w:rFonts w:hint="eastAsia" w:ascii="宋体" w:hAnsi="宋体" w:eastAsia="宋体" w:cs="宋体"/>
                <w:b/>
                <w:bCs/>
                <w:smallCaps w:val="0"/>
                <w:color w:val="000000"/>
                <w:spacing w:val="0"/>
                <w:position w:val="0"/>
                <w:sz w:val="21"/>
                <w:szCs w:val="21"/>
              </w:rPr>
              <w:t>注：对中小微企业预留该采购项目预算总额的100%采购，预留金额为400万元。</w:t>
            </w:r>
          </w:p>
        </w:tc>
      </w:tr>
    </w:tbl>
    <w:p>
      <w:pPr>
        <w:numPr>
          <w:ilvl w:val="0"/>
          <w:numId w:val="0"/>
        </w:numPr>
        <w:tabs>
          <w:tab w:val="left" w:pos="1444"/>
        </w:tabs>
        <w:autoSpaceDE w:val="0"/>
        <w:autoSpaceDN w:val="0"/>
        <w:spacing w:before="54" w:after="160" w:line="240" w:lineRule="auto"/>
        <w:ind w:right="605" w:firstLine="0"/>
        <w:jc w:val="both"/>
        <w:rPr>
          <w:rFonts w:hint="eastAsia" w:ascii="宋体" w:hAnsi="宋体" w:eastAsia="宋体" w:cs="宋体"/>
          <w:b/>
          <w:color w:val="auto"/>
          <w:position w:val="0"/>
          <w:sz w:val="24"/>
          <w:szCs w:val="24"/>
        </w:rPr>
      </w:pPr>
      <w:bookmarkStart w:id="4" w:name="第一章___投标人须知"/>
      <w:bookmarkEnd w:id="4"/>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4"/>
          <w:szCs w:val="24"/>
        </w:rPr>
      </w:pPr>
      <w:bookmarkStart w:id="17" w:name="_GoBack"/>
      <w:bookmarkEnd w:id="17"/>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4"/>
          <w:szCs w:val="24"/>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4"/>
          <w:szCs w:val="24"/>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4"/>
          <w:szCs w:val="24"/>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4"/>
          <w:szCs w:val="24"/>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8"/>
          <w:szCs w:val="28"/>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8"/>
          <w:szCs w:val="28"/>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8"/>
          <w:szCs w:val="28"/>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8"/>
          <w:szCs w:val="28"/>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8"/>
          <w:szCs w:val="28"/>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8"/>
          <w:szCs w:val="28"/>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8"/>
          <w:szCs w:val="28"/>
        </w:rPr>
      </w:pPr>
    </w:p>
    <w:p>
      <w:pPr>
        <w:numPr>
          <w:ilvl w:val="0"/>
          <w:numId w:val="0"/>
        </w:numPr>
        <w:tabs>
          <w:tab w:val="left" w:pos="1444"/>
        </w:tabs>
        <w:autoSpaceDE w:val="0"/>
        <w:autoSpaceDN w:val="0"/>
        <w:spacing w:before="54" w:after="160" w:line="240" w:lineRule="auto"/>
        <w:ind w:right="605" w:firstLine="0"/>
        <w:jc w:val="both"/>
        <w:rPr>
          <w:rFonts w:hint="eastAsia" w:ascii="宋体" w:hAnsi="宋体" w:eastAsia="宋体" w:cs="宋体"/>
          <w:b/>
          <w:color w:val="auto"/>
          <w:position w:val="0"/>
          <w:sz w:val="28"/>
          <w:szCs w:val="28"/>
          <w:lang w:val="en-US" w:eastAsia="zh-CN"/>
        </w:rPr>
      </w:pPr>
    </w:p>
    <w:p>
      <w:pPr>
        <w:numPr>
          <w:ilvl w:val="0"/>
          <w:numId w:val="0"/>
        </w:numPr>
        <w:tabs>
          <w:tab w:val="left" w:pos="1444"/>
        </w:tabs>
        <w:autoSpaceDE w:val="0"/>
        <w:autoSpaceDN w:val="0"/>
        <w:spacing w:before="54" w:after="160" w:line="240" w:lineRule="auto"/>
        <w:ind w:right="605"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lang w:val="en-US" w:eastAsia="zh-CN"/>
        </w:rPr>
        <w:t xml:space="preserve">   </w:t>
      </w:r>
      <w:r>
        <w:rPr>
          <w:rFonts w:hint="eastAsia" w:ascii="宋体" w:hAnsi="宋体" w:eastAsia="宋体" w:cs="宋体"/>
          <w:b/>
          <w:color w:val="auto"/>
          <w:position w:val="0"/>
          <w:sz w:val="28"/>
          <w:szCs w:val="28"/>
        </w:rPr>
        <w:t>第一章</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lang w:val="en-US" w:eastAsia="zh-CN"/>
        </w:rPr>
        <w:t xml:space="preserve">   </w:t>
      </w:r>
      <w:r>
        <w:rPr>
          <w:rFonts w:hint="eastAsia" w:ascii="宋体" w:hAnsi="宋体" w:eastAsia="宋体" w:cs="宋体"/>
          <w:b/>
          <w:color w:val="auto"/>
          <w:position w:val="0"/>
          <w:sz w:val="28"/>
          <w:szCs w:val="28"/>
        </w:rPr>
        <w:t>投标人须知</w:t>
      </w:r>
    </w:p>
    <w:p>
      <w:pPr>
        <w:pStyle w:val="9"/>
        <w:numPr>
          <w:ilvl w:val="0"/>
          <w:numId w:val="3"/>
        </w:numPr>
        <w:tabs>
          <w:tab w:val="left" w:pos="1116"/>
        </w:tabs>
        <w:autoSpaceDE w:val="0"/>
        <w:autoSpaceDN w:val="0"/>
        <w:bidi w:val="0"/>
        <w:spacing w:before="0" w:after="160" w:line="240" w:lineRule="auto"/>
        <w:ind w:left="1116" w:right="0" w:hanging="363"/>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项目概况</w:t>
      </w:r>
    </w:p>
    <w:p>
      <w:pPr>
        <w:pStyle w:val="19"/>
        <w:numPr>
          <w:ilvl w:val="1"/>
          <w:numId w:val="3"/>
        </w:numPr>
        <w:tabs>
          <w:tab w:val="left" w:pos="1174"/>
        </w:tabs>
        <w:autoSpaceDE w:val="0"/>
        <w:autoSpaceDN w:val="0"/>
        <w:bidi w:val="0"/>
        <w:spacing w:before="131" w:after="160" w:line="240" w:lineRule="auto"/>
        <w:ind w:left="1173" w:right="0" w:hanging="42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项目名称：详见投标人须知前附表；</w:t>
      </w:r>
    </w:p>
    <w:p>
      <w:pPr>
        <w:pStyle w:val="19"/>
        <w:numPr>
          <w:ilvl w:val="1"/>
          <w:numId w:val="3"/>
        </w:numPr>
        <w:tabs>
          <w:tab w:val="left" w:pos="1174"/>
        </w:tabs>
        <w:autoSpaceDE w:val="0"/>
        <w:autoSpaceDN w:val="0"/>
        <w:bidi w:val="0"/>
        <w:spacing w:before="132" w:after="160" w:line="240" w:lineRule="auto"/>
        <w:ind w:left="1173" w:right="0" w:hanging="42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招标方式：详见投标人须知前附表；</w:t>
      </w:r>
    </w:p>
    <w:p>
      <w:pPr>
        <w:pStyle w:val="19"/>
        <w:numPr>
          <w:ilvl w:val="1"/>
          <w:numId w:val="3"/>
        </w:numPr>
        <w:tabs>
          <w:tab w:val="left" w:pos="1174"/>
        </w:tabs>
        <w:autoSpaceDE w:val="0"/>
        <w:autoSpaceDN w:val="0"/>
        <w:bidi w:val="0"/>
        <w:spacing w:before="134" w:after="160" w:line="240" w:lineRule="auto"/>
        <w:ind w:left="1173" w:right="0" w:hanging="42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采购内容：详见投标人须知前附表；</w:t>
      </w:r>
    </w:p>
    <w:p>
      <w:pPr>
        <w:pStyle w:val="19"/>
        <w:numPr>
          <w:ilvl w:val="1"/>
          <w:numId w:val="3"/>
        </w:numPr>
        <w:tabs>
          <w:tab w:val="left" w:pos="1174"/>
        </w:tabs>
        <w:autoSpaceDE w:val="0"/>
        <w:autoSpaceDN w:val="0"/>
        <w:bidi w:val="0"/>
        <w:spacing w:before="132" w:after="160" w:line="240" w:lineRule="auto"/>
        <w:ind w:left="1173" w:right="0" w:hanging="42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资金来源：详见投标人须知前附表；</w:t>
      </w:r>
    </w:p>
    <w:p>
      <w:pPr>
        <w:pStyle w:val="19"/>
        <w:numPr>
          <w:ilvl w:val="1"/>
          <w:numId w:val="3"/>
        </w:numPr>
        <w:tabs>
          <w:tab w:val="left" w:pos="1205"/>
        </w:tabs>
        <w:autoSpaceDE w:val="0"/>
        <w:autoSpaceDN w:val="0"/>
        <w:bidi w:val="0"/>
        <w:spacing w:before="132" w:after="160" w:line="240" w:lineRule="auto"/>
        <w:ind w:left="1204" w:right="0" w:hanging="449"/>
        <w:jc w:val="left"/>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项目地点：详见投标人须知前附表；</w:t>
      </w:r>
    </w:p>
    <w:p>
      <w:pPr>
        <w:pStyle w:val="19"/>
        <w:numPr>
          <w:ilvl w:val="1"/>
          <w:numId w:val="3"/>
        </w:numPr>
        <w:tabs>
          <w:tab w:val="left" w:pos="1155"/>
        </w:tabs>
        <w:autoSpaceDE w:val="0"/>
        <w:autoSpaceDN w:val="0"/>
        <w:bidi w:val="0"/>
        <w:spacing w:before="134" w:after="160" w:line="240" w:lineRule="auto"/>
        <w:ind w:left="1154" w:right="0" w:hanging="399"/>
        <w:jc w:val="left"/>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交付期：详见投标人须知前附表；</w:t>
      </w:r>
    </w:p>
    <w:p>
      <w:pPr>
        <w:pStyle w:val="19"/>
        <w:numPr>
          <w:ilvl w:val="1"/>
          <w:numId w:val="3"/>
        </w:numPr>
        <w:tabs>
          <w:tab w:val="left" w:pos="1155"/>
        </w:tabs>
        <w:autoSpaceDE w:val="0"/>
        <w:autoSpaceDN w:val="0"/>
        <w:bidi w:val="0"/>
        <w:spacing w:before="131" w:after="160" w:line="240" w:lineRule="auto"/>
        <w:ind w:left="1154" w:right="0" w:hanging="399"/>
        <w:jc w:val="left"/>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质保期：详见投标人须知前附表。</w:t>
      </w:r>
    </w:p>
    <w:p>
      <w:pPr>
        <w:pStyle w:val="9"/>
        <w:numPr>
          <w:ilvl w:val="0"/>
          <w:numId w:val="3"/>
        </w:numPr>
        <w:tabs>
          <w:tab w:val="left" w:pos="1116"/>
        </w:tabs>
        <w:autoSpaceDE w:val="0"/>
        <w:autoSpaceDN w:val="0"/>
        <w:bidi w:val="0"/>
        <w:spacing w:before="132" w:after="160" w:line="240" w:lineRule="auto"/>
        <w:ind w:left="1116" w:right="0" w:hanging="363"/>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定义</w:t>
      </w:r>
    </w:p>
    <w:p>
      <w:pPr>
        <w:pStyle w:val="10"/>
        <w:numPr>
          <w:ilvl w:val="0"/>
          <w:numId w:val="0"/>
        </w:numPr>
        <w:autoSpaceDE w:val="0"/>
        <w:autoSpaceDN w:val="0"/>
        <w:spacing w:before="134"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下述术语和缩写的定义为：</w:t>
      </w:r>
    </w:p>
    <w:p>
      <w:pPr>
        <w:pStyle w:val="19"/>
        <w:numPr>
          <w:ilvl w:val="1"/>
          <w:numId w:val="3"/>
        </w:numPr>
        <w:tabs>
          <w:tab w:val="left" w:pos="1115"/>
        </w:tabs>
        <w:autoSpaceDE w:val="0"/>
        <w:autoSpaceDN w:val="0"/>
        <w:bidi w:val="0"/>
        <w:spacing w:before="132"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“招标人”“采购人”系指</w:t>
      </w:r>
      <w:r>
        <w:rPr>
          <w:rFonts w:hint="eastAsia" w:ascii="宋体" w:hAnsi="宋体" w:eastAsia="宋体" w:cs="宋体"/>
          <w:color w:val="auto"/>
          <w:spacing w:val="-3"/>
          <w:position w:val="0"/>
          <w:sz w:val="24"/>
          <w:szCs w:val="24"/>
          <w:shd w:val="clear" w:color="000000" w:fill="FDFDFD"/>
        </w:rPr>
        <w:t>依法进行政府采购的国家机关、事业单位、团体</w:t>
      </w:r>
      <w:r>
        <w:rPr>
          <w:rFonts w:hint="eastAsia" w:ascii="宋体" w:hAnsi="宋体" w:eastAsia="宋体" w:cs="宋体"/>
          <w:color w:val="auto"/>
          <w:spacing w:val="-16"/>
          <w:position w:val="0"/>
          <w:sz w:val="24"/>
          <w:szCs w:val="24"/>
          <w:shd w:val="clear" w:color="000000" w:fill="FDFDFD"/>
        </w:rPr>
        <w:t>组织。本次政府采购的采购人名称、地址、联系人、电话详见投标人须知前附表</w:t>
      </w:r>
      <w:r>
        <w:rPr>
          <w:rFonts w:hint="eastAsia" w:ascii="宋体" w:hAnsi="宋体" w:eastAsia="宋体" w:cs="宋体"/>
          <w:color w:val="auto"/>
          <w:position w:val="0"/>
          <w:sz w:val="24"/>
          <w:szCs w:val="24"/>
        </w:rPr>
        <w:t>。</w:t>
      </w:r>
    </w:p>
    <w:p>
      <w:pPr>
        <w:pStyle w:val="19"/>
        <w:numPr>
          <w:ilvl w:val="1"/>
          <w:numId w:val="3"/>
        </w:numPr>
        <w:tabs>
          <w:tab w:val="left" w:pos="1115"/>
        </w:tabs>
        <w:autoSpaceDE w:val="0"/>
        <w:autoSpaceDN w:val="0"/>
        <w:bidi w:val="0"/>
        <w:spacing w:before="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“采购代理机构”“招标代理机构”系指接受采购人委托，代理采购项目的</w:t>
      </w:r>
      <w:r>
        <w:rPr>
          <w:rFonts w:hint="eastAsia" w:ascii="宋体" w:hAnsi="宋体" w:eastAsia="宋体" w:cs="宋体"/>
          <w:color w:val="auto"/>
          <w:position w:val="0"/>
          <w:sz w:val="24"/>
          <w:szCs w:val="24"/>
        </w:rPr>
        <w:t>采购代理机构。本次政府采购的采购代理机构名称、地址、联系人、电话详见投标人须知前附表。</w:t>
      </w:r>
    </w:p>
    <w:p>
      <w:pPr>
        <w:pStyle w:val="19"/>
        <w:numPr>
          <w:ilvl w:val="1"/>
          <w:numId w:val="3"/>
        </w:numPr>
        <w:tabs>
          <w:tab w:val="left" w:pos="1115"/>
        </w:tabs>
        <w:autoSpaceDE w:val="0"/>
        <w:autoSpaceDN w:val="0"/>
        <w:bidi w:val="0"/>
        <w:spacing w:before="1" w:after="160" w:line="240" w:lineRule="auto"/>
        <w:ind w:left="273" w:right="874"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6"/>
          <w:position w:val="0"/>
          <w:sz w:val="24"/>
          <w:szCs w:val="24"/>
        </w:rPr>
        <w:t>“投标人”、“供应商”系指向采购人提供货物、工程或者服务的法人、其</w:t>
      </w:r>
      <w:r>
        <w:rPr>
          <w:rFonts w:hint="eastAsia" w:ascii="宋体" w:hAnsi="宋体" w:eastAsia="宋体" w:cs="宋体"/>
          <w:color w:val="auto"/>
          <w:position w:val="0"/>
          <w:sz w:val="24"/>
          <w:szCs w:val="24"/>
        </w:rPr>
        <w:t>他组织或者自然人。</w:t>
      </w:r>
    </w:p>
    <w:p>
      <w:pPr>
        <w:pStyle w:val="19"/>
        <w:numPr>
          <w:ilvl w:val="1"/>
          <w:numId w:val="3"/>
        </w:numPr>
        <w:tabs>
          <w:tab w:val="left" w:pos="1115"/>
        </w:tabs>
        <w:autoSpaceDE w:val="0"/>
        <w:autoSpaceDN w:val="0"/>
        <w:bidi w:val="0"/>
        <w:spacing w:before="0" w:after="160" w:line="240" w:lineRule="auto"/>
        <w:ind w:left="1114" w:right="0" w:hanging="36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“货物”系指各种形态和种类的物品，包括原材料、设备、产品等。</w:t>
      </w:r>
    </w:p>
    <w:p>
      <w:pPr>
        <w:pStyle w:val="19"/>
        <w:numPr>
          <w:ilvl w:val="1"/>
          <w:numId w:val="3"/>
        </w:numPr>
        <w:tabs>
          <w:tab w:val="left" w:pos="1229"/>
        </w:tabs>
        <w:autoSpaceDE w:val="0"/>
        <w:autoSpaceDN w:val="0"/>
        <w:bidi w:val="0"/>
        <w:spacing w:before="134" w:after="160" w:line="240" w:lineRule="auto"/>
        <w:ind w:left="273" w:right="75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6"/>
          <w:position w:val="0"/>
          <w:sz w:val="24"/>
          <w:szCs w:val="24"/>
        </w:rPr>
        <w:t>“项目”系指建设工程，包括建筑物和构筑物的新建、改建、扩建，装修、</w:t>
      </w:r>
      <w:r>
        <w:rPr>
          <w:rFonts w:hint="eastAsia" w:ascii="宋体" w:hAnsi="宋体" w:eastAsia="宋体" w:cs="宋体"/>
          <w:color w:val="auto"/>
          <w:position w:val="0"/>
          <w:sz w:val="24"/>
          <w:szCs w:val="24"/>
        </w:rPr>
        <w:t>拆除，修缮等。</w:t>
      </w:r>
    </w:p>
    <w:p>
      <w:pPr>
        <w:pStyle w:val="19"/>
        <w:numPr>
          <w:ilvl w:val="1"/>
          <w:numId w:val="3"/>
        </w:numPr>
        <w:tabs>
          <w:tab w:val="left" w:pos="1234"/>
        </w:tabs>
        <w:autoSpaceDE w:val="0"/>
        <w:autoSpaceDN w:val="0"/>
        <w:bidi w:val="0"/>
        <w:spacing w:before="0" w:after="160" w:line="240" w:lineRule="auto"/>
        <w:ind w:left="1233" w:right="0" w:hanging="48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“服务”系指除货物和工程以外的其他政府采购对象。</w:t>
      </w:r>
    </w:p>
    <w:p>
      <w:pPr>
        <w:pStyle w:val="19"/>
        <w:numPr>
          <w:ilvl w:val="1"/>
          <w:numId w:val="3"/>
        </w:numPr>
        <w:tabs>
          <w:tab w:val="left" w:pos="1115"/>
        </w:tabs>
        <w:autoSpaceDE w:val="0"/>
        <w:autoSpaceDN w:val="0"/>
        <w:bidi w:val="0"/>
        <w:spacing w:before="134" w:after="160" w:line="240" w:lineRule="auto"/>
        <w:ind w:left="273" w:right="850"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“进口产品”系指通过中国海关报关验收进入中国境内且产自境外的产品。</w:t>
      </w:r>
      <w:r>
        <w:rPr>
          <w:rFonts w:hint="eastAsia" w:ascii="宋体" w:hAnsi="宋体" w:eastAsia="宋体" w:cs="宋体"/>
          <w:color w:val="auto"/>
          <w:position w:val="0"/>
          <w:sz w:val="24"/>
          <w:szCs w:val="24"/>
        </w:rPr>
        <w:t>详见《关于政府采购进口产品管理有关问题的通知》（财库［2007］119</w:t>
      </w:r>
      <w:r>
        <w:rPr>
          <w:rFonts w:hint="eastAsia" w:ascii="宋体" w:hAnsi="宋体" w:eastAsia="宋体" w:cs="宋体"/>
          <w:color w:val="auto"/>
          <w:spacing w:val="-30"/>
          <w:position w:val="0"/>
          <w:sz w:val="24"/>
          <w:szCs w:val="24"/>
        </w:rPr>
        <w:t>号</w:t>
      </w:r>
      <w:r>
        <w:rPr>
          <w:rFonts w:hint="eastAsia" w:ascii="宋体" w:hAnsi="宋体" w:eastAsia="宋体" w:cs="宋体"/>
          <w:color w:val="auto"/>
          <w:position w:val="0"/>
          <w:sz w:val="24"/>
          <w:szCs w:val="24"/>
        </w:rPr>
        <w:t>）。</w:t>
      </w:r>
    </w:p>
    <w:p>
      <w:pPr>
        <w:pStyle w:val="19"/>
        <w:numPr>
          <w:ilvl w:val="1"/>
          <w:numId w:val="3"/>
        </w:numPr>
        <w:tabs>
          <w:tab w:val="left" w:pos="1234"/>
        </w:tabs>
        <w:autoSpaceDE w:val="0"/>
        <w:autoSpaceDN w:val="0"/>
        <w:bidi w:val="0"/>
        <w:spacing w:before="0" w:after="160" w:line="240" w:lineRule="auto"/>
        <w:ind w:left="1233" w:right="0" w:hanging="48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偏离</w:t>
      </w:r>
    </w:p>
    <w:p>
      <w:pPr>
        <w:pStyle w:val="19"/>
        <w:numPr>
          <w:ilvl w:val="2"/>
          <w:numId w:val="3"/>
        </w:numPr>
        <w:tabs>
          <w:tab w:val="left" w:pos="1476"/>
        </w:tabs>
        <w:autoSpaceDE w:val="0"/>
        <w:autoSpaceDN w:val="0"/>
        <w:bidi w:val="0"/>
        <w:spacing w:before="134"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本条所称偏离为响应文件对竞争性磋商文件的偏离，即不满足、或不响应竞争性磋商文件的要求。偏离分为对竞争性磋商文件的实质性要求条款偏离和对竞争性磋商文件的一般商务和技术条款偏离。</w:t>
      </w:r>
    </w:p>
    <w:p>
      <w:pPr>
        <w:pStyle w:val="19"/>
        <w:keepNext w:val="0"/>
        <w:keepLines w:val="0"/>
        <w:pageBreakBefore w:val="0"/>
        <w:widowControl/>
        <w:numPr>
          <w:ilvl w:val="0"/>
          <w:numId w:val="0"/>
        </w:numPr>
        <w:tabs>
          <w:tab w:val="left" w:pos="1414"/>
        </w:tabs>
        <w:kinsoku/>
        <w:wordWrap/>
        <w:overflowPunct w:val="0"/>
        <w:topLinePunct w:val="0"/>
        <w:autoSpaceDE w:val="0"/>
        <w:autoSpaceDN w:val="0"/>
        <w:bidi w:val="0"/>
        <w:adjustRightInd/>
        <w:snapToGrid/>
        <w:spacing w:line="240" w:lineRule="auto"/>
        <w:ind w:right="0" w:rightChars="0" w:firstLine="672" w:firstLineChars="300"/>
        <w:jc w:val="both"/>
        <w:textAlignment w:val="auto"/>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lang w:val="en-US" w:eastAsia="zh-CN"/>
        </w:rPr>
        <w:t xml:space="preserve">2.8.2  </w:t>
      </w:r>
      <w:r>
        <w:rPr>
          <w:rFonts w:hint="eastAsia" w:ascii="宋体" w:hAnsi="宋体" w:eastAsia="宋体" w:cs="宋体"/>
          <w:color w:val="auto"/>
          <w:spacing w:val="-8"/>
          <w:position w:val="0"/>
          <w:sz w:val="24"/>
          <w:szCs w:val="24"/>
        </w:rPr>
        <w:t>除法律、法规和规章规定外。竞争性磋商文件中加下划线、“拒绝”“不</w:t>
      </w:r>
      <w:r>
        <w:rPr>
          <w:rFonts w:hint="eastAsia" w:ascii="宋体" w:hAnsi="宋体" w:eastAsia="宋体" w:cs="宋体"/>
          <w:color w:val="auto"/>
          <w:position w:val="0"/>
          <w:sz w:val="24"/>
          <w:szCs w:val="24"/>
        </w:rPr>
        <w:t>接受”“无效”“不得”“投标被否决”等文字规定或标注“★”“▲”符号的条款为实质性要求条款（即重要条款），对其中任一条的偏离，在评审时将其视为无</w:t>
      </w:r>
      <w:r>
        <w:rPr>
          <w:rFonts w:hint="eastAsia" w:ascii="宋体" w:hAnsi="宋体" w:eastAsia="宋体" w:cs="宋体"/>
          <w:color w:val="auto"/>
          <w:spacing w:val="-4"/>
          <w:position w:val="0"/>
          <w:sz w:val="24"/>
          <w:szCs w:val="24"/>
        </w:rPr>
        <w:t>效响应。未用上述文字规定或符号标注的条款为非实质性要求条款</w:t>
      </w:r>
      <w:r>
        <w:rPr>
          <w:rFonts w:hint="eastAsia" w:ascii="宋体" w:hAnsi="宋体" w:eastAsia="宋体" w:cs="宋体"/>
          <w:color w:val="auto"/>
          <w:spacing w:val="-3"/>
          <w:position w:val="0"/>
          <w:sz w:val="24"/>
          <w:szCs w:val="24"/>
        </w:rPr>
        <w:t>（</w:t>
      </w:r>
      <w:r>
        <w:rPr>
          <w:rFonts w:hint="eastAsia" w:ascii="宋体" w:hAnsi="宋体" w:eastAsia="宋体" w:cs="宋体"/>
          <w:color w:val="auto"/>
          <w:position w:val="0"/>
          <w:sz w:val="24"/>
          <w:szCs w:val="24"/>
        </w:rPr>
        <w:t>即一般条款</w:t>
      </w:r>
      <w:r>
        <w:rPr>
          <w:rFonts w:hint="eastAsia" w:ascii="宋体" w:hAnsi="宋体" w:eastAsia="宋体" w:cs="宋体"/>
          <w:color w:val="auto"/>
          <w:spacing w:val="-10"/>
          <w:position w:val="0"/>
          <w:sz w:val="24"/>
          <w:szCs w:val="24"/>
        </w:rPr>
        <w:t>）</w:t>
      </w:r>
      <w:r>
        <w:rPr>
          <w:rFonts w:hint="eastAsia" w:ascii="宋体" w:hAnsi="宋体" w:eastAsia="宋体" w:cs="宋体"/>
          <w:color w:val="auto"/>
          <w:spacing w:val="-15"/>
          <w:position w:val="0"/>
          <w:sz w:val="24"/>
          <w:szCs w:val="24"/>
        </w:rPr>
        <w:t>。</w:t>
      </w:r>
      <w:r>
        <w:rPr>
          <w:rFonts w:hint="eastAsia" w:ascii="宋体" w:hAnsi="宋体" w:eastAsia="宋体" w:cs="宋体"/>
          <w:color w:val="auto"/>
          <w:position w:val="0"/>
          <w:sz w:val="24"/>
          <w:szCs w:val="24"/>
        </w:rPr>
        <w:t>着重提醒各投标人注意，并认真查看竞争性磋商文件中的每一个条款及要求，因误读竞争性磋商文件而造成的后果，采购人概不负责。</w:t>
      </w:r>
    </w:p>
    <w:p>
      <w:pPr>
        <w:pStyle w:val="19"/>
        <w:numPr>
          <w:ilvl w:val="1"/>
          <w:numId w:val="3"/>
        </w:numPr>
        <w:tabs>
          <w:tab w:val="left" w:pos="1234"/>
        </w:tabs>
        <w:autoSpaceDE w:val="0"/>
        <w:autoSpaceDN w:val="0"/>
        <w:bidi w:val="0"/>
        <w:spacing w:before="2" w:after="160" w:line="240" w:lineRule="auto"/>
        <w:ind w:left="1233" w:right="0" w:hanging="48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特别说明</w:t>
      </w:r>
    </w:p>
    <w:p>
      <w:pPr>
        <w:pStyle w:val="19"/>
        <w:numPr>
          <w:ilvl w:val="2"/>
          <w:numId w:val="3"/>
        </w:numPr>
        <w:tabs>
          <w:tab w:val="left" w:pos="1414"/>
        </w:tabs>
        <w:autoSpaceDE w:val="0"/>
        <w:autoSpaceDN w:val="0"/>
        <w:bidi w:val="0"/>
        <w:spacing w:before="131"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供应商所使用的资格、信誉、荣誉、业绩与企业认证等必须为供应商所拥</w:t>
      </w:r>
      <w:r>
        <w:rPr>
          <w:rFonts w:hint="eastAsia" w:ascii="宋体" w:hAnsi="宋体" w:eastAsia="宋体" w:cs="宋体"/>
          <w:color w:val="auto"/>
          <w:position w:val="0"/>
          <w:sz w:val="24"/>
          <w:szCs w:val="24"/>
        </w:rPr>
        <w:t>有。</w:t>
      </w:r>
    </w:p>
    <w:p>
      <w:pPr>
        <w:pStyle w:val="19"/>
        <w:numPr>
          <w:ilvl w:val="2"/>
          <w:numId w:val="3"/>
        </w:numPr>
        <w:tabs>
          <w:tab w:val="left" w:pos="1476"/>
        </w:tabs>
        <w:autoSpaceDE w:val="0"/>
        <w:autoSpaceDN w:val="0"/>
        <w:bidi w:val="0"/>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供应商应仔细阅读竞争性磋商文件中的所有内容，按照竞争性磋商文件的要求编制、提交响应文件，并对其所提供的全部资料的真实性承担法律责任。</w:t>
      </w:r>
    </w:p>
    <w:p>
      <w:pPr>
        <w:pStyle w:val="19"/>
        <w:numPr>
          <w:ilvl w:val="2"/>
          <w:numId w:val="3"/>
        </w:numPr>
        <w:tabs>
          <w:tab w:val="left" w:pos="1474"/>
        </w:tabs>
        <w:autoSpaceDE w:val="0"/>
        <w:autoSpaceDN w:val="0"/>
        <w:bidi w:val="0"/>
        <w:spacing w:before="0" w:after="160" w:line="240" w:lineRule="auto"/>
        <w:ind w:left="273" w:right="75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竞争性磋商文件所提供的资料，是采购人现有的能被供应商利用的资料，</w:t>
      </w:r>
      <w:r>
        <w:rPr>
          <w:rFonts w:hint="eastAsia" w:ascii="宋体" w:hAnsi="宋体" w:eastAsia="宋体" w:cs="宋体"/>
          <w:color w:val="auto"/>
          <w:position w:val="0"/>
          <w:sz w:val="24"/>
          <w:szCs w:val="24"/>
        </w:rPr>
        <w:t>采购人对供应商做出的任何推论、理解和结论均不负任何责任。</w:t>
      </w:r>
    </w:p>
    <w:p>
      <w:pPr>
        <w:pStyle w:val="9"/>
        <w:numPr>
          <w:ilvl w:val="0"/>
          <w:numId w:val="3"/>
        </w:numPr>
        <w:tabs>
          <w:tab w:val="left" w:pos="1116"/>
        </w:tabs>
        <w:autoSpaceDE w:val="0"/>
        <w:autoSpaceDN w:val="0"/>
        <w:bidi w:val="0"/>
        <w:spacing w:before="0" w:after="160" w:line="240" w:lineRule="auto"/>
        <w:ind w:left="1116" w:right="0" w:hanging="363"/>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供应商资格</w:t>
      </w:r>
    </w:p>
    <w:p>
      <w:pPr>
        <w:pStyle w:val="19"/>
        <w:numPr>
          <w:ilvl w:val="1"/>
          <w:numId w:val="3"/>
        </w:numPr>
        <w:tabs>
          <w:tab w:val="left" w:pos="1174"/>
        </w:tabs>
        <w:autoSpaceDE w:val="0"/>
        <w:autoSpaceDN w:val="0"/>
        <w:bidi w:val="0"/>
        <w:spacing w:before="131" w:after="160" w:line="240" w:lineRule="auto"/>
        <w:ind w:left="1173" w:right="0" w:hanging="421"/>
        <w:jc w:val="left"/>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供应商资格：详见投标人须知前附表。</w:t>
      </w:r>
    </w:p>
    <w:p>
      <w:pPr>
        <w:pStyle w:val="19"/>
        <w:numPr>
          <w:ilvl w:val="1"/>
          <w:numId w:val="3"/>
        </w:numPr>
        <w:tabs>
          <w:tab w:val="left" w:pos="1234"/>
        </w:tabs>
        <w:autoSpaceDE w:val="0"/>
        <w:autoSpaceDN w:val="0"/>
        <w:bidi w:val="0"/>
        <w:spacing w:before="132" w:after="160" w:line="240" w:lineRule="auto"/>
        <w:ind w:left="1233" w:right="0" w:hanging="48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投标人应遵守中华人民共和国法律、法规和行政规章。</w:t>
      </w:r>
    </w:p>
    <w:p>
      <w:pPr>
        <w:pStyle w:val="19"/>
        <w:numPr>
          <w:ilvl w:val="1"/>
          <w:numId w:val="3"/>
        </w:numPr>
        <w:tabs>
          <w:tab w:val="left" w:pos="1174"/>
        </w:tabs>
        <w:autoSpaceDE w:val="0"/>
        <w:autoSpaceDN w:val="0"/>
        <w:bidi w:val="0"/>
        <w:spacing w:before="131" w:after="160" w:line="240" w:lineRule="auto"/>
        <w:ind w:left="1173" w:right="0" w:hanging="42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供应商不得存在下列情形之一：</w:t>
      </w:r>
    </w:p>
    <w:p>
      <w:pPr>
        <w:pStyle w:val="19"/>
        <w:numPr>
          <w:ilvl w:val="0"/>
          <w:numId w:val="4"/>
        </w:numPr>
        <w:tabs>
          <w:tab w:val="left" w:pos="1355"/>
        </w:tabs>
        <w:autoSpaceDE w:val="0"/>
        <w:autoSpaceDN w:val="0"/>
        <w:bidi w:val="0"/>
        <w:spacing w:before="134" w:after="160" w:line="240" w:lineRule="auto"/>
        <w:ind w:left="1354"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与采购人、代理机构存在利害关系。</w:t>
      </w:r>
    </w:p>
    <w:p>
      <w:pPr>
        <w:pStyle w:val="19"/>
        <w:numPr>
          <w:ilvl w:val="0"/>
          <w:numId w:val="4"/>
        </w:numPr>
        <w:tabs>
          <w:tab w:val="left" w:pos="1355"/>
        </w:tabs>
        <w:autoSpaceDE w:val="0"/>
        <w:autoSpaceDN w:val="0"/>
        <w:bidi w:val="0"/>
        <w:spacing w:before="132"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单位负责人为同一人或者存在控股、管理关系的不同供应商，不得参加同</w:t>
      </w:r>
      <w:r>
        <w:rPr>
          <w:rFonts w:hint="eastAsia" w:ascii="宋体" w:hAnsi="宋体" w:eastAsia="宋体" w:cs="宋体"/>
          <w:color w:val="auto"/>
          <w:position w:val="0"/>
          <w:sz w:val="24"/>
          <w:szCs w:val="24"/>
        </w:rPr>
        <w:t>一合同项下的政府采购活动。</w:t>
      </w:r>
    </w:p>
    <w:p>
      <w:pPr>
        <w:pStyle w:val="9"/>
        <w:numPr>
          <w:ilvl w:val="0"/>
          <w:numId w:val="3"/>
        </w:numPr>
        <w:tabs>
          <w:tab w:val="left" w:pos="1116"/>
        </w:tabs>
        <w:autoSpaceDE w:val="0"/>
        <w:autoSpaceDN w:val="0"/>
        <w:bidi w:val="0"/>
        <w:spacing w:before="2" w:after="160" w:line="240" w:lineRule="auto"/>
        <w:ind w:left="1116" w:right="0" w:hanging="363"/>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投标费用</w:t>
      </w:r>
    </w:p>
    <w:p>
      <w:pPr>
        <w:pStyle w:val="19"/>
        <w:numPr>
          <w:ilvl w:val="1"/>
          <w:numId w:val="3"/>
        </w:numPr>
        <w:tabs>
          <w:tab w:val="left" w:pos="1174"/>
        </w:tabs>
        <w:autoSpaceDE w:val="0"/>
        <w:autoSpaceDN w:val="0"/>
        <w:bidi w:val="0"/>
        <w:spacing w:before="131"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无论投标过程中的做法和结果如何，投标人将自行承担所有与参加投标有关</w:t>
      </w:r>
      <w:r>
        <w:rPr>
          <w:rFonts w:hint="eastAsia" w:ascii="宋体" w:hAnsi="宋体" w:eastAsia="宋体" w:cs="宋体"/>
          <w:color w:val="auto"/>
          <w:position w:val="0"/>
          <w:sz w:val="24"/>
          <w:szCs w:val="24"/>
        </w:rPr>
        <w:t>的费用。</w:t>
      </w:r>
    </w:p>
    <w:p>
      <w:pPr>
        <w:pStyle w:val="9"/>
        <w:numPr>
          <w:ilvl w:val="0"/>
          <w:numId w:val="3"/>
        </w:numPr>
        <w:tabs>
          <w:tab w:val="left" w:pos="997"/>
        </w:tabs>
        <w:autoSpaceDE w:val="0"/>
        <w:autoSpaceDN w:val="0"/>
        <w:bidi w:val="0"/>
        <w:spacing w:before="2" w:after="160" w:line="240" w:lineRule="auto"/>
        <w:ind w:left="997" w:right="0" w:hanging="24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联合体形式</w:t>
      </w:r>
    </w:p>
    <w:p>
      <w:pPr>
        <w:numPr>
          <w:ilvl w:val="0"/>
          <w:numId w:val="0"/>
        </w:numPr>
        <w:tabs>
          <w:tab w:val="left" w:pos="1234"/>
        </w:tabs>
        <w:autoSpaceDE w:val="0"/>
        <w:autoSpaceDN w:val="0"/>
        <w:spacing w:before="131" w:after="160" w:line="240" w:lineRule="auto"/>
        <w:ind w:right="0" w:firstLine="708"/>
        <w:jc w:val="left"/>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除投标人须知前附表中另有规定，本次招标不接受为联合体形式的供应商。</w:t>
      </w:r>
    </w:p>
    <w:p>
      <w:pPr>
        <w:pStyle w:val="9"/>
        <w:numPr>
          <w:ilvl w:val="0"/>
          <w:numId w:val="3"/>
        </w:numPr>
        <w:tabs>
          <w:tab w:val="left" w:pos="1115"/>
        </w:tabs>
        <w:autoSpaceDE w:val="0"/>
        <w:autoSpaceDN w:val="0"/>
        <w:bidi w:val="0"/>
        <w:spacing w:before="134" w:after="160" w:line="240" w:lineRule="auto"/>
        <w:ind w:left="1114" w:right="0" w:hanging="362"/>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现场勘察</w:t>
      </w:r>
    </w:p>
    <w:p>
      <w:pPr>
        <w:pStyle w:val="19"/>
        <w:numPr>
          <w:ilvl w:val="1"/>
          <w:numId w:val="3"/>
        </w:numPr>
        <w:tabs>
          <w:tab w:val="left" w:pos="1244"/>
        </w:tabs>
        <w:autoSpaceDE w:val="0"/>
        <w:autoSpaceDN w:val="0"/>
        <w:bidi w:val="0"/>
        <w:spacing w:before="131" w:after="160" w:line="240" w:lineRule="auto"/>
        <w:ind w:left="273" w:right="881"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供应商应按投标人须知前附表中规定对采购项目现场和周围环境进行考察。</w:t>
      </w:r>
    </w:p>
    <w:p>
      <w:pPr>
        <w:pStyle w:val="19"/>
        <w:numPr>
          <w:ilvl w:val="1"/>
          <w:numId w:val="3"/>
        </w:numPr>
        <w:tabs>
          <w:tab w:val="left" w:pos="1174"/>
        </w:tabs>
        <w:autoSpaceDE w:val="0"/>
        <w:autoSpaceDN w:val="0"/>
        <w:bidi w:val="0"/>
        <w:spacing w:before="2"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勘察现场的费用由供应商自己承担，勘察期间所发生的人身伤害及财产损失</w:t>
      </w:r>
      <w:r>
        <w:rPr>
          <w:rFonts w:hint="eastAsia" w:ascii="宋体" w:hAnsi="宋体" w:eastAsia="宋体" w:cs="宋体"/>
          <w:color w:val="auto"/>
          <w:position w:val="0"/>
          <w:sz w:val="24"/>
          <w:szCs w:val="24"/>
        </w:rPr>
        <w:t>由供应商自己负责。</w:t>
      </w:r>
    </w:p>
    <w:p>
      <w:pPr>
        <w:pStyle w:val="19"/>
        <w:numPr>
          <w:ilvl w:val="1"/>
          <w:numId w:val="3"/>
        </w:numPr>
        <w:tabs>
          <w:tab w:val="left" w:pos="1236"/>
        </w:tabs>
        <w:autoSpaceDE w:val="0"/>
        <w:autoSpaceDN w:val="0"/>
        <w:bidi w:val="0"/>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采购人不对供应商据此而做出的推论、理解和结论负责。一旦成交，供应商不得以任何借口，而提出额外补偿，或延长合同期限的要求。</w:t>
      </w:r>
    </w:p>
    <w:p>
      <w:pPr>
        <w:pStyle w:val="9"/>
        <w:numPr>
          <w:ilvl w:val="0"/>
          <w:numId w:val="3"/>
        </w:numPr>
        <w:tabs>
          <w:tab w:val="left" w:pos="997"/>
        </w:tabs>
        <w:autoSpaceDE w:val="0"/>
        <w:autoSpaceDN w:val="0"/>
        <w:bidi w:val="0"/>
        <w:spacing w:before="0" w:after="160" w:line="240" w:lineRule="auto"/>
        <w:ind w:left="997" w:right="0" w:hanging="24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采购进口产品</w:t>
      </w:r>
    </w:p>
    <w:p>
      <w:pPr>
        <w:pStyle w:val="19"/>
        <w:numPr>
          <w:ilvl w:val="1"/>
          <w:numId w:val="3"/>
        </w:numPr>
        <w:tabs>
          <w:tab w:val="left" w:pos="1174"/>
        </w:tabs>
        <w:autoSpaceDE w:val="0"/>
        <w:autoSpaceDN w:val="0"/>
        <w:bidi w:val="0"/>
        <w:spacing w:before="130" w:after="160" w:line="240" w:lineRule="auto"/>
        <w:ind w:left="753" w:right="1030" w:firstLine="0"/>
        <w:jc w:val="left"/>
        <w:rPr>
          <w:rFonts w:hint="eastAsia" w:ascii="宋体" w:hAnsi="宋体" w:eastAsia="宋体" w:cs="宋体"/>
          <w:b/>
          <w:color w:val="auto"/>
          <w:position w:val="0"/>
          <w:sz w:val="24"/>
          <w:szCs w:val="24"/>
        </w:rPr>
      </w:pPr>
      <w:r>
        <w:rPr>
          <w:rFonts w:hint="eastAsia" w:ascii="宋体" w:hAnsi="宋体" w:eastAsia="宋体" w:cs="宋体"/>
          <w:color w:val="000000"/>
          <w:spacing w:val="-1"/>
          <w:position w:val="0"/>
          <w:sz w:val="24"/>
          <w:szCs w:val="24"/>
        </w:rPr>
        <w:t>除投标人须知前附表另有规定外，本项目不接受进口产品参加采购活动。</w:t>
      </w:r>
    </w:p>
    <w:p>
      <w:pPr>
        <w:pStyle w:val="19"/>
        <w:numPr>
          <w:ilvl w:val="0"/>
          <w:numId w:val="0"/>
        </w:numPr>
        <w:tabs>
          <w:tab w:val="left" w:pos="1174"/>
        </w:tabs>
        <w:autoSpaceDE w:val="0"/>
        <w:autoSpaceDN w:val="0"/>
        <w:bidi w:val="0"/>
        <w:spacing w:before="130" w:after="160" w:line="240" w:lineRule="auto"/>
        <w:ind w:left="753" w:leftChars="0" w:right="1030" w:rightChars="0"/>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8.政府采购政策的支持</w:t>
      </w:r>
    </w:p>
    <w:p>
      <w:pPr>
        <w:pStyle w:val="19"/>
        <w:numPr>
          <w:ilvl w:val="1"/>
          <w:numId w:val="5"/>
        </w:numPr>
        <w:tabs>
          <w:tab w:val="left" w:pos="117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政府采购有关的货物采购执行环境标志产品政府优先采购政策。在采购过程</w:t>
      </w:r>
      <w:r>
        <w:rPr>
          <w:rFonts w:hint="eastAsia" w:ascii="宋体" w:hAnsi="宋体" w:eastAsia="宋体" w:cs="宋体"/>
          <w:color w:val="auto"/>
          <w:position w:val="0"/>
          <w:sz w:val="24"/>
          <w:szCs w:val="24"/>
        </w:rPr>
        <w:t>中执行最新一期的环境标志产品政府采购清单。优先采购政策规定可在：中国政府</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Fonts w:hint="eastAsia" w:ascii="宋体" w:hAnsi="宋体" w:eastAsia="宋体" w:cs="宋体"/>
          <w:color w:val="auto"/>
          <w:position w:val="0"/>
          <w:sz w:val="24"/>
          <w:szCs w:val="24"/>
        </w:rPr>
        <w:t>采购网（http://www.ccgp.gov.cn/</w:t>
      </w:r>
      <w:r>
        <w:rPr>
          <w:rFonts w:hint="eastAsia" w:ascii="宋体" w:hAnsi="宋体" w:eastAsia="宋体" w:cs="宋体"/>
          <w:color w:val="auto"/>
          <w:position w:val="0"/>
          <w:sz w:val="24"/>
          <w:szCs w:val="24"/>
        </w:rPr>
        <w:fldChar w:fldCharType="end"/>
      </w:r>
      <w:r>
        <w:rPr>
          <w:rFonts w:hint="eastAsia" w:ascii="宋体" w:hAnsi="宋体" w:eastAsia="宋体" w:cs="宋体"/>
          <w:color w:val="auto"/>
          <w:position w:val="0"/>
          <w:sz w:val="24"/>
          <w:szCs w:val="24"/>
        </w:rPr>
        <w:t>）查询。</w:t>
      </w:r>
    </w:p>
    <w:p>
      <w:pPr>
        <w:pStyle w:val="19"/>
        <w:numPr>
          <w:ilvl w:val="1"/>
          <w:numId w:val="5"/>
        </w:numPr>
        <w:tabs>
          <w:tab w:val="left" w:pos="1174"/>
        </w:tabs>
        <w:autoSpaceDE w:val="0"/>
        <w:autoSpaceDN w:val="0"/>
        <w:bidi w:val="0"/>
        <w:spacing w:before="0" w:after="160" w:line="240" w:lineRule="auto"/>
        <w:ind w:left="273" w:right="790"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政府采购有关的货物采购应当执行节能产品政府强制采购和优先采购政策。</w:t>
      </w:r>
      <w:r>
        <w:rPr>
          <w:rFonts w:hint="eastAsia" w:ascii="宋体" w:hAnsi="宋体" w:eastAsia="宋体" w:cs="宋体"/>
          <w:color w:val="auto"/>
          <w:position w:val="0"/>
          <w:sz w:val="24"/>
          <w:szCs w:val="24"/>
        </w:rPr>
        <w:t>在采购过程中执行最新一期的节能产品政府采购清单。优先采购政策规定可在：中</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Fonts w:hint="eastAsia" w:ascii="宋体" w:hAnsi="宋体" w:eastAsia="宋体" w:cs="宋体"/>
          <w:color w:val="auto"/>
          <w:position w:val="0"/>
          <w:sz w:val="24"/>
          <w:szCs w:val="24"/>
        </w:rPr>
        <w:t>国政府采购网（http://www.ccgp.gov.cn/</w:t>
      </w:r>
      <w:r>
        <w:rPr>
          <w:rFonts w:hint="eastAsia" w:ascii="宋体" w:hAnsi="宋体" w:eastAsia="宋体" w:cs="宋体"/>
          <w:color w:val="auto"/>
          <w:position w:val="0"/>
          <w:sz w:val="24"/>
          <w:szCs w:val="24"/>
        </w:rPr>
        <w:fldChar w:fldCharType="end"/>
      </w:r>
      <w:r>
        <w:rPr>
          <w:rFonts w:hint="eastAsia" w:ascii="宋体" w:hAnsi="宋体" w:eastAsia="宋体" w:cs="宋体"/>
          <w:color w:val="auto"/>
          <w:position w:val="0"/>
          <w:sz w:val="24"/>
          <w:szCs w:val="24"/>
        </w:rPr>
        <w:t>）查询。</w:t>
      </w:r>
    </w:p>
    <w:p>
      <w:pPr>
        <w:pStyle w:val="19"/>
        <w:numPr>
          <w:ilvl w:val="1"/>
          <w:numId w:val="5"/>
        </w:numPr>
        <w:tabs>
          <w:tab w:val="left" w:pos="1236"/>
        </w:tabs>
        <w:autoSpaceDE w:val="0"/>
        <w:autoSpaceDN w:val="0"/>
        <w:bidi w:val="0"/>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产品符合促进中小企业（监狱企业、残疾人福利性单位</w:t>
      </w:r>
      <w:r>
        <w:rPr>
          <w:rFonts w:hint="eastAsia" w:ascii="宋体" w:hAnsi="宋体" w:eastAsia="宋体" w:cs="宋体"/>
          <w:color w:val="auto"/>
          <w:spacing w:val="4"/>
          <w:position w:val="0"/>
          <w:sz w:val="24"/>
          <w:szCs w:val="24"/>
        </w:rPr>
        <w:t>）</w:t>
      </w:r>
      <w:r>
        <w:rPr>
          <w:rFonts w:hint="eastAsia" w:ascii="宋体" w:hAnsi="宋体" w:eastAsia="宋体" w:cs="宋体"/>
          <w:color w:val="auto"/>
          <w:position w:val="0"/>
          <w:sz w:val="24"/>
          <w:szCs w:val="24"/>
        </w:rPr>
        <w:t>发展政策的，对</w:t>
      </w:r>
      <w:r>
        <w:rPr>
          <w:rFonts w:hint="eastAsia" w:ascii="宋体" w:hAnsi="宋体" w:eastAsia="宋体" w:cs="宋体"/>
          <w:color w:val="auto"/>
          <w:spacing w:val="-4"/>
          <w:position w:val="0"/>
          <w:sz w:val="24"/>
          <w:szCs w:val="24"/>
        </w:rPr>
        <w:t>小型和微型企业产品的价格给予</w:t>
      </w:r>
      <w:r>
        <w:rPr>
          <w:rFonts w:hint="eastAsia" w:ascii="宋体" w:hAnsi="宋体" w:eastAsia="宋体" w:cs="宋体"/>
          <w:color w:val="auto"/>
          <w:position w:val="0"/>
          <w:sz w:val="24"/>
          <w:szCs w:val="24"/>
        </w:rPr>
        <w:t>6%的扣除。</w:t>
      </w:r>
    </w:p>
    <w:p>
      <w:pPr>
        <w:pStyle w:val="19"/>
        <w:numPr>
          <w:ilvl w:val="1"/>
          <w:numId w:val="5"/>
        </w:numPr>
        <w:tabs>
          <w:tab w:val="left" w:pos="1174"/>
        </w:tabs>
        <w:autoSpaceDE w:val="0"/>
        <w:autoSpaceDN w:val="0"/>
        <w:bidi w:val="0"/>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9"/>
          <w:position w:val="0"/>
          <w:sz w:val="24"/>
          <w:szCs w:val="24"/>
        </w:rPr>
        <w:t>供应商在签署相关承诺、提供相关信息前，应当认真阅读财政部门的相关政</w:t>
      </w:r>
      <w:r>
        <w:rPr>
          <w:rFonts w:hint="eastAsia" w:ascii="宋体" w:hAnsi="宋体" w:eastAsia="宋体" w:cs="宋体"/>
          <w:color w:val="auto"/>
          <w:spacing w:val="-6"/>
          <w:position w:val="0"/>
          <w:sz w:val="24"/>
          <w:szCs w:val="24"/>
        </w:rPr>
        <w:t>策规定。符合本章第</w:t>
      </w:r>
      <w:r>
        <w:rPr>
          <w:rFonts w:hint="eastAsia" w:ascii="宋体" w:hAnsi="宋体" w:eastAsia="宋体" w:cs="宋体"/>
          <w:color w:val="auto"/>
          <w:position w:val="0"/>
          <w:sz w:val="24"/>
          <w:szCs w:val="24"/>
        </w:rPr>
        <w:t>8.1-8.3</w:t>
      </w:r>
      <w:r>
        <w:rPr>
          <w:rFonts w:hint="eastAsia" w:ascii="宋体" w:hAnsi="宋体" w:eastAsia="宋体" w:cs="宋体"/>
          <w:color w:val="auto"/>
          <w:spacing w:val="-8"/>
          <w:position w:val="0"/>
          <w:sz w:val="24"/>
          <w:szCs w:val="24"/>
        </w:rPr>
        <w:t>款规定的，应当提供相关的证明材料。</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bookmarkStart w:id="5" w:name="第二章_竞争性磋商文件的编写"/>
      <w:bookmarkEnd w:id="5"/>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8"/>
          <w:szCs w:val="28"/>
        </w:rPr>
      </w:pPr>
    </w:p>
    <w:p>
      <w:pPr>
        <w:numPr>
          <w:ilvl w:val="0"/>
          <w:numId w:val="0"/>
        </w:numPr>
        <w:autoSpaceDE w:val="0"/>
        <w:autoSpaceDN w:val="0"/>
        <w:spacing w:before="183" w:after="160" w:line="240" w:lineRule="auto"/>
        <w:ind w:right="603" w:firstLine="0"/>
        <w:jc w:val="center"/>
        <w:rPr>
          <w:rFonts w:hint="eastAsia" w:ascii="宋体" w:hAnsi="宋体" w:eastAsia="宋体" w:cs="宋体"/>
          <w:b/>
          <w:color w:val="auto"/>
          <w:position w:val="0"/>
          <w:sz w:val="24"/>
          <w:szCs w:val="24"/>
        </w:rPr>
      </w:pPr>
      <w:r>
        <w:rPr>
          <w:rFonts w:hint="eastAsia" w:ascii="宋体" w:hAnsi="宋体" w:eastAsia="宋体" w:cs="宋体"/>
          <w:b/>
          <w:color w:val="auto"/>
          <w:position w:val="0"/>
          <w:sz w:val="28"/>
          <w:szCs w:val="28"/>
        </w:rPr>
        <w:t>第二章</w:t>
      </w:r>
      <w:r>
        <w:rPr>
          <w:rFonts w:hint="eastAsia" w:ascii="宋体" w:hAnsi="宋体" w:eastAsia="宋体" w:cs="宋体"/>
          <w:b/>
          <w:color w:val="auto"/>
          <w:position w:val="0"/>
          <w:sz w:val="28"/>
          <w:szCs w:val="28"/>
          <w:lang w:val="en-US" w:eastAsia="zh-CN"/>
        </w:rPr>
        <w:t xml:space="preserve"> </w:t>
      </w:r>
      <w:r>
        <w:rPr>
          <w:rFonts w:hint="eastAsia" w:ascii="宋体" w:hAnsi="宋体" w:eastAsia="宋体" w:cs="宋体"/>
          <w:b/>
          <w:color w:val="auto"/>
          <w:position w:val="0"/>
          <w:sz w:val="28"/>
          <w:szCs w:val="28"/>
        </w:rPr>
        <w:t>竞争性磋商文件的编写</w:t>
      </w:r>
    </w:p>
    <w:p>
      <w:pPr>
        <w:pStyle w:val="9"/>
        <w:numPr>
          <w:ilvl w:val="0"/>
          <w:numId w:val="6"/>
        </w:numPr>
        <w:tabs>
          <w:tab w:val="left" w:pos="1116"/>
        </w:tabs>
        <w:autoSpaceDE w:val="0"/>
        <w:autoSpaceDN w:val="0"/>
        <w:bidi w:val="0"/>
        <w:spacing w:before="0" w:after="160" w:line="240" w:lineRule="auto"/>
        <w:ind w:left="1116" w:right="0" w:hanging="363"/>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竞争性磋商文件的构成</w:t>
      </w:r>
    </w:p>
    <w:p>
      <w:pPr>
        <w:pStyle w:val="19"/>
        <w:numPr>
          <w:ilvl w:val="1"/>
          <w:numId w:val="6"/>
        </w:numPr>
        <w:tabs>
          <w:tab w:val="left" w:pos="1354"/>
        </w:tabs>
        <w:autoSpaceDE w:val="0"/>
        <w:autoSpaceDN w:val="0"/>
        <w:bidi w:val="0"/>
        <w:spacing w:before="132" w:after="160" w:line="240" w:lineRule="auto"/>
        <w:ind w:left="753" w:right="4930"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竞争性磋商文件由下述部分组成：</w:t>
      </w:r>
      <w:r>
        <w:rPr>
          <w:rFonts w:hint="eastAsia" w:ascii="宋体" w:hAnsi="宋体" w:eastAsia="宋体" w:cs="宋体"/>
          <w:color w:val="auto"/>
          <w:position w:val="0"/>
          <w:sz w:val="24"/>
          <w:szCs w:val="24"/>
        </w:rPr>
        <w:t>第一部分竞争性磋商公告</w:t>
      </w:r>
    </w:p>
    <w:p>
      <w:pPr>
        <w:pStyle w:val="19"/>
        <w:numPr>
          <w:ilvl w:val="0"/>
          <w:numId w:val="0"/>
        </w:numPr>
        <w:tabs>
          <w:tab w:val="left" w:pos="1354"/>
        </w:tabs>
        <w:autoSpaceDE w:val="0"/>
        <w:autoSpaceDN w:val="0"/>
        <w:bidi w:val="0"/>
        <w:spacing w:before="132" w:after="160" w:line="240" w:lineRule="auto"/>
        <w:ind w:left="753" w:leftChars="0" w:right="4930" w:rightChars="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第二部分投标人须知</w:t>
      </w:r>
    </w:p>
    <w:p>
      <w:pPr>
        <w:pStyle w:val="10"/>
        <w:numPr>
          <w:ilvl w:val="0"/>
          <w:numId w:val="0"/>
        </w:numPr>
        <w:autoSpaceDE w:val="0"/>
        <w:autoSpaceDN w:val="0"/>
        <w:spacing w:before="132" w:after="160" w:line="240" w:lineRule="auto"/>
        <w:ind w:left="753" w:right="589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第三部分采购内容及服务要求</w:t>
      </w:r>
    </w:p>
    <w:p>
      <w:pPr>
        <w:pStyle w:val="10"/>
        <w:numPr>
          <w:ilvl w:val="0"/>
          <w:numId w:val="0"/>
        </w:numPr>
        <w:autoSpaceDE w:val="0"/>
        <w:autoSpaceDN w:val="0"/>
        <w:spacing w:before="132" w:after="160" w:line="240" w:lineRule="auto"/>
        <w:ind w:left="753" w:right="589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第四部分合同条款</w:t>
      </w:r>
    </w:p>
    <w:p>
      <w:pPr>
        <w:pStyle w:val="10"/>
        <w:numPr>
          <w:ilvl w:val="0"/>
          <w:numId w:val="0"/>
        </w:numPr>
        <w:autoSpaceDE w:val="0"/>
        <w:autoSpaceDN w:val="0"/>
        <w:spacing w:before="132" w:after="160" w:line="240" w:lineRule="auto"/>
        <w:ind w:left="753" w:right="589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第五部分附件</w:t>
      </w:r>
    </w:p>
    <w:p>
      <w:pPr>
        <w:pStyle w:val="19"/>
        <w:numPr>
          <w:ilvl w:val="1"/>
          <w:numId w:val="6"/>
        </w:numPr>
        <w:tabs>
          <w:tab w:val="left" w:pos="1234"/>
        </w:tabs>
        <w:autoSpaceDE w:val="0"/>
        <w:autoSpaceDN w:val="0"/>
        <w:bidi w:val="0"/>
        <w:spacing w:before="134" w:after="160" w:line="240" w:lineRule="auto"/>
        <w:ind w:left="1233" w:right="0" w:hanging="48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竞争性磋商文件以中文书写。</w:t>
      </w:r>
    </w:p>
    <w:p>
      <w:pPr>
        <w:pStyle w:val="19"/>
        <w:numPr>
          <w:ilvl w:val="1"/>
          <w:numId w:val="6"/>
        </w:numPr>
        <w:tabs>
          <w:tab w:val="left" w:pos="1236"/>
        </w:tabs>
        <w:autoSpaceDE w:val="0"/>
        <w:autoSpaceDN w:val="0"/>
        <w:bidi w:val="0"/>
        <w:spacing w:before="13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投标人被视为熟悉本招标项目的各种情况以及与履行合同有关的一切其他情况。</w:t>
      </w:r>
    </w:p>
    <w:p>
      <w:pPr>
        <w:pStyle w:val="19"/>
        <w:numPr>
          <w:ilvl w:val="1"/>
          <w:numId w:val="6"/>
        </w:numPr>
        <w:tabs>
          <w:tab w:val="left" w:pos="1174"/>
        </w:tabs>
        <w:autoSpaceDE w:val="0"/>
        <w:autoSpaceDN w:val="0"/>
        <w:bidi w:val="0"/>
        <w:spacing w:before="2"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投标人获取竞争性磋商文件后，应仔细检查竞争性磋商文件的所有内容，如</w:t>
      </w:r>
      <w:r>
        <w:rPr>
          <w:rFonts w:hint="eastAsia" w:ascii="宋体" w:hAnsi="宋体" w:eastAsia="宋体" w:cs="宋体"/>
          <w:color w:val="auto"/>
          <w:spacing w:val="-3"/>
          <w:position w:val="0"/>
          <w:sz w:val="24"/>
          <w:szCs w:val="24"/>
        </w:rPr>
        <w:t>有残缺应在领到竞争性磋商文件后</w:t>
      </w:r>
      <w:r>
        <w:rPr>
          <w:rFonts w:hint="eastAsia" w:ascii="宋体" w:hAnsi="宋体" w:eastAsia="宋体" w:cs="宋体"/>
          <w:color w:val="auto"/>
          <w:position w:val="0"/>
          <w:sz w:val="24"/>
          <w:szCs w:val="24"/>
        </w:rPr>
        <w:t>1</w:t>
      </w:r>
      <w:r>
        <w:rPr>
          <w:rFonts w:hint="eastAsia" w:ascii="宋体" w:hAnsi="宋体" w:eastAsia="宋体" w:cs="宋体"/>
          <w:color w:val="auto"/>
          <w:spacing w:val="-5"/>
          <w:position w:val="0"/>
          <w:sz w:val="24"/>
          <w:szCs w:val="24"/>
        </w:rPr>
        <w:t>日内向采购人提出，否则，由此引起的投标损</w:t>
      </w:r>
      <w:r>
        <w:rPr>
          <w:rFonts w:hint="eastAsia" w:ascii="宋体" w:hAnsi="宋体" w:eastAsia="宋体" w:cs="宋体"/>
          <w:color w:val="auto"/>
          <w:spacing w:val="-4"/>
          <w:position w:val="0"/>
          <w:sz w:val="24"/>
          <w:szCs w:val="24"/>
        </w:rPr>
        <w:t>失自负；投标人同时应认真审阅竞争性磋商文件中所有的事项、格式、条款和规范</w:t>
      </w:r>
      <w:r>
        <w:rPr>
          <w:rFonts w:hint="eastAsia" w:ascii="宋体" w:hAnsi="宋体" w:eastAsia="宋体" w:cs="宋体"/>
          <w:color w:val="auto"/>
          <w:spacing w:val="-3"/>
          <w:position w:val="0"/>
          <w:sz w:val="24"/>
          <w:szCs w:val="24"/>
        </w:rPr>
        <w:t>要求等，如果投标人编制的响应文件，没有按照竞争性磋商文件要求提交全部资料</w:t>
      </w:r>
      <w:r>
        <w:rPr>
          <w:rFonts w:hint="eastAsia" w:ascii="宋体" w:hAnsi="宋体" w:eastAsia="宋体" w:cs="宋体"/>
          <w:color w:val="auto"/>
          <w:spacing w:val="-2"/>
          <w:position w:val="0"/>
          <w:sz w:val="24"/>
          <w:szCs w:val="24"/>
        </w:rPr>
        <w:t>或者没有对竞争性磋商文件做出实质性响应，其风险应由投标人自行承担，并根据有关条款规定，其投标有可能被拒绝。</w:t>
      </w:r>
    </w:p>
    <w:p>
      <w:pPr>
        <w:pStyle w:val="9"/>
        <w:numPr>
          <w:ilvl w:val="0"/>
          <w:numId w:val="6"/>
        </w:numPr>
        <w:tabs>
          <w:tab w:val="left" w:pos="1236"/>
        </w:tabs>
        <w:autoSpaceDE w:val="0"/>
        <w:autoSpaceDN w:val="0"/>
        <w:bidi w:val="0"/>
        <w:spacing w:before="1"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竞争性磋商文件的澄清、标前会议</w:t>
      </w:r>
    </w:p>
    <w:p>
      <w:pPr>
        <w:pStyle w:val="19"/>
        <w:numPr>
          <w:ilvl w:val="1"/>
          <w:numId w:val="6"/>
        </w:numPr>
        <w:tabs>
          <w:tab w:val="left" w:pos="1296"/>
        </w:tabs>
        <w:autoSpaceDE w:val="0"/>
        <w:autoSpaceDN w:val="0"/>
        <w:bidi w:val="0"/>
        <w:spacing w:before="132" w:after="160" w:line="240" w:lineRule="auto"/>
        <w:ind w:left="273" w:right="873"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1"/>
          <w:position w:val="0"/>
          <w:sz w:val="24"/>
          <w:szCs w:val="24"/>
        </w:rPr>
        <w:t>投标人对竞争性磋商文件如有疑点，可在投标截止期</w:t>
      </w:r>
      <w:r>
        <w:rPr>
          <w:rFonts w:hint="eastAsia" w:ascii="宋体" w:hAnsi="宋体" w:eastAsia="宋体" w:cs="宋体"/>
          <w:color w:val="auto"/>
          <w:position w:val="0"/>
          <w:sz w:val="24"/>
          <w:szCs w:val="24"/>
        </w:rPr>
        <w:t>5</w:t>
      </w:r>
      <w:r>
        <w:rPr>
          <w:rFonts w:hint="eastAsia" w:ascii="宋体" w:hAnsi="宋体" w:eastAsia="宋体" w:cs="宋体"/>
          <w:color w:val="auto"/>
          <w:spacing w:val="-15"/>
          <w:position w:val="0"/>
          <w:sz w:val="24"/>
          <w:szCs w:val="24"/>
        </w:rPr>
        <w:t>日前按竞争性磋商文</w:t>
      </w:r>
      <w:r>
        <w:rPr>
          <w:rFonts w:hint="eastAsia" w:ascii="宋体" w:hAnsi="宋体" w:eastAsia="宋体" w:cs="宋体"/>
          <w:color w:val="auto"/>
          <w:spacing w:val="-12"/>
          <w:position w:val="0"/>
          <w:sz w:val="24"/>
          <w:szCs w:val="24"/>
        </w:rPr>
        <w:t>件中载明的地址以书面形式</w:t>
      </w:r>
      <w:r>
        <w:rPr>
          <w:rFonts w:hint="eastAsia" w:ascii="宋体" w:hAnsi="宋体" w:eastAsia="宋体" w:cs="宋体"/>
          <w:color w:val="auto"/>
          <w:spacing w:val="-8"/>
          <w:position w:val="0"/>
          <w:sz w:val="24"/>
          <w:szCs w:val="24"/>
        </w:rPr>
        <w:t>（</w:t>
      </w:r>
      <w:r>
        <w:rPr>
          <w:rFonts w:hint="eastAsia" w:ascii="宋体" w:hAnsi="宋体" w:eastAsia="宋体" w:cs="宋体"/>
          <w:color w:val="auto"/>
          <w:spacing w:val="-14"/>
          <w:position w:val="0"/>
          <w:sz w:val="24"/>
          <w:szCs w:val="24"/>
        </w:rPr>
        <w:t>包括信函、电报或传真，下同</w:t>
      </w:r>
      <w:r>
        <w:rPr>
          <w:rFonts w:hint="eastAsia" w:ascii="宋体" w:hAnsi="宋体" w:eastAsia="宋体" w:cs="宋体"/>
          <w:color w:val="auto"/>
          <w:spacing w:val="-24"/>
          <w:position w:val="0"/>
          <w:sz w:val="24"/>
          <w:szCs w:val="24"/>
        </w:rPr>
        <w:t>）</w:t>
      </w:r>
      <w:r>
        <w:rPr>
          <w:rFonts w:hint="eastAsia" w:ascii="宋体" w:hAnsi="宋体" w:eastAsia="宋体" w:cs="宋体"/>
          <w:color w:val="auto"/>
          <w:spacing w:val="-11"/>
          <w:position w:val="0"/>
          <w:sz w:val="24"/>
          <w:szCs w:val="24"/>
        </w:rPr>
        <w:t>通知采购人要求澄清。采</w:t>
      </w:r>
      <w:r>
        <w:rPr>
          <w:rFonts w:hint="eastAsia" w:ascii="宋体" w:hAnsi="宋体" w:eastAsia="宋体" w:cs="宋体"/>
          <w:color w:val="auto"/>
          <w:spacing w:val="-5"/>
          <w:position w:val="0"/>
          <w:sz w:val="24"/>
          <w:szCs w:val="24"/>
        </w:rPr>
        <w:t>购人将视情况确定采用适当方式予以澄清或以书面形式予以答复。采购人认为有必要</w:t>
      </w:r>
      <w:r>
        <w:rPr>
          <w:rFonts w:hint="eastAsia" w:ascii="宋体" w:hAnsi="宋体" w:eastAsia="宋体" w:cs="宋体"/>
          <w:color w:val="auto"/>
          <w:spacing w:val="-10"/>
          <w:position w:val="0"/>
          <w:sz w:val="24"/>
          <w:szCs w:val="24"/>
        </w:rPr>
        <w:t>时，可将答复内容</w:t>
      </w:r>
      <w:r>
        <w:rPr>
          <w:rFonts w:hint="eastAsia" w:ascii="宋体" w:hAnsi="宋体" w:eastAsia="宋体" w:cs="宋体"/>
          <w:color w:val="auto"/>
          <w:spacing w:val="-8"/>
          <w:position w:val="0"/>
          <w:sz w:val="24"/>
          <w:szCs w:val="24"/>
        </w:rPr>
        <w:t>（</w:t>
      </w:r>
      <w:r>
        <w:rPr>
          <w:rFonts w:hint="eastAsia" w:ascii="宋体" w:hAnsi="宋体" w:eastAsia="宋体" w:cs="宋体"/>
          <w:color w:val="auto"/>
          <w:spacing w:val="-10"/>
          <w:position w:val="0"/>
          <w:sz w:val="24"/>
          <w:szCs w:val="24"/>
        </w:rPr>
        <w:t>包括原提出问题，但不包括问题的来源</w:t>
      </w:r>
      <w:r>
        <w:rPr>
          <w:rFonts w:hint="eastAsia" w:ascii="宋体" w:hAnsi="宋体" w:eastAsia="宋体" w:cs="宋体"/>
          <w:color w:val="auto"/>
          <w:spacing w:val="-8"/>
          <w:position w:val="0"/>
          <w:sz w:val="24"/>
          <w:szCs w:val="24"/>
        </w:rPr>
        <w:t>）</w:t>
      </w:r>
      <w:r>
        <w:rPr>
          <w:rFonts w:hint="eastAsia" w:ascii="宋体" w:hAnsi="宋体" w:eastAsia="宋体" w:cs="宋体"/>
          <w:color w:val="auto"/>
          <w:spacing w:val="-9"/>
          <w:position w:val="0"/>
          <w:sz w:val="24"/>
          <w:szCs w:val="24"/>
        </w:rPr>
        <w:t>分发给所有投标人。</w:t>
      </w:r>
    </w:p>
    <w:p>
      <w:pPr>
        <w:pStyle w:val="9"/>
        <w:numPr>
          <w:ilvl w:val="0"/>
          <w:numId w:val="6"/>
        </w:numPr>
        <w:tabs>
          <w:tab w:val="left" w:pos="1236"/>
        </w:tabs>
        <w:autoSpaceDE w:val="0"/>
        <w:autoSpaceDN w:val="0"/>
        <w:bidi w:val="0"/>
        <w:spacing w:before="0"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竞争性磋商文件的修改或补充</w:t>
      </w:r>
    </w:p>
    <w:p>
      <w:pPr>
        <w:pStyle w:val="19"/>
        <w:numPr>
          <w:ilvl w:val="1"/>
          <w:numId w:val="6"/>
        </w:numPr>
        <w:tabs>
          <w:tab w:val="left" w:pos="1354"/>
        </w:tabs>
        <w:autoSpaceDE w:val="0"/>
        <w:autoSpaceDN w:val="0"/>
        <w:bidi w:val="0"/>
        <w:spacing w:before="134"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9"/>
          <w:position w:val="0"/>
          <w:sz w:val="24"/>
          <w:szCs w:val="24"/>
        </w:rPr>
        <w:t>在投标截止期</w:t>
      </w:r>
      <w:r>
        <w:rPr>
          <w:rFonts w:hint="eastAsia" w:ascii="宋体" w:hAnsi="宋体" w:eastAsia="宋体" w:cs="宋体"/>
          <w:color w:val="auto"/>
          <w:position w:val="0"/>
          <w:sz w:val="24"/>
          <w:szCs w:val="24"/>
        </w:rPr>
        <w:t>5</w:t>
      </w:r>
      <w:r>
        <w:rPr>
          <w:rFonts w:hint="eastAsia" w:ascii="宋体" w:hAnsi="宋体" w:eastAsia="宋体" w:cs="宋体"/>
          <w:color w:val="auto"/>
          <w:spacing w:val="-11"/>
          <w:position w:val="0"/>
          <w:sz w:val="24"/>
          <w:szCs w:val="24"/>
        </w:rPr>
        <w:t>日前的任何时间，采购人可主动或依据投标人要求澄清的</w:t>
      </w:r>
      <w:r>
        <w:rPr>
          <w:rFonts w:hint="eastAsia" w:ascii="宋体" w:hAnsi="宋体" w:eastAsia="宋体" w:cs="宋体"/>
          <w:color w:val="auto"/>
          <w:position w:val="0"/>
          <w:sz w:val="24"/>
          <w:szCs w:val="24"/>
        </w:rPr>
        <w:t>问题而修改或补充竞争性磋商文件，并以书面形式通知所有投标人，投标人在收到该通知后应立即以电报或传真的形式予以确认。</w:t>
      </w:r>
    </w:p>
    <w:p>
      <w:pPr>
        <w:pStyle w:val="19"/>
        <w:numPr>
          <w:ilvl w:val="1"/>
          <w:numId w:val="6"/>
        </w:numPr>
        <w:tabs>
          <w:tab w:val="left" w:pos="1294"/>
        </w:tabs>
        <w:autoSpaceDE w:val="0"/>
        <w:autoSpaceDN w:val="0"/>
        <w:bidi w:val="0"/>
        <w:spacing w:before="1" w:after="160" w:line="240" w:lineRule="auto"/>
        <w:ind w:left="273" w:right="910"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为使投标人在准备投标时有适当的时间考虑响应文件的修改，采购人有权</w:t>
      </w:r>
      <w:r>
        <w:rPr>
          <w:rFonts w:hint="eastAsia" w:ascii="宋体" w:hAnsi="宋体" w:eastAsia="宋体" w:cs="宋体"/>
          <w:color w:val="auto"/>
          <w:position w:val="0"/>
          <w:sz w:val="24"/>
          <w:szCs w:val="24"/>
        </w:rPr>
        <w:t>决定推迟投标截止日期和开标日期，并将此变更通知所有的投标人。</w:t>
      </w:r>
    </w:p>
    <w:p>
      <w:pPr>
        <w:pStyle w:val="19"/>
        <w:numPr>
          <w:ilvl w:val="1"/>
          <w:numId w:val="6"/>
        </w:numPr>
        <w:tabs>
          <w:tab w:val="left" w:pos="1294"/>
        </w:tabs>
        <w:autoSpaceDE w:val="0"/>
        <w:autoSpaceDN w:val="0"/>
        <w:bidi w:val="0"/>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竞争性磋商文件的修改书和补充文件将构成竞争性磋商文件的一部分，并</w:t>
      </w:r>
      <w:r>
        <w:rPr>
          <w:rFonts w:hint="eastAsia" w:ascii="宋体" w:hAnsi="宋体" w:eastAsia="宋体" w:cs="宋体"/>
          <w:color w:val="auto"/>
          <w:position w:val="0"/>
          <w:sz w:val="24"/>
          <w:szCs w:val="24"/>
        </w:rPr>
        <w:t>且比竞争性磋商文件对投标人具有优先的约束力。</w:t>
      </w:r>
    </w:p>
    <w:p>
      <w:pPr>
        <w:pStyle w:val="6"/>
        <w:numPr>
          <w:ilvl w:val="0"/>
          <w:numId w:val="0"/>
        </w:numPr>
        <w:autoSpaceDE w:val="0"/>
        <w:autoSpaceDN w:val="0"/>
        <w:spacing w:before="180" w:after="160" w:line="240" w:lineRule="auto"/>
        <w:ind w:right="605" w:firstLine="2570"/>
        <w:jc w:val="both"/>
        <w:outlineLvl w:val="2"/>
        <w:rPr>
          <w:rFonts w:hint="eastAsia" w:ascii="宋体" w:hAnsi="宋体" w:eastAsia="宋体" w:cs="宋体"/>
          <w:b/>
          <w:color w:val="auto"/>
          <w:position w:val="0"/>
          <w:sz w:val="24"/>
          <w:szCs w:val="24"/>
        </w:rPr>
      </w:pPr>
      <w:bookmarkStart w:id="6" w:name="第三章_响应文件的编写"/>
      <w:bookmarkEnd w:id="6"/>
    </w:p>
    <w:p>
      <w:pPr>
        <w:pStyle w:val="6"/>
        <w:numPr>
          <w:ilvl w:val="0"/>
          <w:numId w:val="0"/>
        </w:numPr>
        <w:autoSpaceDE w:val="0"/>
        <w:autoSpaceDN w:val="0"/>
        <w:spacing w:before="180" w:after="160" w:line="240" w:lineRule="auto"/>
        <w:ind w:right="605" w:firstLine="2570"/>
        <w:jc w:val="both"/>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180" w:after="160" w:line="240" w:lineRule="auto"/>
        <w:ind w:right="605" w:firstLine="2570"/>
        <w:jc w:val="both"/>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180" w:after="160" w:line="240" w:lineRule="auto"/>
        <w:ind w:right="605" w:firstLine="2570"/>
        <w:jc w:val="both"/>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180" w:after="160" w:line="240" w:lineRule="auto"/>
        <w:ind w:right="605"/>
        <w:jc w:val="both"/>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180" w:after="160" w:line="240" w:lineRule="auto"/>
        <w:ind w:right="605"/>
        <w:jc w:val="center"/>
        <w:outlineLvl w:val="2"/>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第三章</w:t>
      </w:r>
      <w:r>
        <w:rPr>
          <w:rFonts w:hint="eastAsia" w:ascii="宋体" w:hAnsi="宋体" w:eastAsia="宋体" w:cs="宋体"/>
          <w:b/>
          <w:color w:val="auto"/>
          <w:position w:val="0"/>
          <w:sz w:val="28"/>
          <w:szCs w:val="28"/>
          <w:lang w:val="en-US" w:eastAsia="zh-CN"/>
        </w:rPr>
        <w:t xml:space="preserve">  </w:t>
      </w:r>
      <w:r>
        <w:rPr>
          <w:rFonts w:hint="eastAsia" w:ascii="宋体" w:hAnsi="宋体" w:eastAsia="宋体" w:cs="宋体"/>
          <w:b/>
          <w:color w:val="auto"/>
          <w:position w:val="0"/>
          <w:sz w:val="28"/>
          <w:szCs w:val="28"/>
        </w:rPr>
        <w:t>响应文件的编写</w:t>
      </w:r>
    </w:p>
    <w:p>
      <w:pPr>
        <w:pStyle w:val="10"/>
        <w:numPr>
          <w:ilvl w:val="0"/>
          <w:numId w:val="0"/>
        </w:numPr>
        <w:autoSpaceDE w:val="0"/>
        <w:autoSpaceDN w:val="0"/>
        <w:spacing w:before="10" w:after="160" w:line="240" w:lineRule="auto"/>
        <w:ind w:right="0" w:firstLine="0"/>
        <w:jc w:val="left"/>
        <w:rPr>
          <w:rFonts w:hint="eastAsia" w:ascii="宋体" w:hAnsi="宋体" w:eastAsia="宋体" w:cs="宋体"/>
          <w:b/>
          <w:color w:val="auto"/>
          <w:position w:val="0"/>
          <w:sz w:val="24"/>
          <w:szCs w:val="24"/>
        </w:rPr>
      </w:pPr>
    </w:p>
    <w:p>
      <w:pPr>
        <w:pStyle w:val="9"/>
        <w:numPr>
          <w:ilvl w:val="0"/>
          <w:numId w:val="6"/>
        </w:numPr>
        <w:tabs>
          <w:tab w:val="left" w:pos="1117"/>
        </w:tabs>
        <w:autoSpaceDE w:val="0"/>
        <w:autoSpaceDN w:val="0"/>
        <w:bidi w:val="0"/>
        <w:spacing w:before="0"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要求</w:t>
      </w:r>
    </w:p>
    <w:p>
      <w:pPr>
        <w:pStyle w:val="19"/>
        <w:numPr>
          <w:ilvl w:val="1"/>
          <w:numId w:val="6"/>
        </w:numPr>
        <w:tabs>
          <w:tab w:val="left" w:pos="1294"/>
        </w:tabs>
        <w:autoSpaceDE w:val="0"/>
        <w:autoSpaceDN w:val="0"/>
        <w:bidi w:val="0"/>
        <w:spacing w:before="135"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供应商应详细阅读竞争性磋商文件中的条款、格式、表示、条件和规范等</w:t>
      </w:r>
      <w:r>
        <w:rPr>
          <w:rFonts w:hint="eastAsia" w:ascii="宋体" w:hAnsi="宋体" w:eastAsia="宋体" w:cs="宋体"/>
          <w:color w:val="auto"/>
          <w:position w:val="0"/>
          <w:sz w:val="24"/>
          <w:szCs w:val="24"/>
        </w:rPr>
        <w:t>所有内容，按竞争性磋商文件的要求份数提供响应文件，并保证所提供的全部材料的真实性，以使其投标对竞争性磋商文件做出实质性响应。否则，其投标可能被拒绝。</w:t>
      </w:r>
    </w:p>
    <w:p>
      <w:pPr>
        <w:pStyle w:val="9"/>
        <w:numPr>
          <w:ilvl w:val="0"/>
          <w:numId w:val="6"/>
        </w:numPr>
        <w:tabs>
          <w:tab w:val="left" w:pos="1117"/>
        </w:tabs>
        <w:autoSpaceDE w:val="0"/>
        <w:autoSpaceDN w:val="0"/>
        <w:bidi w:val="0"/>
        <w:spacing w:before="134"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响应文件语言和度量单位</w:t>
      </w:r>
    </w:p>
    <w:p>
      <w:pPr>
        <w:pStyle w:val="19"/>
        <w:numPr>
          <w:ilvl w:val="1"/>
          <w:numId w:val="6"/>
        </w:numPr>
        <w:tabs>
          <w:tab w:val="left" w:pos="1294"/>
        </w:tabs>
        <w:autoSpaceDE w:val="0"/>
        <w:autoSpaceDN w:val="0"/>
        <w:bidi w:val="0"/>
        <w:spacing w:before="13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响应文件及投标人和采购人就招标、投标交换的文件和往来信件，须以中</w:t>
      </w:r>
      <w:r>
        <w:rPr>
          <w:rFonts w:hint="eastAsia" w:ascii="宋体" w:hAnsi="宋体" w:eastAsia="宋体" w:cs="宋体"/>
          <w:color w:val="auto"/>
          <w:position w:val="0"/>
          <w:sz w:val="24"/>
          <w:szCs w:val="24"/>
        </w:rPr>
        <w:t>文书写。供应商可提交其他语言的资料，但应附中文注释，在有差异时，以中文为主。</w:t>
      </w:r>
    </w:p>
    <w:p>
      <w:pPr>
        <w:pStyle w:val="19"/>
        <w:numPr>
          <w:ilvl w:val="1"/>
          <w:numId w:val="6"/>
        </w:numPr>
        <w:tabs>
          <w:tab w:val="left" w:pos="1294"/>
        </w:tabs>
        <w:autoSpaceDE w:val="0"/>
        <w:autoSpaceDN w:val="0"/>
        <w:bidi w:val="0"/>
        <w:spacing w:before="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除在竞争性磋商文件的技术规格中另有规定外，计量单位应使用中华人民</w:t>
      </w:r>
      <w:r>
        <w:rPr>
          <w:rFonts w:hint="eastAsia" w:ascii="宋体" w:hAnsi="宋体" w:eastAsia="宋体" w:cs="宋体"/>
          <w:color w:val="auto"/>
          <w:position w:val="0"/>
          <w:sz w:val="24"/>
          <w:szCs w:val="24"/>
        </w:rPr>
        <w:t>共和国法定计量单位（国际单位制和国家选定的其它计量单位）。</w:t>
      </w:r>
    </w:p>
    <w:p>
      <w:pPr>
        <w:pStyle w:val="9"/>
        <w:numPr>
          <w:ilvl w:val="0"/>
          <w:numId w:val="6"/>
        </w:numPr>
        <w:tabs>
          <w:tab w:val="left" w:pos="1117"/>
        </w:tabs>
        <w:autoSpaceDE w:val="0"/>
        <w:autoSpaceDN w:val="0"/>
        <w:bidi w:val="0"/>
        <w:spacing w:before="1"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响应文件的组成</w:t>
      </w:r>
    </w:p>
    <w:p>
      <w:pPr>
        <w:pStyle w:val="19"/>
        <w:numPr>
          <w:ilvl w:val="1"/>
          <w:numId w:val="6"/>
        </w:numPr>
        <w:tabs>
          <w:tab w:val="left" w:pos="1354"/>
        </w:tabs>
        <w:autoSpaceDE w:val="0"/>
        <w:autoSpaceDN w:val="0"/>
        <w:bidi w:val="0"/>
        <w:spacing w:before="132" w:after="160" w:line="240" w:lineRule="auto"/>
        <w:ind w:left="1353" w:right="0" w:hanging="60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响应文件包括（但不仅限于）下列内容：</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（1）投标函；</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（2）法定代表人（或分支机构负责人）身份证明及法定代表人（或分支机构负责人）授权委托书；</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（3）开标一览表；</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（4）磋商保证金提交证明；</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（5）投标供应商资格证明文件，包括：</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①关于资格的声明函；</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②投标人基本情况表；</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④信用查询记录；</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⑤近三年内已完成的类似项目业绩；</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(6)服务承诺书；</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(7)偏离表；</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(8)其他有利于投标人的资料（如有）；</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(9)投标单位反商业贿赂承诺书。</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(10)服务方案。</w:t>
      </w:r>
    </w:p>
    <w:p>
      <w:pPr>
        <w:pStyle w:val="10"/>
        <w:numPr>
          <w:ilvl w:val="0"/>
          <w:numId w:val="0"/>
        </w:numPr>
        <w:autoSpaceDE w:val="0"/>
        <w:autoSpaceDN w:val="0"/>
        <w:spacing w:before="13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响应文件包括但不仅限于上述内容，如有不足，请自行补充提供。</w:t>
      </w:r>
    </w:p>
    <w:p>
      <w:pPr>
        <w:pStyle w:val="19"/>
        <w:numPr>
          <w:ilvl w:val="1"/>
          <w:numId w:val="6"/>
        </w:numPr>
        <w:tabs>
          <w:tab w:val="left" w:pos="1294"/>
        </w:tabs>
        <w:autoSpaceDE w:val="0"/>
        <w:autoSpaceDN w:val="0"/>
        <w:bidi w:val="0"/>
        <w:spacing w:before="132" w:after="160" w:line="240" w:lineRule="auto"/>
        <w:ind w:left="273" w:right="75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所有资格证明文件，正本中的资格证明文件（如业绩等）均须</w:t>
      </w:r>
      <w:r>
        <w:rPr>
          <w:rFonts w:hint="eastAsia" w:ascii="宋体" w:hAnsi="宋体" w:eastAsia="宋体" w:cs="宋体"/>
          <w:color w:val="auto"/>
          <w:spacing w:val="-8"/>
          <w:position w:val="0"/>
          <w:sz w:val="24"/>
          <w:szCs w:val="24"/>
        </w:rPr>
        <w:t>为加盖投标人公章的复印件或扫描件，以备开标时与原件核对</w:t>
      </w:r>
      <w:r>
        <w:rPr>
          <w:rFonts w:hint="eastAsia" w:ascii="宋体" w:hAnsi="宋体" w:eastAsia="宋体" w:cs="宋体"/>
          <w:color w:val="auto"/>
          <w:position w:val="0"/>
          <w:sz w:val="24"/>
          <w:szCs w:val="24"/>
        </w:rPr>
        <w:t>（有特别说明的除外</w:t>
      </w:r>
      <w:r>
        <w:rPr>
          <w:rFonts w:hint="eastAsia" w:ascii="宋体" w:hAnsi="宋体" w:eastAsia="宋体" w:cs="宋体"/>
          <w:color w:val="auto"/>
          <w:spacing w:val="-128"/>
          <w:position w:val="0"/>
          <w:sz w:val="24"/>
          <w:szCs w:val="24"/>
        </w:rPr>
        <w:t>）</w:t>
      </w:r>
      <w:r>
        <w:rPr>
          <w:rFonts w:hint="eastAsia" w:ascii="宋体" w:hAnsi="宋体" w:eastAsia="宋体" w:cs="宋体"/>
          <w:color w:val="auto"/>
          <w:spacing w:val="-8"/>
          <w:position w:val="0"/>
          <w:sz w:val="24"/>
          <w:szCs w:val="24"/>
        </w:rPr>
        <w:t>，</w:t>
      </w:r>
      <w:r>
        <w:rPr>
          <w:rFonts w:hint="eastAsia" w:ascii="宋体" w:hAnsi="宋体" w:eastAsia="宋体" w:cs="宋体"/>
          <w:color w:val="auto"/>
          <w:position w:val="0"/>
          <w:sz w:val="24"/>
          <w:szCs w:val="24"/>
        </w:rPr>
        <w:t>副本为正本的复印件；开标结束后，可根据投标人的需要退回原件（针对本招标项目的特定授权原件不予退还）。</w:t>
      </w:r>
    </w:p>
    <w:p>
      <w:pPr>
        <w:pStyle w:val="19"/>
        <w:numPr>
          <w:ilvl w:val="1"/>
          <w:numId w:val="6"/>
        </w:numPr>
        <w:tabs>
          <w:tab w:val="left" w:pos="1294"/>
        </w:tabs>
        <w:autoSpaceDE w:val="0"/>
        <w:autoSpaceDN w:val="0"/>
        <w:bidi w:val="0"/>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所有资格证明文件必须满足竞争性磋商文件的要求，否则将导致投标被否</w:t>
      </w:r>
      <w:r>
        <w:rPr>
          <w:rFonts w:hint="eastAsia" w:ascii="宋体" w:hAnsi="宋体" w:eastAsia="宋体" w:cs="宋体"/>
          <w:color w:val="auto"/>
          <w:position w:val="0"/>
          <w:sz w:val="24"/>
          <w:szCs w:val="24"/>
        </w:rPr>
        <w:t>决。</w:t>
      </w:r>
    </w:p>
    <w:p>
      <w:pPr>
        <w:pStyle w:val="19"/>
        <w:numPr>
          <w:ilvl w:val="1"/>
          <w:numId w:val="6"/>
        </w:numPr>
        <w:tabs>
          <w:tab w:val="left" w:pos="1294"/>
        </w:tabs>
        <w:autoSpaceDE w:val="0"/>
        <w:autoSpaceDN w:val="0"/>
        <w:bidi w:val="0"/>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投标人可按竞争性磋商文件的范本格式中提供的响应文件格式填写响应文</w:t>
      </w:r>
      <w:r>
        <w:rPr>
          <w:rFonts w:hint="eastAsia" w:ascii="宋体" w:hAnsi="宋体" w:eastAsia="宋体" w:cs="宋体"/>
          <w:color w:val="auto"/>
          <w:position w:val="0"/>
          <w:sz w:val="24"/>
          <w:szCs w:val="24"/>
        </w:rPr>
        <w:t>件；如提供的范本格式有不完善之处，请自行补充完善。</w:t>
      </w:r>
    </w:p>
    <w:p>
      <w:pPr>
        <w:pStyle w:val="9"/>
        <w:numPr>
          <w:ilvl w:val="0"/>
          <w:numId w:val="6"/>
        </w:numPr>
        <w:tabs>
          <w:tab w:val="left" w:pos="1236"/>
        </w:tabs>
        <w:autoSpaceDE w:val="0"/>
        <w:autoSpaceDN w:val="0"/>
        <w:bidi w:val="0"/>
        <w:spacing w:before="0" w:after="160" w:line="240" w:lineRule="auto"/>
        <w:ind w:left="1117" w:leftChars="0" w:right="0" w:rightChars="0" w:hanging="364" w:firstLineChars="0"/>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符合竞争性磋商文件规定的证明文件</w:t>
      </w:r>
    </w:p>
    <w:p>
      <w:pPr>
        <w:pStyle w:val="19"/>
        <w:numPr>
          <w:ilvl w:val="1"/>
          <w:numId w:val="6"/>
        </w:numPr>
        <w:tabs>
          <w:tab w:val="left" w:pos="1354"/>
        </w:tabs>
        <w:autoSpaceDE w:val="0"/>
        <w:autoSpaceDN w:val="0"/>
        <w:bidi w:val="0"/>
        <w:spacing w:before="132" w:after="160" w:line="240" w:lineRule="auto"/>
        <w:ind w:left="1353" w:right="0" w:hanging="60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供应商提供的资格证明材料，须满足投标人须知前附表的要求。</w:t>
      </w:r>
    </w:p>
    <w:p>
      <w:pPr>
        <w:pStyle w:val="19"/>
        <w:numPr>
          <w:ilvl w:val="1"/>
          <w:numId w:val="6"/>
        </w:numPr>
        <w:tabs>
          <w:tab w:val="left" w:pos="129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投标人确保所提供货物（或服务），</w:t>
      </w:r>
      <w:r>
        <w:rPr>
          <w:rFonts w:hint="eastAsia" w:ascii="宋体" w:hAnsi="宋体" w:eastAsia="宋体" w:cs="宋体"/>
          <w:color w:val="auto"/>
          <w:spacing w:val="-1"/>
          <w:position w:val="0"/>
          <w:sz w:val="24"/>
          <w:szCs w:val="24"/>
        </w:rPr>
        <w:t>其质量满足中华人民共和国国家相关</w:t>
      </w:r>
      <w:r>
        <w:rPr>
          <w:rFonts w:hint="eastAsia" w:ascii="宋体" w:hAnsi="宋体" w:eastAsia="宋体" w:cs="宋体"/>
          <w:color w:val="auto"/>
          <w:position w:val="0"/>
          <w:sz w:val="24"/>
          <w:szCs w:val="24"/>
        </w:rPr>
        <w:t>标准。</w:t>
      </w:r>
    </w:p>
    <w:p>
      <w:pPr>
        <w:pStyle w:val="19"/>
        <w:numPr>
          <w:ilvl w:val="1"/>
          <w:numId w:val="6"/>
        </w:numPr>
        <w:tabs>
          <w:tab w:val="left" w:pos="135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投标人须提交证明拟供货物</w:t>
      </w:r>
      <w:r>
        <w:rPr>
          <w:rFonts w:hint="eastAsia" w:ascii="宋体" w:hAnsi="宋体" w:eastAsia="宋体" w:cs="宋体"/>
          <w:color w:val="auto"/>
          <w:position w:val="0"/>
          <w:sz w:val="24"/>
          <w:szCs w:val="24"/>
        </w:rPr>
        <w:t>（或服务</w:t>
      </w:r>
      <w:r>
        <w:rPr>
          <w:rFonts w:hint="eastAsia" w:ascii="宋体" w:hAnsi="宋体" w:eastAsia="宋体" w:cs="宋体"/>
          <w:color w:val="auto"/>
          <w:spacing w:val="-15"/>
          <w:position w:val="0"/>
          <w:sz w:val="24"/>
          <w:szCs w:val="24"/>
        </w:rPr>
        <w:t>）</w:t>
      </w:r>
      <w:r>
        <w:rPr>
          <w:rFonts w:hint="eastAsia" w:ascii="宋体" w:hAnsi="宋体" w:eastAsia="宋体" w:cs="宋体"/>
          <w:color w:val="auto"/>
          <w:spacing w:val="-2"/>
          <w:position w:val="0"/>
          <w:sz w:val="24"/>
          <w:szCs w:val="24"/>
        </w:rPr>
        <w:t>符合竞争性磋商文件规定的技术响</w:t>
      </w:r>
      <w:r>
        <w:rPr>
          <w:rFonts w:hint="eastAsia" w:ascii="宋体" w:hAnsi="宋体" w:eastAsia="宋体" w:cs="宋体"/>
          <w:color w:val="auto"/>
          <w:position w:val="0"/>
          <w:sz w:val="24"/>
          <w:szCs w:val="24"/>
        </w:rPr>
        <w:t>应文件，作为响应文件的一部分。</w:t>
      </w:r>
    </w:p>
    <w:p>
      <w:pPr>
        <w:pStyle w:val="19"/>
        <w:numPr>
          <w:ilvl w:val="1"/>
          <w:numId w:val="6"/>
        </w:numPr>
        <w:tabs>
          <w:tab w:val="left" w:pos="1354"/>
        </w:tabs>
        <w:autoSpaceDE w:val="0"/>
        <w:autoSpaceDN w:val="0"/>
        <w:bidi w:val="0"/>
        <w:spacing w:before="0" w:after="160" w:line="240" w:lineRule="auto"/>
        <w:ind w:left="1353" w:right="0" w:hanging="60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提供的货物（或服务）符合规定的相应技术标准、环保及节能标准等。</w:t>
      </w:r>
    </w:p>
    <w:p>
      <w:pPr>
        <w:pStyle w:val="19"/>
        <w:numPr>
          <w:ilvl w:val="1"/>
          <w:numId w:val="6"/>
        </w:numPr>
        <w:tabs>
          <w:tab w:val="left" w:pos="1354"/>
        </w:tabs>
        <w:autoSpaceDE w:val="0"/>
        <w:autoSpaceDN w:val="0"/>
        <w:bidi w:val="0"/>
        <w:spacing w:before="129" w:after="160" w:line="240" w:lineRule="auto"/>
        <w:ind w:left="273" w:right="75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对照采购人的采购内容及技术要求，逐条确定，指出所提供的货物</w:t>
      </w:r>
      <w:r>
        <w:rPr>
          <w:rFonts w:hint="eastAsia" w:ascii="宋体" w:hAnsi="宋体" w:eastAsia="宋体" w:cs="宋体"/>
          <w:color w:val="auto"/>
          <w:position w:val="0"/>
          <w:sz w:val="24"/>
          <w:szCs w:val="24"/>
        </w:rPr>
        <w:t>（或服务</w:t>
      </w:r>
      <w:r>
        <w:rPr>
          <w:rFonts w:hint="eastAsia" w:ascii="宋体" w:hAnsi="宋体" w:eastAsia="宋体" w:cs="宋体"/>
          <w:color w:val="auto"/>
          <w:spacing w:val="-5"/>
          <w:position w:val="0"/>
          <w:sz w:val="24"/>
          <w:szCs w:val="24"/>
        </w:rPr>
        <w:t>）</w:t>
      </w:r>
      <w:r>
        <w:rPr>
          <w:rFonts w:hint="eastAsia" w:ascii="宋体" w:hAnsi="宋体" w:eastAsia="宋体" w:cs="宋体"/>
          <w:color w:val="auto"/>
          <w:spacing w:val="-3"/>
          <w:position w:val="0"/>
          <w:sz w:val="24"/>
          <w:szCs w:val="24"/>
        </w:rPr>
        <w:t>是否实质性响应竞争性磋商文件的要求，如有偏离，须填报偏离表（</w:t>
      </w:r>
      <w:r>
        <w:rPr>
          <w:rFonts w:hint="eastAsia" w:ascii="宋体" w:hAnsi="宋体" w:eastAsia="宋体" w:cs="宋体"/>
          <w:color w:val="auto"/>
          <w:position w:val="0"/>
          <w:sz w:val="24"/>
          <w:szCs w:val="24"/>
        </w:rPr>
        <w:t>见附件</w:t>
      </w:r>
      <w:r>
        <w:rPr>
          <w:rFonts w:hint="eastAsia" w:ascii="宋体" w:hAnsi="宋体" w:eastAsia="宋体" w:cs="宋体"/>
          <w:color w:val="auto"/>
          <w:spacing w:val="-5"/>
          <w:position w:val="0"/>
          <w:sz w:val="24"/>
          <w:szCs w:val="24"/>
        </w:rPr>
        <w:t>）</w:t>
      </w:r>
      <w:r>
        <w:rPr>
          <w:rFonts w:hint="eastAsia" w:ascii="宋体" w:hAnsi="宋体" w:eastAsia="宋体" w:cs="宋体"/>
          <w:color w:val="auto"/>
          <w:spacing w:val="-15"/>
          <w:position w:val="0"/>
          <w:sz w:val="24"/>
          <w:szCs w:val="24"/>
        </w:rPr>
        <w:t>。</w:t>
      </w:r>
    </w:p>
    <w:p>
      <w:pPr>
        <w:pStyle w:val="19"/>
        <w:numPr>
          <w:ilvl w:val="1"/>
          <w:numId w:val="6"/>
        </w:numPr>
        <w:tabs>
          <w:tab w:val="left" w:pos="1354"/>
        </w:tabs>
        <w:autoSpaceDE w:val="0"/>
        <w:autoSpaceDN w:val="0"/>
        <w:bidi w:val="0"/>
        <w:spacing w:before="2"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投标人应当提交符合竞争性磋商文件规定的业绩证明文件，该证明文件作</w:t>
      </w:r>
      <w:r>
        <w:rPr>
          <w:rFonts w:hint="eastAsia" w:ascii="宋体" w:hAnsi="宋体" w:eastAsia="宋体" w:cs="宋体"/>
          <w:color w:val="auto"/>
          <w:position w:val="0"/>
          <w:sz w:val="24"/>
          <w:szCs w:val="24"/>
        </w:rPr>
        <w:t>为响应文件的一部分，业绩证明文件的要求详见投标人须知前附表</w:t>
      </w:r>
      <w:r>
        <w:rPr>
          <w:rFonts w:hint="eastAsia" w:ascii="宋体" w:hAnsi="宋体" w:eastAsia="宋体" w:cs="宋体"/>
          <w:color w:val="auto"/>
          <w:position w:val="0"/>
          <w:sz w:val="24"/>
          <w:szCs w:val="24"/>
          <w:lang w:eastAsia="zh-CN"/>
        </w:rPr>
        <w:t>。</w:t>
      </w:r>
    </w:p>
    <w:p>
      <w:pPr>
        <w:pStyle w:val="10"/>
        <w:numPr>
          <w:ilvl w:val="0"/>
          <w:numId w:val="0"/>
        </w:numPr>
        <w:autoSpaceDE w:val="0"/>
        <w:autoSpaceDN w:val="0"/>
        <w:spacing w:before="0"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 xml:space="preserve">15.8 </w:t>
      </w:r>
      <w:r>
        <w:rPr>
          <w:rFonts w:hint="eastAsia" w:ascii="宋体" w:hAnsi="宋体" w:eastAsia="宋体" w:cs="宋体"/>
          <w:color w:val="auto"/>
          <w:position w:val="0"/>
          <w:sz w:val="24"/>
          <w:szCs w:val="24"/>
        </w:rPr>
        <w:t>没有按要求提供资料或提供资料不完全，其风险由投标人自行承担。</w:t>
      </w:r>
    </w:p>
    <w:p>
      <w:pPr>
        <w:pStyle w:val="9"/>
        <w:numPr>
          <w:ilvl w:val="0"/>
          <w:numId w:val="6"/>
        </w:numPr>
        <w:tabs>
          <w:tab w:val="left" w:pos="1236"/>
        </w:tabs>
        <w:autoSpaceDE w:val="0"/>
        <w:autoSpaceDN w:val="0"/>
        <w:bidi w:val="0"/>
        <w:spacing w:before="134"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投标报价</w:t>
      </w:r>
    </w:p>
    <w:p>
      <w:pPr>
        <w:pStyle w:val="19"/>
        <w:numPr>
          <w:ilvl w:val="1"/>
          <w:numId w:val="6"/>
        </w:numPr>
        <w:tabs>
          <w:tab w:val="left" w:pos="1294"/>
        </w:tabs>
        <w:autoSpaceDE w:val="0"/>
        <w:autoSpaceDN w:val="0"/>
        <w:bidi w:val="0"/>
        <w:spacing w:before="132"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投标人应在投标报价表成交明其提供的所有货物（或服务）</w:t>
      </w:r>
      <w:r>
        <w:rPr>
          <w:rFonts w:hint="eastAsia" w:ascii="宋体" w:hAnsi="宋体" w:eastAsia="宋体" w:cs="宋体"/>
          <w:color w:val="auto"/>
          <w:spacing w:val="-2"/>
          <w:position w:val="0"/>
          <w:sz w:val="24"/>
          <w:szCs w:val="24"/>
        </w:rPr>
        <w:t>及其完成本项</w:t>
      </w:r>
      <w:r>
        <w:rPr>
          <w:rFonts w:hint="eastAsia" w:ascii="宋体" w:hAnsi="宋体" w:eastAsia="宋体" w:cs="宋体"/>
          <w:color w:val="auto"/>
          <w:position w:val="0"/>
          <w:sz w:val="24"/>
          <w:szCs w:val="24"/>
        </w:rPr>
        <w:t>目相关工作范围内所有费用的总价，采购人不接受有任何选择性报价。供应商漏报的单价或单价中漏报、少报的费用，均视为此项费用已隐含在其他报价中，成交后不予调整。</w:t>
      </w:r>
    </w:p>
    <w:p>
      <w:pPr>
        <w:pStyle w:val="19"/>
        <w:numPr>
          <w:ilvl w:val="1"/>
          <w:numId w:val="6"/>
        </w:numPr>
        <w:tabs>
          <w:tab w:val="left" w:pos="129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其报价须保证在投标有效期及交付期内固定不变。采购人不接受有任何选</w:t>
      </w:r>
      <w:r>
        <w:rPr>
          <w:rFonts w:hint="eastAsia" w:ascii="宋体" w:hAnsi="宋体" w:eastAsia="宋体" w:cs="宋体"/>
          <w:color w:val="auto"/>
          <w:position w:val="0"/>
          <w:sz w:val="24"/>
          <w:szCs w:val="24"/>
        </w:rPr>
        <w:t>择性报价。</w:t>
      </w:r>
    </w:p>
    <w:p>
      <w:pPr>
        <w:pStyle w:val="19"/>
        <w:numPr>
          <w:ilvl w:val="1"/>
          <w:numId w:val="6"/>
        </w:numPr>
        <w:tabs>
          <w:tab w:val="left" w:pos="129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为了防止本次招标的投标报价过高，超出采购人为本次采购项目的资金支</w:t>
      </w:r>
      <w:r>
        <w:rPr>
          <w:rFonts w:hint="eastAsia" w:ascii="宋体" w:hAnsi="宋体" w:eastAsia="宋体" w:cs="宋体"/>
          <w:color w:val="auto"/>
          <w:position w:val="0"/>
          <w:sz w:val="24"/>
          <w:szCs w:val="24"/>
        </w:rPr>
        <w:t>付能力，采购人依据主管部门的批复为本次招标项目的设定了最高投标限价（即采购预算），如果投标人的投标报价高于本项目的最高投标限价，其响应文件将被拒绝；如果所有投标人的投标报价均超出最高投标限价，采购人有权重新组织招标。</w:t>
      </w:r>
    </w:p>
    <w:p>
      <w:pPr>
        <w:pStyle w:val="19"/>
        <w:numPr>
          <w:ilvl w:val="1"/>
          <w:numId w:val="6"/>
        </w:numPr>
        <w:tabs>
          <w:tab w:val="left" w:pos="1354"/>
        </w:tabs>
        <w:autoSpaceDE w:val="0"/>
        <w:autoSpaceDN w:val="0"/>
        <w:bidi w:val="0"/>
        <w:spacing w:before="0" w:after="160" w:line="240" w:lineRule="auto"/>
        <w:ind w:left="1353" w:right="0" w:hanging="60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投标报价货币单位：人民币。</w:t>
      </w:r>
    </w:p>
    <w:p>
      <w:pPr>
        <w:pStyle w:val="9"/>
        <w:numPr>
          <w:ilvl w:val="0"/>
          <w:numId w:val="6"/>
        </w:numPr>
        <w:tabs>
          <w:tab w:val="left" w:pos="1236"/>
        </w:tabs>
        <w:autoSpaceDE w:val="0"/>
        <w:autoSpaceDN w:val="0"/>
        <w:bidi w:val="0"/>
        <w:spacing w:before="0"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投标有效期</w:t>
      </w:r>
    </w:p>
    <w:p>
      <w:pPr>
        <w:pStyle w:val="19"/>
        <w:numPr>
          <w:ilvl w:val="1"/>
          <w:numId w:val="6"/>
        </w:numPr>
        <w:tabs>
          <w:tab w:val="left" w:pos="1294"/>
        </w:tabs>
        <w:autoSpaceDE w:val="0"/>
        <w:autoSpaceDN w:val="0"/>
        <w:bidi w:val="0"/>
        <w:spacing w:before="132" w:after="160" w:line="240" w:lineRule="auto"/>
        <w:ind w:left="1293" w:right="0" w:hanging="54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投标有效期详见投标人须知前附表，如不满足其投标将被否决。</w:t>
      </w:r>
    </w:p>
    <w:p>
      <w:pPr>
        <w:pStyle w:val="19"/>
        <w:numPr>
          <w:ilvl w:val="1"/>
          <w:numId w:val="6"/>
        </w:numPr>
        <w:tabs>
          <w:tab w:val="left" w:pos="1294"/>
        </w:tabs>
        <w:autoSpaceDE w:val="0"/>
        <w:autoSpaceDN w:val="0"/>
        <w:bidi w:val="0"/>
        <w:spacing w:before="13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特殊情况下，采购人可于投标有效期期满之前，要求投标人同意延长投标</w:t>
      </w:r>
      <w:r>
        <w:rPr>
          <w:rFonts w:hint="eastAsia" w:ascii="宋体" w:hAnsi="宋体" w:eastAsia="宋体" w:cs="宋体"/>
          <w:color w:val="auto"/>
          <w:position w:val="0"/>
          <w:sz w:val="24"/>
          <w:szCs w:val="24"/>
        </w:rPr>
        <w:t>有效期。投标人可以拒绝或同意上述要求，但要求与答复均须是书面文件。对于同意该要求的投标人，采购人既不要求也不允许其修改响应文件。</w:t>
      </w:r>
    </w:p>
    <w:p>
      <w:pPr>
        <w:pStyle w:val="9"/>
        <w:numPr>
          <w:ilvl w:val="0"/>
          <w:numId w:val="6"/>
        </w:numPr>
        <w:tabs>
          <w:tab w:val="left" w:pos="1237"/>
        </w:tabs>
        <w:autoSpaceDE w:val="0"/>
        <w:autoSpaceDN w:val="0"/>
        <w:bidi w:val="0"/>
        <w:spacing w:before="1" w:after="160" w:line="240" w:lineRule="auto"/>
        <w:ind w:left="1237" w:right="0" w:hanging="48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磋商保证金</w:t>
      </w:r>
    </w:p>
    <w:p>
      <w:pPr>
        <w:pStyle w:val="19"/>
        <w:numPr>
          <w:ilvl w:val="1"/>
          <w:numId w:val="6"/>
        </w:numPr>
        <w:tabs>
          <w:tab w:val="left" w:pos="1354"/>
        </w:tabs>
        <w:autoSpaceDE w:val="0"/>
        <w:autoSpaceDN w:val="0"/>
        <w:bidi w:val="0"/>
        <w:spacing w:before="134"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磋商保证金的缴纳详见投标人须知前附表。未按规定提交磋商保证金的投</w:t>
      </w:r>
      <w:r>
        <w:rPr>
          <w:rFonts w:hint="eastAsia" w:ascii="宋体" w:hAnsi="宋体" w:eastAsia="宋体" w:cs="宋体"/>
          <w:color w:val="auto"/>
          <w:position w:val="0"/>
          <w:sz w:val="24"/>
          <w:szCs w:val="24"/>
        </w:rPr>
        <w:t>标，将被视为投标无效。</w:t>
      </w:r>
    </w:p>
    <w:p>
      <w:pPr>
        <w:pStyle w:val="19"/>
        <w:numPr>
          <w:ilvl w:val="1"/>
          <w:numId w:val="6"/>
        </w:numPr>
        <w:tabs>
          <w:tab w:val="left" w:pos="1354"/>
        </w:tabs>
        <w:autoSpaceDE w:val="0"/>
        <w:autoSpaceDN w:val="0"/>
        <w:bidi w:val="0"/>
        <w:spacing w:before="0" w:after="160" w:line="240" w:lineRule="auto"/>
        <w:ind w:left="1353" w:right="0" w:hanging="60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磋商保证金的退还详见投标人须知前附表。</w:t>
      </w:r>
    </w:p>
    <w:p>
      <w:pPr>
        <w:pStyle w:val="19"/>
        <w:numPr>
          <w:ilvl w:val="1"/>
          <w:numId w:val="6"/>
        </w:numPr>
        <w:tabs>
          <w:tab w:val="left" w:pos="1354"/>
        </w:tabs>
        <w:autoSpaceDE w:val="0"/>
        <w:autoSpaceDN w:val="0"/>
        <w:bidi w:val="0"/>
        <w:spacing w:before="134" w:after="160" w:line="240" w:lineRule="auto"/>
        <w:ind w:left="1353" w:right="0" w:hanging="60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不予退还保证金的情形，详见投标人须知前附表。</w:t>
      </w:r>
    </w:p>
    <w:p>
      <w:pPr>
        <w:pStyle w:val="9"/>
        <w:numPr>
          <w:ilvl w:val="0"/>
          <w:numId w:val="6"/>
        </w:numPr>
        <w:tabs>
          <w:tab w:val="left" w:pos="1236"/>
        </w:tabs>
        <w:autoSpaceDE w:val="0"/>
        <w:autoSpaceDN w:val="0"/>
        <w:bidi w:val="0"/>
        <w:spacing w:before="132" w:after="160" w:line="240" w:lineRule="auto"/>
        <w:ind w:left="1236" w:right="0" w:hanging="483"/>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响应文件的签署及规定</w:t>
      </w:r>
    </w:p>
    <w:p>
      <w:pPr>
        <w:pStyle w:val="19"/>
        <w:numPr>
          <w:ilvl w:val="1"/>
          <w:numId w:val="6"/>
        </w:numPr>
        <w:tabs>
          <w:tab w:val="left" w:pos="1294"/>
        </w:tabs>
        <w:autoSpaceDE w:val="0"/>
        <w:autoSpaceDN w:val="0"/>
        <w:bidi w:val="0"/>
        <w:spacing w:before="132" w:after="160" w:line="240" w:lineRule="auto"/>
        <w:ind w:left="1293" w:right="0" w:hanging="54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响应文件正本须打印或用不褪色的墨水书写，副本可为正本的复印件。</w:t>
      </w:r>
    </w:p>
    <w:p>
      <w:pPr>
        <w:pStyle w:val="19"/>
        <w:numPr>
          <w:ilvl w:val="1"/>
          <w:numId w:val="6"/>
        </w:numPr>
        <w:tabs>
          <w:tab w:val="left" w:pos="1361"/>
        </w:tabs>
        <w:autoSpaceDE w:val="0"/>
        <w:autoSpaceDN w:val="0"/>
        <w:bidi w:val="0"/>
        <w:spacing w:before="134"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响应文件应清楚工整，修改处应由投标单位法定代表人或授权代理人签章。</w:t>
      </w:r>
    </w:p>
    <w:p>
      <w:pPr>
        <w:pStyle w:val="19"/>
        <w:numPr>
          <w:ilvl w:val="1"/>
          <w:numId w:val="6"/>
        </w:numPr>
        <w:tabs>
          <w:tab w:val="left" w:pos="129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投标人的法定代表人或授权代理人在凡规定签章处逐一签署并加盖单位公</w:t>
      </w:r>
      <w:r>
        <w:rPr>
          <w:rFonts w:hint="eastAsia" w:ascii="宋体" w:hAnsi="宋体" w:eastAsia="宋体" w:cs="宋体"/>
          <w:color w:val="auto"/>
          <w:position w:val="0"/>
          <w:sz w:val="24"/>
          <w:szCs w:val="24"/>
        </w:rPr>
        <w:t>章。</w:t>
      </w:r>
    </w:p>
    <w:p>
      <w:pPr>
        <w:pStyle w:val="19"/>
        <w:numPr>
          <w:ilvl w:val="1"/>
          <w:numId w:val="6"/>
        </w:numPr>
        <w:tabs>
          <w:tab w:val="left" w:pos="129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响应文件的份数详见投标人须知前附表。正本和副本应分别胶装成册，并</w:t>
      </w:r>
      <w:r>
        <w:rPr>
          <w:rFonts w:hint="eastAsia" w:ascii="宋体" w:hAnsi="宋体" w:eastAsia="宋体" w:cs="宋体"/>
          <w:color w:val="auto"/>
          <w:position w:val="0"/>
          <w:sz w:val="24"/>
          <w:szCs w:val="24"/>
        </w:rPr>
        <w:t>在封面上标记“正本”和“副本”的字样，不得采用活页装订；响应文件应编制目录，并且逐页连续标注页码。</w:t>
      </w:r>
    </w:p>
    <w:p>
      <w:pPr>
        <w:pStyle w:val="19"/>
        <w:numPr>
          <w:ilvl w:val="1"/>
          <w:numId w:val="6"/>
        </w:numPr>
        <w:tabs>
          <w:tab w:val="left" w:pos="1354"/>
        </w:tabs>
        <w:autoSpaceDE w:val="0"/>
        <w:autoSpaceDN w:val="0"/>
        <w:bidi w:val="0"/>
        <w:spacing w:before="0" w:after="160" w:line="240" w:lineRule="auto"/>
        <w:ind w:left="1353" w:right="0" w:hanging="60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当正本和副本之间出现差异时，以正本为准。</w:t>
      </w:r>
    </w:p>
    <w:p>
      <w:pPr>
        <w:pStyle w:val="19"/>
        <w:numPr>
          <w:ilvl w:val="1"/>
          <w:numId w:val="6"/>
        </w:numPr>
        <w:tabs>
          <w:tab w:val="left" w:pos="1354"/>
        </w:tabs>
        <w:autoSpaceDE w:val="0"/>
        <w:autoSpaceDN w:val="0"/>
        <w:bidi w:val="0"/>
        <w:spacing w:before="127" w:after="160" w:line="240" w:lineRule="auto"/>
        <w:ind w:left="1353" w:right="0" w:hanging="60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电报、电话、传真形式的投标概不接受。</w:t>
      </w:r>
    </w:p>
    <w:p>
      <w:pPr>
        <w:pStyle w:val="19"/>
        <w:numPr>
          <w:ilvl w:val="1"/>
          <w:numId w:val="6"/>
        </w:numPr>
        <w:tabs>
          <w:tab w:val="left" w:pos="1354"/>
        </w:tabs>
        <w:autoSpaceDE w:val="0"/>
        <w:autoSpaceDN w:val="0"/>
        <w:bidi w:val="0"/>
        <w:spacing w:before="134"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所有已进入评审程序的响应文件，采购人及采购代理机构有权不予退还投</w:t>
      </w:r>
      <w:r>
        <w:rPr>
          <w:rFonts w:hint="eastAsia" w:ascii="宋体" w:hAnsi="宋体" w:eastAsia="宋体" w:cs="宋体"/>
          <w:color w:val="auto"/>
          <w:position w:val="0"/>
          <w:sz w:val="24"/>
          <w:szCs w:val="24"/>
        </w:rPr>
        <w:t>标单位递交的响应文件。</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4"/>
          <w:szCs w:val="24"/>
        </w:rPr>
      </w:pPr>
    </w:p>
    <w:p>
      <w:pPr>
        <w:pStyle w:val="6"/>
        <w:numPr>
          <w:ilvl w:val="0"/>
          <w:numId w:val="0"/>
        </w:numPr>
        <w:autoSpaceDE w:val="0"/>
        <w:autoSpaceDN w:val="0"/>
        <w:spacing w:before="0" w:after="160" w:line="240" w:lineRule="auto"/>
        <w:ind w:right="605" w:firstLine="0"/>
        <w:jc w:val="both"/>
        <w:outlineLvl w:val="2"/>
        <w:rPr>
          <w:rFonts w:hint="eastAsia" w:ascii="宋体" w:hAnsi="宋体" w:eastAsia="宋体" w:cs="宋体"/>
          <w:b/>
          <w:color w:val="auto"/>
          <w:position w:val="0"/>
          <w:sz w:val="28"/>
          <w:szCs w:val="28"/>
        </w:rPr>
      </w:pPr>
    </w:p>
    <w:p>
      <w:pPr>
        <w:pStyle w:val="6"/>
        <w:numPr>
          <w:ilvl w:val="0"/>
          <w:numId w:val="0"/>
        </w:numPr>
        <w:autoSpaceDE w:val="0"/>
        <w:autoSpaceDN w:val="0"/>
        <w:spacing w:before="0" w:after="160" w:line="240" w:lineRule="auto"/>
        <w:ind w:right="605" w:firstLine="0"/>
        <w:jc w:val="center"/>
        <w:outlineLvl w:val="2"/>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第四章</w:t>
      </w:r>
      <w:r>
        <w:rPr>
          <w:rFonts w:hint="eastAsia" w:ascii="宋体" w:hAnsi="宋体" w:eastAsia="宋体" w:cs="宋体"/>
          <w:b/>
          <w:color w:val="auto"/>
          <w:position w:val="0"/>
          <w:sz w:val="28"/>
          <w:szCs w:val="28"/>
          <w:lang w:val="en-US" w:eastAsia="zh-CN"/>
        </w:rPr>
        <w:t xml:space="preserve">  </w:t>
      </w:r>
      <w:r>
        <w:rPr>
          <w:rFonts w:hint="eastAsia" w:ascii="宋体" w:hAnsi="宋体" w:eastAsia="宋体" w:cs="宋体"/>
          <w:b/>
          <w:color w:val="auto"/>
          <w:position w:val="0"/>
          <w:sz w:val="28"/>
          <w:szCs w:val="28"/>
        </w:rPr>
        <w:t>响应文件的递交</w:t>
      </w:r>
    </w:p>
    <w:p>
      <w:pPr>
        <w:pStyle w:val="9"/>
        <w:numPr>
          <w:ilvl w:val="0"/>
          <w:numId w:val="0"/>
        </w:numPr>
        <w:tabs>
          <w:tab w:val="left" w:pos="1236"/>
        </w:tabs>
        <w:autoSpaceDE w:val="0"/>
        <w:autoSpaceDN w:val="0"/>
        <w:bidi w:val="0"/>
        <w:spacing w:before="52" w:after="160" w:line="240" w:lineRule="auto"/>
        <w:ind w:right="0"/>
        <w:jc w:val="both"/>
        <w:outlineLvl w:val="5"/>
        <w:rPr>
          <w:rFonts w:hint="eastAsia" w:ascii="宋体" w:hAnsi="宋体" w:eastAsia="宋体" w:cs="宋体"/>
          <w:b/>
          <w:color w:val="auto"/>
          <w:position w:val="0"/>
          <w:sz w:val="24"/>
          <w:szCs w:val="24"/>
        </w:rPr>
      </w:pPr>
    </w:p>
    <w:p>
      <w:pPr>
        <w:pStyle w:val="9"/>
        <w:numPr>
          <w:ilvl w:val="0"/>
          <w:numId w:val="6"/>
        </w:numPr>
        <w:tabs>
          <w:tab w:val="left" w:pos="1236"/>
        </w:tabs>
        <w:autoSpaceDE w:val="0"/>
        <w:autoSpaceDN w:val="0"/>
        <w:bidi w:val="0"/>
        <w:spacing w:before="52"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响应性文件的密封与标记</w:t>
      </w:r>
    </w:p>
    <w:p>
      <w:pPr>
        <w:pStyle w:val="19"/>
        <w:numPr>
          <w:ilvl w:val="1"/>
          <w:numId w:val="6"/>
        </w:numPr>
        <w:tabs>
          <w:tab w:val="left" w:pos="1354"/>
        </w:tabs>
        <w:autoSpaceDE w:val="0"/>
        <w:autoSpaceDN w:val="0"/>
        <w:bidi w:val="0"/>
        <w:spacing w:before="134" w:after="160" w:line="240" w:lineRule="auto"/>
        <w:ind w:left="1353" w:right="0" w:hanging="60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响应文件的密封：详见投标人须知前附表。</w:t>
      </w:r>
    </w:p>
    <w:p>
      <w:pPr>
        <w:pStyle w:val="19"/>
        <w:numPr>
          <w:ilvl w:val="1"/>
          <w:numId w:val="6"/>
        </w:numPr>
        <w:tabs>
          <w:tab w:val="left" w:pos="1294"/>
        </w:tabs>
        <w:autoSpaceDE w:val="0"/>
        <w:autoSpaceDN w:val="0"/>
        <w:bidi w:val="0"/>
        <w:spacing w:before="131" w:after="160" w:line="240" w:lineRule="auto"/>
        <w:ind w:left="273" w:right="91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如果投标人未按上述要求对响应文件密封及加写标记，采购代理机构对由</w:t>
      </w:r>
      <w:r>
        <w:rPr>
          <w:rFonts w:hint="eastAsia" w:ascii="宋体" w:hAnsi="宋体" w:eastAsia="宋体" w:cs="宋体"/>
          <w:color w:val="auto"/>
          <w:position w:val="0"/>
          <w:sz w:val="24"/>
          <w:szCs w:val="24"/>
        </w:rPr>
        <w:t>此造成的文件的误投或过早启封概不负责，采购代理机构有权予以拒绝，并退回投标人。</w:t>
      </w:r>
    </w:p>
    <w:p>
      <w:pPr>
        <w:pStyle w:val="19"/>
        <w:numPr>
          <w:ilvl w:val="1"/>
          <w:numId w:val="6"/>
        </w:numPr>
        <w:tabs>
          <w:tab w:val="left" w:pos="1354"/>
        </w:tabs>
        <w:autoSpaceDE w:val="0"/>
        <w:autoSpaceDN w:val="0"/>
        <w:bidi w:val="0"/>
        <w:spacing w:before="1" w:after="160" w:line="240" w:lineRule="auto"/>
        <w:ind w:left="273" w:right="109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由于不可抗拒的原因或无法控制的事件而导致丢失或损坏投标包装体内</w:t>
      </w:r>
      <w:r>
        <w:rPr>
          <w:rFonts w:hint="eastAsia" w:ascii="宋体" w:hAnsi="宋体" w:eastAsia="宋体" w:cs="宋体"/>
          <w:color w:val="auto"/>
          <w:position w:val="0"/>
          <w:sz w:val="24"/>
          <w:szCs w:val="24"/>
        </w:rPr>
        <w:t>的响应文件，采购人将不负责任。</w:t>
      </w:r>
    </w:p>
    <w:p>
      <w:pPr>
        <w:pStyle w:val="9"/>
        <w:numPr>
          <w:ilvl w:val="0"/>
          <w:numId w:val="6"/>
        </w:numPr>
        <w:tabs>
          <w:tab w:val="left" w:pos="1236"/>
        </w:tabs>
        <w:autoSpaceDE w:val="0"/>
        <w:autoSpaceDN w:val="0"/>
        <w:bidi w:val="0"/>
        <w:spacing w:before="1"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响应文件递交截止时间</w:t>
      </w:r>
    </w:p>
    <w:p>
      <w:pPr>
        <w:pStyle w:val="19"/>
        <w:numPr>
          <w:ilvl w:val="1"/>
          <w:numId w:val="6"/>
        </w:numPr>
        <w:tabs>
          <w:tab w:val="left" w:pos="1354"/>
        </w:tabs>
        <w:autoSpaceDE w:val="0"/>
        <w:autoSpaceDN w:val="0"/>
        <w:bidi w:val="0"/>
        <w:spacing w:before="132"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响应文件的递交截止时间为竞争性磋商公告所规定的时间。响应文件以密</w:t>
      </w:r>
      <w:r>
        <w:rPr>
          <w:rFonts w:hint="eastAsia" w:ascii="宋体" w:hAnsi="宋体" w:eastAsia="宋体" w:cs="宋体"/>
          <w:color w:val="auto"/>
          <w:position w:val="0"/>
          <w:sz w:val="24"/>
          <w:szCs w:val="24"/>
        </w:rPr>
        <w:t>封形式递交至指定的投标地点，采购人或者采购代理机构收到响应文件后，应当如实记载响应文件的送达时间和密封情况，签收保存，并向投标人出具签收回执。任何单位和个人不得在开标前开启响应文件。</w:t>
      </w:r>
    </w:p>
    <w:p>
      <w:pPr>
        <w:pStyle w:val="10"/>
        <w:numPr>
          <w:ilvl w:val="0"/>
          <w:numId w:val="0"/>
        </w:numPr>
        <w:autoSpaceDE w:val="0"/>
        <w:autoSpaceDN w:val="0"/>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逾期送达或者未按照竞争性磋商文件要求密封的响应文件，采购人、采购代理机构应当拒收。</w:t>
      </w:r>
    </w:p>
    <w:p>
      <w:pPr>
        <w:pStyle w:val="19"/>
        <w:numPr>
          <w:ilvl w:val="1"/>
          <w:numId w:val="6"/>
        </w:numPr>
        <w:tabs>
          <w:tab w:val="left" w:pos="135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出现因竞争性磋商文件的修改推迟投标截止时间时，则按采购人修改通知</w:t>
      </w:r>
      <w:r>
        <w:rPr>
          <w:rFonts w:hint="eastAsia" w:ascii="宋体" w:hAnsi="宋体" w:eastAsia="宋体" w:cs="宋体"/>
          <w:color w:val="auto"/>
          <w:position w:val="0"/>
          <w:sz w:val="24"/>
          <w:szCs w:val="24"/>
        </w:rPr>
        <w:t>规定的时间递交。</w:t>
      </w:r>
    </w:p>
    <w:p>
      <w:pPr>
        <w:pStyle w:val="9"/>
        <w:numPr>
          <w:ilvl w:val="0"/>
          <w:numId w:val="6"/>
        </w:numPr>
        <w:tabs>
          <w:tab w:val="left" w:pos="1236"/>
        </w:tabs>
        <w:autoSpaceDE w:val="0"/>
        <w:autoSpaceDN w:val="0"/>
        <w:bidi w:val="0"/>
        <w:spacing w:before="0"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响应文件的修改和撤回</w:t>
      </w:r>
    </w:p>
    <w:p>
      <w:pPr>
        <w:pStyle w:val="19"/>
        <w:numPr>
          <w:ilvl w:val="1"/>
          <w:numId w:val="6"/>
        </w:numPr>
        <w:tabs>
          <w:tab w:val="left" w:pos="1294"/>
        </w:tabs>
        <w:autoSpaceDE w:val="0"/>
        <w:autoSpaceDN w:val="0"/>
        <w:bidi w:val="0"/>
        <w:spacing w:before="129"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投标人在投标截止时间前，可以对所递交的响应文件进行补充、修改或者</w:t>
      </w:r>
      <w:r>
        <w:rPr>
          <w:rFonts w:hint="eastAsia" w:ascii="宋体" w:hAnsi="宋体" w:eastAsia="宋体" w:cs="宋体"/>
          <w:color w:val="auto"/>
          <w:position w:val="0"/>
          <w:sz w:val="24"/>
          <w:szCs w:val="24"/>
        </w:rPr>
        <w:t>撤回，并书面通知采购人或者采购代理机构。补充、修改的内容应当按照竞争性磋商文件要求签署、盖章、密封后，作为响应文件的组成部分。补充、修改的内容与响应文件不一致的，以补充、修改的内容为准。</w:t>
      </w:r>
    </w:p>
    <w:p>
      <w:pPr>
        <w:pStyle w:val="19"/>
        <w:numPr>
          <w:ilvl w:val="1"/>
          <w:numId w:val="6"/>
        </w:numPr>
        <w:tabs>
          <w:tab w:val="left" w:pos="129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对响应文件修改的书面材料应于投标截止日前送达采购人，投标截止时间</w:t>
      </w:r>
      <w:r>
        <w:rPr>
          <w:rFonts w:hint="eastAsia" w:ascii="宋体" w:hAnsi="宋体" w:eastAsia="宋体" w:cs="宋体"/>
          <w:color w:val="auto"/>
          <w:position w:val="0"/>
          <w:sz w:val="24"/>
          <w:szCs w:val="24"/>
        </w:rPr>
        <w:t>以后不得修改响应文件。</w:t>
      </w:r>
    </w:p>
    <w:p>
      <w:pPr>
        <w:pStyle w:val="19"/>
        <w:numPr>
          <w:ilvl w:val="1"/>
          <w:numId w:val="6"/>
        </w:numPr>
        <w:tabs>
          <w:tab w:val="left" w:pos="1354"/>
        </w:tabs>
        <w:autoSpaceDE w:val="0"/>
        <w:autoSpaceDN w:val="0"/>
        <w:bidi w:val="0"/>
        <w:spacing w:before="0" w:after="160" w:line="240" w:lineRule="auto"/>
        <w:ind w:left="1353" w:right="0" w:hanging="60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投标人不得在开标时间起至投标有效期期满前撤回响应文件。</w:t>
      </w:r>
    </w:p>
    <w:p>
      <w:pPr>
        <w:pStyle w:val="10"/>
        <w:numPr>
          <w:ilvl w:val="0"/>
          <w:numId w:val="0"/>
        </w:numPr>
        <w:autoSpaceDE w:val="0"/>
        <w:autoSpaceDN w:val="0"/>
        <w:spacing w:before="1" w:after="160" w:line="240" w:lineRule="auto"/>
        <w:ind w:right="0" w:firstLine="0"/>
        <w:jc w:val="left"/>
        <w:rPr>
          <w:rFonts w:hint="eastAsia" w:ascii="宋体" w:hAnsi="宋体" w:eastAsia="宋体" w:cs="宋体"/>
          <w:color w:val="auto"/>
          <w:position w:val="0"/>
          <w:sz w:val="24"/>
          <w:szCs w:val="24"/>
        </w:rPr>
      </w:pPr>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4"/>
          <w:szCs w:val="24"/>
        </w:rPr>
      </w:pPr>
      <w:bookmarkStart w:id="7" w:name="第五章__开_标"/>
      <w:bookmarkEnd w:id="7"/>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4"/>
          <w:szCs w:val="24"/>
        </w:rPr>
      </w:pPr>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4"/>
          <w:szCs w:val="24"/>
        </w:rPr>
      </w:pPr>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4"/>
          <w:szCs w:val="24"/>
        </w:rPr>
      </w:pPr>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4"/>
          <w:szCs w:val="24"/>
        </w:rPr>
      </w:pPr>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4"/>
          <w:szCs w:val="24"/>
        </w:rPr>
      </w:pPr>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8"/>
          <w:szCs w:val="28"/>
        </w:rPr>
      </w:pPr>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第五章</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开标</w:t>
      </w:r>
    </w:p>
    <w:p>
      <w:pPr>
        <w:pStyle w:val="10"/>
        <w:numPr>
          <w:ilvl w:val="0"/>
          <w:numId w:val="0"/>
        </w:numPr>
        <w:autoSpaceDE w:val="0"/>
        <w:autoSpaceDN w:val="0"/>
        <w:spacing w:before="12" w:after="160" w:line="240" w:lineRule="auto"/>
        <w:ind w:right="0" w:firstLine="0"/>
        <w:jc w:val="left"/>
        <w:rPr>
          <w:rFonts w:hint="eastAsia" w:ascii="宋体" w:hAnsi="宋体" w:eastAsia="宋体" w:cs="宋体"/>
          <w:b/>
          <w:color w:val="auto"/>
          <w:position w:val="0"/>
          <w:sz w:val="24"/>
          <w:szCs w:val="24"/>
        </w:rPr>
      </w:pPr>
    </w:p>
    <w:p>
      <w:pPr>
        <w:pStyle w:val="9"/>
        <w:numPr>
          <w:ilvl w:val="0"/>
          <w:numId w:val="6"/>
        </w:numPr>
        <w:tabs>
          <w:tab w:val="left" w:pos="1237"/>
        </w:tabs>
        <w:autoSpaceDE w:val="0"/>
        <w:autoSpaceDN w:val="0"/>
        <w:bidi w:val="0"/>
        <w:spacing w:before="0" w:after="160" w:line="240" w:lineRule="auto"/>
        <w:ind w:left="1237" w:right="0" w:hanging="48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开标</w:t>
      </w:r>
    </w:p>
    <w:p>
      <w:pPr>
        <w:pStyle w:val="19"/>
        <w:numPr>
          <w:ilvl w:val="1"/>
          <w:numId w:val="6"/>
        </w:numPr>
        <w:tabs>
          <w:tab w:val="left" w:pos="1294"/>
        </w:tabs>
        <w:autoSpaceDE w:val="0"/>
        <w:autoSpaceDN w:val="0"/>
        <w:bidi w:val="0"/>
        <w:spacing w:before="134"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本次磋商将按磋商公告中规定的时间地点进行磋商，将邀请所有投标人的法定代表人或其授权代理人参加开标会。</w:t>
      </w:r>
    </w:p>
    <w:p>
      <w:pPr>
        <w:pStyle w:val="19"/>
        <w:numPr>
          <w:ilvl w:val="1"/>
          <w:numId w:val="6"/>
        </w:numPr>
        <w:tabs>
          <w:tab w:val="left" w:pos="1294"/>
        </w:tabs>
        <w:autoSpaceDE w:val="0"/>
        <w:autoSpaceDN w:val="0"/>
        <w:bidi w:val="0"/>
        <w:spacing w:before="134"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开标由采购人或采购代理机构主持，邀请投标人参加，并做好录音、录像</w:t>
      </w:r>
      <w:r>
        <w:rPr>
          <w:rFonts w:hint="eastAsia" w:ascii="宋体" w:hAnsi="宋体" w:eastAsia="宋体" w:cs="宋体"/>
          <w:color w:val="auto"/>
          <w:position w:val="0"/>
          <w:sz w:val="24"/>
          <w:szCs w:val="24"/>
        </w:rPr>
        <w:t>工作；录音录像应当清晰可辨，音像资料作为采购文件一并存档。</w:t>
      </w:r>
    </w:p>
    <w:p>
      <w:pPr>
        <w:pStyle w:val="19"/>
        <w:numPr>
          <w:ilvl w:val="1"/>
          <w:numId w:val="6"/>
        </w:numPr>
        <w:tabs>
          <w:tab w:val="left" w:pos="1294"/>
        </w:tabs>
        <w:autoSpaceDE w:val="0"/>
        <w:autoSpaceDN w:val="0"/>
        <w:bidi w:val="0"/>
        <w:spacing w:before="0" w:after="160" w:line="240" w:lineRule="auto"/>
        <w:ind w:left="1293" w:right="0" w:hanging="54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开标和唱标的顺序，按照递交响应文件的先后顺序进行。</w:t>
      </w:r>
    </w:p>
    <w:p>
      <w:pPr>
        <w:pStyle w:val="9"/>
        <w:numPr>
          <w:ilvl w:val="1"/>
          <w:numId w:val="6"/>
        </w:numPr>
        <w:tabs>
          <w:tab w:val="left" w:pos="1359"/>
        </w:tabs>
        <w:autoSpaceDE w:val="0"/>
        <w:autoSpaceDN w:val="0"/>
        <w:bidi w:val="0"/>
        <w:spacing w:before="134" w:after="160" w:line="240" w:lineRule="auto"/>
        <w:ind w:left="1358" w:right="0" w:hanging="606"/>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开标现场须查验的证件详见投标人须知前附表。</w:t>
      </w:r>
    </w:p>
    <w:p>
      <w:pPr>
        <w:pStyle w:val="19"/>
        <w:numPr>
          <w:ilvl w:val="1"/>
          <w:numId w:val="6"/>
        </w:numPr>
        <w:tabs>
          <w:tab w:val="left" w:pos="1354"/>
        </w:tabs>
        <w:autoSpaceDE w:val="0"/>
        <w:autoSpaceDN w:val="0"/>
        <w:bidi w:val="0"/>
        <w:spacing w:before="131" w:after="160" w:line="240" w:lineRule="auto"/>
        <w:ind w:left="273" w:right="85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查验证件结束后，由投标人或者其推选的代表检查响应文件的密封情况，</w:t>
      </w:r>
      <w:r>
        <w:rPr>
          <w:rFonts w:hint="eastAsia" w:ascii="宋体" w:hAnsi="宋体" w:eastAsia="宋体" w:cs="宋体"/>
          <w:color w:val="auto"/>
          <w:position w:val="0"/>
          <w:sz w:val="24"/>
          <w:szCs w:val="24"/>
        </w:rPr>
        <w:t>确认无误后，由采购人或者采购代理机构工作人员当众拆封，宣读投标人的名称、投标价格和竞争性磋商文件规定的需要宣布的其他内容并记录。</w:t>
      </w:r>
    </w:p>
    <w:p>
      <w:pPr>
        <w:pStyle w:val="19"/>
        <w:numPr>
          <w:ilvl w:val="1"/>
          <w:numId w:val="6"/>
        </w:numPr>
        <w:tabs>
          <w:tab w:val="left" w:pos="1294"/>
        </w:tabs>
        <w:autoSpaceDE w:val="0"/>
        <w:autoSpaceDN w:val="0"/>
        <w:bidi w:val="0"/>
        <w:spacing w:before="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开标过程应当由采购人或者采购代理机构负责记录，由参加开标的各投标</w:t>
      </w:r>
      <w:r>
        <w:rPr>
          <w:rFonts w:hint="eastAsia" w:ascii="宋体" w:hAnsi="宋体" w:eastAsia="宋体" w:cs="宋体"/>
          <w:color w:val="auto"/>
          <w:position w:val="0"/>
          <w:sz w:val="24"/>
          <w:szCs w:val="24"/>
        </w:rPr>
        <w:t>人代表和相关工作人员签字确认后随采购文件一并存档。</w:t>
      </w:r>
    </w:p>
    <w:p>
      <w:pPr>
        <w:pStyle w:val="10"/>
        <w:numPr>
          <w:ilvl w:val="0"/>
          <w:numId w:val="0"/>
        </w:numPr>
        <w:autoSpaceDE w:val="0"/>
        <w:autoSpaceDN w:val="0"/>
        <w:spacing w:before="2"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10"/>
        <w:numPr>
          <w:ilvl w:val="0"/>
          <w:numId w:val="0"/>
        </w:numPr>
        <w:autoSpaceDE w:val="0"/>
        <w:autoSpaceDN w:val="0"/>
        <w:spacing w:before="0"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投标人未参加开标的，视同认可开标结果。</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6"/>
        <w:numPr>
          <w:ilvl w:val="0"/>
          <w:numId w:val="0"/>
        </w:numPr>
        <w:tabs>
          <w:tab w:val="left" w:pos="1283"/>
        </w:tabs>
        <w:autoSpaceDE w:val="0"/>
        <w:autoSpaceDN w:val="0"/>
        <w:spacing w:before="0" w:after="160" w:line="240" w:lineRule="auto"/>
        <w:ind w:right="603" w:firstLine="0"/>
        <w:jc w:val="both"/>
        <w:outlineLvl w:val="2"/>
        <w:rPr>
          <w:rFonts w:hint="eastAsia" w:ascii="宋体" w:hAnsi="宋体" w:eastAsia="宋体" w:cs="宋体"/>
          <w:b/>
          <w:color w:val="auto"/>
          <w:position w:val="0"/>
          <w:sz w:val="28"/>
          <w:szCs w:val="28"/>
        </w:rPr>
      </w:pPr>
      <w:bookmarkStart w:id="8" w:name="第六章__评_标"/>
      <w:bookmarkEnd w:id="8"/>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第六章</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评标</w:t>
      </w:r>
    </w:p>
    <w:p>
      <w:pPr>
        <w:pStyle w:val="10"/>
        <w:numPr>
          <w:ilvl w:val="0"/>
          <w:numId w:val="0"/>
        </w:numPr>
        <w:autoSpaceDE w:val="0"/>
        <w:autoSpaceDN w:val="0"/>
        <w:spacing w:before="10" w:after="160" w:line="240" w:lineRule="auto"/>
        <w:ind w:right="0" w:firstLine="0"/>
        <w:jc w:val="left"/>
        <w:rPr>
          <w:rFonts w:hint="eastAsia" w:ascii="宋体" w:hAnsi="宋体" w:eastAsia="宋体" w:cs="宋体"/>
          <w:b/>
          <w:color w:val="auto"/>
          <w:position w:val="0"/>
          <w:sz w:val="24"/>
          <w:szCs w:val="24"/>
        </w:rPr>
      </w:pPr>
    </w:p>
    <w:p>
      <w:pPr>
        <w:pStyle w:val="9"/>
        <w:numPr>
          <w:ilvl w:val="0"/>
          <w:numId w:val="6"/>
        </w:numPr>
        <w:tabs>
          <w:tab w:val="left" w:pos="1117"/>
        </w:tabs>
        <w:autoSpaceDE w:val="0"/>
        <w:autoSpaceDN w:val="0"/>
        <w:bidi w:val="0"/>
        <w:spacing w:before="1"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评审小组</w:t>
      </w:r>
    </w:p>
    <w:p>
      <w:pPr>
        <w:pStyle w:val="19"/>
        <w:numPr>
          <w:ilvl w:val="1"/>
          <w:numId w:val="6"/>
        </w:numPr>
        <w:tabs>
          <w:tab w:val="left" w:pos="1335"/>
        </w:tabs>
        <w:autoSpaceDE w:val="0"/>
        <w:autoSpaceDN w:val="0"/>
        <w:bidi w:val="0"/>
        <w:spacing w:before="134"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14"/>
          <w:position w:val="0"/>
          <w:sz w:val="24"/>
          <w:szCs w:val="24"/>
        </w:rPr>
        <w:t>采购人将根据《中华人民共和国政府采购法》及相关的法律、法规等，依法</w:t>
      </w:r>
      <w:r>
        <w:rPr>
          <w:rFonts w:hint="eastAsia" w:ascii="宋体" w:hAnsi="宋体" w:eastAsia="宋体" w:cs="宋体"/>
          <w:color w:val="auto"/>
          <w:spacing w:val="-5"/>
          <w:position w:val="0"/>
          <w:sz w:val="24"/>
          <w:szCs w:val="24"/>
        </w:rPr>
        <w:t>组建本次招标的评审小组，负责本次招标的评审、评标等活动。评审小组负责向采购人推荐成交候选人或者根据采购人的授权直接确定成交人。</w:t>
      </w:r>
    </w:p>
    <w:p>
      <w:pPr>
        <w:pStyle w:val="19"/>
        <w:numPr>
          <w:ilvl w:val="1"/>
          <w:numId w:val="6"/>
        </w:numPr>
        <w:tabs>
          <w:tab w:val="left" w:pos="1335"/>
        </w:tabs>
        <w:autoSpaceDE w:val="0"/>
        <w:autoSpaceDN w:val="0"/>
        <w:bidi w:val="0"/>
        <w:spacing w:before="1" w:after="160" w:line="240" w:lineRule="auto"/>
        <w:ind w:left="1334" w:right="0" w:hanging="589"/>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评审小组成员名单在评标结果公告前应当保密。</w:t>
      </w:r>
    </w:p>
    <w:p>
      <w:pPr>
        <w:pStyle w:val="19"/>
        <w:numPr>
          <w:ilvl w:val="1"/>
          <w:numId w:val="6"/>
        </w:numPr>
        <w:tabs>
          <w:tab w:val="left" w:pos="1335"/>
        </w:tabs>
        <w:autoSpaceDE w:val="0"/>
        <w:autoSpaceDN w:val="0"/>
        <w:bidi w:val="0"/>
        <w:spacing w:before="131" w:after="160" w:line="240" w:lineRule="auto"/>
        <w:ind w:left="273" w:right="759" w:firstLine="472"/>
        <w:jc w:val="both"/>
        <w:rPr>
          <w:rFonts w:hint="eastAsia" w:ascii="宋体" w:hAnsi="宋体" w:eastAsia="宋体" w:cs="宋体"/>
          <w:color w:val="000000"/>
          <w:position w:val="0"/>
          <w:sz w:val="24"/>
          <w:szCs w:val="24"/>
        </w:rPr>
      </w:pPr>
      <w:r>
        <w:rPr>
          <w:rFonts w:hint="eastAsia" w:ascii="宋体" w:hAnsi="宋体" w:eastAsia="宋体" w:cs="宋体"/>
          <w:color w:val="auto"/>
          <w:spacing w:val="-8"/>
          <w:position w:val="0"/>
          <w:sz w:val="24"/>
          <w:szCs w:val="24"/>
        </w:rPr>
        <w:t>评审小组由采购人代表和评审专家组</w:t>
      </w:r>
      <w:r>
        <w:rPr>
          <w:rFonts w:hint="eastAsia" w:ascii="宋体" w:hAnsi="宋体" w:eastAsia="宋体" w:cs="宋体"/>
          <w:color w:val="000000"/>
          <w:spacing w:val="-8"/>
          <w:position w:val="0"/>
          <w:sz w:val="24"/>
          <w:szCs w:val="24"/>
        </w:rPr>
        <w:t>成，成员人数为</w:t>
      </w:r>
      <w:r>
        <w:rPr>
          <w:rFonts w:hint="eastAsia" w:ascii="宋体" w:hAnsi="宋体" w:eastAsia="宋体" w:cs="宋体"/>
          <w:color w:val="000000"/>
          <w:spacing w:val="-8"/>
          <w:position w:val="0"/>
          <w:sz w:val="24"/>
          <w:szCs w:val="24"/>
          <w:u w:val="single"/>
        </w:rPr>
        <w:t xml:space="preserve"> </w:t>
      </w:r>
      <w:r>
        <w:rPr>
          <w:rFonts w:hint="eastAsia" w:ascii="宋体" w:hAnsi="宋体" w:eastAsia="宋体" w:cs="宋体"/>
          <w:color w:val="000000"/>
          <w:position w:val="0"/>
          <w:sz w:val="24"/>
          <w:szCs w:val="24"/>
          <w:u w:val="single"/>
        </w:rPr>
        <w:t xml:space="preserve">5 </w:t>
      </w:r>
      <w:r>
        <w:rPr>
          <w:rFonts w:hint="eastAsia" w:ascii="宋体" w:hAnsi="宋体" w:eastAsia="宋体" w:cs="宋体"/>
          <w:color w:val="000000"/>
          <w:spacing w:val="-13"/>
          <w:position w:val="0"/>
          <w:sz w:val="24"/>
          <w:szCs w:val="24"/>
        </w:rPr>
        <w:t>人，</w:t>
      </w:r>
      <w:r>
        <w:rPr>
          <w:rFonts w:hint="eastAsia" w:ascii="宋体" w:hAnsi="宋体" w:eastAsia="宋体" w:cs="宋体"/>
          <w:color w:val="000000"/>
          <w:spacing w:val="-5"/>
          <w:position w:val="0"/>
          <w:sz w:val="24"/>
          <w:szCs w:val="24"/>
        </w:rPr>
        <w:t>其中</w:t>
      </w:r>
      <w:r>
        <w:rPr>
          <w:rFonts w:hint="eastAsia" w:ascii="宋体" w:hAnsi="宋体" w:eastAsia="宋体" w:cs="宋体"/>
          <w:color w:val="000000"/>
          <w:spacing w:val="-8"/>
          <w:position w:val="0"/>
          <w:sz w:val="24"/>
          <w:szCs w:val="24"/>
        </w:rPr>
        <w:t>采购人代表</w:t>
      </w:r>
      <w:r>
        <w:rPr>
          <w:rFonts w:hint="eastAsia" w:ascii="宋体" w:hAnsi="宋体" w:eastAsia="宋体" w:cs="宋体"/>
          <w:color w:val="000000"/>
          <w:spacing w:val="-8"/>
          <w:position w:val="0"/>
          <w:sz w:val="24"/>
          <w:szCs w:val="24"/>
          <w:u w:val="single"/>
        </w:rPr>
        <w:t xml:space="preserve"> / </w:t>
      </w:r>
      <w:r>
        <w:rPr>
          <w:rFonts w:hint="eastAsia" w:ascii="宋体" w:hAnsi="宋体" w:eastAsia="宋体" w:cs="宋体"/>
          <w:color w:val="000000"/>
          <w:spacing w:val="-8"/>
          <w:position w:val="0"/>
          <w:sz w:val="24"/>
          <w:szCs w:val="24"/>
        </w:rPr>
        <w:t>人，</w:t>
      </w:r>
      <w:r>
        <w:rPr>
          <w:rFonts w:hint="eastAsia" w:ascii="宋体" w:hAnsi="宋体" w:eastAsia="宋体" w:cs="宋体"/>
          <w:color w:val="000000"/>
          <w:spacing w:val="-5"/>
          <w:position w:val="0"/>
          <w:sz w:val="24"/>
          <w:szCs w:val="24"/>
        </w:rPr>
        <w:t>评审专家</w:t>
      </w:r>
      <w:r>
        <w:rPr>
          <w:rFonts w:hint="eastAsia" w:ascii="宋体" w:hAnsi="宋体" w:eastAsia="宋体" w:cs="宋体"/>
          <w:color w:val="000000"/>
          <w:spacing w:val="-5"/>
          <w:position w:val="0"/>
          <w:sz w:val="24"/>
          <w:szCs w:val="24"/>
          <w:u w:val="single"/>
        </w:rPr>
        <w:t xml:space="preserve"> 5 </w:t>
      </w:r>
      <w:r>
        <w:rPr>
          <w:rFonts w:hint="eastAsia" w:ascii="宋体" w:hAnsi="宋体" w:eastAsia="宋体" w:cs="宋体"/>
          <w:color w:val="000000"/>
          <w:spacing w:val="-5"/>
          <w:position w:val="0"/>
          <w:sz w:val="24"/>
          <w:szCs w:val="24"/>
        </w:rPr>
        <w:t>人。</w:t>
      </w:r>
    </w:p>
    <w:p>
      <w:pPr>
        <w:pStyle w:val="19"/>
        <w:numPr>
          <w:ilvl w:val="1"/>
          <w:numId w:val="6"/>
        </w:numPr>
        <w:tabs>
          <w:tab w:val="left" w:pos="1282"/>
        </w:tabs>
        <w:autoSpaceDE w:val="0"/>
        <w:autoSpaceDN w:val="0"/>
        <w:bidi w:val="0"/>
        <w:spacing w:before="2" w:after="160" w:line="240" w:lineRule="auto"/>
        <w:ind w:left="273" w:right="876" w:firstLine="472"/>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采购人或者采购代理机构应当从省级以上财政部门设立的政府采购评审专</w:t>
      </w:r>
      <w:r>
        <w:rPr>
          <w:rFonts w:hint="eastAsia" w:ascii="宋体" w:hAnsi="宋体" w:eastAsia="宋体" w:cs="宋体"/>
          <w:color w:val="auto"/>
          <w:spacing w:val="-5"/>
          <w:position w:val="0"/>
          <w:sz w:val="24"/>
          <w:szCs w:val="24"/>
        </w:rPr>
        <w:t>家库中，通过随机方式抽取评审专家。</w:t>
      </w:r>
    </w:p>
    <w:p>
      <w:pPr>
        <w:pStyle w:val="10"/>
        <w:numPr>
          <w:ilvl w:val="0"/>
          <w:numId w:val="0"/>
        </w:numPr>
        <w:autoSpaceDE w:val="0"/>
        <w:autoSpaceDN w:val="0"/>
        <w:spacing w:before="0"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对技术复杂、专业性强的采购项目，通过随机方式难以确定合适评审专家的，经主管预算单位同意，采购人可以自行选定相应专业领域的评审专家。</w:t>
      </w:r>
    </w:p>
    <w:p>
      <w:pPr>
        <w:numPr>
          <w:ilvl w:val="0"/>
          <w:numId w:val="0"/>
        </w:numPr>
        <w:tabs>
          <w:tab w:val="left" w:pos="1277"/>
        </w:tabs>
        <w:autoSpaceDE w:val="0"/>
        <w:autoSpaceDN w:val="0"/>
        <w:spacing w:before="52" w:after="160" w:line="240" w:lineRule="auto"/>
        <w:ind w:right="874" w:firstLine="640"/>
        <w:jc w:val="left"/>
        <w:rPr>
          <w:rFonts w:hint="eastAsia" w:ascii="宋体" w:hAnsi="宋体" w:eastAsia="宋体" w:cs="宋体"/>
          <w:color w:val="auto"/>
          <w:spacing w:val="-5"/>
          <w:position w:val="0"/>
          <w:sz w:val="24"/>
          <w:szCs w:val="24"/>
        </w:rPr>
      </w:pPr>
      <w:r>
        <w:rPr>
          <w:rFonts w:hint="eastAsia" w:ascii="宋体" w:hAnsi="宋体" w:eastAsia="宋体" w:cs="宋体"/>
          <w:color w:val="auto"/>
          <w:spacing w:val="-11"/>
          <w:position w:val="0"/>
          <w:sz w:val="24"/>
          <w:szCs w:val="24"/>
        </w:rPr>
        <w:t>评标中因评审成员缺席、回避或者健康等特殊原因导致评审小组组成不符合</w:t>
      </w:r>
      <w:r>
        <w:rPr>
          <w:rFonts w:hint="eastAsia" w:ascii="宋体" w:hAnsi="宋体" w:eastAsia="宋体" w:cs="宋体"/>
          <w:color w:val="auto"/>
          <w:spacing w:val="-5"/>
          <w:position w:val="0"/>
          <w:sz w:val="24"/>
          <w:szCs w:val="24"/>
        </w:rPr>
        <w:t>相关规定的，采购人或者采购代理机构应当依法补足后继续评标。被更换的评审小组成员所作出的评标意见无效。</w:t>
      </w:r>
    </w:p>
    <w:p>
      <w:pPr>
        <w:pStyle w:val="10"/>
        <w:numPr>
          <w:ilvl w:val="0"/>
          <w:numId w:val="0"/>
        </w:numPr>
        <w:autoSpaceDE w:val="0"/>
        <w:autoSpaceDN w:val="0"/>
        <w:spacing w:before="134"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无法及时补足评审小组成员的，采购人或者采购代理机构应当停止评标活动，封</w:t>
      </w:r>
      <w:r>
        <w:rPr>
          <w:rFonts w:hint="eastAsia" w:ascii="宋体" w:hAnsi="宋体" w:eastAsia="宋体" w:cs="宋体"/>
          <w:color w:val="auto"/>
          <w:spacing w:val="-6"/>
          <w:position w:val="0"/>
          <w:sz w:val="24"/>
          <w:szCs w:val="24"/>
        </w:rPr>
        <w:t>存所有响应文件和开标、评标资料，依法重新组建评审小组进行评标。原评审小组所</w:t>
      </w:r>
      <w:r>
        <w:rPr>
          <w:rFonts w:hint="eastAsia" w:ascii="宋体" w:hAnsi="宋体" w:eastAsia="宋体" w:cs="宋体"/>
          <w:color w:val="auto"/>
          <w:spacing w:val="-5"/>
          <w:position w:val="0"/>
          <w:sz w:val="24"/>
          <w:szCs w:val="24"/>
        </w:rPr>
        <w:t>作出的评标意见无效。</w:t>
      </w:r>
    </w:p>
    <w:p>
      <w:pPr>
        <w:pStyle w:val="10"/>
        <w:numPr>
          <w:ilvl w:val="0"/>
          <w:numId w:val="0"/>
        </w:numPr>
        <w:autoSpaceDE w:val="0"/>
        <w:autoSpaceDN w:val="0"/>
        <w:spacing w:before="0" w:after="160" w:line="240" w:lineRule="auto"/>
        <w:ind w:left="273" w:right="876"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采购人或者采购代理机构应当将变更、重新组建评审小组的情况予以记录，并随采购文件一并存档。</w:t>
      </w:r>
    </w:p>
    <w:p>
      <w:pPr>
        <w:pStyle w:val="19"/>
        <w:numPr>
          <w:ilvl w:val="1"/>
          <w:numId w:val="6"/>
        </w:numPr>
        <w:tabs>
          <w:tab w:val="left" w:pos="1277"/>
        </w:tabs>
        <w:autoSpaceDE w:val="0"/>
        <w:autoSpaceDN w:val="0"/>
        <w:bidi w:val="0"/>
        <w:spacing w:before="0" w:after="160" w:line="240" w:lineRule="auto"/>
        <w:ind w:left="1276" w:right="0" w:hanging="531"/>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评标专家应符合下列条件：</w:t>
      </w:r>
    </w:p>
    <w:p>
      <w:pPr>
        <w:pStyle w:val="19"/>
        <w:numPr>
          <w:ilvl w:val="2"/>
          <w:numId w:val="6"/>
        </w:numPr>
        <w:tabs>
          <w:tab w:val="left" w:pos="1512"/>
        </w:tabs>
        <w:autoSpaceDE w:val="0"/>
        <w:autoSpaceDN w:val="0"/>
        <w:bidi w:val="0"/>
        <w:spacing w:before="135" w:after="160" w:line="240" w:lineRule="auto"/>
        <w:ind w:left="273" w:right="876"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具有良好的职业道德，廉洁自律，遵纪守法，无行贿、受贿、欺诈等不良</w:t>
      </w:r>
      <w:r>
        <w:rPr>
          <w:rFonts w:hint="eastAsia" w:ascii="宋体" w:hAnsi="宋体" w:eastAsia="宋体" w:cs="宋体"/>
          <w:color w:val="auto"/>
          <w:spacing w:val="-4"/>
          <w:position w:val="0"/>
          <w:sz w:val="24"/>
          <w:szCs w:val="24"/>
        </w:rPr>
        <w:t>信用记录；</w:t>
      </w:r>
    </w:p>
    <w:p>
      <w:pPr>
        <w:pStyle w:val="19"/>
        <w:numPr>
          <w:ilvl w:val="2"/>
          <w:numId w:val="6"/>
        </w:numPr>
        <w:tabs>
          <w:tab w:val="left" w:pos="1512"/>
        </w:tabs>
        <w:autoSpaceDE w:val="0"/>
        <w:autoSpaceDN w:val="0"/>
        <w:bidi w:val="0"/>
        <w:spacing w:before="0" w:after="160" w:line="240" w:lineRule="auto"/>
        <w:ind w:left="273" w:right="876"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具有中级专业技术职称或同等专业水平且从事相关领域工作满</w:t>
      </w:r>
      <w:r>
        <w:rPr>
          <w:rFonts w:hint="eastAsia" w:ascii="宋体" w:hAnsi="宋体" w:eastAsia="宋体" w:cs="宋体"/>
          <w:color w:val="auto"/>
          <w:position w:val="0"/>
          <w:sz w:val="24"/>
          <w:szCs w:val="24"/>
        </w:rPr>
        <w:t>8</w:t>
      </w:r>
      <w:r>
        <w:rPr>
          <w:rFonts w:hint="eastAsia" w:ascii="宋体" w:hAnsi="宋体" w:eastAsia="宋体" w:cs="宋体"/>
          <w:color w:val="auto"/>
          <w:spacing w:val="-28"/>
          <w:position w:val="0"/>
          <w:sz w:val="24"/>
          <w:szCs w:val="24"/>
        </w:rPr>
        <w:t>年，或者</w:t>
      </w:r>
      <w:r>
        <w:rPr>
          <w:rFonts w:hint="eastAsia" w:ascii="宋体" w:hAnsi="宋体" w:eastAsia="宋体" w:cs="宋体"/>
          <w:color w:val="auto"/>
          <w:spacing w:val="-5"/>
          <w:position w:val="0"/>
          <w:sz w:val="24"/>
          <w:szCs w:val="24"/>
        </w:rPr>
        <w:t>具有高级专业技术职称或同等专业水平；</w:t>
      </w:r>
    </w:p>
    <w:p>
      <w:pPr>
        <w:pStyle w:val="19"/>
        <w:numPr>
          <w:ilvl w:val="2"/>
          <w:numId w:val="6"/>
        </w:numPr>
        <w:tabs>
          <w:tab w:val="left" w:pos="1570"/>
        </w:tabs>
        <w:autoSpaceDE w:val="0"/>
        <w:autoSpaceDN w:val="0"/>
        <w:bidi w:val="0"/>
        <w:spacing w:before="0" w:after="160" w:line="240" w:lineRule="auto"/>
        <w:ind w:left="1569" w:right="0" w:hanging="824"/>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熟悉政府采购相关政策法规；</w:t>
      </w:r>
    </w:p>
    <w:p>
      <w:pPr>
        <w:pStyle w:val="19"/>
        <w:numPr>
          <w:ilvl w:val="2"/>
          <w:numId w:val="6"/>
        </w:numPr>
        <w:tabs>
          <w:tab w:val="left" w:pos="1512"/>
        </w:tabs>
        <w:autoSpaceDE w:val="0"/>
        <w:autoSpaceDN w:val="0"/>
        <w:bidi w:val="0"/>
        <w:spacing w:before="130"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承诺以独立身份参加评审工作，依法履行评审专家工作职责并承担相应法</w:t>
      </w:r>
      <w:r>
        <w:rPr>
          <w:rFonts w:hint="eastAsia" w:ascii="宋体" w:hAnsi="宋体" w:eastAsia="宋体" w:cs="宋体"/>
          <w:color w:val="auto"/>
          <w:spacing w:val="-5"/>
          <w:position w:val="0"/>
          <w:sz w:val="24"/>
          <w:szCs w:val="24"/>
        </w:rPr>
        <w:t>律责任的中国公民；</w:t>
      </w:r>
    </w:p>
    <w:p>
      <w:pPr>
        <w:pStyle w:val="19"/>
        <w:numPr>
          <w:ilvl w:val="2"/>
          <w:numId w:val="6"/>
        </w:numPr>
        <w:tabs>
          <w:tab w:val="left" w:pos="1570"/>
        </w:tabs>
        <w:autoSpaceDE w:val="0"/>
        <w:autoSpaceDN w:val="0"/>
        <w:bidi w:val="0"/>
        <w:spacing w:before="0" w:after="160" w:line="240" w:lineRule="auto"/>
        <w:ind w:left="1569" w:right="0" w:hanging="824"/>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身体健康，能够承担评审工作；</w:t>
      </w:r>
    </w:p>
    <w:p>
      <w:pPr>
        <w:pStyle w:val="19"/>
        <w:numPr>
          <w:ilvl w:val="2"/>
          <w:numId w:val="6"/>
        </w:numPr>
        <w:tabs>
          <w:tab w:val="left" w:pos="1570"/>
        </w:tabs>
        <w:autoSpaceDE w:val="0"/>
        <w:autoSpaceDN w:val="0"/>
        <w:bidi w:val="0"/>
        <w:spacing w:before="132"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13"/>
          <w:position w:val="0"/>
          <w:sz w:val="24"/>
          <w:szCs w:val="24"/>
        </w:rPr>
        <w:t>申请成为评审专家前三年内，无《政府采购评审专家管理办法》中规定的</w:t>
      </w:r>
      <w:r>
        <w:rPr>
          <w:rFonts w:hint="eastAsia" w:ascii="宋体" w:hAnsi="宋体" w:eastAsia="宋体" w:cs="宋体"/>
          <w:color w:val="auto"/>
          <w:spacing w:val="-5"/>
          <w:position w:val="0"/>
          <w:sz w:val="24"/>
          <w:szCs w:val="24"/>
        </w:rPr>
        <w:t>不良行为记录。</w:t>
      </w:r>
    </w:p>
    <w:p>
      <w:pPr>
        <w:pStyle w:val="10"/>
        <w:numPr>
          <w:ilvl w:val="0"/>
          <w:numId w:val="0"/>
        </w:numPr>
        <w:autoSpaceDE w:val="0"/>
        <w:autoSpaceDN w:val="0"/>
        <w:spacing w:before="0" w:after="160" w:line="240" w:lineRule="auto"/>
        <w:ind w:left="746"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有下列情形之一的，不得担任评审小组成员：</w:t>
      </w:r>
    </w:p>
    <w:p>
      <w:pPr>
        <w:pStyle w:val="19"/>
        <w:numPr>
          <w:ilvl w:val="0"/>
          <w:numId w:val="7"/>
        </w:numPr>
        <w:tabs>
          <w:tab w:val="left" w:pos="1105"/>
        </w:tabs>
        <w:autoSpaceDE w:val="0"/>
        <w:autoSpaceDN w:val="0"/>
        <w:bidi w:val="0"/>
        <w:spacing w:before="132" w:after="160" w:line="240" w:lineRule="auto"/>
        <w:ind w:left="273" w:right="756"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参加采购活动前三年内，与供应商存在劳动关系，或者担任过供应商的董事、监事,或者是供应商的控股股东或实际控制人；</w:t>
      </w:r>
    </w:p>
    <w:p>
      <w:pPr>
        <w:pStyle w:val="19"/>
        <w:numPr>
          <w:ilvl w:val="0"/>
          <w:numId w:val="7"/>
        </w:numPr>
        <w:tabs>
          <w:tab w:val="left" w:pos="1105"/>
        </w:tabs>
        <w:autoSpaceDE w:val="0"/>
        <w:autoSpaceDN w:val="0"/>
        <w:bidi w:val="0"/>
        <w:spacing w:before="0"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与供应商的法定代表人或者负责人有夫妻、直系血亲、三代以内旁系血亲或</w:t>
      </w:r>
      <w:r>
        <w:rPr>
          <w:rFonts w:hint="eastAsia" w:ascii="宋体" w:hAnsi="宋体" w:eastAsia="宋体" w:cs="宋体"/>
          <w:color w:val="auto"/>
          <w:spacing w:val="-5"/>
          <w:position w:val="0"/>
          <w:sz w:val="24"/>
          <w:szCs w:val="24"/>
        </w:rPr>
        <w:t>者近姻亲关系；</w:t>
      </w:r>
    </w:p>
    <w:p>
      <w:pPr>
        <w:pStyle w:val="19"/>
        <w:numPr>
          <w:ilvl w:val="0"/>
          <w:numId w:val="7"/>
        </w:numPr>
        <w:tabs>
          <w:tab w:val="left" w:pos="1105"/>
        </w:tabs>
        <w:autoSpaceDE w:val="0"/>
        <w:autoSpaceDN w:val="0"/>
        <w:bidi w:val="0"/>
        <w:spacing w:before="0" w:after="160" w:line="240" w:lineRule="auto"/>
        <w:ind w:left="1105" w:right="0" w:hanging="359"/>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与供应商有其他可能影响政府采购活动公平、公正进行的关系。</w:t>
      </w:r>
    </w:p>
    <w:p>
      <w:pPr>
        <w:pStyle w:val="19"/>
        <w:numPr>
          <w:ilvl w:val="1"/>
          <w:numId w:val="6"/>
        </w:numPr>
        <w:tabs>
          <w:tab w:val="left" w:pos="1335"/>
        </w:tabs>
        <w:autoSpaceDE w:val="0"/>
        <w:autoSpaceDN w:val="0"/>
        <w:bidi w:val="0"/>
        <w:spacing w:before="128" w:after="160" w:line="240" w:lineRule="auto"/>
        <w:ind w:left="1334" w:right="0" w:hanging="589"/>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评审小组负责具体评标事务，并独立履行下列职责：</w:t>
      </w:r>
    </w:p>
    <w:p>
      <w:pPr>
        <w:pStyle w:val="10"/>
        <w:numPr>
          <w:ilvl w:val="0"/>
          <w:numId w:val="0"/>
        </w:numPr>
        <w:autoSpaceDE w:val="0"/>
        <w:autoSpaceDN w:val="0"/>
        <w:spacing w:before="132" w:after="160" w:line="240" w:lineRule="auto"/>
        <w:ind w:left="746" w:right="775"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(1</w:t>
      </w:r>
      <w:r>
        <w:rPr>
          <w:rFonts w:hint="eastAsia" w:ascii="宋体" w:hAnsi="宋体" w:eastAsia="宋体" w:cs="宋体"/>
          <w:color w:val="auto"/>
          <w:spacing w:val="-5"/>
          <w:position w:val="0"/>
          <w:sz w:val="24"/>
          <w:szCs w:val="24"/>
        </w:rPr>
        <w:t>)审查、评价响应文件是否符合竞争性磋商文件的商务、技术等实质性要求；</w:t>
      </w:r>
      <w:r>
        <w:rPr>
          <w:rFonts w:hint="eastAsia" w:ascii="宋体" w:hAnsi="宋体" w:eastAsia="宋体" w:cs="宋体"/>
          <w:color w:val="auto"/>
          <w:spacing w:val="-3"/>
          <w:position w:val="0"/>
          <w:sz w:val="24"/>
          <w:szCs w:val="24"/>
        </w:rPr>
        <w:t>(2</w:t>
      </w:r>
      <w:r>
        <w:rPr>
          <w:rFonts w:hint="eastAsia" w:ascii="宋体" w:hAnsi="宋体" w:eastAsia="宋体" w:cs="宋体"/>
          <w:color w:val="auto"/>
          <w:spacing w:val="-5"/>
          <w:position w:val="0"/>
          <w:sz w:val="24"/>
          <w:szCs w:val="24"/>
        </w:rPr>
        <w:t>)要求投标人对响应文件的有关事项作出澄清或者说明；</w:t>
      </w:r>
    </w:p>
    <w:p>
      <w:pPr>
        <w:pStyle w:val="19"/>
        <w:numPr>
          <w:ilvl w:val="0"/>
          <w:numId w:val="8"/>
        </w:numPr>
        <w:tabs>
          <w:tab w:val="left" w:pos="1105"/>
        </w:tabs>
        <w:autoSpaceDE w:val="0"/>
        <w:autoSpaceDN w:val="0"/>
        <w:bidi w:val="0"/>
        <w:spacing w:before="0" w:after="160" w:line="240" w:lineRule="auto"/>
        <w:ind w:left="1105" w:right="0" w:hanging="359"/>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对响应文件进行比较和评价；</w:t>
      </w:r>
    </w:p>
    <w:p>
      <w:pPr>
        <w:pStyle w:val="19"/>
        <w:numPr>
          <w:ilvl w:val="0"/>
          <w:numId w:val="8"/>
        </w:numPr>
        <w:tabs>
          <w:tab w:val="left" w:pos="1105"/>
        </w:tabs>
        <w:autoSpaceDE w:val="0"/>
        <w:autoSpaceDN w:val="0"/>
        <w:bidi w:val="0"/>
        <w:spacing w:before="131" w:after="160" w:line="240" w:lineRule="auto"/>
        <w:ind w:left="1105" w:right="0" w:hanging="359"/>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确定成交候选人名单，以及根据采购人委托直接确定成交人；</w:t>
      </w:r>
    </w:p>
    <w:p>
      <w:pPr>
        <w:pStyle w:val="19"/>
        <w:numPr>
          <w:ilvl w:val="0"/>
          <w:numId w:val="8"/>
        </w:numPr>
        <w:tabs>
          <w:tab w:val="left" w:pos="1105"/>
        </w:tabs>
        <w:autoSpaceDE w:val="0"/>
        <w:autoSpaceDN w:val="0"/>
        <w:bidi w:val="0"/>
        <w:spacing w:before="134" w:after="160" w:line="240" w:lineRule="auto"/>
        <w:ind w:left="1105" w:right="0" w:hanging="359"/>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向采购人、采购代理机构或者有关部门报告评标中发现的违法行为。</w:t>
      </w:r>
    </w:p>
    <w:p>
      <w:pPr>
        <w:pStyle w:val="19"/>
        <w:numPr>
          <w:ilvl w:val="1"/>
          <w:numId w:val="6"/>
        </w:numPr>
        <w:tabs>
          <w:tab w:val="left" w:pos="1277"/>
        </w:tabs>
        <w:autoSpaceDE w:val="0"/>
        <w:autoSpaceDN w:val="0"/>
        <w:bidi w:val="0"/>
        <w:spacing w:before="132" w:after="160" w:line="240" w:lineRule="auto"/>
        <w:ind w:left="1276" w:right="0" w:hanging="531"/>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评审小组及其成员不得有下列行为：</w:t>
      </w:r>
    </w:p>
    <w:p>
      <w:pPr>
        <w:pStyle w:val="19"/>
        <w:numPr>
          <w:ilvl w:val="0"/>
          <w:numId w:val="9"/>
        </w:numPr>
        <w:tabs>
          <w:tab w:val="left" w:pos="1105"/>
        </w:tabs>
        <w:autoSpaceDE w:val="0"/>
        <w:autoSpaceDN w:val="0"/>
        <w:bidi w:val="0"/>
        <w:spacing w:before="132" w:after="160" w:line="240" w:lineRule="auto"/>
        <w:ind w:left="1105" w:right="0" w:hanging="357"/>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确定参与评标至评标结束前私自接触投标人；</w:t>
      </w:r>
    </w:p>
    <w:p>
      <w:pPr>
        <w:pStyle w:val="19"/>
        <w:numPr>
          <w:ilvl w:val="0"/>
          <w:numId w:val="9"/>
        </w:numPr>
        <w:tabs>
          <w:tab w:val="left" w:pos="1105"/>
        </w:tabs>
        <w:autoSpaceDE w:val="0"/>
        <w:autoSpaceDN w:val="0"/>
        <w:bidi w:val="0"/>
        <w:spacing w:before="132" w:after="160" w:line="240" w:lineRule="auto"/>
        <w:ind w:left="1105" w:right="0" w:hanging="357"/>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接受投标人提出的与响应文件不一致的澄清或者说明，本竞争性磋商文件第</w:t>
      </w:r>
    </w:p>
    <w:p>
      <w:pPr>
        <w:pStyle w:val="10"/>
        <w:numPr>
          <w:ilvl w:val="0"/>
          <w:numId w:val="0"/>
        </w:numPr>
        <w:autoSpaceDE w:val="0"/>
        <w:autoSpaceDN w:val="0"/>
        <w:spacing w:before="134" w:after="160" w:line="240" w:lineRule="auto"/>
        <w:ind w:left="27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27.1 款规定的情形除外；</w:t>
      </w:r>
    </w:p>
    <w:p>
      <w:pPr>
        <w:pStyle w:val="19"/>
        <w:numPr>
          <w:ilvl w:val="0"/>
          <w:numId w:val="9"/>
        </w:numPr>
        <w:tabs>
          <w:tab w:val="left" w:pos="1105"/>
        </w:tabs>
        <w:autoSpaceDE w:val="0"/>
        <w:autoSpaceDN w:val="0"/>
        <w:bidi w:val="0"/>
        <w:spacing w:before="131" w:after="160" w:line="240" w:lineRule="auto"/>
        <w:ind w:left="746" w:right="2408"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违反评标纪律发表倾向性意见或者征询采购人的倾向性意见；</w:t>
      </w:r>
      <w:r>
        <w:rPr>
          <w:rFonts w:hint="eastAsia" w:ascii="宋体" w:hAnsi="宋体" w:eastAsia="宋体" w:cs="宋体"/>
          <w:color w:val="auto"/>
          <w:spacing w:val="-3"/>
          <w:position w:val="0"/>
          <w:sz w:val="24"/>
          <w:szCs w:val="24"/>
        </w:rPr>
        <w:t>(4</w:t>
      </w:r>
      <w:r>
        <w:rPr>
          <w:rFonts w:hint="eastAsia" w:ascii="宋体" w:hAnsi="宋体" w:eastAsia="宋体" w:cs="宋体"/>
          <w:color w:val="auto"/>
          <w:spacing w:val="-5"/>
          <w:position w:val="0"/>
          <w:sz w:val="24"/>
          <w:szCs w:val="24"/>
        </w:rPr>
        <w:t>)对需要专业判断的主观评审因素协商评分；</w:t>
      </w:r>
    </w:p>
    <w:p>
      <w:pPr>
        <w:pStyle w:val="10"/>
        <w:numPr>
          <w:ilvl w:val="0"/>
          <w:numId w:val="0"/>
        </w:numPr>
        <w:autoSpaceDE w:val="0"/>
        <w:autoSpaceDN w:val="0"/>
        <w:spacing w:before="2" w:after="160" w:line="240" w:lineRule="auto"/>
        <w:ind w:left="746" w:right="3255"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(5</w:t>
      </w:r>
      <w:r>
        <w:rPr>
          <w:rFonts w:hint="eastAsia" w:ascii="宋体" w:hAnsi="宋体" w:eastAsia="宋体" w:cs="宋体"/>
          <w:color w:val="auto"/>
          <w:spacing w:val="-5"/>
          <w:position w:val="0"/>
          <w:sz w:val="24"/>
          <w:szCs w:val="24"/>
        </w:rPr>
        <w:t>)在评标过程中擅离职守，影响评标程序正常进行的；</w:t>
      </w:r>
      <w:r>
        <w:rPr>
          <w:rFonts w:hint="eastAsia" w:ascii="宋体" w:hAnsi="宋体" w:eastAsia="宋体" w:cs="宋体"/>
          <w:color w:val="auto"/>
          <w:spacing w:val="-3"/>
          <w:position w:val="0"/>
          <w:sz w:val="24"/>
          <w:szCs w:val="24"/>
        </w:rPr>
        <w:t>(6</w:t>
      </w:r>
      <w:r>
        <w:rPr>
          <w:rFonts w:hint="eastAsia" w:ascii="宋体" w:hAnsi="宋体" w:eastAsia="宋体" w:cs="宋体"/>
          <w:color w:val="auto"/>
          <w:spacing w:val="-5"/>
          <w:position w:val="0"/>
          <w:sz w:val="24"/>
          <w:szCs w:val="24"/>
        </w:rPr>
        <w:t>)记录、复制或者带走任何评标资料；</w:t>
      </w:r>
    </w:p>
    <w:p>
      <w:pPr>
        <w:pStyle w:val="10"/>
        <w:numPr>
          <w:ilvl w:val="0"/>
          <w:numId w:val="0"/>
        </w:numPr>
        <w:autoSpaceDE w:val="0"/>
        <w:autoSpaceDN w:val="0"/>
        <w:spacing w:before="0" w:after="160" w:line="240" w:lineRule="auto"/>
        <w:ind w:left="746"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(7)其他不遵守评标纪律的行为。</w:t>
      </w:r>
    </w:p>
    <w:p>
      <w:pPr>
        <w:pStyle w:val="10"/>
        <w:numPr>
          <w:ilvl w:val="0"/>
          <w:numId w:val="0"/>
        </w:numPr>
        <w:autoSpaceDE w:val="0"/>
        <w:autoSpaceDN w:val="0"/>
        <w:spacing w:before="134"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评审小组成员有前款第(</w:t>
      </w:r>
      <w:r>
        <w:rPr>
          <w:rFonts w:hint="eastAsia" w:ascii="宋体" w:hAnsi="宋体" w:eastAsia="宋体" w:cs="宋体"/>
          <w:color w:val="auto"/>
          <w:position w:val="0"/>
          <w:sz w:val="24"/>
          <w:szCs w:val="24"/>
        </w:rPr>
        <w:t>1)</w:t>
      </w:r>
      <w:r>
        <w:rPr>
          <w:rFonts w:hint="eastAsia" w:ascii="宋体" w:hAnsi="宋体" w:eastAsia="宋体" w:cs="宋体"/>
          <w:color w:val="auto"/>
          <w:spacing w:val="-4"/>
          <w:position w:val="0"/>
          <w:sz w:val="24"/>
          <w:szCs w:val="24"/>
        </w:rPr>
        <w:t>至(</w:t>
      </w:r>
      <w:r>
        <w:rPr>
          <w:rFonts w:hint="eastAsia" w:ascii="宋体" w:hAnsi="宋体" w:eastAsia="宋体" w:cs="宋体"/>
          <w:color w:val="auto"/>
          <w:spacing w:val="-3"/>
          <w:position w:val="0"/>
          <w:sz w:val="24"/>
          <w:szCs w:val="24"/>
        </w:rPr>
        <w:t>5</w:t>
      </w:r>
      <w:r>
        <w:rPr>
          <w:rFonts w:hint="eastAsia" w:ascii="宋体" w:hAnsi="宋体" w:eastAsia="宋体" w:cs="宋体"/>
          <w:color w:val="auto"/>
          <w:spacing w:val="-5"/>
          <w:position w:val="0"/>
          <w:sz w:val="24"/>
          <w:szCs w:val="24"/>
        </w:rPr>
        <w:t>)项行为之一的，其评审意见无效，并不得获取评审劳务报酬和报销异地评审差旅费。</w:t>
      </w:r>
    </w:p>
    <w:p>
      <w:pPr>
        <w:pStyle w:val="9"/>
        <w:numPr>
          <w:ilvl w:val="0"/>
          <w:numId w:val="6"/>
        </w:numPr>
        <w:tabs>
          <w:tab w:val="left" w:pos="1117"/>
        </w:tabs>
        <w:autoSpaceDE w:val="0"/>
        <w:autoSpaceDN w:val="0"/>
        <w:bidi w:val="0"/>
        <w:spacing w:before="0"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评审过程的保密性</w:t>
      </w:r>
    </w:p>
    <w:p>
      <w:pPr>
        <w:pStyle w:val="19"/>
        <w:numPr>
          <w:ilvl w:val="1"/>
          <w:numId w:val="6"/>
        </w:numPr>
        <w:tabs>
          <w:tab w:val="left" w:pos="1277"/>
        </w:tabs>
        <w:autoSpaceDE w:val="0"/>
        <w:autoSpaceDN w:val="0"/>
        <w:bidi w:val="0"/>
        <w:spacing w:before="134"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13"/>
          <w:position w:val="0"/>
          <w:sz w:val="24"/>
          <w:szCs w:val="24"/>
        </w:rPr>
        <w:t>采购人、采购代理机构应当采取必要措施，保证评审在严格保密的情况下进</w:t>
      </w:r>
      <w:r>
        <w:rPr>
          <w:rFonts w:hint="eastAsia" w:ascii="宋体" w:hAnsi="宋体" w:eastAsia="宋体" w:cs="宋体"/>
          <w:color w:val="auto"/>
          <w:spacing w:val="-5"/>
          <w:position w:val="0"/>
          <w:sz w:val="24"/>
          <w:szCs w:val="24"/>
        </w:rPr>
        <w:t>行。除采购人代表、评审现场组织人员外，采购人的其他工作人员以及与评审工作无关的人员不得进入评审现场。</w:t>
      </w:r>
    </w:p>
    <w:p>
      <w:pPr>
        <w:pStyle w:val="19"/>
        <w:numPr>
          <w:ilvl w:val="1"/>
          <w:numId w:val="6"/>
        </w:numPr>
        <w:tabs>
          <w:tab w:val="left" w:pos="1277"/>
        </w:tabs>
        <w:autoSpaceDE w:val="0"/>
        <w:autoSpaceDN w:val="0"/>
        <w:bidi w:val="0"/>
        <w:spacing w:before="1" w:after="160" w:line="240" w:lineRule="auto"/>
        <w:ind w:left="273" w:right="876"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11"/>
          <w:position w:val="0"/>
          <w:sz w:val="24"/>
          <w:szCs w:val="24"/>
        </w:rPr>
        <w:t>开标后，直到授予成交人合同为止，凡属于对响应文件的审查、澄清、评价</w:t>
      </w:r>
      <w:r>
        <w:rPr>
          <w:rFonts w:hint="eastAsia" w:ascii="宋体" w:hAnsi="宋体" w:eastAsia="宋体" w:cs="宋体"/>
          <w:color w:val="auto"/>
          <w:spacing w:val="-5"/>
          <w:position w:val="0"/>
          <w:sz w:val="24"/>
          <w:szCs w:val="24"/>
        </w:rPr>
        <w:t>和比较的有关资料以及成交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pStyle w:val="19"/>
        <w:numPr>
          <w:ilvl w:val="1"/>
          <w:numId w:val="6"/>
        </w:numPr>
        <w:tabs>
          <w:tab w:val="left" w:pos="1277"/>
        </w:tabs>
        <w:autoSpaceDE w:val="0"/>
        <w:autoSpaceDN w:val="0"/>
        <w:bidi w:val="0"/>
        <w:spacing w:before="0"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9"/>
          <w:position w:val="0"/>
          <w:sz w:val="24"/>
          <w:szCs w:val="24"/>
        </w:rPr>
        <w:t>投标供应商在评审过程中，所进行的力图影响评审结果的、不符合《中华人</w:t>
      </w:r>
      <w:r>
        <w:rPr>
          <w:rFonts w:hint="eastAsia" w:ascii="宋体" w:hAnsi="宋体" w:eastAsia="宋体" w:cs="宋体"/>
          <w:color w:val="auto"/>
          <w:spacing w:val="-5"/>
          <w:position w:val="0"/>
          <w:sz w:val="24"/>
          <w:szCs w:val="24"/>
        </w:rPr>
        <w:t>民共和国政府采购法》及其相关法律、法规的、以及不符合本次招标的有关规定的活动，将被取消其成交资格。</w:t>
      </w:r>
    </w:p>
    <w:p>
      <w:pPr>
        <w:pStyle w:val="9"/>
        <w:numPr>
          <w:ilvl w:val="0"/>
          <w:numId w:val="6"/>
        </w:numPr>
        <w:tabs>
          <w:tab w:val="left" w:pos="1236"/>
        </w:tabs>
        <w:autoSpaceDE w:val="0"/>
        <w:autoSpaceDN w:val="0"/>
        <w:bidi w:val="0"/>
        <w:spacing w:before="1" w:after="160" w:line="240" w:lineRule="auto"/>
        <w:ind w:left="1236" w:right="0" w:hanging="483"/>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评审依据及评标办法</w:t>
      </w:r>
    </w:p>
    <w:p>
      <w:pPr>
        <w:pStyle w:val="19"/>
        <w:numPr>
          <w:ilvl w:val="1"/>
          <w:numId w:val="6"/>
        </w:numPr>
        <w:tabs>
          <w:tab w:val="left" w:pos="1354"/>
        </w:tabs>
        <w:autoSpaceDE w:val="0"/>
        <w:autoSpaceDN w:val="0"/>
        <w:bidi w:val="0"/>
        <w:spacing w:before="131" w:after="160" w:line="240" w:lineRule="auto"/>
        <w:ind w:left="1353" w:right="0" w:hanging="601"/>
        <w:jc w:val="left"/>
        <w:rPr>
          <w:rFonts w:hint="eastAsia" w:ascii="宋体" w:hAnsi="宋体" w:eastAsia="宋体" w:cs="宋体"/>
          <w:color w:val="auto"/>
          <w:position w:val="0"/>
          <w:sz w:val="24"/>
          <w:szCs w:val="24"/>
        </w:rPr>
      </w:pPr>
      <w:bookmarkStart w:id="9" w:name="26.1_评审的依据：采购人的竞争性磋商文件和投标人的响应文件。"/>
      <w:bookmarkEnd w:id="9"/>
      <w:r>
        <w:rPr>
          <w:rFonts w:hint="eastAsia" w:ascii="宋体" w:hAnsi="宋体" w:eastAsia="宋体" w:cs="宋体"/>
          <w:color w:val="auto"/>
          <w:position w:val="0"/>
          <w:sz w:val="24"/>
          <w:szCs w:val="24"/>
        </w:rPr>
        <w:t>评审的依据：采购人的竞争性磋商文件和投标人的响应文件。</w:t>
      </w:r>
    </w:p>
    <w:p>
      <w:pPr>
        <w:pStyle w:val="19"/>
        <w:numPr>
          <w:ilvl w:val="1"/>
          <w:numId w:val="6"/>
        </w:numPr>
        <w:tabs>
          <w:tab w:val="left" w:pos="1354"/>
        </w:tabs>
        <w:autoSpaceDE w:val="0"/>
        <w:autoSpaceDN w:val="0"/>
        <w:bidi w:val="0"/>
        <w:spacing w:before="135" w:after="160" w:line="240" w:lineRule="auto"/>
        <w:ind w:left="1353" w:right="0" w:hanging="601"/>
        <w:jc w:val="left"/>
        <w:rPr>
          <w:rFonts w:hint="eastAsia" w:ascii="宋体" w:hAnsi="宋体" w:eastAsia="宋体" w:cs="宋体"/>
          <w:b/>
          <w:color w:val="auto"/>
          <w:position w:val="0"/>
          <w:sz w:val="24"/>
          <w:szCs w:val="24"/>
        </w:rPr>
      </w:pPr>
      <w:r>
        <w:rPr>
          <w:rFonts w:hint="eastAsia" w:ascii="宋体" w:hAnsi="宋体" w:eastAsia="宋体" w:cs="宋体"/>
          <w:color w:val="auto"/>
          <w:position w:val="0"/>
          <w:sz w:val="24"/>
          <w:szCs w:val="24"/>
        </w:rPr>
        <w:t>评标办法：</w:t>
      </w:r>
      <w:r>
        <w:rPr>
          <w:rFonts w:hint="eastAsia" w:ascii="宋体" w:hAnsi="宋体" w:eastAsia="宋体" w:cs="宋体"/>
          <w:b/>
          <w:color w:val="auto"/>
          <w:spacing w:val="-4"/>
          <w:position w:val="0"/>
          <w:sz w:val="24"/>
          <w:szCs w:val="24"/>
        </w:rPr>
        <w:t>综合评分法</w:t>
      </w:r>
    </w:p>
    <w:p>
      <w:pPr>
        <w:pStyle w:val="10"/>
        <w:numPr>
          <w:ilvl w:val="0"/>
          <w:numId w:val="0"/>
        </w:numPr>
        <w:autoSpaceDE w:val="0"/>
        <w:autoSpaceDN w:val="0"/>
        <w:spacing w:before="131"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综合评分法，是指响应文件满足竞争性磋商文件全部实质性要求，且按照评审因素的量化指标评审得分最高的投标人为成交候选人的评标方法。</w:t>
      </w:r>
    </w:p>
    <w:p>
      <w:pPr>
        <w:pStyle w:val="19"/>
        <w:numPr>
          <w:ilvl w:val="1"/>
          <w:numId w:val="6"/>
        </w:numPr>
        <w:tabs>
          <w:tab w:val="left" w:pos="1354"/>
        </w:tabs>
        <w:autoSpaceDE w:val="0"/>
        <w:autoSpaceDN w:val="0"/>
        <w:bidi w:val="0"/>
        <w:spacing w:before="2" w:after="160" w:line="240" w:lineRule="auto"/>
        <w:ind w:left="1353" w:right="0" w:hanging="601"/>
        <w:jc w:val="left"/>
        <w:rPr>
          <w:rFonts w:hint="eastAsia" w:ascii="宋体" w:hAnsi="宋体" w:eastAsia="宋体" w:cs="宋体"/>
          <w:color w:val="auto"/>
          <w:position w:val="0"/>
          <w:sz w:val="24"/>
          <w:szCs w:val="24"/>
        </w:rPr>
      </w:pPr>
      <w:bookmarkStart w:id="10" w:name="26.3_评审程序："/>
      <w:bookmarkEnd w:id="10"/>
      <w:r>
        <w:rPr>
          <w:rFonts w:hint="eastAsia" w:ascii="宋体" w:hAnsi="宋体" w:eastAsia="宋体" w:cs="宋体"/>
          <w:color w:val="auto"/>
          <w:position w:val="0"/>
          <w:sz w:val="24"/>
          <w:szCs w:val="24"/>
        </w:rPr>
        <w:t>评审程序：</w:t>
      </w:r>
    </w:p>
    <w:p>
      <w:pPr>
        <w:pStyle w:val="9"/>
        <w:numPr>
          <w:ilvl w:val="0"/>
          <w:numId w:val="0"/>
        </w:numPr>
        <w:autoSpaceDE w:val="0"/>
        <w:autoSpaceDN w:val="0"/>
        <w:spacing w:before="131" w:after="160" w:line="240" w:lineRule="auto"/>
        <w:ind w:left="273" w:right="939" w:firstLine="480"/>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成立评标委员会→初步评审（符合性审查）→错误性修正→详细评审（商务、技术部分评审，报价得分计算）→推荐成交候选人→完成评标报告</w:t>
      </w:r>
    </w:p>
    <w:p>
      <w:pPr>
        <w:numPr>
          <w:ilvl w:val="0"/>
          <w:numId w:val="0"/>
        </w:numPr>
        <w:autoSpaceDE w:val="0"/>
        <w:autoSpaceDN w:val="0"/>
        <w:spacing w:before="2" w:after="160" w:line="240" w:lineRule="auto"/>
        <w:ind w:left="753" w:right="0" w:firstLine="0"/>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通过初步评审的响应文件，方可进入下一环节的评审。</w:t>
      </w:r>
    </w:p>
    <w:p>
      <w:pPr>
        <w:pStyle w:val="19"/>
        <w:numPr>
          <w:ilvl w:val="0"/>
          <w:numId w:val="6"/>
        </w:numPr>
        <w:tabs>
          <w:tab w:val="left" w:pos="1236"/>
        </w:tabs>
        <w:autoSpaceDE w:val="0"/>
        <w:autoSpaceDN w:val="0"/>
        <w:bidi w:val="0"/>
        <w:spacing w:before="131" w:after="160" w:line="240" w:lineRule="auto"/>
        <w:ind w:left="1236" w:right="0" w:hanging="483"/>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初步评审</w:t>
      </w:r>
    </w:p>
    <w:p>
      <w:pPr>
        <w:pStyle w:val="19"/>
        <w:numPr>
          <w:ilvl w:val="0"/>
          <w:numId w:val="0"/>
        </w:numPr>
        <w:tabs>
          <w:tab w:val="left" w:pos="1450"/>
        </w:tabs>
        <w:autoSpaceDE w:val="0"/>
        <w:autoSpaceDN w:val="0"/>
        <w:bidi w:val="0"/>
        <w:spacing w:before="132" w:after="160" w:line="240" w:lineRule="auto"/>
        <w:ind w:left="240" w:right="0" w:firstLine="460"/>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评审小组对响应文件的有效性、完整性和响应程度进行审查时，应当以书面方式要求投标人对响应文件中含义不明确、对同类问题表述不一致或者有明显文字和计算错误的内容作必要的澄清、说明或补正。</w:t>
      </w:r>
    </w:p>
    <w:p>
      <w:pPr>
        <w:pStyle w:val="10"/>
        <w:numPr>
          <w:ilvl w:val="0"/>
          <w:numId w:val="0"/>
        </w:numPr>
        <w:autoSpaceDE w:val="0"/>
        <w:autoSpaceDN w:val="0"/>
        <w:spacing w:before="0" w:after="160" w:line="240" w:lineRule="auto"/>
        <w:ind w:left="273" w:right="872"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投标人的澄清、说明或补正应以书面方式进行，并加盖公章，或者由法定代表人或其授权的代表签字。投标人的澄清、说明或者补正不得超出响应文件的范围或者改变竞争性磋商文件的实质性内容。</w:t>
      </w:r>
    </w:p>
    <w:p>
      <w:pPr>
        <w:pStyle w:val="10"/>
        <w:numPr>
          <w:ilvl w:val="0"/>
          <w:numId w:val="0"/>
        </w:numPr>
        <w:autoSpaceDE w:val="0"/>
        <w:autoSpaceDN w:val="0"/>
        <w:spacing w:before="0" w:after="160" w:line="240" w:lineRule="auto"/>
        <w:ind w:left="273" w:right="873"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按上述规定，经投标人确认后，对投标人起约束作用。如果投标人不确认的，则其投标无效。</w:t>
      </w:r>
    </w:p>
    <w:p>
      <w:pPr>
        <w:pStyle w:val="19"/>
        <w:numPr>
          <w:ilvl w:val="1"/>
          <w:numId w:val="6"/>
        </w:numPr>
        <w:tabs>
          <w:tab w:val="left" w:pos="1450"/>
        </w:tabs>
        <w:autoSpaceDE w:val="0"/>
        <w:autoSpaceDN w:val="0"/>
        <w:bidi w:val="0"/>
        <w:spacing w:before="0" w:after="160" w:line="240" w:lineRule="auto"/>
        <w:ind w:left="1449" w:right="0" w:hanging="704"/>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采购方不接受不符合国家有关部门相关规定的投标报价或优惠方案。</w:t>
      </w:r>
    </w:p>
    <w:p>
      <w:pPr>
        <w:pStyle w:val="19"/>
        <w:numPr>
          <w:ilvl w:val="1"/>
          <w:numId w:val="6"/>
        </w:numPr>
        <w:tabs>
          <w:tab w:val="left" w:pos="1450"/>
        </w:tabs>
        <w:autoSpaceDE w:val="0"/>
        <w:autoSpaceDN w:val="0"/>
        <w:bidi w:val="0"/>
        <w:spacing w:before="129"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在评审过程中，评审小组发现投标人以他人名义投标、串通投标、以行贿手段谋取成交或者以其他弄虚作假方式投标的，该投标人的投标将被否决。</w:t>
      </w:r>
    </w:p>
    <w:p>
      <w:pPr>
        <w:pStyle w:val="19"/>
        <w:numPr>
          <w:ilvl w:val="1"/>
          <w:numId w:val="6"/>
        </w:numPr>
        <w:tabs>
          <w:tab w:val="left" w:pos="1474"/>
        </w:tabs>
        <w:autoSpaceDE w:val="0"/>
        <w:autoSpaceDN w:val="0"/>
        <w:bidi w:val="0"/>
        <w:spacing w:before="1" w:after="160" w:line="240" w:lineRule="auto"/>
        <w:ind w:left="753" w:right="2410"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有下列情形之一的，视为投标人串通投标，其投标无效：</w:t>
      </w:r>
      <w:r>
        <w:rPr>
          <w:rFonts w:hint="eastAsia" w:ascii="宋体" w:hAnsi="宋体" w:eastAsia="宋体" w:cs="宋体"/>
          <w:color w:val="auto"/>
          <w:position w:val="0"/>
          <w:sz w:val="24"/>
          <w:szCs w:val="24"/>
        </w:rPr>
        <w:t>(1)不同投标人的响应文件由同一单位或者个人编制；</w:t>
      </w:r>
    </w:p>
    <w:p>
      <w:pPr>
        <w:pStyle w:val="19"/>
        <w:numPr>
          <w:ilvl w:val="0"/>
          <w:numId w:val="10"/>
        </w:numPr>
        <w:tabs>
          <w:tab w:val="left" w:pos="1115"/>
        </w:tabs>
        <w:autoSpaceDE w:val="0"/>
        <w:autoSpaceDN w:val="0"/>
        <w:bidi w:val="0"/>
        <w:spacing w:before="0" w:after="160" w:line="240" w:lineRule="auto"/>
        <w:ind w:left="1114" w:right="0" w:hanging="36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不同投标人委托同一单位或者个人办理投标事宜；</w:t>
      </w:r>
    </w:p>
    <w:p>
      <w:pPr>
        <w:pStyle w:val="19"/>
        <w:numPr>
          <w:ilvl w:val="0"/>
          <w:numId w:val="10"/>
        </w:numPr>
        <w:tabs>
          <w:tab w:val="left" w:pos="1115"/>
        </w:tabs>
        <w:autoSpaceDE w:val="0"/>
        <w:autoSpaceDN w:val="0"/>
        <w:bidi w:val="0"/>
        <w:spacing w:before="134" w:after="160" w:line="240" w:lineRule="auto"/>
        <w:ind w:left="753" w:right="1570"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不同投标人的响应文件载明的项目管理成员或者联系人员为同一人；</w:t>
      </w:r>
      <w:r>
        <w:rPr>
          <w:rFonts w:hint="eastAsia" w:ascii="宋体" w:hAnsi="宋体" w:eastAsia="宋体" w:cs="宋体"/>
          <w:color w:val="auto"/>
          <w:position w:val="0"/>
          <w:sz w:val="24"/>
          <w:szCs w:val="24"/>
        </w:rPr>
        <w:t>(4)不同投标人的响应文件异常一致或者投标报价呈规律性差异；</w:t>
      </w:r>
    </w:p>
    <w:p>
      <w:pPr>
        <w:pStyle w:val="19"/>
        <w:numPr>
          <w:ilvl w:val="0"/>
          <w:numId w:val="11"/>
        </w:numPr>
        <w:tabs>
          <w:tab w:val="left" w:pos="1115"/>
        </w:tabs>
        <w:autoSpaceDE w:val="0"/>
        <w:autoSpaceDN w:val="0"/>
        <w:bidi w:val="0"/>
        <w:spacing w:before="0" w:after="160" w:line="240" w:lineRule="auto"/>
        <w:ind w:left="1114" w:right="0" w:hanging="36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不同投标人的响应文件相互混装；</w:t>
      </w:r>
    </w:p>
    <w:p>
      <w:pPr>
        <w:pStyle w:val="19"/>
        <w:numPr>
          <w:ilvl w:val="0"/>
          <w:numId w:val="11"/>
        </w:numPr>
        <w:tabs>
          <w:tab w:val="left" w:pos="1115"/>
        </w:tabs>
        <w:autoSpaceDE w:val="0"/>
        <w:autoSpaceDN w:val="0"/>
        <w:bidi w:val="0"/>
        <w:spacing w:before="134" w:after="160" w:line="240" w:lineRule="auto"/>
        <w:ind w:left="1114" w:right="0" w:hanging="36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不同投标人的磋商保证金从同一单位或者个人的账户转出。</w:t>
      </w:r>
    </w:p>
    <w:p>
      <w:pPr>
        <w:pStyle w:val="19"/>
        <w:numPr>
          <w:ilvl w:val="1"/>
          <w:numId w:val="6"/>
        </w:numPr>
        <w:tabs>
          <w:tab w:val="left" w:pos="1450"/>
        </w:tabs>
        <w:autoSpaceDE w:val="0"/>
        <w:autoSpaceDN w:val="0"/>
        <w:bidi w:val="0"/>
        <w:spacing w:before="132" w:after="160" w:line="240" w:lineRule="auto"/>
        <w:ind w:left="1449" w:right="0" w:hanging="704"/>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投标人存在下列情况之一的，投标无效：</w:t>
      </w:r>
    </w:p>
    <w:p>
      <w:pPr>
        <w:pStyle w:val="10"/>
        <w:numPr>
          <w:ilvl w:val="0"/>
          <w:numId w:val="0"/>
        </w:numPr>
        <w:autoSpaceDE w:val="0"/>
        <w:autoSpaceDN w:val="0"/>
        <w:spacing w:before="131" w:after="160" w:line="240" w:lineRule="auto"/>
        <w:ind w:left="746" w:right="3589" w:firstLine="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(1</w:t>
      </w:r>
      <w:r>
        <w:rPr>
          <w:rFonts w:hint="eastAsia" w:ascii="宋体" w:hAnsi="宋体" w:eastAsia="宋体" w:cs="宋体"/>
          <w:color w:val="auto"/>
          <w:spacing w:val="-6"/>
          <w:position w:val="0"/>
          <w:sz w:val="24"/>
          <w:szCs w:val="24"/>
        </w:rPr>
        <w:t>)未按照竞争性磋商文件的规定提交磋商保证金的；</w:t>
      </w:r>
      <w:r>
        <w:rPr>
          <w:rFonts w:hint="eastAsia" w:ascii="宋体" w:hAnsi="宋体" w:eastAsia="宋体" w:cs="宋体"/>
          <w:color w:val="auto"/>
          <w:spacing w:val="-3"/>
          <w:position w:val="0"/>
          <w:sz w:val="24"/>
          <w:szCs w:val="24"/>
        </w:rPr>
        <w:t>(2</w:t>
      </w:r>
      <w:r>
        <w:rPr>
          <w:rFonts w:hint="eastAsia" w:ascii="宋体" w:hAnsi="宋体" w:eastAsia="宋体" w:cs="宋体"/>
          <w:color w:val="auto"/>
          <w:spacing w:val="-6"/>
          <w:position w:val="0"/>
          <w:sz w:val="24"/>
          <w:szCs w:val="24"/>
        </w:rPr>
        <w:t>)响应文件未按竞争性磋商文件要求签署、盖章的；</w:t>
      </w:r>
      <w:r>
        <w:rPr>
          <w:rFonts w:hint="eastAsia" w:ascii="宋体" w:hAnsi="宋体" w:eastAsia="宋体" w:cs="宋体"/>
          <w:color w:val="auto"/>
          <w:spacing w:val="-3"/>
          <w:position w:val="0"/>
          <w:sz w:val="24"/>
          <w:szCs w:val="24"/>
        </w:rPr>
        <w:t>(3</w:t>
      </w:r>
      <w:r>
        <w:rPr>
          <w:rFonts w:hint="eastAsia" w:ascii="宋体" w:hAnsi="宋体" w:eastAsia="宋体" w:cs="宋体"/>
          <w:color w:val="auto"/>
          <w:spacing w:val="-5"/>
          <w:position w:val="0"/>
          <w:sz w:val="24"/>
          <w:szCs w:val="24"/>
        </w:rPr>
        <w:t>)不具备竞争性磋商文件中规定的资格要求的；</w:t>
      </w:r>
    </w:p>
    <w:p>
      <w:pPr>
        <w:pStyle w:val="10"/>
        <w:numPr>
          <w:ilvl w:val="0"/>
          <w:numId w:val="0"/>
        </w:numPr>
        <w:autoSpaceDE w:val="0"/>
        <w:autoSpaceDN w:val="0"/>
        <w:spacing w:before="1" w:after="160" w:line="240" w:lineRule="auto"/>
        <w:ind w:left="746" w:right="2356"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(4</w:t>
      </w:r>
      <w:r>
        <w:rPr>
          <w:rFonts w:hint="eastAsia" w:ascii="宋体" w:hAnsi="宋体" w:eastAsia="宋体" w:cs="宋体"/>
          <w:color w:val="auto"/>
          <w:spacing w:val="-5"/>
          <w:position w:val="0"/>
          <w:sz w:val="24"/>
          <w:szCs w:val="24"/>
        </w:rPr>
        <w:t>)报价超过竞争性磋商文件中规定的预算金额或者最高限价的；</w:t>
      </w:r>
      <w:r>
        <w:rPr>
          <w:rFonts w:hint="eastAsia" w:ascii="宋体" w:hAnsi="宋体" w:eastAsia="宋体" w:cs="宋体"/>
          <w:color w:val="auto"/>
          <w:spacing w:val="-3"/>
          <w:position w:val="0"/>
          <w:sz w:val="24"/>
          <w:szCs w:val="24"/>
        </w:rPr>
        <w:t>(5</w:t>
      </w:r>
      <w:r>
        <w:rPr>
          <w:rFonts w:hint="eastAsia" w:ascii="宋体" w:hAnsi="宋体" w:eastAsia="宋体" w:cs="宋体"/>
          <w:color w:val="auto"/>
          <w:spacing w:val="-5"/>
          <w:position w:val="0"/>
          <w:sz w:val="24"/>
          <w:szCs w:val="24"/>
        </w:rPr>
        <w:t>)响应文件含有采购人不能接受的附加条件的；</w:t>
      </w:r>
    </w:p>
    <w:p>
      <w:pPr>
        <w:pStyle w:val="19"/>
        <w:numPr>
          <w:ilvl w:val="0"/>
          <w:numId w:val="12"/>
        </w:numPr>
        <w:tabs>
          <w:tab w:val="left" w:pos="1105"/>
        </w:tabs>
        <w:autoSpaceDE w:val="0"/>
        <w:autoSpaceDN w:val="0"/>
        <w:bidi w:val="0"/>
        <w:spacing w:before="0" w:after="160" w:line="240" w:lineRule="auto"/>
        <w:ind w:left="1105" w:right="0" w:hanging="359"/>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法律、法规和竞争性磋商文件规定的其他无效情形。</w:t>
      </w:r>
    </w:p>
    <w:p>
      <w:pPr>
        <w:pStyle w:val="19"/>
        <w:numPr>
          <w:ilvl w:val="1"/>
          <w:numId w:val="6"/>
        </w:numPr>
        <w:tabs>
          <w:tab w:val="left" w:pos="1450"/>
        </w:tabs>
        <w:autoSpaceDE w:val="0"/>
        <w:autoSpaceDN w:val="0"/>
        <w:bidi w:val="0"/>
        <w:spacing w:before="132"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评审小组应当审查每一响应文件是否对竞争性磋商文件提出的所有实质性要求和条件做出响应。未能在实质上响应的投标，其投标将被否决。</w:t>
      </w:r>
    </w:p>
    <w:p>
      <w:pPr>
        <w:pStyle w:val="19"/>
        <w:numPr>
          <w:ilvl w:val="1"/>
          <w:numId w:val="6"/>
        </w:numPr>
        <w:tabs>
          <w:tab w:val="left" w:pos="1455"/>
        </w:tabs>
        <w:autoSpaceDE w:val="0"/>
        <w:autoSpaceDN w:val="0"/>
        <w:bidi w:val="0"/>
        <w:spacing w:before="0" w:after="160" w:line="240" w:lineRule="auto"/>
        <w:ind w:left="1454" w:right="0" w:hanging="709"/>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投标人不得误导、干扰采购方的评审活动，否则将废除其投标。</w:t>
      </w:r>
    </w:p>
    <w:p>
      <w:pPr>
        <w:pStyle w:val="19"/>
        <w:pageBreakBefore w:val="0"/>
        <w:numPr>
          <w:ilvl w:val="1"/>
          <w:numId w:val="6"/>
        </w:numPr>
        <w:tabs>
          <w:tab w:val="left" w:pos="1335"/>
        </w:tabs>
        <w:autoSpaceDE w:val="0"/>
        <w:autoSpaceDN w:val="0"/>
        <w:bidi w:val="0"/>
        <w:snapToGrid/>
        <w:spacing w:before="132" w:after="160" w:line="240" w:lineRule="auto"/>
        <w:ind w:left="273" w:right="756"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12"/>
          <w:position w:val="0"/>
          <w:sz w:val="24"/>
          <w:szCs w:val="24"/>
        </w:rPr>
        <w:t>评审小组根据上述规定否决不合格投标，因有效投标不足本次评审办法规定数量而使得投标明显缺乏竞争性时，根据《中华人民共和国政府采购法》的相关规定，</w:t>
      </w:r>
      <w:r>
        <w:rPr>
          <w:rFonts w:hint="eastAsia" w:ascii="宋体" w:hAnsi="宋体" w:eastAsia="宋体" w:cs="宋体"/>
          <w:color w:val="auto"/>
          <w:spacing w:val="-5"/>
          <w:position w:val="0"/>
          <w:sz w:val="24"/>
          <w:szCs w:val="24"/>
        </w:rPr>
        <w:t>将作流标处理。</w:t>
      </w:r>
    </w:p>
    <w:p>
      <w:pPr>
        <w:pStyle w:val="9"/>
        <w:pageBreakBefore w:val="0"/>
        <w:numPr>
          <w:ilvl w:val="0"/>
          <w:numId w:val="0"/>
        </w:numPr>
        <w:autoSpaceDE w:val="0"/>
        <w:autoSpaceDN w:val="0"/>
        <w:bidi w:val="0"/>
        <w:snapToGrid/>
        <w:spacing w:before="1" w:after="160" w:line="240" w:lineRule="auto"/>
        <w:ind w:left="746" w:right="0" w:firstLine="0"/>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初步评审的标准详见附表 1。</w:t>
      </w:r>
    </w:p>
    <w:p>
      <w:pPr>
        <w:pStyle w:val="19"/>
        <w:pageBreakBefore w:val="0"/>
        <w:numPr>
          <w:ilvl w:val="0"/>
          <w:numId w:val="6"/>
        </w:numPr>
        <w:tabs>
          <w:tab w:val="left" w:pos="1220"/>
        </w:tabs>
        <w:autoSpaceDE w:val="0"/>
        <w:autoSpaceDN w:val="0"/>
        <w:bidi w:val="0"/>
        <w:snapToGrid/>
        <w:spacing w:before="52" w:after="160" w:line="240" w:lineRule="auto"/>
        <w:ind w:left="1219" w:right="0" w:hanging="474"/>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响应文件计算错误的修正</w:t>
      </w:r>
    </w:p>
    <w:p>
      <w:pPr>
        <w:pStyle w:val="19"/>
        <w:pageBreakBefore w:val="0"/>
        <w:numPr>
          <w:ilvl w:val="1"/>
          <w:numId w:val="6"/>
        </w:numPr>
        <w:tabs>
          <w:tab w:val="left" w:pos="1354"/>
        </w:tabs>
        <w:autoSpaceDE w:val="0"/>
        <w:autoSpaceDN w:val="0"/>
        <w:bidi w:val="0"/>
        <w:snapToGrid/>
        <w:spacing w:before="134"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响应文件中报价出现前后不一致的，评审小组按以下原则对投标报价进行</w:t>
      </w:r>
      <w:r>
        <w:rPr>
          <w:rFonts w:hint="eastAsia" w:ascii="宋体" w:hAnsi="宋体" w:eastAsia="宋体" w:cs="宋体"/>
          <w:color w:val="auto"/>
          <w:position w:val="0"/>
          <w:sz w:val="24"/>
          <w:szCs w:val="24"/>
        </w:rPr>
        <w:t>修正：</w:t>
      </w:r>
    </w:p>
    <w:p>
      <w:pPr>
        <w:pStyle w:val="19"/>
        <w:pageBreakBefore w:val="0"/>
        <w:numPr>
          <w:ilvl w:val="0"/>
          <w:numId w:val="13"/>
        </w:numPr>
        <w:tabs>
          <w:tab w:val="left" w:pos="1140"/>
        </w:tabs>
        <w:autoSpaceDE w:val="0"/>
        <w:autoSpaceDN w:val="0"/>
        <w:bidi w:val="0"/>
        <w:snapToGrid/>
        <w:spacing w:before="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响应文件中开标一览表</w:t>
      </w:r>
      <w:r>
        <w:rPr>
          <w:rFonts w:hint="eastAsia" w:ascii="宋体" w:hAnsi="宋体" w:eastAsia="宋体" w:cs="宋体"/>
          <w:color w:val="auto"/>
          <w:position w:val="0"/>
          <w:sz w:val="24"/>
          <w:szCs w:val="24"/>
        </w:rPr>
        <w:t>（报价表</w:t>
      </w:r>
      <w:r>
        <w:rPr>
          <w:rFonts w:hint="eastAsia" w:ascii="宋体" w:hAnsi="宋体" w:eastAsia="宋体" w:cs="宋体"/>
          <w:color w:val="auto"/>
          <w:spacing w:val="-17"/>
          <w:position w:val="0"/>
          <w:sz w:val="24"/>
          <w:szCs w:val="24"/>
        </w:rPr>
        <w:t>）</w:t>
      </w:r>
      <w:r>
        <w:rPr>
          <w:rFonts w:hint="eastAsia" w:ascii="宋体" w:hAnsi="宋体" w:eastAsia="宋体" w:cs="宋体"/>
          <w:color w:val="auto"/>
          <w:spacing w:val="-3"/>
          <w:position w:val="0"/>
          <w:sz w:val="24"/>
          <w:szCs w:val="24"/>
        </w:rPr>
        <w:t>内容与响应文件中相应内容不一致的，以</w:t>
      </w:r>
      <w:r>
        <w:rPr>
          <w:rFonts w:hint="eastAsia" w:ascii="宋体" w:hAnsi="宋体" w:eastAsia="宋体" w:cs="宋体"/>
          <w:color w:val="auto"/>
          <w:position w:val="0"/>
          <w:sz w:val="24"/>
          <w:szCs w:val="24"/>
        </w:rPr>
        <w:t>开标一览表（报价表）为准；</w:t>
      </w:r>
    </w:p>
    <w:p>
      <w:pPr>
        <w:pStyle w:val="19"/>
        <w:pageBreakBefore w:val="0"/>
        <w:numPr>
          <w:ilvl w:val="0"/>
          <w:numId w:val="13"/>
        </w:numPr>
        <w:tabs>
          <w:tab w:val="left" w:pos="1100"/>
        </w:tabs>
        <w:autoSpaceDE w:val="0"/>
        <w:autoSpaceDN w:val="0"/>
        <w:bidi w:val="0"/>
        <w:snapToGrid/>
        <w:spacing w:before="0" w:after="160" w:line="240" w:lineRule="auto"/>
        <w:ind w:left="1099" w:right="0" w:hanging="347"/>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大写金额和小写金额不一致的，以大写金额为准；</w:t>
      </w:r>
    </w:p>
    <w:p>
      <w:pPr>
        <w:pStyle w:val="19"/>
        <w:pageBreakBefore w:val="0"/>
        <w:numPr>
          <w:ilvl w:val="0"/>
          <w:numId w:val="13"/>
        </w:numPr>
        <w:tabs>
          <w:tab w:val="left" w:pos="1140"/>
        </w:tabs>
        <w:autoSpaceDE w:val="0"/>
        <w:autoSpaceDN w:val="0"/>
        <w:bidi w:val="0"/>
        <w:snapToGrid/>
        <w:spacing w:before="130"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单价金额小数点或者百分比有明显错位的，以开标一览表的总价为准，并修</w:t>
      </w:r>
      <w:r>
        <w:rPr>
          <w:rFonts w:hint="eastAsia" w:ascii="宋体" w:hAnsi="宋体" w:eastAsia="宋体" w:cs="宋体"/>
          <w:color w:val="auto"/>
          <w:position w:val="0"/>
          <w:sz w:val="24"/>
          <w:szCs w:val="24"/>
        </w:rPr>
        <w:t>改单价；</w:t>
      </w:r>
    </w:p>
    <w:p>
      <w:pPr>
        <w:pStyle w:val="19"/>
        <w:pageBreakBefore w:val="0"/>
        <w:numPr>
          <w:ilvl w:val="0"/>
          <w:numId w:val="13"/>
        </w:numPr>
        <w:tabs>
          <w:tab w:val="left" w:pos="1100"/>
        </w:tabs>
        <w:autoSpaceDE w:val="0"/>
        <w:autoSpaceDN w:val="0"/>
        <w:bidi w:val="0"/>
        <w:snapToGrid/>
        <w:spacing w:before="0" w:after="160" w:line="240" w:lineRule="auto"/>
        <w:ind w:left="753" w:right="1824"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总价金额与按单价汇总金额不一致的，以单价金额计算结果为准。</w:t>
      </w:r>
      <w:r>
        <w:rPr>
          <w:rFonts w:hint="eastAsia" w:ascii="宋体" w:hAnsi="宋体" w:eastAsia="宋体" w:cs="宋体"/>
          <w:color w:val="auto"/>
          <w:position w:val="0"/>
          <w:sz w:val="24"/>
          <w:szCs w:val="24"/>
        </w:rPr>
        <w:t>同时出现两种以上不一致的，按照前款规定的顺序修正。</w:t>
      </w:r>
    </w:p>
    <w:p>
      <w:pPr>
        <w:pStyle w:val="19"/>
        <w:pageBreakBefore w:val="0"/>
        <w:numPr>
          <w:ilvl w:val="1"/>
          <w:numId w:val="6"/>
        </w:numPr>
        <w:tabs>
          <w:tab w:val="left" w:pos="1354"/>
        </w:tabs>
        <w:autoSpaceDE w:val="0"/>
        <w:autoSpaceDN w:val="0"/>
        <w:bidi w:val="0"/>
        <w:snapToGrid/>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修正后的最终投标报价若超过最高投标限价</w:t>
      </w:r>
      <w:r>
        <w:rPr>
          <w:rFonts w:hint="eastAsia" w:ascii="宋体" w:hAnsi="宋体" w:eastAsia="宋体" w:cs="宋体"/>
          <w:color w:val="auto"/>
          <w:position w:val="0"/>
          <w:sz w:val="24"/>
          <w:szCs w:val="24"/>
        </w:rPr>
        <w:t>（如有</w:t>
      </w:r>
      <w:r>
        <w:rPr>
          <w:rFonts w:hint="eastAsia" w:ascii="宋体" w:hAnsi="宋体" w:eastAsia="宋体" w:cs="宋体"/>
          <w:color w:val="auto"/>
          <w:spacing w:val="-10"/>
          <w:position w:val="0"/>
          <w:sz w:val="24"/>
          <w:szCs w:val="24"/>
        </w:rPr>
        <w:t>）</w:t>
      </w:r>
      <w:r>
        <w:rPr>
          <w:rFonts w:hint="eastAsia" w:ascii="宋体" w:hAnsi="宋体" w:eastAsia="宋体" w:cs="宋体"/>
          <w:color w:val="auto"/>
          <w:spacing w:val="-5"/>
          <w:position w:val="0"/>
          <w:sz w:val="24"/>
          <w:szCs w:val="24"/>
        </w:rPr>
        <w:t>，评审小组应当否决</w:t>
      </w:r>
      <w:r>
        <w:rPr>
          <w:rFonts w:hint="eastAsia" w:ascii="宋体" w:hAnsi="宋体" w:eastAsia="宋体" w:cs="宋体"/>
          <w:color w:val="auto"/>
          <w:position w:val="0"/>
          <w:sz w:val="24"/>
          <w:szCs w:val="24"/>
        </w:rPr>
        <w:t>其投标。</w:t>
      </w:r>
    </w:p>
    <w:p>
      <w:pPr>
        <w:pStyle w:val="19"/>
        <w:pageBreakBefore w:val="0"/>
        <w:numPr>
          <w:ilvl w:val="1"/>
          <w:numId w:val="6"/>
        </w:numPr>
        <w:tabs>
          <w:tab w:val="left" w:pos="1294"/>
        </w:tabs>
        <w:autoSpaceDE w:val="0"/>
        <w:autoSpaceDN w:val="0"/>
        <w:bidi w:val="0"/>
        <w:snapToGrid/>
        <w:spacing w:before="0" w:after="160" w:line="240" w:lineRule="auto"/>
        <w:ind w:left="273" w:right="91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按上述修正错误的原则及方法调整或修正响应文件的投标报价，经投标人</w:t>
      </w:r>
      <w:r>
        <w:rPr>
          <w:rFonts w:hint="eastAsia" w:ascii="宋体" w:hAnsi="宋体" w:eastAsia="宋体" w:cs="宋体"/>
          <w:color w:val="auto"/>
          <w:position w:val="0"/>
          <w:sz w:val="24"/>
          <w:szCs w:val="24"/>
        </w:rPr>
        <w:t>确认后，对投标人起约束作用。如果投标人不确认的，则其投标无效。</w:t>
      </w:r>
    </w:p>
    <w:p>
      <w:pPr>
        <w:pStyle w:val="9"/>
        <w:numPr>
          <w:ilvl w:val="0"/>
          <w:numId w:val="6"/>
        </w:numPr>
        <w:tabs>
          <w:tab w:val="left" w:pos="1220"/>
        </w:tabs>
        <w:autoSpaceDE w:val="0"/>
        <w:autoSpaceDN w:val="0"/>
        <w:bidi w:val="0"/>
        <w:spacing w:before="0" w:after="160" w:line="240" w:lineRule="auto"/>
        <w:ind w:left="1219" w:right="0" w:hanging="474"/>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详细评审</w:t>
      </w:r>
    </w:p>
    <w:p>
      <w:pPr>
        <w:pStyle w:val="19"/>
        <w:numPr>
          <w:ilvl w:val="1"/>
          <w:numId w:val="6"/>
        </w:numPr>
        <w:tabs>
          <w:tab w:val="left" w:pos="1450"/>
        </w:tabs>
        <w:autoSpaceDE w:val="0"/>
        <w:autoSpaceDN w:val="0"/>
        <w:bidi w:val="0"/>
        <w:spacing w:before="127"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经符合性审查合格的响应文件，评审小组应当根据竞争性磋商文件确定的评审标准和方法，确定最终采购需求和提交最后报价的供应商后，由评审小组采用综合评分法对提交最后报价的供应商的响应文件进行综合评分。</w:t>
      </w:r>
    </w:p>
    <w:p>
      <w:pPr>
        <w:pStyle w:val="19"/>
        <w:numPr>
          <w:ilvl w:val="1"/>
          <w:numId w:val="6"/>
        </w:numPr>
        <w:tabs>
          <w:tab w:val="left" w:pos="1277"/>
        </w:tabs>
        <w:autoSpaceDE w:val="0"/>
        <w:autoSpaceDN w:val="0"/>
        <w:bidi w:val="0"/>
        <w:spacing w:before="1"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磋商小组成员应当按照客观、公正、审慎的原则，根据磋商文件规定的评审</w:t>
      </w:r>
      <w:r>
        <w:rPr>
          <w:rFonts w:hint="eastAsia" w:ascii="宋体" w:hAnsi="宋体" w:eastAsia="宋体" w:cs="宋体"/>
          <w:color w:val="auto"/>
          <w:spacing w:val="-5"/>
          <w:position w:val="0"/>
          <w:sz w:val="24"/>
          <w:szCs w:val="24"/>
        </w:rPr>
        <w:t>程序、评审方法和评审标准进行独立评审。未实质性响应磋商文件的响应文件按无效响应处理，磋商小组应当告知提交响应文件的供应商。</w:t>
      </w:r>
    </w:p>
    <w:p>
      <w:pPr>
        <w:pStyle w:val="19"/>
        <w:numPr>
          <w:ilvl w:val="1"/>
          <w:numId w:val="6"/>
        </w:numPr>
        <w:tabs>
          <w:tab w:val="left" w:pos="1277"/>
        </w:tabs>
        <w:autoSpaceDE w:val="0"/>
        <w:autoSpaceDN w:val="0"/>
        <w:bidi w:val="0"/>
        <w:spacing w:before="1" w:after="160" w:line="240" w:lineRule="auto"/>
        <w:ind w:left="273" w:right="876"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磋商小组所有成员应当集中与单一供应商分别进行磋商，并给予所有参加磋</w:t>
      </w:r>
      <w:r>
        <w:rPr>
          <w:rFonts w:hint="eastAsia" w:ascii="宋体" w:hAnsi="宋体" w:eastAsia="宋体" w:cs="宋体"/>
          <w:color w:val="auto"/>
          <w:spacing w:val="-5"/>
          <w:position w:val="0"/>
          <w:sz w:val="24"/>
          <w:szCs w:val="24"/>
        </w:rPr>
        <w:t>商的供应商平等的磋商机会。</w:t>
      </w:r>
    </w:p>
    <w:p>
      <w:pPr>
        <w:pStyle w:val="19"/>
        <w:numPr>
          <w:ilvl w:val="1"/>
          <w:numId w:val="6"/>
        </w:numPr>
        <w:tabs>
          <w:tab w:val="left" w:pos="1450"/>
        </w:tabs>
        <w:autoSpaceDE w:val="0"/>
        <w:autoSpaceDN w:val="0"/>
        <w:bidi w:val="0"/>
        <w:spacing w:before="0"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根据综合评分法完成评审工作后，评审小组应当向采购人递交书面评审报</w:t>
      </w:r>
      <w:r>
        <w:rPr>
          <w:rFonts w:hint="eastAsia" w:ascii="宋体" w:hAnsi="宋体" w:eastAsia="宋体" w:cs="宋体"/>
          <w:color w:val="auto"/>
          <w:spacing w:val="-3"/>
          <w:position w:val="0"/>
          <w:sz w:val="24"/>
          <w:szCs w:val="24"/>
        </w:rPr>
        <w:t>告。</w:t>
      </w:r>
    </w:p>
    <w:p>
      <w:pPr>
        <w:pStyle w:val="19"/>
        <w:numPr>
          <w:ilvl w:val="1"/>
          <w:numId w:val="6"/>
        </w:numPr>
        <w:tabs>
          <w:tab w:val="left" w:pos="1450"/>
        </w:tabs>
        <w:autoSpaceDE w:val="0"/>
        <w:autoSpaceDN w:val="0"/>
        <w:bidi w:val="0"/>
        <w:spacing w:before="0"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评审和定标一般应当在开标后</w:t>
      </w:r>
      <w:r>
        <w:rPr>
          <w:rFonts w:hint="eastAsia" w:ascii="宋体" w:hAnsi="宋体" w:eastAsia="宋体" w:cs="宋体"/>
          <w:color w:val="auto"/>
          <w:position w:val="0"/>
          <w:sz w:val="24"/>
          <w:szCs w:val="24"/>
        </w:rPr>
        <w:t>7</w:t>
      </w:r>
      <w:r>
        <w:rPr>
          <w:rFonts w:hint="eastAsia" w:ascii="宋体" w:hAnsi="宋体" w:eastAsia="宋体" w:cs="宋体"/>
          <w:color w:val="auto"/>
          <w:spacing w:val="-13"/>
          <w:position w:val="0"/>
          <w:sz w:val="24"/>
          <w:szCs w:val="24"/>
        </w:rPr>
        <w:t>个工作日内完成，项目金额较大、技术较</w:t>
      </w:r>
      <w:r>
        <w:rPr>
          <w:rFonts w:hint="eastAsia" w:ascii="宋体" w:hAnsi="宋体" w:eastAsia="宋体" w:cs="宋体"/>
          <w:color w:val="auto"/>
          <w:spacing w:val="-9"/>
          <w:position w:val="0"/>
          <w:sz w:val="24"/>
          <w:szCs w:val="24"/>
        </w:rPr>
        <w:t>为复杂等特殊项目的评审工作应当在</w:t>
      </w:r>
      <w:r>
        <w:rPr>
          <w:rFonts w:hint="eastAsia" w:ascii="宋体" w:hAnsi="宋体" w:eastAsia="宋体" w:cs="宋体"/>
          <w:color w:val="auto"/>
          <w:position w:val="0"/>
          <w:sz w:val="24"/>
          <w:szCs w:val="24"/>
        </w:rPr>
        <w:t>30</w:t>
      </w:r>
      <w:r>
        <w:rPr>
          <w:rFonts w:hint="eastAsia" w:ascii="宋体" w:hAnsi="宋体" w:eastAsia="宋体" w:cs="宋体"/>
          <w:color w:val="auto"/>
          <w:spacing w:val="-17"/>
          <w:position w:val="0"/>
          <w:sz w:val="24"/>
          <w:szCs w:val="24"/>
        </w:rPr>
        <w:t>个工作日内完成。不能在开标后</w:t>
      </w:r>
      <w:r>
        <w:rPr>
          <w:rFonts w:hint="eastAsia" w:ascii="宋体" w:hAnsi="宋体" w:eastAsia="宋体" w:cs="宋体"/>
          <w:color w:val="auto"/>
          <w:position w:val="0"/>
          <w:sz w:val="24"/>
          <w:szCs w:val="24"/>
        </w:rPr>
        <w:t>30</w:t>
      </w:r>
      <w:r>
        <w:rPr>
          <w:rFonts w:hint="eastAsia" w:ascii="宋体" w:hAnsi="宋体" w:eastAsia="宋体" w:cs="宋体"/>
          <w:color w:val="auto"/>
          <w:spacing w:val="-16"/>
          <w:position w:val="0"/>
          <w:sz w:val="24"/>
          <w:szCs w:val="24"/>
        </w:rPr>
        <w:t>个工作日</w:t>
      </w:r>
      <w:r>
        <w:rPr>
          <w:rFonts w:hint="eastAsia" w:ascii="宋体" w:hAnsi="宋体" w:eastAsia="宋体" w:cs="宋体"/>
          <w:color w:val="auto"/>
          <w:spacing w:val="-9"/>
          <w:position w:val="0"/>
          <w:sz w:val="24"/>
          <w:szCs w:val="24"/>
        </w:rPr>
        <w:t>内完成评审和定标的，采购人应当提前</w:t>
      </w:r>
      <w:r>
        <w:rPr>
          <w:rFonts w:hint="eastAsia" w:ascii="宋体" w:hAnsi="宋体" w:eastAsia="宋体" w:cs="宋体"/>
          <w:color w:val="auto"/>
          <w:position w:val="0"/>
          <w:sz w:val="24"/>
          <w:szCs w:val="24"/>
        </w:rPr>
        <w:t>3</w:t>
      </w:r>
      <w:r>
        <w:rPr>
          <w:rFonts w:hint="eastAsia" w:ascii="宋体" w:hAnsi="宋体" w:eastAsia="宋体" w:cs="宋体"/>
          <w:color w:val="auto"/>
          <w:spacing w:val="-12"/>
          <w:position w:val="0"/>
          <w:sz w:val="24"/>
          <w:szCs w:val="24"/>
        </w:rPr>
        <w:t>天通知所有投标供应商延长投标有效期。同</w:t>
      </w:r>
      <w:r>
        <w:rPr>
          <w:rFonts w:hint="eastAsia" w:ascii="宋体" w:hAnsi="宋体" w:eastAsia="宋体" w:cs="宋体"/>
          <w:color w:val="auto"/>
          <w:spacing w:val="-5"/>
          <w:position w:val="0"/>
          <w:sz w:val="24"/>
          <w:szCs w:val="24"/>
        </w:rPr>
        <w:t>意延长投标有效期的投标供应商应当相应延长投标保证金的有效期，但不得修改响应文件的实质性内容。</w:t>
      </w:r>
    </w:p>
    <w:p>
      <w:pPr>
        <w:pStyle w:val="19"/>
        <w:numPr>
          <w:ilvl w:val="1"/>
          <w:numId w:val="6"/>
        </w:numPr>
        <w:tabs>
          <w:tab w:val="left" w:pos="1270"/>
        </w:tabs>
        <w:autoSpaceDE w:val="0"/>
        <w:autoSpaceDN w:val="0"/>
        <w:bidi w:val="0"/>
        <w:spacing w:before="0" w:after="160" w:line="240" w:lineRule="auto"/>
        <w:ind w:left="1269" w:right="0" w:hanging="531"/>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评审因素及标准(详见评分细则)</w:t>
      </w:r>
    </w:p>
    <w:p>
      <w:pPr>
        <w:pStyle w:val="10"/>
        <w:numPr>
          <w:ilvl w:val="0"/>
          <w:numId w:val="0"/>
        </w:numPr>
        <w:autoSpaceDE w:val="0"/>
        <w:autoSpaceDN w:val="0"/>
        <w:spacing w:before="52" w:after="160" w:line="240" w:lineRule="auto"/>
        <w:ind w:left="273" w:right="874" w:firstLine="472"/>
        <w:jc w:val="left"/>
        <w:rPr>
          <w:rFonts w:hint="eastAsia" w:ascii="宋体" w:hAnsi="宋体" w:eastAsia="宋体" w:cs="宋体"/>
          <w:color w:val="000000"/>
          <w:position w:val="0"/>
          <w:sz w:val="24"/>
          <w:szCs w:val="24"/>
        </w:rPr>
      </w:pPr>
      <w:r>
        <w:rPr>
          <w:rFonts w:hint="eastAsia" w:ascii="宋体" w:hAnsi="宋体" w:eastAsia="宋体" w:cs="宋体"/>
          <w:color w:val="auto"/>
          <w:spacing w:val="-5"/>
          <w:position w:val="0"/>
          <w:sz w:val="24"/>
          <w:szCs w:val="24"/>
        </w:rPr>
        <w:t>评审因素：与投标人所提供服务的质量相关，包括投标报价、技术或者服务水平、履</w:t>
      </w:r>
      <w:r>
        <w:rPr>
          <w:rFonts w:hint="eastAsia" w:ascii="宋体" w:hAnsi="宋体" w:eastAsia="宋体" w:cs="宋体"/>
          <w:color w:val="000000"/>
          <w:spacing w:val="-5"/>
          <w:position w:val="0"/>
          <w:sz w:val="24"/>
          <w:szCs w:val="24"/>
        </w:rPr>
        <w:t>约能力、售后服务等。</w:t>
      </w:r>
    </w:p>
    <w:p>
      <w:pPr>
        <w:pStyle w:val="9"/>
        <w:numPr>
          <w:ilvl w:val="0"/>
          <w:numId w:val="14"/>
        </w:numPr>
        <w:tabs>
          <w:tab w:val="left" w:pos="1479"/>
          <w:tab w:val="left" w:pos="3165"/>
        </w:tabs>
        <w:autoSpaceDE w:val="0"/>
        <w:autoSpaceDN w:val="0"/>
        <w:bidi w:val="0"/>
        <w:spacing w:before="0" w:after="160" w:line="240" w:lineRule="auto"/>
        <w:ind w:left="1478" w:right="0" w:hanging="723"/>
        <w:jc w:val="left"/>
        <w:outlineLvl w:val="5"/>
        <w:rPr>
          <w:rFonts w:hint="eastAsia" w:ascii="宋体" w:hAnsi="宋体" w:eastAsia="宋体" w:cs="宋体"/>
          <w:b/>
          <w:color w:val="000000"/>
          <w:position w:val="0"/>
          <w:sz w:val="24"/>
          <w:szCs w:val="24"/>
        </w:rPr>
      </w:pPr>
      <w:r>
        <w:rPr>
          <w:rFonts w:hint="eastAsia" w:ascii="宋体" w:hAnsi="宋体" w:eastAsia="宋体" w:cs="宋体"/>
          <w:b/>
          <w:color w:val="000000"/>
          <w:position w:val="0"/>
          <w:sz w:val="24"/>
          <w:szCs w:val="24"/>
        </w:rPr>
        <w:t>商务技术部分</w:t>
      </w:r>
      <w:r>
        <w:rPr>
          <w:rFonts w:hint="eastAsia" w:ascii="宋体" w:hAnsi="宋体" w:eastAsia="宋体" w:cs="宋体"/>
          <w:b/>
          <w:color w:val="000000"/>
          <w:position w:val="0"/>
          <w:sz w:val="24"/>
          <w:szCs w:val="24"/>
        </w:rPr>
        <w:tab/>
      </w:r>
      <w:r>
        <w:rPr>
          <w:rFonts w:hint="eastAsia" w:ascii="宋体" w:hAnsi="宋体" w:eastAsia="宋体" w:cs="宋体"/>
          <w:b/>
          <w:color w:val="000000"/>
          <w:position w:val="0"/>
          <w:sz w:val="24"/>
          <w:szCs w:val="24"/>
        </w:rPr>
        <w:t>70分；</w:t>
      </w:r>
    </w:p>
    <w:p>
      <w:pPr>
        <w:pStyle w:val="19"/>
        <w:numPr>
          <w:ilvl w:val="0"/>
          <w:numId w:val="14"/>
        </w:numPr>
        <w:tabs>
          <w:tab w:val="left" w:pos="1479"/>
          <w:tab w:val="left" w:pos="3165"/>
        </w:tabs>
        <w:autoSpaceDE w:val="0"/>
        <w:autoSpaceDN w:val="0"/>
        <w:bidi w:val="0"/>
        <w:spacing w:before="131" w:after="160" w:line="240" w:lineRule="auto"/>
        <w:ind w:left="1478" w:right="0" w:hanging="723"/>
        <w:jc w:val="left"/>
        <w:rPr>
          <w:rFonts w:hint="eastAsia" w:ascii="宋体" w:hAnsi="宋体" w:eastAsia="宋体" w:cs="宋体"/>
          <w:b/>
          <w:color w:val="000000"/>
          <w:position w:val="0"/>
          <w:sz w:val="24"/>
          <w:szCs w:val="24"/>
        </w:rPr>
      </w:pPr>
      <w:r>
        <w:rPr>
          <w:rFonts w:hint="eastAsia" w:ascii="宋体" w:hAnsi="宋体" w:eastAsia="宋体" w:cs="宋体"/>
          <w:b/>
          <w:color w:val="000000"/>
          <w:position w:val="0"/>
          <w:sz w:val="24"/>
          <w:szCs w:val="24"/>
        </w:rPr>
        <w:t>投标报价部分</w:t>
      </w:r>
      <w:r>
        <w:rPr>
          <w:rFonts w:hint="eastAsia" w:ascii="宋体" w:hAnsi="宋体" w:eastAsia="宋体" w:cs="宋体"/>
          <w:b/>
          <w:color w:val="000000"/>
          <w:position w:val="0"/>
          <w:sz w:val="24"/>
          <w:szCs w:val="24"/>
        </w:rPr>
        <w:tab/>
      </w:r>
      <w:r>
        <w:rPr>
          <w:rFonts w:hint="eastAsia" w:ascii="宋体" w:hAnsi="宋体" w:eastAsia="宋体" w:cs="宋体"/>
          <w:b/>
          <w:color w:val="000000"/>
          <w:position w:val="0"/>
          <w:sz w:val="24"/>
          <w:szCs w:val="24"/>
        </w:rPr>
        <w:t>30分。</w:t>
      </w:r>
    </w:p>
    <w:p>
      <w:pPr>
        <w:pStyle w:val="10"/>
        <w:numPr>
          <w:ilvl w:val="0"/>
          <w:numId w:val="0"/>
        </w:numPr>
        <w:autoSpaceDE w:val="0"/>
        <w:autoSpaceDN w:val="0"/>
        <w:spacing w:before="134" w:after="160" w:line="240" w:lineRule="auto"/>
        <w:ind w:left="756" w:right="0" w:firstLine="0"/>
        <w:jc w:val="left"/>
        <w:rPr>
          <w:rFonts w:hint="eastAsia" w:ascii="宋体" w:hAnsi="宋体" w:eastAsia="宋体" w:cs="宋体"/>
          <w:color w:val="auto"/>
          <w:position w:val="0"/>
          <w:sz w:val="24"/>
          <w:szCs w:val="24"/>
        </w:rPr>
      </w:pPr>
      <w:r>
        <w:rPr>
          <w:rFonts w:hint="eastAsia" w:ascii="宋体" w:hAnsi="宋体" w:eastAsia="宋体" w:cs="宋体"/>
          <w:color w:val="000000"/>
          <w:position w:val="0"/>
          <w:sz w:val="24"/>
          <w:szCs w:val="24"/>
        </w:rPr>
        <w:t>计算各项分值时，按四舍五入的原</w:t>
      </w:r>
      <w:r>
        <w:rPr>
          <w:rFonts w:hint="eastAsia" w:ascii="宋体" w:hAnsi="宋体" w:eastAsia="宋体" w:cs="宋体"/>
          <w:color w:val="auto"/>
          <w:position w:val="0"/>
          <w:sz w:val="24"/>
          <w:szCs w:val="24"/>
        </w:rPr>
        <w:t>则，保留小数点后二位。</w:t>
      </w:r>
    </w:p>
    <w:p>
      <w:pPr>
        <w:pStyle w:val="19"/>
        <w:numPr>
          <w:ilvl w:val="1"/>
          <w:numId w:val="6"/>
        </w:numPr>
        <w:tabs>
          <w:tab w:val="left" w:pos="1294"/>
        </w:tabs>
        <w:autoSpaceDE w:val="0"/>
        <w:autoSpaceDN w:val="0"/>
        <w:bidi w:val="0"/>
        <w:spacing w:before="132" w:after="160" w:line="240" w:lineRule="auto"/>
        <w:ind w:left="1293" w:right="0" w:hanging="54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报价</w:t>
      </w:r>
    </w:p>
    <w:p>
      <w:pPr>
        <w:pStyle w:val="19"/>
        <w:numPr>
          <w:ilvl w:val="2"/>
          <w:numId w:val="6"/>
        </w:numPr>
        <w:tabs>
          <w:tab w:val="left" w:pos="1536"/>
        </w:tabs>
        <w:autoSpaceDE w:val="0"/>
        <w:autoSpaceDN w:val="0"/>
        <w:bidi w:val="0"/>
        <w:spacing w:before="10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本次采购方式为竞争性磋商，待评审小组与供应商对采购标的的技术、</w:t>
      </w:r>
      <w:r>
        <w:rPr>
          <w:rFonts w:hint="eastAsia" w:ascii="宋体" w:hAnsi="宋体" w:eastAsia="宋体" w:cs="宋体"/>
          <w:color w:val="auto"/>
          <w:position w:val="0"/>
          <w:sz w:val="24"/>
          <w:szCs w:val="24"/>
        </w:rPr>
        <w:t>服务等磋商结束后，评审小组要求所有实质性响应的供应商，在规定的时间内提交最后报价，但最后报价不得高于上一次报价，否则其投标将被否决。</w:t>
      </w:r>
    </w:p>
    <w:p>
      <w:pPr>
        <w:pStyle w:val="19"/>
        <w:numPr>
          <w:ilvl w:val="2"/>
          <w:numId w:val="6"/>
        </w:numPr>
        <w:tabs>
          <w:tab w:val="left" w:pos="1534"/>
        </w:tabs>
        <w:autoSpaceDE w:val="0"/>
        <w:autoSpaceDN w:val="0"/>
        <w:bidi w:val="0"/>
        <w:spacing w:before="31" w:after="160" w:line="240" w:lineRule="auto"/>
        <w:ind w:left="273" w:right="91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投标供应商的最后报价采取密封的形式提交。投标供应商在进行最后报</w:t>
      </w:r>
      <w:r>
        <w:rPr>
          <w:rFonts w:hint="eastAsia" w:ascii="宋体" w:hAnsi="宋体" w:eastAsia="宋体" w:cs="宋体"/>
          <w:color w:val="auto"/>
          <w:position w:val="0"/>
          <w:sz w:val="24"/>
          <w:szCs w:val="24"/>
        </w:rPr>
        <w:t>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pStyle w:val="19"/>
        <w:numPr>
          <w:ilvl w:val="2"/>
          <w:numId w:val="6"/>
        </w:numPr>
        <w:tabs>
          <w:tab w:val="left" w:pos="1594"/>
        </w:tabs>
        <w:autoSpaceDE w:val="0"/>
        <w:autoSpaceDN w:val="0"/>
        <w:bidi w:val="0"/>
        <w:spacing w:before="0" w:after="160" w:line="240" w:lineRule="auto"/>
        <w:ind w:left="1593" w:right="0" w:hanging="841"/>
        <w:jc w:val="both"/>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经磋商确定最终采购需求和提交最后报价的供应商后，由评审小组采用</w:t>
      </w:r>
    </w:p>
    <w:p>
      <w:pPr>
        <w:pStyle w:val="10"/>
        <w:numPr>
          <w:ilvl w:val="0"/>
          <w:numId w:val="0"/>
        </w:numPr>
        <w:autoSpaceDE w:val="0"/>
        <w:autoSpaceDN w:val="0"/>
        <w:spacing w:before="91" w:after="160" w:line="240" w:lineRule="auto"/>
        <w:ind w:left="27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综合评分法对提交最后报价的供应商的价格得分进行计算。</w:t>
      </w:r>
    </w:p>
    <w:p>
      <w:pPr>
        <w:pStyle w:val="19"/>
        <w:numPr>
          <w:ilvl w:val="2"/>
          <w:numId w:val="6"/>
        </w:numPr>
        <w:tabs>
          <w:tab w:val="left" w:pos="1594"/>
        </w:tabs>
        <w:autoSpaceDE w:val="0"/>
        <w:autoSpaceDN w:val="0"/>
        <w:bidi w:val="0"/>
        <w:spacing w:before="94" w:after="160" w:line="240" w:lineRule="auto"/>
        <w:ind w:left="1593" w:right="0" w:hanging="841"/>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供应商的投标报价得分计算说明：</w:t>
      </w:r>
    </w:p>
    <w:p>
      <w:pPr>
        <w:pStyle w:val="10"/>
        <w:numPr>
          <w:ilvl w:val="0"/>
          <w:numId w:val="0"/>
        </w:numPr>
        <w:autoSpaceDE w:val="0"/>
        <w:autoSpaceDN w:val="0"/>
        <w:spacing w:before="124"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价格分统一采用低价优先法计算，即满足磋商文件要求且最后报价最低的供应商的价格为磋商基准价，其价格分为满分。其他供应商的价格分统一按照下列公式计算：</w:t>
      </w:r>
    </w:p>
    <w:p>
      <w:pPr>
        <w:pStyle w:val="10"/>
        <w:numPr>
          <w:ilvl w:val="0"/>
          <w:numId w:val="0"/>
        </w:numPr>
        <w:autoSpaceDE w:val="0"/>
        <w:autoSpaceDN w:val="0"/>
        <w:spacing w:before="1" w:after="160" w:line="240" w:lineRule="auto"/>
        <w:ind w:left="753" w:right="253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磋商报价得分=（磋商基准价/最后磋商报价）×价格权值×100 本项目的价格权</w:t>
      </w:r>
      <w:r>
        <w:rPr>
          <w:rFonts w:hint="eastAsia" w:ascii="宋体" w:hAnsi="宋体" w:eastAsia="宋体" w:cs="宋体"/>
          <w:color w:val="000000"/>
          <w:position w:val="0"/>
          <w:sz w:val="24"/>
          <w:szCs w:val="24"/>
        </w:rPr>
        <w:t>值为30%。</w:t>
      </w:r>
    </w:p>
    <w:p>
      <w:pPr>
        <w:pStyle w:val="10"/>
        <w:numPr>
          <w:ilvl w:val="0"/>
          <w:numId w:val="0"/>
        </w:numPr>
        <w:autoSpaceDE w:val="0"/>
        <w:autoSpaceDN w:val="0"/>
        <w:spacing w:before="1"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项目评审过程中，不得去掉最终报价中的最高报价和最低报价。</w:t>
      </w:r>
    </w:p>
    <w:p>
      <w:pPr>
        <w:ind w:firstLine="720" w:firstLineChars="300"/>
        <w:rPr>
          <w:rFonts w:hint="eastAsia" w:eastAsia="宋体"/>
          <w:lang w:eastAsia="zh-CN"/>
        </w:rPr>
      </w:pPr>
      <w:r>
        <w:rPr>
          <w:rFonts w:hint="eastAsia" w:ascii="宋体" w:hAnsi="宋体" w:eastAsia="宋体" w:cs="宋体"/>
          <w:color w:val="auto"/>
          <w:position w:val="0"/>
          <w:sz w:val="24"/>
          <w:szCs w:val="24"/>
          <w:lang w:eastAsia="zh-CN"/>
        </w:rPr>
        <w:t>最低报价不作为中标的唯一依据。</w:t>
      </w:r>
    </w:p>
    <w:p>
      <w:pPr>
        <w:pStyle w:val="10"/>
        <w:numPr>
          <w:ilvl w:val="0"/>
          <w:numId w:val="0"/>
        </w:numPr>
        <w:autoSpaceDE w:val="0"/>
        <w:autoSpaceDN w:val="0"/>
        <w:spacing w:before="132" w:after="160" w:line="240" w:lineRule="auto"/>
        <w:ind w:left="273" w:right="75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产品符合促进中小企业</w:t>
      </w:r>
      <w:r>
        <w:rPr>
          <w:rFonts w:hint="eastAsia" w:ascii="宋体" w:hAnsi="宋体" w:eastAsia="宋体" w:cs="宋体"/>
          <w:color w:val="auto"/>
          <w:spacing w:val="4"/>
          <w:position w:val="0"/>
          <w:sz w:val="24"/>
          <w:szCs w:val="24"/>
        </w:rPr>
        <w:t>（</w:t>
      </w:r>
      <w:r>
        <w:rPr>
          <w:rFonts w:hint="eastAsia" w:ascii="宋体" w:hAnsi="宋体" w:eastAsia="宋体" w:cs="宋体"/>
          <w:color w:val="auto"/>
          <w:position w:val="0"/>
          <w:sz w:val="24"/>
          <w:szCs w:val="24"/>
        </w:rPr>
        <w:t>监狱企业、残疾人福利性单位）发展政策的，对小型和微型企业（监狱企业、残疾人福利性单位）</w:t>
      </w:r>
      <w:r>
        <w:rPr>
          <w:rFonts w:hint="eastAsia" w:ascii="宋体" w:hAnsi="宋体" w:eastAsia="宋体" w:cs="宋体"/>
          <w:color w:val="auto"/>
          <w:spacing w:val="-7"/>
          <w:position w:val="0"/>
          <w:sz w:val="24"/>
          <w:szCs w:val="24"/>
        </w:rPr>
        <w:t>产品的价格给予</w:t>
      </w:r>
      <w:r>
        <w:rPr>
          <w:rFonts w:hint="eastAsia" w:ascii="宋体" w:hAnsi="宋体" w:eastAsia="宋体" w:cs="宋体"/>
          <w:color w:val="auto"/>
          <w:position w:val="0"/>
          <w:sz w:val="24"/>
          <w:szCs w:val="24"/>
        </w:rPr>
        <w:t>6%的扣除，用扣除后</w:t>
      </w:r>
      <w:r>
        <w:rPr>
          <w:rFonts w:hint="eastAsia" w:ascii="宋体" w:hAnsi="宋体" w:eastAsia="宋体" w:cs="宋体"/>
          <w:color w:val="auto"/>
          <w:spacing w:val="-3"/>
          <w:position w:val="0"/>
          <w:sz w:val="24"/>
          <w:szCs w:val="24"/>
        </w:rPr>
        <w:t>的价格参与评审打分。若投标人和小微企业的产品</w:t>
      </w:r>
      <w:r>
        <w:rPr>
          <w:rFonts w:hint="eastAsia" w:ascii="宋体" w:hAnsi="宋体" w:eastAsia="宋体" w:cs="宋体"/>
          <w:color w:val="auto"/>
          <w:position w:val="0"/>
          <w:sz w:val="24"/>
          <w:szCs w:val="24"/>
        </w:rPr>
        <w:t>/服务制造商有一个符合小微企业条件，并且提供了《中小企业声明函》及加盖单位公章的声明函附件</w:t>
      </w:r>
      <w:r>
        <w:rPr>
          <w:rFonts w:hint="eastAsia" w:ascii="宋体" w:hAnsi="宋体" w:eastAsia="宋体" w:cs="宋体"/>
          <w:color w:val="auto"/>
          <w:spacing w:val="4"/>
          <w:position w:val="0"/>
          <w:sz w:val="24"/>
          <w:szCs w:val="24"/>
        </w:rPr>
        <w:t>（</w:t>
      </w:r>
      <w:r>
        <w:rPr>
          <w:rFonts w:hint="eastAsia" w:ascii="宋体" w:hAnsi="宋体" w:eastAsia="宋体" w:cs="宋体"/>
          <w:color w:val="auto"/>
          <w:position w:val="0"/>
          <w:sz w:val="24"/>
          <w:szCs w:val="24"/>
        </w:rPr>
        <w:t>须说明投标人和产品/</w:t>
      </w:r>
      <w:r>
        <w:rPr>
          <w:rFonts w:hint="eastAsia" w:ascii="宋体" w:hAnsi="宋体" w:eastAsia="宋体" w:cs="宋体"/>
          <w:color w:val="auto"/>
          <w:spacing w:val="-11"/>
          <w:position w:val="0"/>
          <w:sz w:val="24"/>
          <w:szCs w:val="24"/>
        </w:rPr>
        <w:t>服务制造商的从业人员、营业收入、资产总额、应纳税所得额等相关情况</w:t>
      </w:r>
      <w:r>
        <w:rPr>
          <w:rFonts w:hint="eastAsia" w:ascii="宋体" w:hAnsi="宋体" w:eastAsia="宋体" w:cs="宋体"/>
          <w:color w:val="auto"/>
          <w:spacing w:val="-16"/>
          <w:position w:val="0"/>
          <w:sz w:val="24"/>
          <w:szCs w:val="24"/>
        </w:rPr>
        <w:t>）</w:t>
      </w:r>
      <w:r>
        <w:rPr>
          <w:rFonts w:hint="eastAsia" w:ascii="宋体" w:hAnsi="宋体" w:eastAsia="宋体" w:cs="宋体"/>
          <w:color w:val="auto"/>
          <w:spacing w:val="6"/>
          <w:position w:val="0"/>
          <w:sz w:val="24"/>
          <w:szCs w:val="24"/>
        </w:rPr>
        <w:t>的，则其评标价= 投标人报价中属于小型和微型企业产品</w:t>
      </w:r>
      <w:r>
        <w:rPr>
          <w:rFonts w:hint="eastAsia" w:ascii="宋体" w:hAnsi="宋体" w:eastAsia="宋体" w:cs="宋体"/>
          <w:color w:val="auto"/>
          <w:position w:val="0"/>
          <w:sz w:val="24"/>
          <w:szCs w:val="24"/>
        </w:rPr>
        <w:t>/</w:t>
      </w:r>
      <w:r>
        <w:rPr>
          <w:rFonts w:hint="eastAsia" w:ascii="宋体" w:hAnsi="宋体" w:eastAsia="宋体" w:cs="宋体"/>
          <w:color w:val="auto"/>
          <w:spacing w:val="7"/>
          <w:position w:val="0"/>
          <w:sz w:val="24"/>
          <w:szCs w:val="24"/>
        </w:rPr>
        <w:t>服务的价格部分×</w:t>
      </w:r>
    </w:p>
    <w:p>
      <w:pPr>
        <w:pStyle w:val="10"/>
        <w:numPr>
          <w:ilvl w:val="0"/>
          <w:numId w:val="0"/>
        </w:numPr>
        <w:autoSpaceDE w:val="0"/>
        <w:autoSpaceDN w:val="0"/>
        <w:spacing w:before="2" w:after="160" w:line="240" w:lineRule="auto"/>
        <w:ind w:left="273" w:right="828"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（100%-6%）+投标人报价中不属于小型和微型企业产品/服务的价格部分；否则，其评标价=投标人报价。</w:t>
      </w:r>
    </w:p>
    <w:p>
      <w:pPr>
        <w:pStyle w:val="10"/>
        <w:numPr>
          <w:ilvl w:val="0"/>
          <w:numId w:val="0"/>
        </w:numPr>
        <w:autoSpaceDE w:val="0"/>
        <w:autoSpaceDN w:val="0"/>
        <w:spacing w:before="1"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注:小型、微型企业提供中型（或大型）企业制造的货物的，视同为中型（或大</w:t>
      </w:r>
    </w:p>
    <w:p>
      <w:pPr>
        <w:pStyle w:val="10"/>
        <w:numPr>
          <w:ilvl w:val="0"/>
          <w:numId w:val="0"/>
        </w:numPr>
        <w:autoSpaceDE w:val="0"/>
        <w:autoSpaceDN w:val="0"/>
        <w:spacing w:before="52" w:after="160" w:line="240" w:lineRule="auto"/>
        <w:ind w:left="27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型）企业，不享受本项优惠。</w:t>
      </w:r>
    </w:p>
    <w:p>
      <w:pPr>
        <w:pStyle w:val="19"/>
        <w:numPr>
          <w:ilvl w:val="2"/>
          <w:numId w:val="6"/>
        </w:numPr>
        <w:tabs>
          <w:tab w:val="left" w:pos="1601"/>
        </w:tabs>
        <w:autoSpaceDE w:val="0"/>
        <w:autoSpaceDN w:val="0"/>
        <w:bidi w:val="0"/>
        <w:spacing w:before="134"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评审小组认为投标人的报价明显低于其他通过符合性审查投标人的报</w:t>
      </w:r>
      <w:r>
        <w:rPr>
          <w:rFonts w:hint="eastAsia" w:ascii="宋体" w:hAnsi="宋体" w:eastAsia="宋体" w:cs="宋体"/>
          <w:color w:val="auto"/>
          <w:position w:val="0"/>
          <w:sz w:val="24"/>
          <w:szCs w:val="24"/>
        </w:rPr>
        <w:t>价，有可能影响产品质量或者不能诚信履约的，应当要求其在评审现场合理的时间内提供书面说明，必要时提交相关证明材料；投标人不能证明其报价合理性的，评审小组应当将其作为无效投标处理。</w:t>
      </w:r>
    </w:p>
    <w:p>
      <w:pPr>
        <w:pStyle w:val="19"/>
        <w:numPr>
          <w:ilvl w:val="1"/>
          <w:numId w:val="6"/>
        </w:numPr>
        <w:tabs>
          <w:tab w:val="left" w:pos="1335"/>
        </w:tabs>
        <w:autoSpaceDE w:val="0"/>
        <w:autoSpaceDN w:val="0"/>
        <w:bidi w:val="0"/>
        <w:spacing w:before="0" w:after="160" w:line="240" w:lineRule="auto"/>
        <w:ind w:left="1334" w:right="0" w:hanging="589"/>
        <w:jc w:val="both"/>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综合得分</w:t>
      </w:r>
    </w:p>
    <w:p>
      <w:pPr>
        <w:pStyle w:val="19"/>
        <w:numPr>
          <w:ilvl w:val="0"/>
          <w:numId w:val="0"/>
        </w:numPr>
        <w:tabs>
          <w:tab w:val="left" w:pos="1335"/>
        </w:tabs>
        <w:autoSpaceDE w:val="0"/>
        <w:autoSpaceDN w:val="0"/>
        <w:bidi w:val="0"/>
        <w:spacing w:before="0" w:after="160" w:line="240" w:lineRule="auto"/>
        <w:ind w:left="745" w:leftChars="0" w:right="0" w:rightChars="0"/>
        <w:jc w:val="both"/>
        <w:rPr>
          <w:rFonts w:hint="eastAsia" w:ascii="宋体" w:hAnsi="宋体" w:eastAsia="宋体" w:cs="宋体"/>
          <w:b/>
          <w:bCs/>
          <w:color w:val="auto"/>
          <w:position w:val="0"/>
          <w:sz w:val="24"/>
          <w:szCs w:val="24"/>
        </w:rPr>
      </w:pPr>
      <w:r>
        <w:rPr>
          <w:rFonts w:hint="eastAsia" w:ascii="宋体" w:hAnsi="宋体" w:eastAsia="宋体" w:cs="宋体"/>
          <w:color w:val="auto"/>
          <w:spacing w:val="-4"/>
          <w:position w:val="0"/>
          <w:sz w:val="24"/>
          <w:szCs w:val="24"/>
        </w:rPr>
        <w:t>综合得分=商务技术部分得分+ 投标报价部分得分。</w:t>
      </w:r>
      <w:r>
        <w:rPr>
          <w:rFonts w:hint="eastAsia" w:ascii="宋体" w:hAnsi="宋体" w:eastAsia="宋体" w:cs="宋体"/>
          <w:b/>
          <w:bCs/>
          <w:color w:val="auto"/>
          <w:spacing w:val="-4"/>
          <w:position w:val="0"/>
          <w:sz w:val="24"/>
          <w:szCs w:val="24"/>
        </w:rPr>
        <w:t>详细评审的标准详见附表2</w:t>
      </w:r>
    </w:p>
    <w:p>
      <w:pPr>
        <w:numPr>
          <w:ilvl w:val="0"/>
          <w:numId w:val="0"/>
        </w:numPr>
        <w:autoSpaceDE w:val="0"/>
        <w:autoSpaceDN w:val="0"/>
        <w:spacing w:before="132" w:after="160" w:line="345" w:lineRule="auto"/>
        <w:ind w:left="746" w:right="3826" w:firstLine="0"/>
        <w:jc w:val="both"/>
        <w:rPr>
          <w:rFonts w:hint="eastAsia" w:ascii="宋体" w:hAnsi="宋体" w:eastAsia="宋体" w:cs="宋体"/>
          <w:color w:val="auto"/>
          <w:position w:val="0"/>
          <w:sz w:val="24"/>
          <w:szCs w:val="24"/>
        </w:rPr>
        <w:sectPr>
          <w:footerReference r:id="rId4" w:type="default"/>
          <w:pgSz w:w="11910" w:h="16840"/>
          <w:pgMar w:top="1460" w:right="820" w:bottom="960" w:left="1200" w:header="0" w:footer="778" w:gutter="0"/>
          <w:pgNumType w:fmt="decimal"/>
          <w:cols w:space="720" w:num="1"/>
          <w:docGrid w:linePitch="360" w:charSpace="6144"/>
        </w:sectPr>
      </w:pPr>
    </w:p>
    <w:p>
      <w:pPr>
        <w:numPr>
          <w:ilvl w:val="0"/>
          <w:numId w:val="0"/>
        </w:numPr>
        <w:autoSpaceDE w:val="0"/>
        <w:autoSpaceDN w:val="0"/>
        <w:spacing w:before="62" w:after="160" w:line="240" w:lineRule="auto"/>
        <w:ind w:right="0" w:firstLine="0"/>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附表 1：初步评审-符合性审查表</w:t>
      </w:r>
    </w:p>
    <w:tbl>
      <w:tblPr>
        <w:tblStyle w:val="16"/>
        <w:tblW w:w="9010" w:type="dxa"/>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1"/>
        <w:gridCol w:w="7090"/>
        <w:gridCol w:w="633"/>
        <w:gridCol w:w="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21" w:type="dxa"/>
            <w:vMerge w:val="restart"/>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159" w:after="160" w:line="240" w:lineRule="auto"/>
              <w:ind w:left="129"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序号</w:t>
            </w:r>
          </w:p>
        </w:tc>
        <w:tc>
          <w:tcPr>
            <w:tcW w:w="7090" w:type="dxa"/>
            <w:vMerge w:val="restart"/>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159" w:after="160" w:line="240" w:lineRule="auto"/>
              <w:ind w:left="2390" w:right="2331"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响应文件符合性审查内容</w:t>
            </w:r>
          </w:p>
        </w:tc>
        <w:tc>
          <w:tcPr>
            <w:tcW w:w="1299" w:type="dxa"/>
            <w:gridSpan w:val="2"/>
            <w:noWrap w:val="0"/>
            <w:vAlign w:val="top"/>
          </w:tcPr>
          <w:p>
            <w:pPr>
              <w:pStyle w:val="18"/>
              <w:numPr>
                <w:ilvl w:val="0"/>
                <w:numId w:val="0"/>
              </w:numPr>
              <w:autoSpaceDE w:val="0"/>
              <w:autoSpaceDN w:val="0"/>
              <w:spacing w:before="180" w:after="160" w:line="240" w:lineRule="auto"/>
              <w:ind w:left="254"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621" w:type="dxa"/>
            <w:vMerge w:val="continue"/>
            <w:noWrap w:val="0"/>
            <w:vAlign w:val="top"/>
          </w:tcPr>
          <w:p>
            <w:pPr>
              <w:rPr>
                <w:rFonts w:hint="eastAsia" w:ascii="宋体" w:hAnsi="宋体" w:eastAsia="宋体" w:cs="宋体"/>
                <w:sz w:val="22"/>
                <w:szCs w:val="22"/>
              </w:rPr>
            </w:pPr>
          </w:p>
        </w:tc>
        <w:tc>
          <w:tcPr>
            <w:tcW w:w="7090" w:type="dxa"/>
            <w:vMerge w:val="continue"/>
            <w:noWrap w:val="0"/>
            <w:vAlign w:val="top"/>
          </w:tcPr>
          <w:p>
            <w:pPr>
              <w:rPr>
                <w:rFonts w:hint="eastAsia" w:ascii="宋体" w:hAnsi="宋体" w:eastAsia="宋体" w:cs="宋体"/>
                <w:sz w:val="22"/>
                <w:szCs w:val="22"/>
              </w:rPr>
            </w:pPr>
          </w:p>
        </w:tc>
        <w:tc>
          <w:tcPr>
            <w:tcW w:w="633" w:type="dxa"/>
            <w:noWrap w:val="0"/>
            <w:vAlign w:val="top"/>
          </w:tcPr>
          <w:p>
            <w:pPr>
              <w:pStyle w:val="18"/>
              <w:numPr>
                <w:ilvl w:val="0"/>
                <w:numId w:val="0"/>
              </w:numPr>
              <w:autoSpaceDE w:val="0"/>
              <w:autoSpaceDN w:val="0"/>
              <w:spacing w:before="140" w:after="160" w:line="240" w:lineRule="auto"/>
              <w:ind w:left="237" w:right="0" w:firstLine="0"/>
              <w:jc w:val="left"/>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是</w:t>
            </w:r>
          </w:p>
        </w:tc>
        <w:tc>
          <w:tcPr>
            <w:tcW w:w="666" w:type="dxa"/>
            <w:noWrap w:val="0"/>
            <w:vAlign w:val="top"/>
          </w:tcPr>
          <w:p>
            <w:pPr>
              <w:pStyle w:val="18"/>
              <w:numPr>
                <w:ilvl w:val="0"/>
                <w:numId w:val="0"/>
              </w:numPr>
              <w:autoSpaceDE w:val="0"/>
              <w:autoSpaceDN w:val="0"/>
              <w:spacing w:before="140" w:after="160" w:line="240" w:lineRule="auto"/>
              <w:ind w:left="252" w:right="0" w:firstLine="0"/>
              <w:jc w:val="left"/>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hRule="atLeast"/>
        </w:trPr>
        <w:tc>
          <w:tcPr>
            <w:tcW w:w="621" w:type="dxa"/>
            <w:noWrap w:val="0"/>
            <w:vAlign w:val="top"/>
          </w:tcPr>
          <w:p>
            <w:pPr>
              <w:pStyle w:val="18"/>
              <w:numPr>
                <w:ilvl w:val="0"/>
                <w:numId w:val="0"/>
              </w:numPr>
              <w:autoSpaceDE w:val="0"/>
              <w:autoSpaceDN w:val="0"/>
              <w:spacing w:before="154"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1</w:t>
            </w:r>
          </w:p>
        </w:tc>
        <w:tc>
          <w:tcPr>
            <w:tcW w:w="7090" w:type="dxa"/>
            <w:noWrap w:val="0"/>
            <w:vAlign w:val="top"/>
          </w:tcPr>
          <w:p>
            <w:pPr>
              <w:pStyle w:val="18"/>
              <w:numPr>
                <w:ilvl w:val="0"/>
                <w:numId w:val="0"/>
              </w:numPr>
              <w:autoSpaceDE w:val="0"/>
              <w:autoSpaceDN w:val="0"/>
              <w:spacing w:before="2" w:after="160" w:line="280" w:lineRule="atLeast"/>
              <w:ind w:left="56" w:right="78"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凡竞争性磋商文件中要求盖章或签字处，是否按要求加盖单位公章、法定代表人或被授权委托人签字或盖章的。</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621" w:type="dxa"/>
            <w:noWrap w:val="0"/>
            <w:vAlign w:val="top"/>
          </w:tcPr>
          <w:p>
            <w:pPr>
              <w:pStyle w:val="18"/>
              <w:numPr>
                <w:ilvl w:val="0"/>
                <w:numId w:val="0"/>
              </w:numPr>
              <w:autoSpaceDE w:val="0"/>
              <w:autoSpaceDN w:val="0"/>
              <w:spacing w:before="151"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2</w:t>
            </w:r>
          </w:p>
        </w:tc>
        <w:tc>
          <w:tcPr>
            <w:tcW w:w="7090" w:type="dxa"/>
            <w:noWrap w:val="0"/>
            <w:vAlign w:val="top"/>
          </w:tcPr>
          <w:p>
            <w:pPr>
              <w:pStyle w:val="18"/>
              <w:numPr>
                <w:ilvl w:val="0"/>
                <w:numId w:val="0"/>
              </w:numPr>
              <w:autoSpaceDE w:val="0"/>
              <w:autoSpaceDN w:val="0"/>
              <w:spacing w:before="1" w:after="160" w:line="280" w:lineRule="atLeast"/>
              <w:ind w:left="56" w:right="76"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响应文件组成齐全完整，内容均按规定填写；响应文件的关键内容无字迹模糊、无法辨认的。</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 w:hRule="atLeast"/>
        </w:trPr>
        <w:tc>
          <w:tcPr>
            <w:tcW w:w="621" w:type="dxa"/>
            <w:noWrap w:val="0"/>
            <w:vAlign w:val="top"/>
          </w:tcPr>
          <w:p>
            <w:pPr>
              <w:pStyle w:val="18"/>
              <w:numPr>
                <w:ilvl w:val="0"/>
                <w:numId w:val="0"/>
              </w:numPr>
              <w:autoSpaceDE w:val="0"/>
              <w:autoSpaceDN w:val="0"/>
              <w:spacing w:before="70"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3</w:t>
            </w:r>
          </w:p>
        </w:tc>
        <w:tc>
          <w:tcPr>
            <w:tcW w:w="7090" w:type="dxa"/>
            <w:noWrap w:val="0"/>
            <w:vAlign w:val="top"/>
          </w:tcPr>
          <w:p>
            <w:pPr>
              <w:pStyle w:val="18"/>
              <w:numPr>
                <w:ilvl w:val="0"/>
                <w:numId w:val="0"/>
              </w:numPr>
              <w:autoSpaceDE w:val="0"/>
              <w:autoSpaceDN w:val="0"/>
              <w:spacing w:before="70" w:after="160" w:line="240" w:lineRule="auto"/>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响应文件提交的份数及装订，是否满足竞争性磋商文件的要求。</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621" w:type="dxa"/>
            <w:noWrap w:val="0"/>
            <w:vAlign w:val="top"/>
          </w:tcPr>
          <w:p>
            <w:pPr>
              <w:pStyle w:val="18"/>
              <w:numPr>
                <w:ilvl w:val="0"/>
                <w:numId w:val="0"/>
              </w:numPr>
              <w:autoSpaceDE w:val="0"/>
              <w:autoSpaceDN w:val="0"/>
              <w:spacing w:before="71"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4</w:t>
            </w:r>
          </w:p>
        </w:tc>
        <w:tc>
          <w:tcPr>
            <w:tcW w:w="7090" w:type="dxa"/>
            <w:noWrap w:val="0"/>
            <w:vAlign w:val="top"/>
          </w:tcPr>
          <w:p>
            <w:pPr>
              <w:pStyle w:val="18"/>
              <w:numPr>
                <w:ilvl w:val="0"/>
                <w:numId w:val="0"/>
              </w:numPr>
              <w:autoSpaceDE w:val="0"/>
              <w:autoSpaceDN w:val="0"/>
              <w:spacing w:before="71" w:after="160" w:line="240" w:lineRule="auto"/>
              <w:ind w:left="56" w:right="0" w:firstLine="0"/>
              <w:jc w:val="left"/>
              <w:rPr>
                <w:rFonts w:hint="eastAsia" w:ascii="宋体" w:hAnsi="宋体" w:eastAsia="宋体" w:cs="宋体"/>
                <w:color w:val="auto"/>
                <w:position w:val="0"/>
                <w:sz w:val="22"/>
                <w:szCs w:val="22"/>
                <w:lang w:eastAsia="zh-CN"/>
              </w:rPr>
            </w:pPr>
            <w:r>
              <w:rPr>
                <w:rFonts w:hint="eastAsia" w:ascii="宋体" w:hAnsi="宋体" w:eastAsia="宋体" w:cs="宋体"/>
                <w:color w:val="auto"/>
                <w:position w:val="0"/>
                <w:sz w:val="22"/>
                <w:szCs w:val="22"/>
              </w:rPr>
              <w:t>投标人按照竞争性磋商文件规定的金额、形式、时效和内容提供了投标担保</w:t>
            </w:r>
            <w:r>
              <w:rPr>
                <w:rFonts w:hint="eastAsia" w:ascii="宋体" w:hAnsi="宋体" w:eastAsia="宋体" w:cs="宋体"/>
                <w:color w:val="auto"/>
                <w:position w:val="0"/>
                <w:sz w:val="22"/>
                <w:szCs w:val="22"/>
                <w:lang w:eastAsia="zh-CN"/>
              </w:rPr>
              <w:t>。</w:t>
            </w:r>
          </w:p>
        </w:tc>
        <w:tc>
          <w:tcPr>
            <w:tcW w:w="633" w:type="dxa"/>
            <w:noWrap w:val="0"/>
            <w:vAlign w:val="top"/>
          </w:tcPr>
          <w:p>
            <w:pPr>
              <w:pStyle w:val="18"/>
              <w:numPr>
                <w:ilvl w:val="0"/>
                <w:numId w:val="0"/>
              </w:numPr>
              <w:autoSpaceDE w:val="0"/>
              <w:autoSpaceDN w:val="0"/>
              <w:spacing w:before="71" w:after="160" w:line="240" w:lineRule="auto"/>
              <w:ind w:left="-111" w:right="0" w:firstLine="0"/>
              <w:jc w:val="left"/>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w:t>
            </w: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0" w:hRule="atLeast"/>
        </w:trPr>
        <w:tc>
          <w:tcPr>
            <w:tcW w:w="621" w:type="dxa"/>
            <w:noWrap w:val="0"/>
            <w:vAlign w:val="top"/>
          </w:tcPr>
          <w:p>
            <w:pPr>
              <w:pStyle w:val="18"/>
              <w:numPr>
                <w:ilvl w:val="0"/>
                <w:numId w:val="0"/>
              </w:numPr>
              <w:autoSpaceDE w:val="0"/>
              <w:autoSpaceDN w:val="0"/>
              <w:spacing w:before="11"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5</w:t>
            </w:r>
          </w:p>
        </w:tc>
        <w:tc>
          <w:tcPr>
            <w:tcW w:w="7090" w:type="dxa"/>
            <w:noWrap w:val="0"/>
            <w:vAlign w:val="top"/>
          </w:tcPr>
          <w:p>
            <w:pPr>
              <w:pStyle w:val="18"/>
              <w:numPr>
                <w:ilvl w:val="0"/>
                <w:numId w:val="0"/>
              </w:numPr>
              <w:autoSpaceDE w:val="0"/>
              <w:autoSpaceDN w:val="0"/>
              <w:spacing w:before="15" w:after="160" w:line="247" w:lineRule="auto"/>
              <w:ind w:left="56" w:right="76"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响应文件是否实质上响应了竞争性磋商文件的要求。实质上响应的投标应该是与竞争性磋商文件要求的全部条款、条件等相符，没有重大偏离或保留的</w:t>
            </w:r>
          </w:p>
          <w:p>
            <w:pPr>
              <w:pStyle w:val="18"/>
              <w:numPr>
                <w:ilvl w:val="0"/>
                <w:numId w:val="0"/>
              </w:numPr>
              <w:autoSpaceDE w:val="0"/>
              <w:autoSpaceDN w:val="0"/>
              <w:spacing w:before="5" w:after="160" w:line="246" w:lineRule="exact"/>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投标。</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621" w:type="dxa"/>
            <w:noWrap w:val="0"/>
            <w:vAlign w:val="top"/>
          </w:tcPr>
          <w:p>
            <w:pPr>
              <w:pStyle w:val="18"/>
              <w:numPr>
                <w:ilvl w:val="0"/>
                <w:numId w:val="0"/>
              </w:numPr>
              <w:autoSpaceDE w:val="0"/>
              <w:autoSpaceDN w:val="0"/>
              <w:spacing w:before="153"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6</w:t>
            </w:r>
          </w:p>
        </w:tc>
        <w:tc>
          <w:tcPr>
            <w:tcW w:w="7090" w:type="dxa"/>
            <w:noWrap w:val="0"/>
            <w:vAlign w:val="top"/>
          </w:tcPr>
          <w:p>
            <w:pPr>
              <w:pStyle w:val="18"/>
              <w:numPr>
                <w:ilvl w:val="0"/>
                <w:numId w:val="0"/>
              </w:numPr>
              <w:autoSpaceDE w:val="0"/>
              <w:autoSpaceDN w:val="0"/>
              <w:spacing w:before="3" w:after="160" w:line="280" w:lineRule="atLeast"/>
              <w:ind w:left="56" w:right="35"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一份响应文件应只有一个投标报价，在竞争性磋商文件没有规定的情况下，未提交选择性的报价。</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3" w:hRule="atLeast"/>
        </w:trPr>
        <w:tc>
          <w:tcPr>
            <w:tcW w:w="621" w:type="dxa"/>
            <w:noWrap w:val="0"/>
            <w:vAlign w:val="top"/>
          </w:tcPr>
          <w:p>
            <w:pPr>
              <w:pStyle w:val="18"/>
              <w:numPr>
                <w:ilvl w:val="0"/>
                <w:numId w:val="0"/>
              </w:numPr>
              <w:autoSpaceDE w:val="0"/>
              <w:autoSpaceDN w:val="0"/>
              <w:spacing w:before="68"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7</w:t>
            </w:r>
          </w:p>
        </w:tc>
        <w:tc>
          <w:tcPr>
            <w:tcW w:w="7090" w:type="dxa"/>
            <w:noWrap w:val="0"/>
            <w:vAlign w:val="top"/>
          </w:tcPr>
          <w:p>
            <w:pPr>
              <w:pStyle w:val="18"/>
              <w:numPr>
                <w:ilvl w:val="0"/>
                <w:numId w:val="0"/>
              </w:numPr>
              <w:autoSpaceDE w:val="0"/>
              <w:autoSpaceDN w:val="0"/>
              <w:spacing w:before="68" w:after="160" w:line="240" w:lineRule="auto"/>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投标人的投标报价未超出</w:t>
            </w:r>
            <w:r>
              <w:rPr>
                <w:rFonts w:hint="eastAsia" w:ascii="宋体" w:hAnsi="宋体" w:eastAsia="宋体" w:cs="宋体"/>
                <w:color w:val="auto"/>
                <w:position w:val="0"/>
                <w:sz w:val="22"/>
                <w:szCs w:val="22"/>
                <w:lang w:eastAsia="zh-CN"/>
              </w:rPr>
              <w:t>预算金额</w:t>
            </w:r>
            <w:r>
              <w:rPr>
                <w:rFonts w:hint="eastAsia" w:ascii="宋体" w:hAnsi="宋体" w:eastAsia="宋体" w:cs="宋体"/>
                <w:color w:val="auto"/>
                <w:position w:val="0"/>
                <w:sz w:val="22"/>
                <w:szCs w:val="22"/>
              </w:rPr>
              <w:t>。</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621" w:type="dxa"/>
            <w:noWrap w:val="0"/>
            <w:vAlign w:val="top"/>
          </w:tcPr>
          <w:p>
            <w:pPr>
              <w:pStyle w:val="18"/>
              <w:numPr>
                <w:ilvl w:val="0"/>
                <w:numId w:val="0"/>
              </w:numPr>
              <w:autoSpaceDE w:val="0"/>
              <w:autoSpaceDN w:val="0"/>
              <w:spacing w:before="72"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8</w:t>
            </w:r>
          </w:p>
        </w:tc>
        <w:tc>
          <w:tcPr>
            <w:tcW w:w="7090" w:type="dxa"/>
            <w:noWrap w:val="0"/>
            <w:vAlign w:val="top"/>
          </w:tcPr>
          <w:p>
            <w:pPr>
              <w:pStyle w:val="18"/>
              <w:numPr>
                <w:ilvl w:val="0"/>
                <w:numId w:val="0"/>
              </w:numPr>
              <w:autoSpaceDE w:val="0"/>
              <w:autoSpaceDN w:val="0"/>
              <w:spacing w:before="72" w:after="160" w:line="240" w:lineRule="auto"/>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投标人的工期未超出招标文件规定的工期。</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621" w:type="dxa"/>
            <w:noWrap w:val="0"/>
            <w:vAlign w:val="top"/>
          </w:tcPr>
          <w:p>
            <w:pPr>
              <w:pStyle w:val="18"/>
              <w:numPr>
                <w:ilvl w:val="0"/>
                <w:numId w:val="0"/>
              </w:numPr>
              <w:autoSpaceDE w:val="0"/>
              <w:autoSpaceDN w:val="0"/>
              <w:spacing w:before="73" w:after="160" w:line="240" w:lineRule="auto"/>
              <w:ind w:left="6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9</w:t>
            </w:r>
          </w:p>
        </w:tc>
        <w:tc>
          <w:tcPr>
            <w:tcW w:w="7090" w:type="dxa"/>
            <w:noWrap w:val="0"/>
            <w:vAlign w:val="top"/>
          </w:tcPr>
          <w:p>
            <w:pPr>
              <w:pStyle w:val="18"/>
              <w:numPr>
                <w:ilvl w:val="0"/>
                <w:numId w:val="0"/>
              </w:numPr>
              <w:autoSpaceDE w:val="0"/>
              <w:autoSpaceDN w:val="0"/>
              <w:spacing w:before="73" w:after="160" w:line="240" w:lineRule="auto"/>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投标人未提出不同的验收、计量、支付办法。</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621" w:type="dxa"/>
            <w:noWrap w:val="0"/>
            <w:vAlign w:val="top"/>
          </w:tcPr>
          <w:p>
            <w:pPr>
              <w:pStyle w:val="18"/>
              <w:numPr>
                <w:ilvl w:val="0"/>
                <w:numId w:val="0"/>
              </w:numPr>
              <w:autoSpaceDE w:val="0"/>
              <w:autoSpaceDN w:val="0"/>
              <w:spacing w:before="71" w:after="160" w:line="240" w:lineRule="auto"/>
              <w:ind w:left="215" w:right="155"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10</w:t>
            </w:r>
          </w:p>
        </w:tc>
        <w:tc>
          <w:tcPr>
            <w:tcW w:w="7090" w:type="dxa"/>
            <w:noWrap w:val="0"/>
            <w:vAlign w:val="top"/>
          </w:tcPr>
          <w:p>
            <w:pPr>
              <w:pStyle w:val="18"/>
              <w:numPr>
                <w:ilvl w:val="0"/>
                <w:numId w:val="0"/>
              </w:numPr>
              <w:autoSpaceDE w:val="0"/>
              <w:autoSpaceDN w:val="0"/>
              <w:spacing w:before="71" w:after="160" w:line="240" w:lineRule="auto"/>
              <w:ind w:left="56" w:right="0" w:firstLine="0"/>
              <w:jc w:val="left"/>
              <w:rPr>
                <w:rFonts w:hint="eastAsia" w:ascii="宋体" w:hAnsi="宋体" w:eastAsia="宋体" w:cs="宋体"/>
                <w:color w:val="auto"/>
                <w:position w:val="0"/>
                <w:sz w:val="22"/>
                <w:szCs w:val="22"/>
                <w:lang w:eastAsia="zh-CN"/>
              </w:rPr>
            </w:pPr>
            <w:r>
              <w:rPr>
                <w:rFonts w:hint="eastAsia" w:ascii="宋体" w:hAnsi="宋体" w:eastAsia="宋体" w:cs="宋体"/>
                <w:color w:val="auto"/>
                <w:position w:val="0"/>
                <w:sz w:val="22"/>
                <w:szCs w:val="22"/>
              </w:rPr>
              <w:t>提供了信用记录查询资料，且信用记录满足本文件投标人须知前附表的规定</w:t>
            </w:r>
            <w:r>
              <w:rPr>
                <w:rFonts w:hint="eastAsia" w:ascii="宋体" w:hAnsi="宋体" w:eastAsia="宋体" w:cs="宋体"/>
                <w:color w:val="auto"/>
                <w:position w:val="0"/>
                <w:sz w:val="22"/>
                <w:szCs w:val="22"/>
                <w:lang w:eastAsia="zh-CN"/>
              </w:rPr>
              <w:t>。</w:t>
            </w:r>
          </w:p>
        </w:tc>
        <w:tc>
          <w:tcPr>
            <w:tcW w:w="633" w:type="dxa"/>
            <w:noWrap w:val="0"/>
            <w:vAlign w:val="top"/>
          </w:tcPr>
          <w:p>
            <w:pPr>
              <w:pStyle w:val="18"/>
              <w:numPr>
                <w:ilvl w:val="0"/>
                <w:numId w:val="0"/>
              </w:numPr>
              <w:autoSpaceDE w:val="0"/>
              <w:autoSpaceDN w:val="0"/>
              <w:spacing w:before="71" w:after="160" w:line="240" w:lineRule="auto"/>
              <w:ind w:left="-111" w:right="0" w:firstLine="0"/>
              <w:jc w:val="left"/>
              <w:rPr>
                <w:rFonts w:hint="eastAsia" w:ascii="宋体" w:hAnsi="宋体" w:eastAsia="宋体" w:cs="宋体"/>
                <w:color w:val="auto"/>
                <w:position w:val="0"/>
                <w:sz w:val="22"/>
                <w:szCs w:val="22"/>
              </w:rPr>
            </w:pPr>
            <w:r>
              <w:rPr>
                <w:rFonts w:hint="eastAsia" w:ascii="宋体" w:hAnsi="宋体" w:eastAsia="宋体" w:cs="宋体"/>
                <w:color w:val="auto"/>
                <w:w w:val="99"/>
                <w:position w:val="0"/>
                <w:sz w:val="22"/>
                <w:szCs w:val="22"/>
              </w:rPr>
              <w:t>；</w:t>
            </w: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621" w:type="dxa"/>
            <w:noWrap w:val="0"/>
            <w:vAlign w:val="top"/>
          </w:tcPr>
          <w:p>
            <w:pPr>
              <w:pStyle w:val="18"/>
              <w:numPr>
                <w:ilvl w:val="0"/>
                <w:numId w:val="0"/>
              </w:numPr>
              <w:autoSpaceDE w:val="0"/>
              <w:autoSpaceDN w:val="0"/>
              <w:spacing w:before="72" w:after="160" w:line="240" w:lineRule="auto"/>
              <w:ind w:left="215" w:right="155"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11</w:t>
            </w:r>
          </w:p>
        </w:tc>
        <w:tc>
          <w:tcPr>
            <w:tcW w:w="7090" w:type="dxa"/>
            <w:noWrap w:val="0"/>
            <w:vAlign w:val="top"/>
          </w:tcPr>
          <w:p>
            <w:pPr>
              <w:pStyle w:val="18"/>
              <w:numPr>
                <w:ilvl w:val="0"/>
                <w:numId w:val="0"/>
              </w:numPr>
              <w:autoSpaceDE w:val="0"/>
              <w:autoSpaceDN w:val="0"/>
              <w:spacing w:before="72" w:after="160" w:line="240" w:lineRule="auto"/>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响应文件未附有采购人不能接受的附加条件的。</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621" w:type="dxa"/>
            <w:noWrap w:val="0"/>
            <w:vAlign w:val="top"/>
          </w:tcPr>
          <w:p>
            <w:pPr>
              <w:pStyle w:val="18"/>
              <w:numPr>
                <w:ilvl w:val="0"/>
                <w:numId w:val="0"/>
              </w:numPr>
              <w:autoSpaceDE w:val="0"/>
              <w:autoSpaceDN w:val="0"/>
              <w:spacing w:before="71" w:after="160" w:line="240" w:lineRule="auto"/>
              <w:ind w:left="215" w:right="155"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12</w:t>
            </w:r>
          </w:p>
        </w:tc>
        <w:tc>
          <w:tcPr>
            <w:tcW w:w="7090" w:type="dxa"/>
            <w:noWrap w:val="0"/>
            <w:vAlign w:val="top"/>
          </w:tcPr>
          <w:p>
            <w:pPr>
              <w:pStyle w:val="18"/>
              <w:numPr>
                <w:ilvl w:val="0"/>
                <w:numId w:val="0"/>
              </w:numPr>
              <w:autoSpaceDE w:val="0"/>
              <w:autoSpaceDN w:val="0"/>
              <w:spacing w:before="71" w:after="160" w:line="240" w:lineRule="auto"/>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未与其他投标人相互串通报价，或者与采购人串通投标的。</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621" w:type="dxa"/>
            <w:noWrap w:val="0"/>
            <w:vAlign w:val="top"/>
          </w:tcPr>
          <w:p>
            <w:pPr>
              <w:pStyle w:val="18"/>
              <w:numPr>
                <w:ilvl w:val="0"/>
                <w:numId w:val="0"/>
              </w:numPr>
              <w:autoSpaceDE w:val="0"/>
              <w:autoSpaceDN w:val="0"/>
              <w:spacing w:before="72" w:after="160" w:line="240" w:lineRule="auto"/>
              <w:ind w:left="215" w:right="155"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13</w:t>
            </w:r>
          </w:p>
        </w:tc>
        <w:tc>
          <w:tcPr>
            <w:tcW w:w="7090" w:type="dxa"/>
            <w:noWrap w:val="0"/>
            <w:vAlign w:val="top"/>
          </w:tcPr>
          <w:p>
            <w:pPr>
              <w:pStyle w:val="18"/>
              <w:numPr>
                <w:ilvl w:val="0"/>
                <w:numId w:val="0"/>
              </w:numPr>
              <w:autoSpaceDE w:val="0"/>
              <w:autoSpaceDN w:val="0"/>
              <w:spacing w:before="72" w:after="160" w:line="240" w:lineRule="auto"/>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法律、法规和竞争性磋商文件规定的其他无效情形。</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621"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7090" w:type="dxa"/>
            <w:noWrap w:val="0"/>
            <w:vAlign w:val="top"/>
          </w:tcPr>
          <w:p>
            <w:pPr>
              <w:pStyle w:val="18"/>
              <w:numPr>
                <w:ilvl w:val="0"/>
                <w:numId w:val="0"/>
              </w:numPr>
              <w:tabs>
                <w:tab w:val="left" w:pos="687"/>
              </w:tabs>
              <w:autoSpaceDE w:val="0"/>
              <w:autoSpaceDN w:val="0"/>
              <w:spacing w:before="73" w:after="160" w:line="240" w:lineRule="auto"/>
              <w:ind w:left="56" w:right="0"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结</w:t>
            </w:r>
            <w:r>
              <w:rPr>
                <w:rFonts w:hint="eastAsia" w:ascii="宋体" w:hAnsi="宋体" w:eastAsia="宋体" w:cs="宋体"/>
                <w:color w:val="auto"/>
                <w:position w:val="0"/>
                <w:sz w:val="22"/>
                <w:szCs w:val="22"/>
              </w:rPr>
              <w:tab/>
            </w:r>
            <w:r>
              <w:rPr>
                <w:rFonts w:hint="eastAsia" w:ascii="宋体" w:hAnsi="宋体" w:eastAsia="宋体" w:cs="宋体"/>
                <w:color w:val="auto"/>
                <w:position w:val="0"/>
                <w:sz w:val="22"/>
                <w:szCs w:val="22"/>
              </w:rPr>
              <w:t>论</w:t>
            </w:r>
          </w:p>
        </w:tc>
        <w:tc>
          <w:tcPr>
            <w:tcW w:w="63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c>
          <w:tcPr>
            <w:tcW w:w="66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2"/>
                <w:szCs w:val="22"/>
              </w:rPr>
            </w:pPr>
          </w:p>
        </w:tc>
      </w:tr>
    </w:tbl>
    <w:p>
      <w:pPr>
        <w:numPr>
          <w:ilvl w:val="0"/>
          <w:numId w:val="0"/>
        </w:numPr>
        <w:autoSpaceDE w:val="0"/>
        <w:autoSpaceDN w:val="0"/>
        <w:spacing w:before="0" w:after="160" w:line="262" w:lineRule="exact"/>
        <w:ind w:left="26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说明：</w:t>
      </w:r>
    </w:p>
    <w:p>
      <w:pPr>
        <w:pStyle w:val="19"/>
        <w:numPr>
          <w:ilvl w:val="0"/>
          <w:numId w:val="15"/>
        </w:numPr>
        <w:tabs>
          <w:tab w:val="left" w:pos="794"/>
        </w:tabs>
        <w:autoSpaceDE w:val="0"/>
        <w:autoSpaceDN w:val="0"/>
        <w:bidi w:val="0"/>
        <w:spacing w:before="0" w:after="160" w:line="260" w:lineRule="exact"/>
        <w:ind w:left="793" w:right="0" w:hanging="526"/>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上述各项中用“√”表示通过，“×”表示不通过；</w:t>
      </w:r>
    </w:p>
    <w:p>
      <w:pPr>
        <w:pStyle w:val="19"/>
        <w:numPr>
          <w:ilvl w:val="0"/>
          <w:numId w:val="15"/>
        </w:numPr>
        <w:tabs>
          <w:tab w:val="left" w:pos="795"/>
        </w:tabs>
        <w:autoSpaceDE w:val="0"/>
        <w:autoSpaceDN w:val="0"/>
        <w:bidi w:val="0"/>
        <w:spacing w:before="3" w:after="160" w:line="230" w:lineRule="auto"/>
        <w:ind w:left="268" w:right="66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上述各项中如有一项为“×”，则结论为“×”，表示该响应文件中存在重大偏差，不能通过初步评审；评委对某一分项评审认为不合格时，必须要写明原因。</w:t>
      </w:r>
    </w:p>
    <w:p>
      <w:pPr>
        <w:pStyle w:val="19"/>
        <w:numPr>
          <w:ilvl w:val="0"/>
          <w:numId w:val="15"/>
        </w:numPr>
        <w:tabs>
          <w:tab w:val="left" w:pos="794"/>
        </w:tabs>
        <w:autoSpaceDE w:val="0"/>
        <w:autoSpaceDN w:val="0"/>
        <w:bidi w:val="0"/>
        <w:spacing w:before="0" w:after="160" w:line="260" w:lineRule="exact"/>
        <w:ind w:left="793" w:right="0" w:hanging="526"/>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响应文件最终合格与否，以所有评委的评审意见中少数服从多数为原则定论。</w:t>
      </w:r>
    </w:p>
    <w:p>
      <w:pPr>
        <w:pStyle w:val="19"/>
        <w:numPr>
          <w:ilvl w:val="0"/>
          <w:numId w:val="15"/>
        </w:numPr>
        <w:tabs>
          <w:tab w:val="left" w:pos="795"/>
        </w:tabs>
        <w:autoSpaceDE w:val="0"/>
        <w:autoSpaceDN w:val="0"/>
        <w:bidi w:val="0"/>
        <w:spacing w:before="4" w:after="160" w:line="230" w:lineRule="auto"/>
        <w:ind w:left="268" w:right="66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投标人请认真阅读和理解上述内容，避免响应文件中有违背上述审查标准之一的情况发生而造成投标被否决。</w:t>
      </w:r>
    </w:p>
    <w:p>
      <w:pPr>
        <w:numPr>
          <w:ilvl w:val="0"/>
          <w:numId w:val="15"/>
        </w:numPr>
        <w:tabs>
          <w:tab w:val="left" w:pos="795"/>
        </w:tabs>
        <w:autoSpaceDE w:val="0"/>
        <w:autoSpaceDN w:val="0"/>
        <w:bidi w:val="0"/>
        <w:spacing w:before="4" w:after="160" w:line="230" w:lineRule="auto"/>
        <w:ind w:left="268" w:right="665" w:firstLine="0"/>
        <w:jc w:val="left"/>
        <w:rPr>
          <w:rFonts w:hint="eastAsia" w:ascii="宋体" w:hAnsi="宋体" w:eastAsia="宋体" w:cs="宋体"/>
          <w:color w:val="000000"/>
          <w:position w:val="0"/>
          <w:sz w:val="24"/>
          <w:szCs w:val="24"/>
        </w:rPr>
        <w:sectPr>
          <w:pgSz w:w="11910" w:h="16840"/>
          <w:pgMar w:top="1580" w:right="820" w:bottom="960" w:left="1200" w:header="0" w:footer="778" w:gutter="0"/>
          <w:pgNumType w:fmt="decimal"/>
          <w:cols w:space="720" w:num="1"/>
          <w:docGrid w:linePitch="360" w:charSpace="6144"/>
        </w:sectPr>
      </w:pPr>
    </w:p>
    <w:p>
      <w:pPr>
        <w:pStyle w:val="10"/>
        <w:numPr>
          <w:ilvl w:val="0"/>
          <w:numId w:val="0"/>
        </w:numPr>
        <w:autoSpaceDE w:val="0"/>
        <w:autoSpaceDN w:val="0"/>
        <w:spacing w:before="7" w:after="160" w:line="240" w:lineRule="auto"/>
        <w:ind w:right="0" w:firstLine="0"/>
        <w:jc w:val="left"/>
        <w:rPr>
          <w:rFonts w:hint="eastAsia" w:ascii="宋体" w:hAnsi="宋体" w:eastAsia="宋体" w:cs="宋体"/>
          <w:color w:val="auto"/>
          <w:position w:val="0"/>
          <w:sz w:val="24"/>
          <w:szCs w:val="24"/>
        </w:rPr>
      </w:pPr>
    </w:p>
    <w:p>
      <w:pPr>
        <w:pStyle w:val="8"/>
        <w:numPr>
          <w:ilvl w:val="0"/>
          <w:numId w:val="0"/>
        </w:numPr>
        <w:autoSpaceDE w:val="0"/>
        <w:autoSpaceDN w:val="0"/>
        <w:spacing w:before="62" w:after="160" w:line="240" w:lineRule="auto"/>
        <w:ind w:left="273" w:right="0" w:firstLine="0"/>
        <w:jc w:val="left"/>
        <w:outlineLvl w:val="4"/>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附表2：（1）商务、技术部分评审（70分）</w:t>
      </w: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auto"/>
          <w:position w:val="0"/>
          <w:sz w:val="24"/>
          <w:szCs w:val="24"/>
        </w:rPr>
      </w:pPr>
    </w:p>
    <w:tbl>
      <w:tblPr>
        <w:tblStyle w:val="16"/>
        <w:tblW w:w="1010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7"/>
        <w:gridCol w:w="1957"/>
        <w:gridCol w:w="1122"/>
        <w:gridCol w:w="60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 w:hRule="atLeast"/>
        </w:trPr>
        <w:tc>
          <w:tcPr>
            <w:tcW w:w="957" w:type="dxa"/>
            <w:noWrap w:val="0"/>
            <w:vAlign w:val="top"/>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序号</w:t>
            </w:r>
          </w:p>
        </w:tc>
        <w:tc>
          <w:tcPr>
            <w:tcW w:w="1957" w:type="dxa"/>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考核项目</w:t>
            </w:r>
          </w:p>
        </w:tc>
        <w:tc>
          <w:tcPr>
            <w:tcW w:w="1122" w:type="dxa"/>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分数</w:t>
            </w:r>
          </w:p>
        </w:tc>
        <w:tc>
          <w:tcPr>
            <w:tcW w:w="6066" w:type="dxa"/>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52" w:hRule="atLeast"/>
        </w:trPr>
        <w:tc>
          <w:tcPr>
            <w:tcW w:w="957" w:type="dxa"/>
            <w:tcBorders>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1</w:t>
            </w:r>
          </w:p>
        </w:tc>
        <w:tc>
          <w:tcPr>
            <w:tcW w:w="1957" w:type="dxa"/>
            <w:tcBorders>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lang w:eastAsia="zh-CN"/>
              </w:rPr>
              <w:t>项目</w:t>
            </w:r>
            <w:r>
              <w:rPr>
                <w:rFonts w:hint="eastAsia" w:ascii="宋体" w:hAnsi="宋体" w:eastAsia="宋体" w:cs="宋体"/>
                <w:color w:val="000000"/>
                <w:position w:val="0"/>
                <w:sz w:val="22"/>
                <w:szCs w:val="22"/>
              </w:rPr>
              <w:t>技术服务</w:t>
            </w:r>
          </w:p>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方案</w:t>
            </w:r>
          </w:p>
        </w:tc>
        <w:tc>
          <w:tcPr>
            <w:tcW w:w="1122" w:type="dxa"/>
            <w:tcBorders>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10分</w:t>
            </w:r>
          </w:p>
        </w:tc>
        <w:tc>
          <w:tcPr>
            <w:tcW w:w="6066" w:type="dxa"/>
            <w:tcBorders>
              <w:bottom w:val="single" w:color="auto" w:sz="4" w:space="0"/>
            </w:tcBorders>
            <w:noWrap w:val="0"/>
            <w:vAlign w:val="top"/>
          </w:tcPr>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技术参数符合本项目所需情况，优秀：方案全面、具体，符合本项目特点，且可操作性强， 预期效果显著，得10-7分。</w:t>
            </w:r>
          </w:p>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良好：方案较为全面、具体，符合本项目特点，但可操作性相对较弱，预期效果良好，得6-3分。</w:t>
            </w:r>
          </w:p>
          <w:p>
            <w:pPr>
              <w:pStyle w:val="18"/>
              <w:numPr>
                <w:ilvl w:val="0"/>
                <w:numId w:val="0"/>
              </w:numPr>
              <w:autoSpaceDE w:val="0"/>
              <w:autoSpaceDN w:val="0"/>
              <w:spacing w:before="0" w:after="160" w:line="280" w:lineRule="exact"/>
              <w:ind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一般：方案基本符合本项目特点，但可操作性一般，预期效果一般， 得2-1分。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5" w:hRule="atLeast"/>
        </w:trPr>
        <w:tc>
          <w:tcPr>
            <w:tcW w:w="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lang w:val="en-US" w:eastAsia="zh-CN"/>
              </w:rPr>
            </w:pPr>
            <w:r>
              <w:rPr>
                <w:rFonts w:hint="eastAsia" w:ascii="宋体" w:hAnsi="宋体" w:eastAsia="宋体" w:cs="宋体"/>
                <w:color w:val="auto"/>
                <w:position w:val="0"/>
                <w:sz w:val="22"/>
                <w:szCs w:val="22"/>
                <w:lang w:val="en-US" w:eastAsia="zh-CN"/>
              </w:rPr>
              <w:t>2</w:t>
            </w:r>
          </w:p>
        </w:tc>
        <w:tc>
          <w:tcPr>
            <w:tcW w:w="1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项目实施方</w:t>
            </w:r>
          </w:p>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案</w:t>
            </w:r>
          </w:p>
        </w:tc>
        <w:tc>
          <w:tcPr>
            <w:tcW w:w="1122"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1</w:t>
            </w:r>
            <w:r>
              <w:rPr>
                <w:rFonts w:hint="eastAsia" w:ascii="宋体" w:hAnsi="宋体" w:eastAsia="宋体" w:cs="宋体"/>
                <w:color w:val="000000"/>
                <w:position w:val="0"/>
                <w:sz w:val="22"/>
                <w:szCs w:val="22"/>
                <w:lang w:val="en-US" w:eastAsia="zh-CN"/>
              </w:rPr>
              <w:t>1</w:t>
            </w:r>
            <w:r>
              <w:rPr>
                <w:rFonts w:hint="eastAsia" w:ascii="宋体" w:hAnsi="宋体" w:eastAsia="宋体" w:cs="宋体"/>
                <w:color w:val="000000"/>
                <w:position w:val="0"/>
                <w:sz w:val="22"/>
                <w:szCs w:val="22"/>
              </w:rPr>
              <w:t>分</w:t>
            </w:r>
          </w:p>
        </w:tc>
        <w:tc>
          <w:tcPr>
            <w:tcW w:w="6066" w:type="dxa"/>
            <w:tcBorders>
              <w:top w:val="single" w:color="auto" w:sz="4" w:space="0"/>
              <w:bottom w:val="single" w:color="auto" w:sz="4" w:space="0"/>
            </w:tcBorders>
            <w:noWrap w:val="0"/>
            <w:vAlign w:val="top"/>
          </w:tcPr>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根据实施方案中安全文明施工、工期保证措施等。</w:t>
            </w:r>
          </w:p>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优秀：预案详细、具体，符合本项目特点，且可操作性强， 预期效果显著，得1</w:t>
            </w:r>
            <w:r>
              <w:rPr>
                <w:rFonts w:hint="eastAsia" w:ascii="宋体" w:hAnsi="宋体" w:eastAsia="宋体" w:cs="宋体"/>
                <w:color w:val="000000"/>
                <w:position w:val="0"/>
                <w:sz w:val="22"/>
                <w:szCs w:val="22"/>
                <w:lang w:val="en-US" w:eastAsia="zh-CN"/>
              </w:rPr>
              <w:t>1</w:t>
            </w:r>
            <w:r>
              <w:rPr>
                <w:rFonts w:hint="eastAsia" w:ascii="宋体" w:hAnsi="宋体" w:eastAsia="宋体" w:cs="宋体"/>
                <w:color w:val="000000"/>
                <w:position w:val="0"/>
                <w:sz w:val="22"/>
                <w:szCs w:val="22"/>
              </w:rPr>
              <w:t>-</w:t>
            </w:r>
            <w:r>
              <w:rPr>
                <w:rFonts w:hint="eastAsia" w:ascii="宋体" w:hAnsi="宋体" w:eastAsia="宋体" w:cs="宋体"/>
                <w:color w:val="000000"/>
                <w:position w:val="0"/>
                <w:sz w:val="22"/>
                <w:szCs w:val="22"/>
                <w:lang w:val="en-US" w:eastAsia="zh-CN"/>
              </w:rPr>
              <w:t>8</w:t>
            </w:r>
            <w:r>
              <w:rPr>
                <w:rFonts w:hint="eastAsia" w:ascii="宋体" w:hAnsi="宋体" w:eastAsia="宋体" w:cs="宋体"/>
                <w:color w:val="000000"/>
                <w:position w:val="0"/>
                <w:sz w:val="22"/>
                <w:szCs w:val="22"/>
              </w:rPr>
              <w:t>分。</w:t>
            </w:r>
          </w:p>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良好： 预案较为详细、具体，符合本项目特点，但可操作性相对较弱， 预期效果良好，得</w:t>
            </w:r>
            <w:r>
              <w:rPr>
                <w:rFonts w:hint="eastAsia" w:ascii="宋体" w:hAnsi="宋体" w:eastAsia="宋体" w:cs="宋体"/>
                <w:color w:val="000000"/>
                <w:position w:val="0"/>
                <w:sz w:val="22"/>
                <w:szCs w:val="22"/>
                <w:lang w:val="en-US" w:eastAsia="zh-CN"/>
              </w:rPr>
              <w:t>7</w:t>
            </w:r>
            <w:r>
              <w:rPr>
                <w:rFonts w:hint="eastAsia" w:ascii="宋体" w:hAnsi="宋体" w:eastAsia="宋体" w:cs="宋体"/>
                <w:color w:val="000000"/>
                <w:position w:val="0"/>
                <w:sz w:val="22"/>
                <w:szCs w:val="22"/>
              </w:rPr>
              <w:t>-</w:t>
            </w:r>
            <w:r>
              <w:rPr>
                <w:rFonts w:hint="eastAsia" w:ascii="宋体" w:hAnsi="宋体" w:eastAsia="宋体" w:cs="宋体"/>
                <w:color w:val="000000"/>
                <w:position w:val="0"/>
                <w:sz w:val="22"/>
                <w:szCs w:val="22"/>
                <w:lang w:val="en-US" w:eastAsia="zh-CN"/>
              </w:rPr>
              <w:t>4</w:t>
            </w:r>
            <w:r>
              <w:rPr>
                <w:rFonts w:hint="eastAsia" w:ascii="宋体" w:hAnsi="宋体" w:eastAsia="宋体" w:cs="宋体"/>
                <w:color w:val="000000"/>
                <w:position w:val="0"/>
                <w:sz w:val="22"/>
                <w:szCs w:val="22"/>
              </w:rPr>
              <w:t>分。</w:t>
            </w:r>
          </w:p>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一般： 预案基本符合本项目特点，但可操作性一般，预期效果一般，得</w:t>
            </w:r>
            <w:r>
              <w:rPr>
                <w:rFonts w:hint="eastAsia" w:ascii="宋体" w:hAnsi="宋体" w:eastAsia="宋体" w:cs="宋体"/>
                <w:color w:val="000000"/>
                <w:position w:val="0"/>
                <w:sz w:val="22"/>
                <w:szCs w:val="22"/>
                <w:lang w:val="en-US" w:eastAsia="zh-CN"/>
              </w:rPr>
              <w:t>3</w:t>
            </w:r>
            <w:r>
              <w:rPr>
                <w:rFonts w:hint="eastAsia" w:ascii="宋体" w:hAnsi="宋体" w:eastAsia="宋体" w:cs="宋体"/>
                <w:color w:val="000000"/>
                <w:position w:val="0"/>
                <w:sz w:val="22"/>
                <w:szCs w:val="22"/>
              </w:rPr>
              <w:t>-</w:t>
            </w:r>
            <w:r>
              <w:rPr>
                <w:rFonts w:hint="eastAsia" w:ascii="宋体" w:hAnsi="宋体" w:eastAsia="宋体" w:cs="宋体"/>
                <w:color w:val="000000"/>
                <w:position w:val="0"/>
                <w:sz w:val="22"/>
                <w:szCs w:val="22"/>
                <w:lang w:val="en-US" w:eastAsia="zh-CN"/>
              </w:rPr>
              <w:t>2</w:t>
            </w:r>
            <w:r>
              <w:rPr>
                <w:rFonts w:hint="eastAsia" w:ascii="宋体" w:hAnsi="宋体" w:eastAsia="宋体" w:cs="宋体"/>
                <w:color w:val="000000"/>
                <w:position w:val="0"/>
                <w:sz w:val="22"/>
                <w:szCs w:val="22"/>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96" w:hRule="atLeast"/>
        </w:trPr>
        <w:tc>
          <w:tcPr>
            <w:tcW w:w="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lang w:val="en-US" w:eastAsia="zh-CN"/>
              </w:rPr>
            </w:pPr>
            <w:r>
              <w:rPr>
                <w:rFonts w:hint="eastAsia" w:ascii="宋体" w:hAnsi="宋体" w:eastAsia="宋体" w:cs="宋体"/>
                <w:color w:val="auto"/>
                <w:position w:val="0"/>
                <w:sz w:val="22"/>
                <w:szCs w:val="22"/>
                <w:lang w:val="en-US" w:eastAsia="zh-CN"/>
              </w:rPr>
              <w:t>3</w:t>
            </w:r>
          </w:p>
        </w:tc>
        <w:tc>
          <w:tcPr>
            <w:tcW w:w="1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lang w:val="en-US" w:eastAsia="zh-CN"/>
              </w:rPr>
              <w:t>企业诚信</w:t>
            </w:r>
          </w:p>
        </w:tc>
        <w:tc>
          <w:tcPr>
            <w:tcW w:w="1122"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lang w:val="en-US" w:eastAsia="zh-CN"/>
              </w:rPr>
              <w:t>9</w:t>
            </w:r>
            <w:r>
              <w:rPr>
                <w:rFonts w:hint="eastAsia" w:ascii="宋体" w:hAnsi="宋体" w:eastAsia="宋体" w:cs="宋体"/>
                <w:color w:val="000000"/>
                <w:position w:val="0"/>
                <w:sz w:val="22"/>
                <w:szCs w:val="22"/>
              </w:rPr>
              <w:t>分</w:t>
            </w:r>
          </w:p>
        </w:tc>
        <w:tc>
          <w:tcPr>
            <w:tcW w:w="6066" w:type="dxa"/>
            <w:tcBorders>
              <w:top w:val="single" w:color="auto" w:sz="4" w:space="0"/>
              <w:bottom w:val="single" w:color="auto" w:sz="4" w:space="0"/>
            </w:tcBorders>
            <w:noWrap w:val="0"/>
            <w:vAlign w:val="top"/>
          </w:tcPr>
          <w:p>
            <w:pPr>
              <w:pStyle w:val="13"/>
              <w:numPr>
                <w:ilvl w:val="0"/>
                <w:numId w:val="0"/>
              </w:numPr>
              <w:spacing w:before="0" w:beforeAutospacing="0" w:after="0" w:afterAutospacing="0" w:line="240" w:lineRule="atLeast"/>
              <w:ind w:left="210" w:leftChars="0"/>
              <w:jc w:val="both"/>
              <w:rPr>
                <w:rFonts w:hint="eastAsia" w:ascii="宋体" w:hAnsi="宋体" w:eastAsia="宋体" w:cs="宋体"/>
                <w:color w:val="000000"/>
                <w:w w:val="100"/>
                <w:kern w:val="0"/>
                <w:position w:val="0"/>
                <w:sz w:val="22"/>
                <w:szCs w:val="22"/>
                <w:shd w:val="clear" w:color="auto" w:fill="auto"/>
                <w:lang w:val="en-US" w:eastAsia="zh-CN"/>
              </w:rPr>
            </w:pPr>
            <w:r>
              <w:rPr>
                <w:rFonts w:hint="eastAsia" w:ascii="宋体" w:hAnsi="宋体" w:eastAsia="宋体" w:cs="宋体"/>
                <w:color w:val="000000"/>
                <w:w w:val="100"/>
                <w:kern w:val="0"/>
                <w:position w:val="0"/>
                <w:sz w:val="22"/>
                <w:szCs w:val="22"/>
                <w:shd w:val="clear" w:color="auto" w:fill="auto"/>
                <w:lang w:val="en-US" w:eastAsia="zh-CN"/>
              </w:rPr>
              <w:t>1、“信用中国”网站(www.creditchina.gov.cn)未被列入“失信被执行人名单”“重大税收违法案件当事人名单”</w:t>
            </w:r>
          </w:p>
          <w:p>
            <w:pPr>
              <w:pStyle w:val="13"/>
              <w:numPr>
                <w:ilvl w:val="0"/>
                <w:numId w:val="0"/>
              </w:numPr>
              <w:spacing w:before="0" w:beforeAutospacing="0" w:after="0" w:afterAutospacing="0" w:line="240" w:lineRule="auto"/>
              <w:ind w:left="240" w:leftChars="0"/>
              <w:jc w:val="left"/>
              <w:rPr>
                <w:rFonts w:hint="eastAsia" w:ascii="宋体" w:hAnsi="宋体" w:eastAsia="宋体" w:cs="宋体"/>
                <w:color w:val="000000"/>
                <w:w w:val="100"/>
                <w:kern w:val="0"/>
                <w:position w:val="0"/>
                <w:sz w:val="22"/>
                <w:szCs w:val="22"/>
                <w:shd w:val="clear" w:color="auto" w:fill="auto"/>
                <w:lang w:val="en-US" w:eastAsia="zh-CN"/>
              </w:rPr>
            </w:pPr>
            <w:r>
              <w:rPr>
                <w:rFonts w:hint="eastAsia" w:ascii="宋体" w:hAnsi="宋体" w:eastAsia="宋体" w:cs="宋体"/>
                <w:color w:val="000000"/>
                <w:w w:val="100"/>
                <w:kern w:val="0"/>
                <w:position w:val="0"/>
                <w:sz w:val="22"/>
                <w:szCs w:val="22"/>
                <w:shd w:val="clear" w:color="auto" w:fill="auto"/>
                <w:lang w:val="en-US" w:eastAsia="zh-CN"/>
              </w:rPr>
              <w:t>2、“中国政府采购网”（http://www.ccgp.gov.cn/search/cr/）未被列入“严重违法失信行为记录名单”</w:t>
            </w:r>
          </w:p>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w w:val="100"/>
                <w:kern w:val="0"/>
                <w:position w:val="0"/>
                <w:sz w:val="22"/>
                <w:szCs w:val="22"/>
                <w:shd w:val="clear" w:color="auto" w:fill="auto"/>
                <w:lang w:val="en-US" w:eastAsia="zh-CN"/>
              </w:rPr>
              <w:t>注：须提供网站查询截图，提供一个得3分，满分9分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5" w:hRule="atLeast"/>
        </w:trPr>
        <w:tc>
          <w:tcPr>
            <w:tcW w:w="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themeColor="text1"/>
                <w:position w:val="0"/>
                <w:sz w:val="22"/>
                <w:szCs w:val="22"/>
                <w:lang w:val="en-US" w:eastAsia="zh-CN"/>
                <w14:textFill>
                  <w14:solidFill>
                    <w14:schemeClr w14:val="tx1"/>
                  </w14:solidFill>
                </w14:textFill>
              </w:rPr>
            </w:pPr>
            <w:r>
              <w:rPr>
                <w:rFonts w:hint="eastAsia" w:ascii="宋体" w:hAnsi="宋体" w:eastAsia="宋体" w:cs="宋体"/>
                <w:color w:val="000000" w:themeColor="text1"/>
                <w:position w:val="0"/>
                <w:sz w:val="22"/>
                <w:szCs w:val="22"/>
                <w:lang w:val="en-US" w:eastAsia="zh-CN"/>
                <w14:textFill>
                  <w14:solidFill>
                    <w14:schemeClr w14:val="tx1"/>
                  </w14:solidFill>
                </w14:textFill>
              </w:rPr>
              <w:t>4</w:t>
            </w:r>
          </w:p>
        </w:tc>
        <w:tc>
          <w:tcPr>
            <w:tcW w:w="1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220" w:firstLineChars="100"/>
              <w:jc w:val="left"/>
              <w:rPr>
                <w:rFonts w:hint="eastAsia" w:ascii="宋体" w:hAnsi="宋体" w:eastAsia="宋体" w:cs="宋体"/>
                <w:color w:val="000000" w:themeColor="text1"/>
                <w:position w:val="0"/>
                <w:sz w:val="22"/>
                <w:szCs w:val="22"/>
                <w14:textFill>
                  <w14:solidFill>
                    <w14:schemeClr w14:val="tx1"/>
                  </w14:solidFill>
                </w14:textFill>
              </w:rPr>
            </w:pPr>
            <w:r>
              <w:rPr>
                <w:rFonts w:hint="eastAsia" w:ascii="宋体" w:hAnsi="宋体" w:eastAsia="宋体" w:cs="宋体"/>
                <w:color w:val="000000" w:themeColor="text1"/>
                <w:position w:val="0"/>
                <w:sz w:val="22"/>
                <w:szCs w:val="22"/>
                <w:lang w:eastAsia="zh-CN"/>
                <w14:textFill>
                  <w14:solidFill>
                    <w14:schemeClr w14:val="tx1"/>
                  </w14:solidFill>
                </w14:textFill>
              </w:rPr>
              <w:t>材料（周转材料）投入计划</w:t>
            </w:r>
            <w:r>
              <w:rPr>
                <w:rFonts w:hint="eastAsia" w:ascii="宋体" w:hAnsi="宋体" w:eastAsia="宋体" w:cs="宋体"/>
                <w:color w:val="000000" w:themeColor="text1"/>
                <w:position w:val="0"/>
                <w:sz w:val="22"/>
                <w:szCs w:val="22"/>
                <w14:textFill>
                  <w14:solidFill>
                    <w14:schemeClr w14:val="tx1"/>
                  </w14:solidFill>
                </w14:textFill>
              </w:rPr>
              <w:t xml:space="preserve"> </w:t>
            </w:r>
          </w:p>
        </w:tc>
        <w:tc>
          <w:tcPr>
            <w:tcW w:w="1122"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220"/>
              <w:jc w:val="left"/>
              <w:rPr>
                <w:rFonts w:hint="eastAsia" w:ascii="宋体" w:hAnsi="宋体" w:eastAsia="宋体" w:cs="宋体"/>
                <w:color w:val="000000" w:themeColor="text1"/>
                <w:position w:val="0"/>
                <w:sz w:val="22"/>
                <w:szCs w:val="22"/>
                <w14:textFill>
                  <w14:solidFill>
                    <w14:schemeClr w14:val="tx1"/>
                  </w14:solidFill>
                </w14:textFill>
              </w:rPr>
            </w:pPr>
            <w:r>
              <w:rPr>
                <w:rFonts w:hint="eastAsia" w:ascii="宋体" w:hAnsi="宋体" w:eastAsia="宋体" w:cs="宋体"/>
                <w:color w:val="000000" w:themeColor="text1"/>
                <w:position w:val="0"/>
                <w:sz w:val="22"/>
                <w:szCs w:val="22"/>
                <w:lang w:val="en-US" w:eastAsia="zh-CN"/>
                <w14:textFill>
                  <w14:solidFill>
                    <w14:schemeClr w14:val="tx1"/>
                  </w14:solidFill>
                </w14:textFill>
              </w:rPr>
              <w:t>10</w:t>
            </w:r>
            <w:r>
              <w:rPr>
                <w:rFonts w:hint="eastAsia" w:ascii="宋体" w:hAnsi="宋体" w:eastAsia="宋体" w:cs="宋体"/>
                <w:color w:val="000000" w:themeColor="text1"/>
                <w:position w:val="0"/>
                <w:sz w:val="22"/>
                <w:szCs w:val="22"/>
                <w14:textFill>
                  <w14:solidFill>
                    <w14:schemeClr w14:val="tx1"/>
                  </w14:solidFill>
                </w14:textFill>
              </w:rPr>
              <w:t>分</w:t>
            </w:r>
          </w:p>
        </w:tc>
        <w:tc>
          <w:tcPr>
            <w:tcW w:w="6066" w:type="dxa"/>
            <w:tcBorders>
              <w:top w:val="single" w:color="auto" w:sz="4" w:space="0"/>
              <w:bottom w:val="single" w:color="auto" w:sz="4" w:space="0"/>
            </w:tcBorders>
            <w:noWrap w:val="0"/>
            <w:vAlign w:val="top"/>
          </w:tcPr>
          <w:p>
            <w:pPr>
              <w:pStyle w:val="18"/>
              <w:numPr>
                <w:ilvl w:val="0"/>
                <w:numId w:val="16"/>
              </w:numPr>
              <w:autoSpaceDE w:val="0"/>
              <w:autoSpaceDN w:val="0"/>
              <w:spacing w:before="0" w:after="160" w:line="280" w:lineRule="exact"/>
              <w:ind w:left="108" w:right="0" w:firstLine="0"/>
              <w:jc w:val="left"/>
              <w:rPr>
                <w:rFonts w:hint="eastAsia" w:ascii="宋体" w:hAnsi="宋体" w:eastAsia="宋体" w:cs="宋体"/>
                <w:color w:val="000000" w:themeColor="text1"/>
                <w:position w:val="0"/>
                <w:sz w:val="22"/>
                <w:szCs w:val="22"/>
                <w:lang w:val="en-US" w:eastAsia="zh-CN"/>
                <w14:textFill>
                  <w14:solidFill>
                    <w14:schemeClr w14:val="tx1"/>
                  </w14:solidFill>
                </w14:textFill>
              </w:rPr>
            </w:pPr>
            <w:r>
              <w:rPr>
                <w:rFonts w:hint="eastAsia" w:ascii="宋体" w:hAnsi="宋体" w:eastAsia="宋体" w:cs="宋体"/>
                <w:color w:val="000000" w:themeColor="text1"/>
                <w:position w:val="0"/>
                <w:sz w:val="22"/>
                <w:szCs w:val="22"/>
                <w:lang w:val="en-US" w:eastAsia="zh-CN"/>
                <w14:textFill>
                  <w14:solidFill>
                    <w14:schemeClr w14:val="tx1"/>
                  </w14:solidFill>
                </w14:textFill>
              </w:rPr>
              <w:t>与施工进度计划相呼应且满足施工需要10-5分</w:t>
            </w:r>
          </w:p>
          <w:p>
            <w:pPr>
              <w:pStyle w:val="18"/>
              <w:numPr>
                <w:ilvl w:val="0"/>
                <w:numId w:val="16"/>
              </w:numPr>
              <w:autoSpaceDE w:val="0"/>
              <w:autoSpaceDN w:val="0"/>
              <w:spacing w:before="0" w:after="160" w:line="280" w:lineRule="exact"/>
              <w:ind w:left="108" w:right="0" w:firstLine="0"/>
              <w:jc w:val="left"/>
              <w:rPr>
                <w:rFonts w:hint="eastAsia" w:ascii="宋体" w:hAnsi="宋体" w:eastAsia="宋体" w:cs="宋体"/>
                <w:color w:val="000000" w:themeColor="text1"/>
                <w:position w:val="0"/>
                <w:sz w:val="22"/>
                <w:szCs w:val="22"/>
                <w:lang w:val="en-US" w:eastAsia="zh-CN"/>
                <w14:textFill>
                  <w14:solidFill>
                    <w14:schemeClr w14:val="tx1"/>
                  </w14:solidFill>
                </w14:textFill>
              </w:rPr>
            </w:pPr>
            <w:r>
              <w:rPr>
                <w:rFonts w:hint="eastAsia" w:ascii="宋体" w:hAnsi="宋体" w:eastAsia="宋体" w:cs="宋体"/>
                <w:color w:val="000000" w:themeColor="text1"/>
                <w:position w:val="0"/>
                <w:sz w:val="22"/>
                <w:szCs w:val="22"/>
                <w:lang w:val="en-US" w:eastAsia="zh-CN"/>
                <w14:textFill>
                  <w14:solidFill>
                    <w14:schemeClr w14:val="tx1"/>
                  </w14:solidFill>
                </w14:textFill>
              </w:rPr>
              <w:t>周转材料与主体搭配合理4-1分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0" w:hRule="atLeast"/>
        </w:trPr>
        <w:tc>
          <w:tcPr>
            <w:tcW w:w="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lang w:eastAsia="zh-CN"/>
              </w:rPr>
            </w:pPr>
            <w:r>
              <w:rPr>
                <w:rFonts w:hint="eastAsia" w:ascii="宋体" w:hAnsi="宋体" w:eastAsia="宋体" w:cs="宋体"/>
                <w:color w:val="auto"/>
                <w:position w:val="0"/>
                <w:sz w:val="22"/>
                <w:szCs w:val="22"/>
                <w:lang w:val="en-US" w:eastAsia="zh-CN"/>
              </w:rPr>
              <w:t>5</w:t>
            </w:r>
          </w:p>
        </w:tc>
        <w:tc>
          <w:tcPr>
            <w:tcW w:w="1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投标人业绩</w:t>
            </w:r>
          </w:p>
        </w:tc>
        <w:tc>
          <w:tcPr>
            <w:tcW w:w="1122" w:type="dxa"/>
            <w:tcBorders>
              <w:top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10分</w:t>
            </w:r>
          </w:p>
        </w:tc>
        <w:tc>
          <w:tcPr>
            <w:tcW w:w="6066" w:type="dxa"/>
            <w:tcBorders>
              <w:top w:val="single" w:color="auto" w:sz="4" w:space="0"/>
            </w:tcBorders>
            <w:noWrap w:val="0"/>
            <w:vAlign w:val="top"/>
          </w:tcPr>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投标人近三年类似项目业绩；每提供1项有效类似项目业绩得2分，本项最多得10分；</w:t>
            </w:r>
          </w:p>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注：有效业绩的认定及业绩证明材料详见投标人须知前附表，未提供业绩证明材料或是经评标委员会认定未无效业绩的，本项不得分。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 w:hRule="atLeast"/>
        </w:trPr>
        <w:tc>
          <w:tcPr>
            <w:tcW w:w="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lang w:eastAsia="zh-CN"/>
              </w:rPr>
            </w:pPr>
            <w:r>
              <w:rPr>
                <w:rFonts w:hint="eastAsia" w:ascii="宋体" w:hAnsi="宋体" w:eastAsia="宋体" w:cs="宋体"/>
                <w:color w:val="auto"/>
                <w:position w:val="0"/>
                <w:sz w:val="22"/>
                <w:szCs w:val="22"/>
                <w:lang w:val="en-US" w:eastAsia="zh-CN"/>
              </w:rPr>
              <w:t>6</w:t>
            </w:r>
          </w:p>
        </w:tc>
        <w:tc>
          <w:tcPr>
            <w:tcW w:w="1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人员配备</w:t>
            </w:r>
          </w:p>
        </w:tc>
        <w:tc>
          <w:tcPr>
            <w:tcW w:w="1122"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10分</w:t>
            </w:r>
          </w:p>
        </w:tc>
        <w:tc>
          <w:tcPr>
            <w:tcW w:w="6066"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项目组人员配备人员5人以上，1人2分，满分10分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3" w:hRule="atLeast"/>
        </w:trPr>
        <w:tc>
          <w:tcPr>
            <w:tcW w:w="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lang w:eastAsia="zh-CN"/>
              </w:rPr>
            </w:pPr>
            <w:r>
              <w:rPr>
                <w:rFonts w:hint="eastAsia" w:ascii="宋体" w:hAnsi="宋体" w:eastAsia="宋体" w:cs="宋体"/>
                <w:color w:val="auto"/>
                <w:position w:val="0"/>
                <w:sz w:val="22"/>
                <w:szCs w:val="22"/>
                <w:lang w:val="en-US" w:eastAsia="zh-CN"/>
              </w:rPr>
              <w:t>7</w:t>
            </w:r>
          </w:p>
        </w:tc>
        <w:tc>
          <w:tcPr>
            <w:tcW w:w="1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投标文件的规范性</w:t>
            </w:r>
          </w:p>
        </w:tc>
        <w:tc>
          <w:tcPr>
            <w:tcW w:w="1122" w:type="dxa"/>
            <w:tcBorders>
              <w:top w:val="single" w:color="auto" w:sz="4" w:space="0"/>
              <w:bottom w:val="single" w:color="auto" w:sz="4" w:space="0"/>
            </w:tcBorders>
            <w:noWrap w:val="0"/>
            <w:vAlign w:val="top"/>
          </w:tcPr>
          <w:p>
            <w:pPr>
              <w:pStyle w:val="18"/>
              <w:numPr>
                <w:ilvl w:val="0"/>
                <w:numId w:val="0"/>
              </w:numPr>
              <w:autoSpaceDE w:val="0"/>
              <w:autoSpaceDN w:val="0"/>
              <w:spacing w:before="0" w:after="0" w:line="280" w:lineRule="exact"/>
              <w:ind w:left="108" w:right="0" w:firstLine="0"/>
              <w:jc w:val="center"/>
              <w:rPr>
                <w:rFonts w:hint="eastAsia" w:ascii="宋体" w:hAnsi="宋体" w:eastAsia="宋体" w:cs="宋体"/>
                <w:color w:val="000000"/>
                <w:position w:val="0"/>
                <w:sz w:val="22"/>
                <w:szCs w:val="22"/>
              </w:rPr>
            </w:pPr>
          </w:p>
          <w:p>
            <w:pPr>
              <w:pStyle w:val="18"/>
              <w:numPr>
                <w:ilvl w:val="0"/>
                <w:numId w:val="0"/>
              </w:numPr>
              <w:autoSpaceDE w:val="0"/>
              <w:autoSpaceDN w:val="0"/>
              <w:spacing w:before="0" w:after="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lang w:val="en-US" w:eastAsia="zh-CN"/>
              </w:rPr>
              <w:t>10</w:t>
            </w:r>
            <w:r>
              <w:rPr>
                <w:rFonts w:hint="eastAsia" w:ascii="宋体" w:hAnsi="宋体" w:eastAsia="宋体" w:cs="宋体"/>
                <w:color w:val="000000"/>
                <w:position w:val="0"/>
                <w:sz w:val="22"/>
                <w:szCs w:val="22"/>
              </w:rPr>
              <w:t>分</w:t>
            </w:r>
          </w:p>
        </w:tc>
        <w:tc>
          <w:tcPr>
            <w:tcW w:w="6066" w:type="dxa"/>
            <w:tcBorders>
              <w:top w:val="single" w:color="auto" w:sz="4" w:space="0"/>
              <w:bottom w:val="single" w:color="auto" w:sz="4" w:space="0"/>
            </w:tcBorders>
            <w:noWrap w:val="0"/>
            <w:vAlign w:val="top"/>
          </w:tcPr>
          <w:p>
            <w:pPr>
              <w:pStyle w:val="18"/>
              <w:numPr>
                <w:ilvl w:val="0"/>
                <w:numId w:val="0"/>
              </w:numPr>
              <w:autoSpaceDE w:val="0"/>
              <w:autoSpaceDN w:val="0"/>
              <w:spacing w:before="0" w:after="0" w:line="280" w:lineRule="exact"/>
              <w:ind w:left="108" w:right="0" w:firstLine="0"/>
              <w:jc w:val="left"/>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对投标文件制作是否规范、投标文件编制的内容是否完整、齐全、叙述是否严谨；标书是否有错页、漏页现象等的综合评审打分；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3" w:hRule="atLeast"/>
        </w:trPr>
        <w:tc>
          <w:tcPr>
            <w:tcW w:w="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auto"/>
                <w:position w:val="0"/>
                <w:sz w:val="22"/>
                <w:szCs w:val="22"/>
              </w:rPr>
            </w:pPr>
          </w:p>
        </w:tc>
        <w:tc>
          <w:tcPr>
            <w:tcW w:w="1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商务、技术分合计</w:t>
            </w:r>
          </w:p>
        </w:tc>
        <w:tc>
          <w:tcPr>
            <w:tcW w:w="1122" w:type="dxa"/>
            <w:tcBorders>
              <w:top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2"/>
                <w:szCs w:val="22"/>
              </w:rPr>
            </w:pPr>
            <w:r>
              <w:rPr>
                <w:rFonts w:hint="eastAsia" w:ascii="宋体" w:hAnsi="宋体" w:eastAsia="宋体" w:cs="宋体"/>
                <w:color w:val="000000"/>
                <w:position w:val="0"/>
                <w:sz w:val="22"/>
                <w:szCs w:val="22"/>
              </w:rPr>
              <w:t>70分</w:t>
            </w:r>
          </w:p>
        </w:tc>
        <w:tc>
          <w:tcPr>
            <w:tcW w:w="6066" w:type="dxa"/>
            <w:tcBorders>
              <w:top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000000"/>
                <w:position w:val="0"/>
                <w:sz w:val="2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0" w:hRule="atLeast"/>
        </w:trPr>
        <w:tc>
          <w:tcPr>
            <w:tcW w:w="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FF0000"/>
                <w:position w:val="0"/>
                <w:sz w:val="24"/>
                <w:szCs w:val="24"/>
              </w:rPr>
            </w:pPr>
          </w:p>
        </w:tc>
        <w:tc>
          <w:tcPr>
            <w:tcW w:w="1957" w:type="dxa"/>
            <w:tcBorders>
              <w:top w:val="single" w:color="auto" w:sz="4" w:space="0"/>
              <w:bottom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4"/>
                <w:szCs w:val="24"/>
              </w:rPr>
            </w:pPr>
          </w:p>
        </w:tc>
        <w:tc>
          <w:tcPr>
            <w:tcW w:w="1122" w:type="dxa"/>
            <w:tcBorders>
              <w:top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center"/>
              <w:rPr>
                <w:rFonts w:hint="eastAsia" w:ascii="宋体" w:hAnsi="宋体" w:eastAsia="宋体" w:cs="宋体"/>
                <w:color w:val="000000"/>
                <w:position w:val="0"/>
                <w:sz w:val="24"/>
                <w:szCs w:val="24"/>
              </w:rPr>
            </w:pPr>
          </w:p>
        </w:tc>
        <w:tc>
          <w:tcPr>
            <w:tcW w:w="6066" w:type="dxa"/>
            <w:tcBorders>
              <w:top w:val="single" w:color="auto" w:sz="4" w:space="0"/>
            </w:tcBorders>
            <w:noWrap w:val="0"/>
            <w:vAlign w:val="center"/>
          </w:tcPr>
          <w:p>
            <w:pPr>
              <w:pStyle w:val="18"/>
              <w:numPr>
                <w:ilvl w:val="0"/>
                <w:numId w:val="0"/>
              </w:numPr>
              <w:autoSpaceDE w:val="0"/>
              <w:autoSpaceDN w:val="0"/>
              <w:spacing w:before="0" w:after="160" w:line="280" w:lineRule="exact"/>
              <w:ind w:left="108" w:right="0" w:firstLine="0"/>
              <w:jc w:val="left"/>
              <w:rPr>
                <w:rFonts w:hint="eastAsia" w:ascii="宋体" w:hAnsi="宋体" w:eastAsia="宋体" w:cs="宋体"/>
                <w:color w:val="FF0000"/>
                <w:position w:val="0"/>
                <w:sz w:val="24"/>
                <w:szCs w:val="24"/>
              </w:rPr>
            </w:pPr>
          </w:p>
        </w:tc>
      </w:tr>
    </w:tbl>
    <w:p>
      <w:pPr>
        <w:pStyle w:val="10"/>
        <w:numPr>
          <w:ilvl w:val="0"/>
          <w:numId w:val="0"/>
        </w:numPr>
        <w:autoSpaceDE w:val="0"/>
        <w:autoSpaceDN w:val="0"/>
        <w:spacing w:before="2" w:after="160" w:line="240" w:lineRule="auto"/>
        <w:ind w:right="0" w:firstLine="0"/>
        <w:jc w:val="left"/>
        <w:rPr>
          <w:rFonts w:hint="eastAsia" w:ascii="宋体" w:hAnsi="宋体" w:eastAsia="宋体" w:cs="宋体"/>
          <w:b/>
          <w:color w:val="000000"/>
          <w:position w:val="0"/>
          <w:sz w:val="24"/>
          <w:szCs w:val="24"/>
        </w:rPr>
      </w:pPr>
    </w:p>
    <w:p>
      <w:pPr>
        <w:numPr>
          <w:ilvl w:val="0"/>
          <w:numId w:val="0"/>
        </w:numPr>
        <w:autoSpaceDE w:val="0"/>
        <w:autoSpaceDN w:val="0"/>
        <w:spacing w:before="62" w:after="8" w:line="240" w:lineRule="auto"/>
        <w:ind w:left="273" w:right="0" w:firstLine="0"/>
        <w:jc w:val="left"/>
        <w:rPr>
          <w:rFonts w:hint="eastAsia" w:ascii="宋体" w:hAnsi="宋体" w:eastAsia="宋体" w:cs="宋体"/>
          <w:b/>
          <w:color w:val="000000"/>
          <w:position w:val="0"/>
          <w:sz w:val="24"/>
          <w:szCs w:val="24"/>
        </w:rPr>
      </w:pPr>
      <w:r>
        <w:rPr>
          <w:rFonts w:hint="eastAsia" w:ascii="宋体" w:hAnsi="宋体" w:eastAsia="宋体" w:cs="宋体"/>
          <w:b/>
          <w:color w:val="000000"/>
          <w:position w:val="0"/>
          <w:sz w:val="24"/>
          <w:szCs w:val="24"/>
        </w:rPr>
        <w:t>（2）报价部分（30 分）</w:t>
      </w:r>
    </w:p>
    <w:tbl>
      <w:tblPr>
        <w:tblStyle w:val="16"/>
        <w:tblW w:w="8978"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302"/>
        <w:gridCol w:w="5866"/>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818" w:type="dxa"/>
            <w:noWrap w:val="0"/>
            <w:vAlign w:val="top"/>
          </w:tcPr>
          <w:p>
            <w:pPr>
              <w:pStyle w:val="18"/>
              <w:numPr>
                <w:ilvl w:val="0"/>
                <w:numId w:val="0"/>
              </w:numPr>
              <w:autoSpaceDE w:val="0"/>
              <w:autoSpaceDN w:val="0"/>
              <w:spacing w:before="1"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left="169" w:right="159"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序号</w:t>
            </w:r>
          </w:p>
        </w:tc>
        <w:tc>
          <w:tcPr>
            <w:tcW w:w="1302" w:type="dxa"/>
            <w:noWrap w:val="0"/>
            <w:vAlign w:val="top"/>
          </w:tcPr>
          <w:p>
            <w:pPr>
              <w:pStyle w:val="18"/>
              <w:numPr>
                <w:ilvl w:val="0"/>
                <w:numId w:val="0"/>
              </w:numPr>
              <w:autoSpaceDE w:val="0"/>
              <w:autoSpaceDN w:val="0"/>
              <w:spacing w:before="1"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right="198" w:firstLine="0"/>
              <w:jc w:val="righ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评审项目</w:t>
            </w:r>
          </w:p>
        </w:tc>
        <w:tc>
          <w:tcPr>
            <w:tcW w:w="5866" w:type="dxa"/>
            <w:noWrap w:val="0"/>
            <w:vAlign w:val="top"/>
          </w:tcPr>
          <w:p>
            <w:pPr>
              <w:pStyle w:val="18"/>
              <w:numPr>
                <w:ilvl w:val="0"/>
                <w:numId w:val="0"/>
              </w:numPr>
              <w:autoSpaceDE w:val="0"/>
              <w:autoSpaceDN w:val="0"/>
              <w:spacing w:before="1"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left="2474" w:right="2462"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评分标准</w:t>
            </w:r>
          </w:p>
        </w:tc>
        <w:tc>
          <w:tcPr>
            <w:tcW w:w="992" w:type="dxa"/>
            <w:noWrap w:val="0"/>
            <w:vAlign w:val="top"/>
          </w:tcPr>
          <w:p>
            <w:pPr>
              <w:pStyle w:val="18"/>
              <w:numPr>
                <w:ilvl w:val="0"/>
                <w:numId w:val="0"/>
              </w:numPr>
              <w:autoSpaceDE w:val="0"/>
              <w:autoSpaceDN w:val="0"/>
              <w:spacing w:before="1"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left="56" w:right="45"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818" w:type="dxa"/>
            <w:noWrap w:val="0"/>
            <w:vAlign w:val="top"/>
          </w:tcPr>
          <w:p>
            <w:pPr>
              <w:pStyle w:val="18"/>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22"/>
                <w:szCs w:val="22"/>
              </w:rPr>
            </w:pPr>
          </w:p>
          <w:p>
            <w:pPr>
              <w:pStyle w:val="18"/>
              <w:numPr>
                <w:ilvl w:val="0"/>
                <w:numId w:val="0"/>
              </w:numPr>
              <w:autoSpaceDE w:val="0"/>
              <w:autoSpaceDN w:val="0"/>
              <w:spacing w:before="9" w:after="160" w:line="240" w:lineRule="auto"/>
              <w:ind w:right="0" w:firstLine="0"/>
              <w:jc w:val="both"/>
              <w:rPr>
                <w:rFonts w:hint="eastAsia" w:ascii="宋体" w:hAnsi="宋体" w:eastAsia="宋体" w:cs="宋体"/>
                <w:b/>
                <w:color w:val="auto"/>
                <w:position w:val="0"/>
                <w:sz w:val="22"/>
                <w:szCs w:val="22"/>
              </w:rPr>
            </w:pPr>
          </w:p>
          <w:p>
            <w:pPr>
              <w:pStyle w:val="18"/>
              <w:numPr>
                <w:ilvl w:val="0"/>
                <w:numId w:val="0"/>
              </w:numPr>
              <w:autoSpaceDE w:val="0"/>
              <w:autoSpaceDN w:val="0"/>
              <w:spacing w:before="1" w:after="160" w:line="240" w:lineRule="auto"/>
              <w:ind w:left="10" w:right="0" w:firstLine="0"/>
              <w:jc w:val="center"/>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1</w:t>
            </w:r>
          </w:p>
        </w:tc>
        <w:tc>
          <w:tcPr>
            <w:tcW w:w="1302" w:type="dxa"/>
            <w:noWrap w:val="0"/>
            <w:vAlign w:val="top"/>
          </w:tcPr>
          <w:p>
            <w:pPr>
              <w:pStyle w:val="18"/>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right="0" w:firstLine="0"/>
              <w:jc w:val="center"/>
              <w:rPr>
                <w:rFonts w:hint="eastAsia" w:ascii="宋体" w:hAnsi="宋体" w:eastAsia="宋体" w:cs="宋体"/>
                <w:b/>
                <w:color w:val="auto"/>
                <w:position w:val="0"/>
                <w:sz w:val="22"/>
                <w:szCs w:val="22"/>
              </w:rPr>
            </w:pPr>
          </w:p>
          <w:p>
            <w:pPr>
              <w:pStyle w:val="18"/>
              <w:numPr>
                <w:ilvl w:val="0"/>
                <w:numId w:val="0"/>
              </w:numPr>
              <w:autoSpaceDE w:val="0"/>
              <w:autoSpaceDN w:val="0"/>
              <w:spacing w:before="1" w:after="160" w:line="240" w:lineRule="auto"/>
              <w:ind w:right="198"/>
              <w:jc w:val="both"/>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价格部分</w:t>
            </w:r>
          </w:p>
        </w:tc>
        <w:tc>
          <w:tcPr>
            <w:tcW w:w="5866" w:type="dxa"/>
            <w:noWrap w:val="0"/>
            <w:vAlign w:val="top"/>
          </w:tcPr>
          <w:p>
            <w:pPr>
              <w:pStyle w:val="18"/>
              <w:numPr>
                <w:ilvl w:val="0"/>
                <w:numId w:val="0"/>
              </w:numPr>
              <w:autoSpaceDE w:val="0"/>
              <w:autoSpaceDN w:val="0"/>
              <w:spacing w:before="0" w:after="160" w:line="360" w:lineRule="atLeast"/>
              <w:ind w:left="108" w:right="-15"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投标报价得分＝（评标基准价/投标报价）×最高分值</w:t>
            </w:r>
          </w:p>
          <w:p>
            <w:pPr>
              <w:pStyle w:val="18"/>
              <w:numPr>
                <w:ilvl w:val="0"/>
                <w:numId w:val="0"/>
              </w:numPr>
              <w:autoSpaceDE w:val="0"/>
              <w:autoSpaceDN w:val="0"/>
              <w:spacing w:before="0" w:after="160" w:line="360" w:lineRule="atLeast"/>
              <w:ind w:left="108" w:right="-15"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1.投标价格评分采用低价优先法计算；</w:t>
            </w:r>
          </w:p>
          <w:p>
            <w:pPr>
              <w:pStyle w:val="18"/>
              <w:numPr>
                <w:ilvl w:val="0"/>
                <w:numId w:val="0"/>
              </w:numPr>
              <w:autoSpaceDE w:val="0"/>
              <w:autoSpaceDN w:val="0"/>
              <w:spacing w:before="0" w:after="160" w:line="360" w:lineRule="atLeast"/>
              <w:ind w:left="108" w:right="-15"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2.评标基准价：满足招标文件要求且经算术修正，依据政府采购政策进行价格扣除后的最低报价为评标基准价；</w:t>
            </w:r>
          </w:p>
          <w:p>
            <w:pPr>
              <w:pStyle w:val="18"/>
              <w:numPr>
                <w:ilvl w:val="0"/>
                <w:numId w:val="0"/>
              </w:numPr>
              <w:autoSpaceDE w:val="0"/>
              <w:autoSpaceDN w:val="0"/>
              <w:spacing w:before="0" w:after="160" w:line="360" w:lineRule="atLeast"/>
              <w:ind w:left="108" w:right="-15" w:firstLine="0"/>
              <w:jc w:val="left"/>
              <w:rPr>
                <w:rFonts w:hint="eastAsia" w:ascii="宋体" w:hAnsi="宋体" w:eastAsia="宋体" w:cs="宋体"/>
                <w:color w:val="auto"/>
                <w:position w:val="0"/>
                <w:sz w:val="22"/>
                <w:szCs w:val="22"/>
              </w:rPr>
            </w:pPr>
            <w:r>
              <w:rPr>
                <w:rFonts w:hint="eastAsia" w:ascii="宋体" w:hAnsi="宋体" w:eastAsia="宋体" w:cs="宋体"/>
                <w:color w:val="auto"/>
                <w:position w:val="0"/>
                <w:sz w:val="22"/>
                <w:szCs w:val="22"/>
              </w:rPr>
              <w:t>3.修正后投标报价：评标委员会以开标一览表中投标报价为基础，对其进行算术修正，依据政府采购政策进行价格扣除后，作为投标报价计算的依据。</w:t>
            </w:r>
          </w:p>
        </w:tc>
        <w:tc>
          <w:tcPr>
            <w:tcW w:w="992"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9" w:after="160" w:line="240" w:lineRule="auto"/>
              <w:ind w:right="0" w:firstLine="0"/>
              <w:jc w:val="left"/>
              <w:rPr>
                <w:rFonts w:hint="eastAsia" w:ascii="宋体" w:hAnsi="宋体" w:eastAsia="宋体" w:cs="宋体"/>
                <w:b/>
                <w:color w:val="auto"/>
                <w:position w:val="0"/>
                <w:sz w:val="22"/>
                <w:szCs w:val="22"/>
              </w:rPr>
            </w:pPr>
          </w:p>
          <w:p>
            <w:pPr>
              <w:pStyle w:val="18"/>
              <w:numPr>
                <w:ilvl w:val="0"/>
                <w:numId w:val="0"/>
              </w:numPr>
              <w:autoSpaceDE w:val="0"/>
              <w:autoSpaceDN w:val="0"/>
              <w:spacing w:before="1" w:after="160" w:line="240" w:lineRule="auto"/>
              <w:ind w:left="56" w:right="105" w:firstLine="0"/>
              <w:jc w:val="center"/>
              <w:rPr>
                <w:rFonts w:hint="eastAsia" w:ascii="宋体" w:hAnsi="宋体" w:eastAsia="宋体" w:cs="宋体"/>
                <w:color w:val="auto"/>
                <w:position w:val="0"/>
                <w:sz w:val="22"/>
                <w:szCs w:val="22"/>
              </w:rPr>
            </w:pPr>
            <w:r>
              <w:rPr>
                <w:rFonts w:hint="eastAsia" w:ascii="宋体" w:hAnsi="宋体" w:eastAsia="宋体" w:cs="宋体"/>
                <w:color w:val="000000"/>
                <w:position w:val="0"/>
                <w:sz w:val="22"/>
                <w:szCs w:val="22"/>
              </w:rPr>
              <w:t xml:space="preserve">0-30 </w:t>
            </w:r>
            <w:r>
              <w:rPr>
                <w:rFonts w:hint="eastAsia" w:ascii="宋体" w:hAnsi="宋体" w:eastAsia="宋体" w:cs="宋体"/>
                <w:color w:val="auto"/>
                <w:position w:val="0"/>
                <w:sz w:val="22"/>
                <w:szCs w:val="22"/>
              </w:rPr>
              <w:t>分</w:t>
            </w:r>
          </w:p>
        </w:tc>
      </w:tr>
    </w:tbl>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9"/>
        <w:numPr>
          <w:ilvl w:val="0"/>
          <w:numId w:val="6"/>
        </w:numPr>
        <w:tabs>
          <w:tab w:val="left" w:pos="1225"/>
        </w:tabs>
        <w:autoSpaceDE w:val="0"/>
        <w:autoSpaceDN w:val="0"/>
        <w:bidi w:val="0"/>
        <w:spacing w:before="194" w:after="160" w:line="240" w:lineRule="auto"/>
        <w:ind w:left="1225" w:right="0" w:hanging="481"/>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定标原则</w:t>
      </w:r>
    </w:p>
    <w:p>
      <w:pPr>
        <w:pStyle w:val="19"/>
        <w:numPr>
          <w:ilvl w:val="1"/>
          <w:numId w:val="6"/>
        </w:numPr>
        <w:tabs>
          <w:tab w:val="left" w:pos="1277"/>
        </w:tabs>
        <w:autoSpaceDE w:val="0"/>
        <w:autoSpaceDN w:val="0"/>
        <w:bidi w:val="0"/>
        <w:spacing w:before="132" w:after="160" w:line="240" w:lineRule="auto"/>
        <w:ind w:left="273" w:right="879" w:firstLine="472"/>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评审小组应当根据综合评分情况，按照投标人综合得分由高到低的顺序排</w:t>
      </w:r>
      <w:r>
        <w:rPr>
          <w:rFonts w:hint="eastAsia" w:ascii="宋体" w:hAnsi="宋体" w:eastAsia="宋体" w:cs="宋体"/>
          <w:color w:val="auto"/>
          <w:spacing w:val="-5"/>
          <w:position w:val="0"/>
          <w:sz w:val="24"/>
          <w:szCs w:val="24"/>
        </w:rPr>
        <w:t>列，依次推荐</w:t>
      </w:r>
      <w:r>
        <w:rPr>
          <w:rFonts w:hint="eastAsia" w:ascii="宋体" w:hAnsi="宋体" w:eastAsia="宋体" w:cs="宋体"/>
          <w:color w:val="auto"/>
          <w:position w:val="0"/>
          <w:sz w:val="24"/>
          <w:szCs w:val="24"/>
        </w:rPr>
        <w:t>3</w:t>
      </w:r>
      <w:r>
        <w:rPr>
          <w:rFonts w:hint="eastAsia" w:ascii="宋体" w:hAnsi="宋体" w:eastAsia="宋体" w:cs="宋体"/>
          <w:color w:val="auto"/>
          <w:spacing w:val="-5"/>
          <w:position w:val="0"/>
          <w:sz w:val="24"/>
          <w:szCs w:val="24"/>
        </w:rPr>
        <w:t>名成交候选人，并编写评审报告。投标人综合得分相同的，按照投</w:t>
      </w:r>
      <w:r>
        <w:rPr>
          <w:rFonts w:hint="eastAsia" w:ascii="宋体" w:hAnsi="宋体" w:eastAsia="宋体" w:cs="宋体"/>
          <w:color w:val="auto"/>
          <w:spacing w:val="-4"/>
          <w:position w:val="0"/>
          <w:sz w:val="24"/>
          <w:szCs w:val="24"/>
        </w:rPr>
        <w:t>标报价由低到高的顺序排列。投标人综合得分相同且投标报价也相同的并列，评审小组将按照技术指标优劣顺序推荐。</w:t>
      </w:r>
    </w:p>
    <w:p>
      <w:pPr>
        <w:pStyle w:val="19"/>
        <w:numPr>
          <w:ilvl w:val="1"/>
          <w:numId w:val="6"/>
        </w:numPr>
        <w:tabs>
          <w:tab w:val="left" w:pos="1294"/>
        </w:tabs>
        <w:autoSpaceDE w:val="0"/>
        <w:autoSpaceDN w:val="0"/>
        <w:bidi w:val="0"/>
        <w:spacing w:before="3" w:after="160" w:line="240" w:lineRule="auto"/>
        <w:ind w:left="1293" w:right="0" w:hanging="541"/>
        <w:jc w:val="both"/>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采购代理机构应当在评标结束后</w:t>
      </w:r>
      <w:r>
        <w:rPr>
          <w:rFonts w:hint="eastAsia" w:ascii="宋体" w:hAnsi="宋体" w:eastAsia="宋体" w:cs="宋体"/>
          <w:color w:val="auto"/>
          <w:position w:val="0"/>
          <w:sz w:val="24"/>
          <w:szCs w:val="24"/>
        </w:rPr>
        <w:t>2</w:t>
      </w:r>
      <w:r>
        <w:rPr>
          <w:rFonts w:hint="eastAsia" w:ascii="宋体" w:hAnsi="宋体" w:eastAsia="宋体" w:cs="宋体"/>
          <w:color w:val="auto"/>
          <w:spacing w:val="-8"/>
          <w:position w:val="0"/>
          <w:sz w:val="24"/>
          <w:szCs w:val="24"/>
        </w:rPr>
        <w:t>个工作日内将评审报告送采购人。</w:t>
      </w:r>
    </w:p>
    <w:p>
      <w:pPr>
        <w:pStyle w:val="10"/>
        <w:numPr>
          <w:ilvl w:val="0"/>
          <w:numId w:val="0"/>
        </w:numPr>
        <w:autoSpaceDE w:val="0"/>
        <w:autoSpaceDN w:val="0"/>
        <w:spacing w:before="13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采购人应当自收到评审报告之日起</w:t>
      </w:r>
      <w:r>
        <w:rPr>
          <w:rFonts w:hint="eastAsia" w:ascii="宋体" w:hAnsi="宋体" w:eastAsia="宋体" w:cs="宋体"/>
          <w:color w:val="auto"/>
          <w:position w:val="0"/>
          <w:sz w:val="24"/>
          <w:szCs w:val="24"/>
        </w:rPr>
        <w:t>5</w:t>
      </w:r>
      <w:r>
        <w:rPr>
          <w:rFonts w:hint="eastAsia" w:ascii="宋体" w:hAnsi="宋体" w:eastAsia="宋体" w:cs="宋体"/>
          <w:color w:val="auto"/>
          <w:spacing w:val="-6"/>
          <w:position w:val="0"/>
          <w:sz w:val="24"/>
          <w:szCs w:val="24"/>
        </w:rPr>
        <w:t>个工作日内，在评审报告确定的成交候选人名单中按顺序确定成交人。</w:t>
      </w:r>
    </w:p>
    <w:p>
      <w:pPr>
        <w:pStyle w:val="19"/>
        <w:numPr>
          <w:ilvl w:val="1"/>
          <w:numId w:val="6"/>
        </w:numPr>
        <w:tabs>
          <w:tab w:val="left" w:pos="1299"/>
        </w:tabs>
        <w:autoSpaceDE w:val="0"/>
        <w:autoSpaceDN w:val="0"/>
        <w:bidi w:val="0"/>
        <w:spacing w:before="2" w:after="160" w:line="240" w:lineRule="auto"/>
        <w:ind w:left="273" w:right="879" w:firstLine="484"/>
        <w:jc w:val="both"/>
        <w:rPr>
          <w:rFonts w:hint="eastAsia" w:ascii="宋体" w:hAnsi="宋体" w:eastAsia="宋体" w:cs="宋体"/>
          <w:b/>
          <w:color w:val="auto"/>
          <w:position w:val="0"/>
          <w:sz w:val="24"/>
          <w:szCs w:val="24"/>
        </w:rPr>
      </w:pPr>
      <w:r>
        <w:rPr>
          <w:rFonts w:hint="eastAsia" w:ascii="宋体" w:hAnsi="宋体" w:eastAsia="宋体" w:cs="宋体"/>
          <w:color w:val="auto"/>
          <w:spacing w:val="-1"/>
          <w:position w:val="0"/>
          <w:sz w:val="24"/>
          <w:szCs w:val="24"/>
        </w:rPr>
        <w:t>根据评审报告，应当确定排名第一的成交候选人为成交人。排名第一的成交</w:t>
      </w:r>
      <w:r>
        <w:rPr>
          <w:rFonts w:hint="eastAsia" w:ascii="宋体" w:hAnsi="宋体" w:eastAsia="宋体" w:cs="宋体"/>
          <w:color w:val="auto"/>
          <w:position w:val="0"/>
          <w:sz w:val="24"/>
          <w:szCs w:val="24"/>
        </w:rPr>
        <w:t>候选人放弃成交、因不可抗力不能履行合同的、或者竞争性磋商文件规定应当提交履约保证金而在规定的期限内未能提交的（如有）、其他不符合成交条件的、或者被查实存在影响成交结果的违法行为等情形，采购人可以按照评审小组提出的成交候选人名单排序依次确定其他成交候选人为成交人，也可以重新采购。</w:t>
      </w:r>
      <w:bookmarkStart w:id="11" w:name="第七章__授予合同"/>
      <w:bookmarkEnd w:id="11"/>
    </w:p>
    <w:p>
      <w:pPr>
        <w:pStyle w:val="6"/>
        <w:numPr>
          <w:ilvl w:val="0"/>
          <w:numId w:val="0"/>
        </w:numPr>
        <w:tabs>
          <w:tab w:val="left" w:pos="1286"/>
        </w:tabs>
        <w:autoSpaceDE w:val="0"/>
        <w:autoSpaceDN w:val="0"/>
        <w:spacing w:before="0" w:after="160" w:line="240" w:lineRule="auto"/>
        <w:ind w:right="603" w:firstLine="3213"/>
        <w:jc w:val="both"/>
        <w:outlineLvl w:val="2"/>
        <w:rPr>
          <w:rFonts w:hint="eastAsia" w:ascii="宋体" w:hAnsi="宋体" w:eastAsia="宋体" w:cs="宋体"/>
          <w:b/>
          <w:color w:val="auto"/>
          <w:position w:val="0"/>
          <w:sz w:val="24"/>
          <w:szCs w:val="24"/>
        </w:rPr>
      </w:pPr>
    </w:p>
    <w:p>
      <w:pPr>
        <w:pStyle w:val="6"/>
        <w:numPr>
          <w:ilvl w:val="0"/>
          <w:numId w:val="0"/>
        </w:numPr>
        <w:tabs>
          <w:tab w:val="left" w:pos="1286"/>
        </w:tabs>
        <w:autoSpaceDE w:val="0"/>
        <w:autoSpaceDN w:val="0"/>
        <w:spacing w:before="0" w:after="160" w:line="240" w:lineRule="auto"/>
        <w:ind w:right="603" w:firstLine="3213"/>
        <w:jc w:val="both"/>
        <w:outlineLvl w:val="2"/>
        <w:rPr>
          <w:rFonts w:hint="eastAsia" w:ascii="宋体" w:hAnsi="宋体" w:eastAsia="宋体" w:cs="宋体"/>
          <w:b/>
          <w:color w:val="auto"/>
          <w:position w:val="0"/>
          <w:sz w:val="28"/>
          <w:szCs w:val="28"/>
        </w:rPr>
      </w:pPr>
    </w:p>
    <w:p>
      <w:pPr>
        <w:pStyle w:val="6"/>
        <w:numPr>
          <w:ilvl w:val="0"/>
          <w:numId w:val="0"/>
        </w:numPr>
        <w:tabs>
          <w:tab w:val="left" w:pos="1286"/>
        </w:tabs>
        <w:autoSpaceDE w:val="0"/>
        <w:autoSpaceDN w:val="0"/>
        <w:spacing w:before="0" w:after="160" w:line="240" w:lineRule="auto"/>
        <w:ind w:right="603" w:firstLine="3213"/>
        <w:jc w:val="both"/>
        <w:outlineLvl w:val="2"/>
        <w:rPr>
          <w:rFonts w:hint="eastAsia" w:ascii="宋体" w:hAnsi="宋体" w:eastAsia="宋体" w:cs="宋体"/>
          <w:b/>
          <w:color w:val="auto"/>
          <w:position w:val="0"/>
          <w:sz w:val="28"/>
          <w:szCs w:val="28"/>
        </w:rPr>
      </w:pPr>
    </w:p>
    <w:p>
      <w:pPr>
        <w:pStyle w:val="6"/>
        <w:numPr>
          <w:ilvl w:val="0"/>
          <w:numId w:val="0"/>
        </w:numPr>
        <w:tabs>
          <w:tab w:val="left" w:pos="1286"/>
        </w:tabs>
        <w:autoSpaceDE w:val="0"/>
        <w:autoSpaceDN w:val="0"/>
        <w:spacing w:before="0" w:after="160" w:line="240" w:lineRule="auto"/>
        <w:ind w:right="603"/>
        <w:jc w:val="center"/>
        <w:outlineLvl w:val="2"/>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第七章</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授予合同</w:t>
      </w: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9"/>
        <w:numPr>
          <w:ilvl w:val="0"/>
          <w:numId w:val="6"/>
        </w:numPr>
        <w:tabs>
          <w:tab w:val="left" w:pos="1117"/>
        </w:tabs>
        <w:autoSpaceDE w:val="0"/>
        <w:autoSpaceDN w:val="0"/>
        <w:bidi w:val="0"/>
        <w:spacing w:before="0"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合同授予标准</w:t>
      </w:r>
    </w:p>
    <w:p>
      <w:pPr>
        <w:pStyle w:val="19"/>
        <w:numPr>
          <w:ilvl w:val="1"/>
          <w:numId w:val="6"/>
        </w:numPr>
        <w:tabs>
          <w:tab w:val="left" w:pos="1277"/>
        </w:tabs>
        <w:autoSpaceDE w:val="0"/>
        <w:autoSpaceDN w:val="0"/>
        <w:bidi w:val="0"/>
        <w:spacing w:before="132" w:after="160" w:line="240" w:lineRule="auto"/>
        <w:ind w:left="273" w:right="756"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合同将授予被确定为实质上响应竞争性磋商文件要求，评标认为具备履行合</w:t>
      </w:r>
      <w:r>
        <w:rPr>
          <w:rFonts w:hint="eastAsia" w:ascii="宋体" w:hAnsi="宋体" w:eastAsia="宋体" w:cs="宋体"/>
          <w:color w:val="auto"/>
          <w:spacing w:val="-16"/>
          <w:position w:val="0"/>
          <w:sz w:val="24"/>
          <w:szCs w:val="24"/>
        </w:rPr>
        <w:t>同义务条件、报价合理、技术和商务条件都符合条件基础上对买方最为有利的投标人。</w:t>
      </w:r>
    </w:p>
    <w:p>
      <w:pPr>
        <w:pStyle w:val="19"/>
        <w:numPr>
          <w:ilvl w:val="1"/>
          <w:numId w:val="6"/>
        </w:numPr>
        <w:tabs>
          <w:tab w:val="left" w:pos="1277"/>
        </w:tabs>
        <w:autoSpaceDE w:val="0"/>
        <w:autoSpaceDN w:val="0"/>
        <w:bidi w:val="0"/>
        <w:spacing w:before="52" w:after="160" w:line="240" w:lineRule="auto"/>
        <w:ind w:left="1276" w:right="0" w:hanging="531"/>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最低投标价不一定是被授予合同的保证。</w:t>
      </w:r>
    </w:p>
    <w:p>
      <w:pPr>
        <w:pStyle w:val="19"/>
        <w:numPr>
          <w:ilvl w:val="1"/>
          <w:numId w:val="6"/>
        </w:numPr>
        <w:tabs>
          <w:tab w:val="left" w:pos="1277"/>
        </w:tabs>
        <w:autoSpaceDE w:val="0"/>
        <w:autoSpaceDN w:val="0"/>
        <w:bidi w:val="0"/>
        <w:spacing w:before="134"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如果确定该投标人不能无条件圆满履行合同，采购人将对下一个可能成交的</w:t>
      </w:r>
      <w:r>
        <w:rPr>
          <w:rFonts w:hint="eastAsia" w:ascii="宋体" w:hAnsi="宋体" w:eastAsia="宋体" w:cs="宋体"/>
          <w:color w:val="auto"/>
          <w:spacing w:val="-5"/>
          <w:position w:val="0"/>
          <w:sz w:val="24"/>
          <w:szCs w:val="24"/>
        </w:rPr>
        <w:t>投标人资格做出类似的审查。</w:t>
      </w:r>
    </w:p>
    <w:p>
      <w:pPr>
        <w:pStyle w:val="9"/>
        <w:numPr>
          <w:ilvl w:val="0"/>
          <w:numId w:val="6"/>
        </w:numPr>
        <w:tabs>
          <w:tab w:val="left" w:pos="1117"/>
        </w:tabs>
        <w:autoSpaceDE w:val="0"/>
        <w:autoSpaceDN w:val="0"/>
        <w:bidi w:val="0"/>
        <w:spacing w:before="0"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接受和拒绝任何投标的权力</w:t>
      </w:r>
    </w:p>
    <w:p>
      <w:pPr>
        <w:pStyle w:val="19"/>
        <w:numPr>
          <w:ilvl w:val="1"/>
          <w:numId w:val="6"/>
        </w:numPr>
        <w:tabs>
          <w:tab w:val="left" w:pos="1462"/>
        </w:tabs>
        <w:autoSpaceDE w:val="0"/>
        <w:autoSpaceDN w:val="0"/>
        <w:bidi w:val="0"/>
        <w:spacing w:before="134"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为维护国家利益，采购人在授予合同之前仍有选择或拒绝任何投标的权</w:t>
      </w:r>
      <w:r>
        <w:rPr>
          <w:rFonts w:hint="eastAsia" w:ascii="宋体" w:hAnsi="宋体" w:eastAsia="宋体" w:cs="宋体"/>
          <w:color w:val="auto"/>
          <w:spacing w:val="-3"/>
          <w:position w:val="0"/>
          <w:sz w:val="24"/>
          <w:szCs w:val="24"/>
        </w:rPr>
        <w:t>力。</w:t>
      </w:r>
    </w:p>
    <w:p>
      <w:pPr>
        <w:pStyle w:val="9"/>
        <w:numPr>
          <w:ilvl w:val="0"/>
          <w:numId w:val="6"/>
        </w:numPr>
        <w:tabs>
          <w:tab w:val="left" w:pos="1117"/>
        </w:tabs>
        <w:autoSpaceDE w:val="0"/>
        <w:autoSpaceDN w:val="0"/>
        <w:bidi w:val="0"/>
        <w:spacing w:before="0"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成交通知书</w:t>
      </w:r>
    </w:p>
    <w:p>
      <w:pPr>
        <w:pStyle w:val="19"/>
        <w:numPr>
          <w:ilvl w:val="1"/>
          <w:numId w:val="6"/>
        </w:numPr>
        <w:tabs>
          <w:tab w:val="left" w:pos="1277"/>
        </w:tabs>
        <w:autoSpaceDE w:val="0"/>
        <w:autoSpaceDN w:val="0"/>
        <w:bidi w:val="0"/>
        <w:spacing w:before="134" w:after="160" w:line="240" w:lineRule="auto"/>
        <w:ind w:left="273" w:right="874" w:firstLine="472"/>
        <w:jc w:val="left"/>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成交结果公示结束后，采购人将以书面形式发出《成交通知书》，《成交通</w:t>
      </w:r>
      <w:r>
        <w:rPr>
          <w:rFonts w:hint="eastAsia" w:ascii="宋体" w:hAnsi="宋体" w:eastAsia="宋体" w:cs="宋体"/>
          <w:color w:val="auto"/>
          <w:spacing w:val="-5"/>
          <w:position w:val="0"/>
          <w:sz w:val="24"/>
          <w:szCs w:val="24"/>
        </w:rPr>
        <w:t>知书》一经发出即发生法律效力。</w:t>
      </w:r>
    </w:p>
    <w:p>
      <w:pPr>
        <w:pStyle w:val="19"/>
        <w:numPr>
          <w:ilvl w:val="0"/>
          <w:numId w:val="0"/>
        </w:numPr>
        <w:tabs>
          <w:tab w:val="left" w:pos="1277"/>
        </w:tabs>
        <w:autoSpaceDE w:val="0"/>
        <w:autoSpaceDN w:val="0"/>
        <w:spacing w:before="135" w:after="160" w:line="240" w:lineRule="auto"/>
        <w:ind w:left="745" w:right="876" w:firstLine="0"/>
        <w:jc w:val="left"/>
        <w:rPr>
          <w:rFonts w:hint="eastAsia" w:ascii="宋体" w:hAnsi="宋体" w:eastAsia="宋体" w:cs="宋体"/>
          <w:color w:val="auto"/>
          <w:position w:val="0"/>
          <w:sz w:val="24"/>
          <w:szCs w:val="24"/>
        </w:rPr>
      </w:pPr>
      <w:r>
        <w:rPr>
          <w:rFonts w:hint="eastAsia" w:ascii="宋体" w:hAnsi="宋体" w:eastAsia="宋体" w:cs="宋体"/>
          <w:b/>
          <w:color w:val="auto"/>
          <w:spacing w:val="-5"/>
          <w:position w:val="0"/>
          <w:sz w:val="24"/>
          <w:szCs w:val="24"/>
        </w:rPr>
        <w:t>34.</w:t>
      </w:r>
      <w:r>
        <w:rPr>
          <w:rFonts w:hint="eastAsia" w:ascii="宋体" w:hAnsi="宋体" w:eastAsia="宋体" w:cs="宋体"/>
          <w:color w:val="auto"/>
          <w:spacing w:val="-5"/>
          <w:position w:val="0"/>
          <w:sz w:val="24"/>
          <w:szCs w:val="24"/>
        </w:rPr>
        <w:t>《成交通知书》将作为签订合同的依据。</w:t>
      </w:r>
    </w:p>
    <w:p>
      <w:pPr>
        <w:pStyle w:val="9"/>
        <w:numPr>
          <w:ilvl w:val="0"/>
          <w:numId w:val="17"/>
        </w:numPr>
        <w:tabs>
          <w:tab w:val="left" w:pos="1237"/>
        </w:tabs>
        <w:autoSpaceDE w:val="0"/>
        <w:autoSpaceDN w:val="0"/>
        <w:bidi w:val="0"/>
        <w:spacing w:before="0" w:after="160" w:line="240" w:lineRule="auto"/>
        <w:ind w:left="1237" w:right="0" w:hanging="48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签订合同</w:t>
      </w:r>
    </w:p>
    <w:p>
      <w:pPr>
        <w:pStyle w:val="19"/>
        <w:numPr>
          <w:ilvl w:val="1"/>
          <w:numId w:val="17"/>
        </w:numPr>
        <w:tabs>
          <w:tab w:val="left" w:pos="1277"/>
        </w:tabs>
        <w:autoSpaceDE w:val="0"/>
        <w:autoSpaceDN w:val="0"/>
        <w:bidi w:val="0"/>
        <w:spacing w:before="134"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9"/>
          <w:position w:val="0"/>
          <w:sz w:val="24"/>
          <w:szCs w:val="24"/>
        </w:rPr>
        <w:t>成交候选人在收到招标方的《成交通知书》后，须及时按照竞争性磋商文件</w:t>
      </w:r>
      <w:r>
        <w:rPr>
          <w:rFonts w:hint="eastAsia" w:ascii="宋体" w:hAnsi="宋体" w:eastAsia="宋体" w:cs="宋体"/>
          <w:color w:val="auto"/>
          <w:spacing w:val="-5"/>
          <w:position w:val="0"/>
          <w:sz w:val="24"/>
          <w:szCs w:val="24"/>
        </w:rPr>
        <w:t>和其所提供的响应文件中的约定与采购单位签订书面合同，所签订的合同不得对竞争性磋商文件和成交方的响应文件作实质性修改。</w:t>
      </w:r>
    </w:p>
    <w:p>
      <w:pPr>
        <w:pStyle w:val="19"/>
        <w:numPr>
          <w:ilvl w:val="1"/>
          <w:numId w:val="17"/>
        </w:numPr>
        <w:tabs>
          <w:tab w:val="left" w:pos="1277"/>
        </w:tabs>
        <w:autoSpaceDE w:val="0"/>
        <w:autoSpaceDN w:val="0"/>
        <w:bidi w:val="0"/>
        <w:spacing w:before="0" w:after="160" w:line="240" w:lineRule="auto"/>
        <w:ind w:left="1276" w:right="0" w:hanging="531"/>
        <w:jc w:val="both"/>
        <w:rPr>
          <w:rFonts w:hint="eastAsia" w:ascii="宋体" w:hAnsi="宋体" w:eastAsia="宋体" w:cs="宋体"/>
          <w:color w:val="auto"/>
          <w:position w:val="0"/>
          <w:sz w:val="24"/>
          <w:szCs w:val="24"/>
        </w:rPr>
      </w:pPr>
      <w:r>
        <w:rPr>
          <w:rFonts w:hint="eastAsia" w:ascii="宋体" w:hAnsi="宋体" w:eastAsia="宋体" w:cs="宋体"/>
          <w:color w:val="auto"/>
          <w:spacing w:val="-18"/>
          <w:position w:val="0"/>
          <w:sz w:val="24"/>
          <w:szCs w:val="24"/>
        </w:rPr>
        <w:t>竞争性磋商文件、成交方的响应文件及其澄清文件等，均为签订合同的依据。</w:t>
      </w:r>
    </w:p>
    <w:p>
      <w:pPr>
        <w:pStyle w:val="19"/>
        <w:numPr>
          <w:ilvl w:val="1"/>
          <w:numId w:val="17"/>
        </w:numPr>
        <w:tabs>
          <w:tab w:val="left" w:pos="1335"/>
        </w:tabs>
        <w:autoSpaceDE w:val="0"/>
        <w:autoSpaceDN w:val="0"/>
        <w:bidi w:val="0"/>
        <w:spacing w:before="132" w:after="160" w:line="240" w:lineRule="auto"/>
        <w:ind w:left="273" w:right="874" w:firstLine="472"/>
        <w:jc w:val="both"/>
        <w:rPr>
          <w:rFonts w:hint="eastAsia" w:ascii="宋体" w:hAnsi="宋体" w:eastAsia="宋体" w:cs="宋体"/>
          <w:color w:val="auto"/>
          <w:position w:val="0"/>
          <w:sz w:val="24"/>
          <w:szCs w:val="24"/>
        </w:rPr>
      </w:pPr>
      <w:r>
        <w:rPr>
          <w:rFonts w:hint="eastAsia" w:ascii="宋体" w:hAnsi="宋体" w:eastAsia="宋体" w:cs="宋体"/>
          <w:color w:val="auto"/>
          <w:spacing w:val="-11"/>
          <w:position w:val="0"/>
          <w:sz w:val="24"/>
          <w:szCs w:val="24"/>
        </w:rPr>
        <w:t>如果成交人不能按本须知第</w:t>
      </w:r>
      <w:r>
        <w:rPr>
          <w:rFonts w:hint="eastAsia" w:ascii="宋体" w:hAnsi="宋体" w:eastAsia="宋体" w:cs="宋体"/>
          <w:color w:val="auto"/>
          <w:position w:val="0"/>
          <w:sz w:val="24"/>
          <w:szCs w:val="24"/>
        </w:rPr>
        <w:t>35.1</w:t>
      </w:r>
      <w:r>
        <w:rPr>
          <w:rFonts w:hint="eastAsia" w:ascii="宋体" w:hAnsi="宋体" w:eastAsia="宋体" w:cs="宋体"/>
          <w:color w:val="auto"/>
          <w:spacing w:val="-12"/>
          <w:position w:val="0"/>
          <w:sz w:val="24"/>
          <w:szCs w:val="24"/>
        </w:rPr>
        <w:t>款的规定执行，采购人将有充分的理由废</w:t>
      </w:r>
      <w:r>
        <w:rPr>
          <w:rFonts w:hint="eastAsia" w:ascii="宋体" w:hAnsi="宋体" w:eastAsia="宋体" w:cs="宋体"/>
          <w:color w:val="auto"/>
          <w:spacing w:val="-5"/>
          <w:position w:val="0"/>
          <w:sz w:val="24"/>
          <w:szCs w:val="24"/>
        </w:rPr>
        <w:t>除其成交资格，并没收其磋商保证金，给采购人造成的损失超过磋商保证金数额的，</w:t>
      </w:r>
      <w:r>
        <w:rPr>
          <w:rFonts w:hint="eastAsia" w:ascii="宋体" w:hAnsi="宋体" w:eastAsia="宋体" w:cs="宋体"/>
          <w:color w:val="auto"/>
          <w:spacing w:val="-9"/>
          <w:position w:val="0"/>
          <w:sz w:val="24"/>
          <w:szCs w:val="24"/>
        </w:rPr>
        <w:t>还应当对超过部分予以赔偿，同时依法承担相应法律责任；同时，采购人有权将标授</w:t>
      </w:r>
      <w:r>
        <w:rPr>
          <w:rFonts w:hint="eastAsia" w:ascii="宋体" w:hAnsi="宋体" w:eastAsia="宋体" w:cs="宋体"/>
          <w:color w:val="auto"/>
          <w:spacing w:val="-5"/>
          <w:position w:val="0"/>
          <w:sz w:val="24"/>
          <w:szCs w:val="24"/>
        </w:rPr>
        <w:t>予另一个候选成交人或重新招标。</w:t>
      </w:r>
    </w:p>
    <w:p>
      <w:pPr>
        <w:pStyle w:val="19"/>
        <w:numPr>
          <w:ilvl w:val="1"/>
          <w:numId w:val="17"/>
        </w:numPr>
        <w:tabs>
          <w:tab w:val="left" w:pos="1335"/>
        </w:tabs>
        <w:autoSpaceDE w:val="0"/>
        <w:autoSpaceDN w:val="0"/>
        <w:bidi w:val="0"/>
        <w:spacing w:before="0" w:after="160" w:line="240" w:lineRule="auto"/>
        <w:ind w:left="273" w:right="874" w:firstLine="472"/>
        <w:jc w:val="both"/>
        <w:rPr>
          <w:rFonts w:hint="eastAsia" w:ascii="宋体" w:hAnsi="宋体" w:eastAsia="宋体" w:cs="宋体"/>
          <w:color w:val="auto"/>
          <w:position w:val="0"/>
          <w:sz w:val="24"/>
          <w:szCs w:val="24"/>
        </w:rPr>
        <w:sectPr>
          <w:pgSz w:w="11910" w:h="16840"/>
          <w:pgMar w:top="1460" w:right="820" w:bottom="960" w:left="1200" w:header="0" w:footer="778" w:gutter="0"/>
          <w:pgNumType w:fmt="decimal"/>
          <w:cols w:space="720" w:num="1"/>
          <w:docGrid w:linePitch="360" w:charSpace="6144"/>
        </w:sectPr>
      </w:pPr>
      <w:r>
        <w:rPr>
          <w:rFonts w:hint="eastAsia" w:ascii="宋体" w:hAnsi="宋体" w:eastAsia="宋体" w:cs="宋体"/>
          <w:color w:val="auto"/>
          <w:spacing w:val="-11"/>
          <w:position w:val="0"/>
          <w:sz w:val="24"/>
          <w:szCs w:val="24"/>
        </w:rPr>
        <w:t>不允许成交人将成交项目分包或转交他人承担。特殊情况下，成交人必须与</w:t>
      </w:r>
      <w:r>
        <w:rPr>
          <w:rFonts w:hint="eastAsia" w:ascii="宋体" w:hAnsi="宋体" w:eastAsia="宋体" w:cs="宋体"/>
          <w:color w:val="auto"/>
          <w:spacing w:val="-5"/>
          <w:position w:val="0"/>
          <w:sz w:val="24"/>
          <w:szCs w:val="24"/>
        </w:rPr>
        <w:t>招标方协商后共同决定将合同标的中的部分由第三方承担供货和服务责任，但成交方必须对合同标的的全部内容向招标方负责，并保证第三方提供的供货和服务符合竞争性磋商文件的约定和响应文件的承诺及相关约定。</w:t>
      </w:r>
    </w:p>
    <w:p>
      <w:pPr>
        <w:pStyle w:val="10"/>
        <w:numPr>
          <w:ilvl w:val="0"/>
          <w:numId w:val="0"/>
        </w:numPr>
        <w:autoSpaceDE w:val="0"/>
        <w:autoSpaceDN w:val="0"/>
        <w:spacing w:before="11" w:after="160" w:line="240" w:lineRule="auto"/>
        <w:ind w:right="0" w:firstLine="0"/>
        <w:jc w:val="left"/>
        <w:rPr>
          <w:rFonts w:hint="eastAsia" w:ascii="宋体" w:hAnsi="宋体" w:eastAsia="宋体" w:cs="宋体"/>
          <w:color w:val="auto"/>
          <w:position w:val="0"/>
          <w:sz w:val="24"/>
          <w:szCs w:val="24"/>
        </w:rPr>
      </w:pPr>
    </w:p>
    <w:p>
      <w:pPr>
        <w:pStyle w:val="6"/>
        <w:numPr>
          <w:ilvl w:val="0"/>
          <w:numId w:val="0"/>
        </w:numPr>
        <w:tabs>
          <w:tab w:val="left" w:pos="1283"/>
        </w:tabs>
        <w:autoSpaceDE w:val="0"/>
        <w:autoSpaceDN w:val="0"/>
        <w:spacing w:before="54" w:after="160" w:line="240" w:lineRule="auto"/>
        <w:ind w:right="603" w:firstLine="0"/>
        <w:jc w:val="center"/>
        <w:outlineLvl w:val="2"/>
        <w:rPr>
          <w:rFonts w:hint="eastAsia" w:ascii="宋体" w:hAnsi="宋体" w:eastAsia="宋体" w:cs="宋体"/>
          <w:b/>
          <w:color w:val="auto"/>
          <w:position w:val="0"/>
          <w:sz w:val="28"/>
          <w:szCs w:val="28"/>
        </w:rPr>
      </w:pPr>
      <w:bookmarkStart w:id="12" w:name="第八章__其_他"/>
      <w:bookmarkEnd w:id="12"/>
      <w:r>
        <w:rPr>
          <w:rFonts w:hint="eastAsia" w:ascii="宋体" w:hAnsi="宋体" w:eastAsia="宋体" w:cs="宋体"/>
          <w:b/>
          <w:color w:val="auto"/>
          <w:position w:val="0"/>
          <w:sz w:val="28"/>
          <w:szCs w:val="28"/>
        </w:rPr>
        <w:t>第八章</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其他</w:t>
      </w:r>
    </w:p>
    <w:p>
      <w:pPr>
        <w:pStyle w:val="10"/>
        <w:numPr>
          <w:ilvl w:val="0"/>
          <w:numId w:val="0"/>
        </w:numPr>
        <w:autoSpaceDE w:val="0"/>
        <w:autoSpaceDN w:val="0"/>
        <w:spacing w:before="10" w:after="160" w:line="240" w:lineRule="auto"/>
        <w:ind w:right="0" w:firstLine="0"/>
        <w:jc w:val="left"/>
        <w:rPr>
          <w:rFonts w:hint="eastAsia" w:ascii="宋体" w:hAnsi="宋体" w:eastAsia="宋体" w:cs="宋体"/>
          <w:b/>
          <w:color w:val="auto"/>
          <w:position w:val="0"/>
          <w:sz w:val="24"/>
          <w:szCs w:val="24"/>
        </w:rPr>
      </w:pPr>
    </w:p>
    <w:p>
      <w:pPr>
        <w:pStyle w:val="9"/>
        <w:numPr>
          <w:ilvl w:val="0"/>
          <w:numId w:val="17"/>
        </w:numPr>
        <w:tabs>
          <w:tab w:val="left" w:pos="1117"/>
        </w:tabs>
        <w:autoSpaceDE w:val="0"/>
        <w:autoSpaceDN w:val="0"/>
        <w:bidi w:val="0"/>
        <w:spacing w:before="0"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需要补充的其他内容</w:t>
      </w:r>
    </w:p>
    <w:p>
      <w:pPr>
        <w:pStyle w:val="19"/>
        <w:numPr>
          <w:ilvl w:val="1"/>
          <w:numId w:val="17"/>
        </w:numPr>
        <w:tabs>
          <w:tab w:val="left" w:pos="1294"/>
        </w:tabs>
        <w:autoSpaceDE w:val="0"/>
        <w:autoSpaceDN w:val="0"/>
        <w:bidi w:val="0"/>
        <w:spacing w:before="134" w:after="160" w:line="240" w:lineRule="auto"/>
        <w:ind w:left="1293" w:right="0" w:hanging="54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需要补充的其他内容详见投标人须知前附表。</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10" w:after="160" w:line="240" w:lineRule="auto"/>
        <w:ind w:right="0" w:firstLine="0"/>
        <w:jc w:val="left"/>
        <w:rPr>
          <w:rFonts w:hint="eastAsia" w:ascii="宋体" w:hAnsi="宋体" w:eastAsia="宋体" w:cs="宋体"/>
          <w:color w:val="auto"/>
          <w:position w:val="0"/>
          <w:sz w:val="28"/>
          <w:szCs w:val="28"/>
        </w:rPr>
      </w:pPr>
    </w:p>
    <w:p>
      <w:pPr>
        <w:pStyle w:val="6"/>
        <w:numPr>
          <w:ilvl w:val="0"/>
          <w:numId w:val="0"/>
        </w:numPr>
        <w:tabs>
          <w:tab w:val="left" w:pos="1283"/>
        </w:tabs>
        <w:autoSpaceDE w:val="0"/>
        <w:autoSpaceDN w:val="0"/>
        <w:spacing w:before="0" w:after="160" w:line="240" w:lineRule="auto"/>
        <w:ind w:right="603" w:firstLine="0"/>
        <w:jc w:val="center"/>
        <w:outlineLvl w:val="2"/>
        <w:rPr>
          <w:rFonts w:hint="eastAsia" w:ascii="宋体" w:hAnsi="宋体" w:eastAsia="宋体" w:cs="宋体"/>
          <w:b/>
          <w:color w:val="auto"/>
          <w:position w:val="0"/>
          <w:sz w:val="28"/>
          <w:szCs w:val="28"/>
        </w:rPr>
      </w:pPr>
      <w:bookmarkStart w:id="13" w:name="第九章__质疑的提出及处理"/>
      <w:bookmarkEnd w:id="13"/>
      <w:r>
        <w:rPr>
          <w:rFonts w:hint="eastAsia" w:ascii="宋体" w:hAnsi="宋体" w:eastAsia="宋体" w:cs="宋体"/>
          <w:b/>
          <w:color w:val="auto"/>
          <w:position w:val="0"/>
          <w:sz w:val="28"/>
          <w:szCs w:val="28"/>
        </w:rPr>
        <w:t>第九章</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质疑的提出及处理</w:t>
      </w:r>
    </w:p>
    <w:p>
      <w:pPr>
        <w:pStyle w:val="10"/>
        <w:numPr>
          <w:ilvl w:val="0"/>
          <w:numId w:val="0"/>
        </w:numPr>
        <w:autoSpaceDE w:val="0"/>
        <w:autoSpaceDN w:val="0"/>
        <w:spacing w:before="1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1" w:after="160" w:line="240" w:lineRule="auto"/>
        <w:ind w:left="273" w:right="970"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政府采购供应商（以下简称供应商）提出质疑和投诉应当坚持依法依规、诚实信用原则。</w:t>
      </w:r>
    </w:p>
    <w:p>
      <w:pPr>
        <w:pStyle w:val="9"/>
        <w:numPr>
          <w:ilvl w:val="0"/>
          <w:numId w:val="17"/>
        </w:numPr>
        <w:tabs>
          <w:tab w:val="left" w:pos="1236"/>
        </w:tabs>
        <w:autoSpaceDE w:val="0"/>
        <w:autoSpaceDN w:val="0"/>
        <w:bidi w:val="0"/>
        <w:spacing w:before="0"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质疑的提出</w:t>
      </w:r>
    </w:p>
    <w:p>
      <w:pPr>
        <w:pStyle w:val="19"/>
        <w:numPr>
          <w:ilvl w:val="1"/>
          <w:numId w:val="17"/>
        </w:numPr>
        <w:tabs>
          <w:tab w:val="left" w:pos="1474"/>
        </w:tabs>
        <w:autoSpaceDE w:val="0"/>
        <w:autoSpaceDN w:val="0"/>
        <w:bidi w:val="0"/>
        <w:spacing w:before="131" w:after="160" w:line="240" w:lineRule="auto"/>
        <w:ind w:left="273" w:right="97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供应商认为采购文件、采购过程、成交或者成交结果使自己的权益受到损害的，可以在知道或者应知其权益受到损害之日起七个工作日内，以书面形式向</w:t>
      </w:r>
      <w:r>
        <w:rPr>
          <w:rFonts w:hint="eastAsia" w:ascii="宋体" w:hAnsi="宋体" w:eastAsia="宋体" w:cs="宋体"/>
          <w:color w:val="auto"/>
          <w:position w:val="0"/>
          <w:sz w:val="24"/>
          <w:szCs w:val="24"/>
        </w:rPr>
        <w:t>采购人、采购代理机构提出质疑。</w:t>
      </w:r>
    </w:p>
    <w:p>
      <w:pPr>
        <w:pStyle w:val="10"/>
        <w:numPr>
          <w:ilvl w:val="0"/>
          <w:numId w:val="0"/>
        </w:numPr>
        <w:autoSpaceDE w:val="0"/>
        <w:autoSpaceDN w:val="0"/>
        <w:spacing w:before="1"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采购文件可以要求供应商在法定质疑期内一次性提出针对同一采购程序环节的质疑。</w:t>
      </w:r>
    </w:p>
    <w:p>
      <w:pPr>
        <w:pStyle w:val="10"/>
        <w:numPr>
          <w:ilvl w:val="0"/>
          <w:numId w:val="0"/>
        </w:numPr>
        <w:autoSpaceDE w:val="0"/>
        <w:autoSpaceDN w:val="0"/>
        <w:spacing w:before="0" w:after="160" w:line="240" w:lineRule="auto"/>
        <w:ind w:left="273" w:right="876"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2"/>
          <w:position w:val="0"/>
          <w:sz w:val="24"/>
          <w:szCs w:val="24"/>
        </w:rPr>
        <w:t>供应商应知其权益受到损害之日，是指：</w:t>
      </w:r>
      <w:r>
        <w:rPr>
          <w:rFonts w:hint="eastAsia" w:ascii="宋体" w:hAnsi="宋体" w:eastAsia="宋体" w:cs="宋体"/>
          <w:color w:val="auto"/>
          <w:spacing w:val="-7"/>
          <w:position w:val="0"/>
          <w:sz w:val="24"/>
          <w:szCs w:val="24"/>
        </w:rPr>
        <w:t>（1）</w:t>
      </w:r>
      <w:r>
        <w:rPr>
          <w:rFonts w:hint="eastAsia" w:ascii="宋体" w:hAnsi="宋体" w:eastAsia="宋体" w:cs="宋体"/>
          <w:color w:val="auto"/>
          <w:spacing w:val="-1"/>
          <w:position w:val="0"/>
          <w:sz w:val="24"/>
          <w:szCs w:val="24"/>
        </w:rPr>
        <w:t>对可以质疑的采购文件提出质疑</w:t>
      </w:r>
      <w:r>
        <w:rPr>
          <w:rFonts w:hint="eastAsia" w:ascii="宋体" w:hAnsi="宋体" w:eastAsia="宋体" w:cs="宋体"/>
          <w:color w:val="auto"/>
          <w:spacing w:val="-4"/>
          <w:position w:val="0"/>
          <w:sz w:val="24"/>
          <w:szCs w:val="24"/>
        </w:rPr>
        <w:t>的，为收到采购文件之日或者采购文件公告期限届满之日。</w:t>
      </w:r>
      <w:r>
        <w:rPr>
          <w:rFonts w:hint="eastAsia" w:ascii="宋体" w:hAnsi="宋体" w:eastAsia="宋体" w:cs="宋体"/>
          <w:color w:val="auto"/>
          <w:spacing w:val="-3"/>
          <w:position w:val="0"/>
          <w:sz w:val="24"/>
          <w:szCs w:val="24"/>
        </w:rPr>
        <w:t>（2）</w:t>
      </w:r>
      <w:r>
        <w:rPr>
          <w:rFonts w:hint="eastAsia" w:ascii="宋体" w:hAnsi="宋体" w:eastAsia="宋体" w:cs="宋体"/>
          <w:color w:val="auto"/>
          <w:spacing w:val="-2"/>
          <w:position w:val="0"/>
          <w:sz w:val="24"/>
          <w:szCs w:val="24"/>
        </w:rPr>
        <w:t>对采购过程提出质</w:t>
      </w:r>
      <w:r>
        <w:rPr>
          <w:rFonts w:hint="eastAsia" w:ascii="宋体" w:hAnsi="宋体" w:eastAsia="宋体" w:cs="宋体"/>
          <w:color w:val="auto"/>
          <w:spacing w:val="-3"/>
          <w:position w:val="0"/>
          <w:sz w:val="24"/>
          <w:szCs w:val="24"/>
        </w:rPr>
        <w:t>疑的，为各采购程序环节结束之日。</w:t>
      </w:r>
      <w:r>
        <w:rPr>
          <w:rFonts w:hint="eastAsia" w:ascii="宋体" w:hAnsi="宋体" w:eastAsia="宋体" w:cs="宋体"/>
          <w:color w:val="auto"/>
          <w:position w:val="0"/>
          <w:sz w:val="24"/>
          <w:szCs w:val="24"/>
        </w:rPr>
        <w:t>（3）</w:t>
      </w:r>
      <w:r>
        <w:rPr>
          <w:rFonts w:hint="eastAsia" w:ascii="宋体" w:hAnsi="宋体" w:eastAsia="宋体" w:cs="宋体"/>
          <w:color w:val="auto"/>
          <w:spacing w:val="-2"/>
          <w:position w:val="0"/>
          <w:sz w:val="24"/>
          <w:szCs w:val="24"/>
        </w:rPr>
        <w:t>对成交或者成交结果提出质疑的，为成交</w:t>
      </w:r>
      <w:r>
        <w:rPr>
          <w:rFonts w:hint="eastAsia" w:ascii="宋体" w:hAnsi="宋体" w:eastAsia="宋体" w:cs="宋体"/>
          <w:color w:val="auto"/>
          <w:position w:val="0"/>
          <w:sz w:val="24"/>
          <w:szCs w:val="24"/>
        </w:rPr>
        <w:t>或者成交结果公告期限届满之日。</w:t>
      </w:r>
    </w:p>
    <w:p>
      <w:pPr>
        <w:pStyle w:val="19"/>
        <w:numPr>
          <w:ilvl w:val="1"/>
          <w:numId w:val="17"/>
        </w:numPr>
        <w:tabs>
          <w:tab w:val="left" w:pos="129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提出质疑的供应商（以下简称质疑供应商）</w:t>
      </w:r>
      <w:r>
        <w:rPr>
          <w:rFonts w:hint="eastAsia" w:ascii="宋体" w:hAnsi="宋体" w:eastAsia="宋体" w:cs="宋体"/>
          <w:color w:val="auto"/>
          <w:spacing w:val="-1"/>
          <w:position w:val="0"/>
          <w:sz w:val="24"/>
          <w:szCs w:val="24"/>
        </w:rPr>
        <w:t>应当是参与所质疑项目采购活</w:t>
      </w:r>
      <w:r>
        <w:rPr>
          <w:rFonts w:hint="eastAsia" w:ascii="宋体" w:hAnsi="宋体" w:eastAsia="宋体" w:cs="宋体"/>
          <w:color w:val="auto"/>
          <w:position w:val="0"/>
          <w:sz w:val="24"/>
          <w:szCs w:val="24"/>
        </w:rPr>
        <w:t>动的供应商。</w:t>
      </w:r>
    </w:p>
    <w:p>
      <w:pPr>
        <w:pStyle w:val="10"/>
        <w:numPr>
          <w:ilvl w:val="0"/>
          <w:numId w:val="0"/>
        </w:numPr>
        <w:autoSpaceDE w:val="0"/>
        <w:autoSpaceDN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潜在供应商已依法获取其可质疑的采购文件的，可以对该文件提出质疑。对采</w:t>
      </w:r>
      <w:r>
        <w:rPr>
          <w:rFonts w:hint="eastAsia" w:ascii="宋体" w:hAnsi="宋体" w:eastAsia="宋体" w:cs="宋体"/>
          <w:color w:val="auto"/>
          <w:spacing w:val="-1"/>
          <w:position w:val="0"/>
          <w:sz w:val="24"/>
          <w:szCs w:val="24"/>
        </w:rPr>
        <w:t>购文件提出质疑的，应当在获取采购文件或者采购文件公告期限届满之日起</w:t>
      </w:r>
      <w:r>
        <w:rPr>
          <w:rFonts w:hint="eastAsia" w:ascii="宋体" w:hAnsi="宋体" w:eastAsia="宋体" w:cs="宋体"/>
          <w:color w:val="auto"/>
          <w:position w:val="0"/>
          <w:sz w:val="24"/>
          <w:szCs w:val="24"/>
        </w:rPr>
        <w:t>7</w:t>
      </w:r>
      <w:r>
        <w:rPr>
          <w:rFonts w:hint="eastAsia" w:ascii="宋体" w:hAnsi="宋体" w:eastAsia="宋体" w:cs="宋体"/>
          <w:color w:val="auto"/>
          <w:spacing w:val="-12"/>
          <w:position w:val="0"/>
          <w:sz w:val="24"/>
          <w:szCs w:val="24"/>
        </w:rPr>
        <w:t>个工作日内提出。</w:t>
      </w:r>
    </w:p>
    <w:p>
      <w:pPr>
        <w:pStyle w:val="19"/>
        <w:numPr>
          <w:ilvl w:val="1"/>
          <w:numId w:val="17"/>
        </w:numPr>
        <w:tabs>
          <w:tab w:val="left" w:pos="1479"/>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供应商提出质疑应当提交质疑函和必要的证明材料。质疑函应当包括下列内容：</w:t>
      </w:r>
    </w:p>
    <w:p>
      <w:pPr>
        <w:pStyle w:val="19"/>
        <w:numPr>
          <w:ilvl w:val="0"/>
          <w:numId w:val="18"/>
        </w:numPr>
        <w:tabs>
          <w:tab w:val="left" w:pos="1355"/>
        </w:tabs>
        <w:autoSpaceDE w:val="0"/>
        <w:autoSpaceDN w:val="0"/>
        <w:bidi w:val="0"/>
        <w:spacing w:before="0" w:after="160" w:line="240" w:lineRule="auto"/>
        <w:ind w:left="1354"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供应商的姓名或者名称、地址、邮编、联系人及联系电话；</w:t>
      </w:r>
    </w:p>
    <w:p>
      <w:pPr>
        <w:pStyle w:val="19"/>
        <w:numPr>
          <w:ilvl w:val="0"/>
          <w:numId w:val="18"/>
        </w:numPr>
        <w:tabs>
          <w:tab w:val="left" w:pos="1355"/>
        </w:tabs>
        <w:autoSpaceDE w:val="0"/>
        <w:autoSpaceDN w:val="0"/>
        <w:bidi w:val="0"/>
        <w:spacing w:before="52" w:after="160" w:line="240" w:lineRule="auto"/>
        <w:ind w:left="1354"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质疑项目的名称、编号；</w:t>
      </w:r>
    </w:p>
    <w:p>
      <w:pPr>
        <w:pStyle w:val="19"/>
        <w:numPr>
          <w:ilvl w:val="0"/>
          <w:numId w:val="18"/>
        </w:numPr>
        <w:tabs>
          <w:tab w:val="left" w:pos="1355"/>
        </w:tabs>
        <w:autoSpaceDE w:val="0"/>
        <w:autoSpaceDN w:val="0"/>
        <w:bidi w:val="0"/>
        <w:spacing w:before="134" w:after="160" w:line="240" w:lineRule="auto"/>
        <w:ind w:left="1354"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具体、明确的质疑事项和与质疑事项相关的请求；</w:t>
      </w:r>
    </w:p>
    <w:p>
      <w:pPr>
        <w:pStyle w:val="19"/>
        <w:numPr>
          <w:ilvl w:val="0"/>
          <w:numId w:val="18"/>
        </w:numPr>
        <w:tabs>
          <w:tab w:val="left" w:pos="1355"/>
        </w:tabs>
        <w:autoSpaceDE w:val="0"/>
        <w:autoSpaceDN w:val="0"/>
        <w:bidi w:val="0"/>
        <w:spacing w:before="131" w:after="160" w:line="240" w:lineRule="auto"/>
        <w:ind w:left="1354"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事实依据；</w:t>
      </w:r>
    </w:p>
    <w:p>
      <w:pPr>
        <w:pStyle w:val="19"/>
        <w:numPr>
          <w:ilvl w:val="0"/>
          <w:numId w:val="18"/>
        </w:numPr>
        <w:tabs>
          <w:tab w:val="left" w:pos="1355"/>
        </w:tabs>
        <w:autoSpaceDE w:val="0"/>
        <w:autoSpaceDN w:val="0"/>
        <w:bidi w:val="0"/>
        <w:spacing w:before="132" w:after="160" w:line="240" w:lineRule="auto"/>
        <w:ind w:left="1354"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必要的法律依据；</w:t>
      </w:r>
    </w:p>
    <w:p>
      <w:pPr>
        <w:pStyle w:val="19"/>
        <w:numPr>
          <w:ilvl w:val="0"/>
          <w:numId w:val="18"/>
        </w:numPr>
        <w:tabs>
          <w:tab w:val="left" w:pos="1355"/>
        </w:tabs>
        <w:autoSpaceDE w:val="0"/>
        <w:autoSpaceDN w:val="0"/>
        <w:bidi w:val="0"/>
        <w:spacing w:before="134" w:after="160" w:line="240" w:lineRule="auto"/>
        <w:ind w:left="1354"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提出质疑的日期。</w:t>
      </w:r>
    </w:p>
    <w:p>
      <w:pPr>
        <w:pStyle w:val="10"/>
        <w:numPr>
          <w:ilvl w:val="0"/>
          <w:numId w:val="0"/>
        </w:numPr>
        <w:autoSpaceDE w:val="0"/>
        <w:autoSpaceDN w:val="0"/>
        <w:spacing w:before="132"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供应商为自然人的，应当由本人签字；供应商为法人或者其他组织的，应当由法定代表人、主要负责人，或者其授权代表签字或者盖章，并加盖公章。</w:t>
      </w:r>
    </w:p>
    <w:p>
      <w:pPr>
        <w:pStyle w:val="10"/>
        <w:numPr>
          <w:ilvl w:val="0"/>
          <w:numId w:val="0"/>
        </w:numPr>
        <w:autoSpaceDE w:val="0"/>
        <w:autoSpaceDN w:val="0"/>
        <w:spacing w:before="1"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提出质疑时，必须按照“实事求是”、“谁主张，谁举证”的原则，提供相关证明材料，不能主观臆测。</w:t>
      </w:r>
    </w:p>
    <w:p>
      <w:pPr>
        <w:pStyle w:val="19"/>
        <w:numPr>
          <w:ilvl w:val="1"/>
          <w:numId w:val="17"/>
        </w:numPr>
        <w:tabs>
          <w:tab w:val="left" w:pos="129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供应商可以委托代理人进行质疑和投诉。其授权委托书应当载明代理人的</w:t>
      </w:r>
      <w:r>
        <w:rPr>
          <w:rFonts w:hint="eastAsia" w:ascii="宋体" w:hAnsi="宋体" w:eastAsia="宋体" w:cs="宋体"/>
          <w:color w:val="auto"/>
          <w:position w:val="0"/>
          <w:sz w:val="24"/>
          <w:szCs w:val="24"/>
        </w:rPr>
        <w:t>姓名或者名称、代理事项、具体权限、期限和相关事项。供应商为自然人的，应当由本人签字；供应商为法人或者其他组织的，应当由法定代表人、主要负责人签字或者盖章，并加盖公章。</w:t>
      </w:r>
    </w:p>
    <w:p>
      <w:pPr>
        <w:pStyle w:val="10"/>
        <w:numPr>
          <w:ilvl w:val="0"/>
          <w:numId w:val="0"/>
        </w:numPr>
        <w:autoSpaceDE w:val="0"/>
        <w:autoSpaceDN w:val="0"/>
        <w:spacing w:before="2" w:after="160" w:line="240" w:lineRule="auto"/>
        <w:ind w:left="75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代理人提出质疑和投诉，应当提交供应商签署的授权委托书。</w:t>
      </w:r>
    </w:p>
    <w:p>
      <w:pPr>
        <w:pStyle w:val="19"/>
        <w:numPr>
          <w:ilvl w:val="1"/>
          <w:numId w:val="17"/>
        </w:numPr>
        <w:tabs>
          <w:tab w:val="left" w:pos="1354"/>
        </w:tabs>
        <w:autoSpaceDE w:val="0"/>
        <w:autoSpaceDN w:val="0"/>
        <w:bidi w:val="0"/>
        <w:spacing w:before="132"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以联合体形式参加政府采购活动的，其投诉应当由组成联合体的所有供应</w:t>
      </w:r>
      <w:r>
        <w:rPr>
          <w:rFonts w:hint="eastAsia" w:ascii="宋体" w:hAnsi="宋体" w:eastAsia="宋体" w:cs="宋体"/>
          <w:color w:val="auto"/>
          <w:position w:val="0"/>
          <w:sz w:val="24"/>
          <w:szCs w:val="24"/>
        </w:rPr>
        <w:t>商共同提出。</w:t>
      </w:r>
    </w:p>
    <w:p>
      <w:pPr>
        <w:pStyle w:val="19"/>
        <w:numPr>
          <w:ilvl w:val="1"/>
          <w:numId w:val="17"/>
        </w:numPr>
        <w:tabs>
          <w:tab w:val="left" w:pos="1474"/>
        </w:tabs>
        <w:autoSpaceDE w:val="0"/>
        <w:autoSpaceDN w:val="0"/>
        <w:bidi w:val="0"/>
        <w:spacing w:before="1" w:after="160" w:line="240" w:lineRule="auto"/>
        <w:ind w:left="273" w:right="97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w:t>
      </w:r>
      <w:r>
        <w:rPr>
          <w:rFonts w:hint="eastAsia" w:ascii="宋体" w:hAnsi="宋体" w:eastAsia="宋体" w:cs="宋体"/>
          <w:color w:val="auto"/>
          <w:position w:val="0"/>
          <w:sz w:val="24"/>
          <w:szCs w:val="24"/>
        </w:rPr>
        <w:t>调查、认定权限和义务。</w:t>
      </w:r>
    </w:p>
    <w:p>
      <w:pPr>
        <w:pStyle w:val="19"/>
        <w:numPr>
          <w:ilvl w:val="1"/>
          <w:numId w:val="17"/>
        </w:numPr>
        <w:tabs>
          <w:tab w:val="left" w:pos="1354"/>
        </w:tabs>
        <w:autoSpaceDE w:val="0"/>
        <w:autoSpaceDN w:val="0"/>
        <w:bidi w:val="0"/>
        <w:spacing w:before="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证明材料要具备客观性、关联性、合法性，无法查实的</w:t>
      </w:r>
      <w:r>
        <w:rPr>
          <w:rFonts w:hint="eastAsia" w:ascii="宋体" w:hAnsi="宋体" w:eastAsia="宋体" w:cs="宋体"/>
          <w:color w:val="auto"/>
          <w:spacing w:val="-3"/>
          <w:position w:val="0"/>
          <w:sz w:val="24"/>
          <w:szCs w:val="24"/>
        </w:rPr>
        <w:t>（如宣传册、媒体</w:t>
      </w:r>
      <w:r>
        <w:rPr>
          <w:rFonts w:hint="eastAsia" w:ascii="宋体" w:hAnsi="宋体" w:eastAsia="宋体" w:cs="宋体"/>
          <w:color w:val="auto"/>
          <w:position w:val="0"/>
          <w:sz w:val="24"/>
          <w:szCs w:val="24"/>
        </w:rPr>
        <w:t>报道、猜测、推理等）不能作为证明材料。</w:t>
      </w:r>
    </w:p>
    <w:p>
      <w:pPr>
        <w:pStyle w:val="19"/>
        <w:numPr>
          <w:ilvl w:val="1"/>
          <w:numId w:val="17"/>
        </w:numPr>
        <w:tabs>
          <w:tab w:val="left" w:pos="135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对不能提供相关证明材料的、涉及商业秘密的、非书面形式送达的、匿名</w:t>
      </w:r>
      <w:r>
        <w:rPr>
          <w:rFonts w:hint="eastAsia" w:ascii="宋体" w:hAnsi="宋体" w:eastAsia="宋体" w:cs="宋体"/>
          <w:color w:val="auto"/>
          <w:position w:val="0"/>
          <w:sz w:val="24"/>
          <w:szCs w:val="24"/>
        </w:rPr>
        <w:t>的质疑将不予受理。</w:t>
      </w:r>
    </w:p>
    <w:p>
      <w:pPr>
        <w:pStyle w:val="9"/>
        <w:numPr>
          <w:ilvl w:val="0"/>
          <w:numId w:val="17"/>
        </w:numPr>
        <w:tabs>
          <w:tab w:val="left" w:pos="1236"/>
        </w:tabs>
        <w:autoSpaceDE w:val="0"/>
        <w:autoSpaceDN w:val="0"/>
        <w:bidi w:val="0"/>
        <w:spacing w:before="0" w:after="160" w:line="240" w:lineRule="auto"/>
        <w:ind w:left="1236" w:right="0" w:hanging="483"/>
        <w:jc w:val="both"/>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受理和处理</w:t>
      </w:r>
    </w:p>
    <w:p>
      <w:pPr>
        <w:pStyle w:val="19"/>
        <w:numPr>
          <w:ilvl w:val="1"/>
          <w:numId w:val="17"/>
        </w:numPr>
        <w:tabs>
          <w:tab w:val="left" w:pos="1340"/>
        </w:tabs>
        <w:autoSpaceDE w:val="0"/>
        <w:autoSpaceDN w:val="0"/>
        <w:bidi w:val="0"/>
        <w:spacing w:before="131"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4"/>
          <w:position w:val="0"/>
          <w:sz w:val="24"/>
          <w:szCs w:val="24"/>
        </w:rPr>
        <w:t>《质疑函》必须由质疑方的法定代表人或参与本次投标的被授权人以书面</w:t>
      </w:r>
      <w:r>
        <w:rPr>
          <w:rFonts w:hint="eastAsia" w:ascii="宋体" w:hAnsi="宋体" w:eastAsia="宋体" w:cs="宋体"/>
          <w:color w:val="auto"/>
          <w:position w:val="0"/>
          <w:sz w:val="24"/>
          <w:szCs w:val="24"/>
        </w:rPr>
        <w:t>的形式送达招标方或采购单位。</w:t>
      </w:r>
    </w:p>
    <w:p>
      <w:pPr>
        <w:pStyle w:val="10"/>
        <w:numPr>
          <w:ilvl w:val="0"/>
          <w:numId w:val="0"/>
        </w:numPr>
        <w:autoSpaceDE w:val="0"/>
        <w:autoSpaceDN w:val="0"/>
        <w:spacing w:before="52" w:after="160" w:line="240" w:lineRule="auto"/>
        <w:ind w:right="0"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11"/>
          <w:position w:val="0"/>
          <w:sz w:val="24"/>
          <w:szCs w:val="24"/>
        </w:rPr>
        <w:t>采购人、采购代理机构不得拒收质疑供应商在法定质疑期内发出的质疑函，</w:t>
      </w:r>
      <w:r>
        <w:rPr>
          <w:rFonts w:hint="eastAsia" w:ascii="宋体" w:hAnsi="宋体" w:eastAsia="宋体" w:cs="宋体"/>
          <w:color w:val="auto"/>
          <w:spacing w:val="-6"/>
          <w:position w:val="0"/>
          <w:sz w:val="24"/>
          <w:szCs w:val="24"/>
        </w:rPr>
        <w:t>应当在收到质疑函后</w:t>
      </w:r>
      <w:r>
        <w:rPr>
          <w:rFonts w:hint="eastAsia" w:ascii="宋体" w:hAnsi="宋体" w:eastAsia="宋体" w:cs="宋体"/>
          <w:color w:val="auto"/>
          <w:position w:val="0"/>
          <w:sz w:val="24"/>
          <w:szCs w:val="24"/>
        </w:rPr>
        <w:t>7</w:t>
      </w:r>
      <w:r>
        <w:rPr>
          <w:rFonts w:hint="eastAsia" w:ascii="宋体" w:hAnsi="宋体" w:eastAsia="宋体" w:cs="宋体"/>
          <w:color w:val="auto"/>
          <w:spacing w:val="-8"/>
          <w:position w:val="0"/>
          <w:sz w:val="24"/>
          <w:szCs w:val="24"/>
        </w:rPr>
        <w:t>个工作日内作出答复，并以书面形式通知质疑供应商和其他</w:t>
      </w:r>
      <w:r>
        <w:rPr>
          <w:rFonts w:hint="eastAsia" w:ascii="宋体" w:hAnsi="宋体" w:eastAsia="宋体" w:cs="宋体"/>
          <w:color w:val="auto"/>
          <w:position w:val="0"/>
          <w:sz w:val="24"/>
          <w:szCs w:val="24"/>
        </w:rPr>
        <w:t>有关供应商。</w:t>
      </w:r>
    </w:p>
    <w:p>
      <w:pPr>
        <w:pStyle w:val="19"/>
        <w:numPr>
          <w:ilvl w:val="1"/>
          <w:numId w:val="17"/>
        </w:numPr>
        <w:tabs>
          <w:tab w:val="left" w:pos="1294"/>
        </w:tabs>
        <w:autoSpaceDE w:val="0"/>
        <w:autoSpaceDN w:val="0"/>
        <w:bidi w:val="0"/>
        <w:spacing w:before="134" w:after="160" w:line="240" w:lineRule="auto"/>
        <w:ind w:left="1293" w:right="0" w:hanging="54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质疑答复的内容不得涉及商业秘密。</w:t>
      </w:r>
    </w:p>
    <w:p>
      <w:pPr>
        <w:pStyle w:val="19"/>
        <w:numPr>
          <w:ilvl w:val="1"/>
          <w:numId w:val="17"/>
        </w:numPr>
        <w:tabs>
          <w:tab w:val="left" w:pos="1354"/>
        </w:tabs>
        <w:autoSpaceDE w:val="0"/>
        <w:autoSpaceDN w:val="0"/>
        <w:bidi w:val="0"/>
        <w:spacing w:before="131" w:after="160" w:line="240" w:lineRule="auto"/>
        <w:ind w:left="1353" w:right="0" w:hanging="601"/>
        <w:jc w:val="left"/>
        <w:rPr>
          <w:rFonts w:hint="eastAsia" w:ascii="宋体" w:hAnsi="宋体" w:eastAsia="宋体" w:cs="宋体"/>
          <w:color w:val="auto"/>
          <w:position w:val="0"/>
          <w:sz w:val="24"/>
          <w:szCs w:val="24"/>
        </w:rPr>
      </w:pPr>
      <w:r>
        <w:rPr>
          <w:rFonts w:hint="eastAsia" w:ascii="宋体" w:hAnsi="宋体" w:eastAsia="宋体" w:cs="宋体"/>
          <w:color w:val="auto"/>
          <w:spacing w:val="-8"/>
          <w:position w:val="0"/>
          <w:sz w:val="24"/>
          <w:szCs w:val="24"/>
        </w:rPr>
        <w:t>对于不符合上述</w:t>
      </w:r>
      <w:r>
        <w:rPr>
          <w:rFonts w:hint="eastAsia" w:ascii="宋体" w:hAnsi="宋体" w:eastAsia="宋体" w:cs="宋体"/>
          <w:color w:val="auto"/>
          <w:position w:val="0"/>
          <w:sz w:val="24"/>
          <w:szCs w:val="24"/>
        </w:rPr>
        <w:t>37</w:t>
      </w:r>
      <w:r>
        <w:rPr>
          <w:rFonts w:hint="eastAsia" w:ascii="宋体" w:hAnsi="宋体" w:eastAsia="宋体" w:cs="宋体"/>
          <w:color w:val="auto"/>
          <w:spacing w:val="-8"/>
          <w:position w:val="0"/>
          <w:sz w:val="24"/>
          <w:szCs w:val="24"/>
        </w:rPr>
        <w:t>项所述的相关条款要求的质疑，招标方将不予受理。</w:t>
      </w:r>
    </w:p>
    <w:p>
      <w:pPr>
        <w:pStyle w:val="19"/>
        <w:numPr>
          <w:ilvl w:val="1"/>
          <w:numId w:val="17"/>
        </w:numPr>
        <w:tabs>
          <w:tab w:val="left" w:pos="1354"/>
        </w:tabs>
        <w:autoSpaceDE w:val="0"/>
        <w:autoSpaceDN w:val="0"/>
        <w:bidi w:val="0"/>
        <w:spacing w:before="132"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在处理过程中，发现需要质疑人进一步补充相关佐证材料的，要求质疑人</w:t>
      </w:r>
      <w:r>
        <w:rPr>
          <w:rFonts w:hint="eastAsia" w:ascii="宋体" w:hAnsi="宋体" w:eastAsia="宋体" w:cs="宋体"/>
          <w:color w:val="auto"/>
          <w:position w:val="0"/>
          <w:sz w:val="24"/>
          <w:szCs w:val="24"/>
        </w:rPr>
        <w:t>在规定时间内提供。质疑人不能按照要求提供相关佐证材料的，视同放弃质疑。</w:t>
      </w:r>
    </w:p>
    <w:p>
      <w:pPr>
        <w:pStyle w:val="19"/>
        <w:numPr>
          <w:ilvl w:val="1"/>
          <w:numId w:val="17"/>
        </w:numPr>
        <w:tabs>
          <w:tab w:val="left" w:pos="1354"/>
        </w:tabs>
        <w:autoSpaceDE w:val="0"/>
        <w:autoSpaceDN w:val="0"/>
        <w:bidi w:val="0"/>
        <w:spacing w:before="0" w:after="160" w:line="240" w:lineRule="auto"/>
        <w:ind w:left="273" w:right="879"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招标方或采购单位负责对质疑的回复工作，将质疑人的质疑材料提供给相</w:t>
      </w:r>
      <w:r>
        <w:rPr>
          <w:rFonts w:hint="eastAsia" w:ascii="宋体" w:hAnsi="宋体" w:eastAsia="宋体" w:cs="宋体"/>
          <w:color w:val="auto"/>
          <w:position w:val="0"/>
          <w:sz w:val="24"/>
          <w:szCs w:val="24"/>
        </w:rPr>
        <w:t>关专家或评审小组，并将处理意见回复质疑人。</w:t>
      </w:r>
    </w:p>
    <w:p>
      <w:pPr>
        <w:pStyle w:val="19"/>
        <w:numPr>
          <w:ilvl w:val="1"/>
          <w:numId w:val="17"/>
        </w:numPr>
        <w:tabs>
          <w:tab w:val="left" w:pos="1294"/>
        </w:tabs>
        <w:autoSpaceDE w:val="0"/>
        <w:autoSpaceDN w:val="0"/>
        <w:bidi w:val="0"/>
        <w:spacing w:before="0" w:after="160" w:line="240" w:lineRule="auto"/>
        <w:ind w:left="273" w:right="91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采购人、采购代理机构认为供应商质疑不成立，或者成立但未对成交、成</w:t>
      </w:r>
      <w:r>
        <w:rPr>
          <w:rFonts w:hint="eastAsia" w:ascii="宋体" w:hAnsi="宋体" w:eastAsia="宋体" w:cs="宋体"/>
          <w:color w:val="auto"/>
          <w:position w:val="0"/>
          <w:sz w:val="24"/>
          <w:szCs w:val="24"/>
        </w:rPr>
        <w:t>交结果构成影响的，继续开展采购活动；认为供应商质疑成立且影响或者可能影响成交、成交结果的，按照下列情况处理：</w:t>
      </w:r>
    </w:p>
    <w:p>
      <w:pPr>
        <w:pStyle w:val="19"/>
        <w:numPr>
          <w:ilvl w:val="0"/>
          <w:numId w:val="19"/>
        </w:numPr>
        <w:tabs>
          <w:tab w:val="left" w:pos="1355"/>
        </w:tabs>
        <w:autoSpaceDE w:val="0"/>
        <w:autoSpaceDN w:val="0"/>
        <w:bidi w:val="0"/>
        <w:spacing w:before="0" w:after="160" w:line="240" w:lineRule="auto"/>
        <w:ind w:left="273" w:right="75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7"/>
          <w:position w:val="0"/>
          <w:sz w:val="24"/>
          <w:szCs w:val="24"/>
        </w:rPr>
        <w:t>对采购文件提出的质疑，依法通过澄清或者修改可以继续开展采购活动的</w:t>
      </w:r>
      <w:r>
        <w:rPr>
          <w:rFonts w:hint="eastAsia" w:ascii="宋体" w:hAnsi="宋体" w:eastAsia="宋体" w:cs="宋体"/>
          <w:color w:val="auto"/>
          <w:spacing w:val="-4"/>
          <w:position w:val="0"/>
          <w:sz w:val="24"/>
          <w:szCs w:val="24"/>
        </w:rPr>
        <w:t>，澄清或者修改采购文件后继续开展采购活动；否则应当修改采购文件后重新开展采购活动。</w:t>
      </w:r>
    </w:p>
    <w:p>
      <w:pPr>
        <w:pStyle w:val="19"/>
        <w:numPr>
          <w:ilvl w:val="0"/>
          <w:numId w:val="19"/>
        </w:numPr>
        <w:tabs>
          <w:tab w:val="left" w:pos="1355"/>
        </w:tabs>
        <w:autoSpaceDE w:val="0"/>
        <w:autoSpaceDN w:val="0"/>
        <w:bidi w:val="0"/>
        <w:spacing w:before="0" w:after="160" w:line="240" w:lineRule="auto"/>
        <w:ind w:left="273" w:right="75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0"/>
          <w:position w:val="0"/>
          <w:sz w:val="24"/>
          <w:szCs w:val="24"/>
        </w:rPr>
        <w:t>对采购过程、成交或者成交结果提出的质疑，合格供应商符合法定数量时</w:t>
      </w:r>
      <w:r>
        <w:rPr>
          <w:rFonts w:hint="eastAsia" w:ascii="宋体" w:hAnsi="宋体" w:eastAsia="宋体" w:cs="宋体"/>
          <w:color w:val="auto"/>
          <w:spacing w:val="-4"/>
          <w:position w:val="0"/>
          <w:sz w:val="24"/>
          <w:szCs w:val="24"/>
        </w:rPr>
        <w:t>，可以从合格的成交或者成交候选人中另行确定成交、成交供应商的，应当依法另行确定成交、成交供应商；否则应当重新开展采购活动。</w:t>
      </w:r>
    </w:p>
    <w:p>
      <w:pPr>
        <w:pStyle w:val="10"/>
        <w:numPr>
          <w:ilvl w:val="0"/>
          <w:numId w:val="0"/>
        </w:numPr>
        <w:autoSpaceDE w:val="0"/>
        <w:autoSpaceDN w:val="0"/>
        <w:spacing w:before="0" w:after="160" w:line="240" w:lineRule="auto"/>
        <w:ind w:left="273" w:right="970"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质疑答复导致成交、成交结果改变的，采购人或者采购代理机构应当将有关情况书面报告本级财政部门。</w:t>
      </w:r>
    </w:p>
    <w:p>
      <w:pPr>
        <w:pStyle w:val="9"/>
        <w:numPr>
          <w:ilvl w:val="0"/>
          <w:numId w:val="17"/>
        </w:numPr>
        <w:tabs>
          <w:tab w:val="left" w:pos="1236"/>
        </w:tabs>
        <w:autoSpaceDE w:val="0"/>
        <w:autoSpaceDN w:val="0"/>
        <w:bidi w:val="0"/>
        <w:spacing w:before="0" w:after="160" w:line="240" w:lineRule="auto"/>
        <w:ind w:left="1236" w:right="0" w:hanging="483"/>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质疑无效的处理</w:t>
      </w:r>
    </w:p>
    <w:p>
      <w:pPr>
        <w:pStyle w:val="19"/>
        <w:numPr>
          <w:ilvl w:val="1"/>
          <w:numId w:val="17"/>
        </w:numPr>
        <w:tabs>
          <w:tab w:val="left" w:pos="1354"/>
        </w:tabs>
        <w:autoSpaceDE w:val="0"/>
        <w:autoSpaceDN w:val="0"/>
        <w:bidi w:val="0"/>
        <w:spacing w:before="133"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质疑人提供的相关佐证材料不能证明质疑成立的，招标方可要求质疑人补</w:t>
      </w:r>
      <w:r>
        <w:rPr>
          <w:rFonts w:hint="eastAsia" w:ascii="宋体" w:hAnsi="宋体" w:eastAsia="宋体" w:cs="宋体"/>
          <w:color w:val="auto"/>
          <w:position w:val="0"/>
          <w:sz w:val="24"/>
          <w:szCs w:val="24"/>
        </w:rPr>
        <w:t>充相关佐证材料，如补充材料仍不能证明质疑成立的，将不予受理。</w:t>
      </w:r>
    </w:p>
    <w:p>
      <w:pPr>
        <w:pStyle w:val="19"/>
        <w:numPr>
          <w:ilvl w:val="1"/>
          <w:numId w:val="17"/>
        </w:numPr>
        <w:tabs>
          <w:tab w:val="left" w:pos="1354"/>
        </w:tabs>
        <w:autoSpaceDE w:val="0"/>
        <w:autoSpaceDN w:val="0"/>
        <w:bidi w:val="0"/>
        <w:spacing w:before="0" w:after="160" w:line="240" w:lineRule="auto"/>
        <w:ind w:left="1353" w:right="0" w:hanging="60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对于质疑人在质疑期间不配合进行质疑调查处理的，视为自动放弃质疑。</w:t>
      </w:r>
    </w:p>
    <w:p>
      <w:pPr>
        <w:pStyle w:val="19"/>
        <w:numPr>
          <w:ilvl w:val="1"/>
          <w:numId w:val="17"/>
        </w:numPr>
        <w:tabs>
          <w:tab w:val="left" w:pos="1354"/>
        </w:tabs>
        <w:autoSpaceDE w:val="0"/>
        <w:autoSpaceDN w:val="0"/>
        <w:bidi w:val="0"/>
        <w:spacing w:before="134" w:after="160" w:line="240" w:lineRule="auto"/>
        <w:ind w:left="1353" w:right="0" w:hanging="60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质疑人提出的质疑，经评标专家审定后驳回的，列为无效质疑。</w:t>
      </w:r>
    </w:p>
    <w:p>
      <w:pPr>
        <w:pStyle w:val="19"/>
        <w:numPr>
          <w:ilvl w:val="1"/>
          <w:numId w:val="17"/>
        </w:numPr>
        <w:tabs>
          <w:tab w:val="left" w:pos="1354"/>
        </w:tabs>
        <w:autoSpaceDE w:val="0"/>
        <w:autoSpaceDN w:val="0"/>
        <w:bidi w:val="0"/>
        <w:spacing w:before="132" w:after="160" w:line="240" w:lineRule="auto"/>
        <w:ind w:left="273" w:right="879"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对于质疑中使用虚假材料或恶意方式质疑的，按无效质疑处理，并列入不</w:t>
      </w:r>
      <w:r>
        <w:rPr>
          <w:rFonts w:hint="eastAsia" w:ascii="宋体" w:hAnsi="宋体" w:eastAsia="宋体" w:cs="宋体"/>
          <w:color w:val="auto"/>
          <w:position w:val="0"/>
          <w:sz w:val="24"/>
          <w:szCs w:val="24"/>
        </w:rPr>
        <w:t>良记录供应商名单。</w:t>
      </w:r>
    </w:p>
    <w:p>
      <w:pPr>
        <w:pStyle w:val="19"/>
        <w:numPr>
          <w:ilvl w:val="1"/>
          <w:numId w:val="17"/>
        </w:numPr>
        <w:tabs>
          <w:tab w:val="left" w:pos="1294"/>
        </w:tabs>
        <w:autoSpaceDE w:val="0"/>
        <w:autoSpaceDN w:val="0"/>
        <w:bidi w:val="0"/>
        <w:spacing w:before="1" w:after="160" w:line="240" w:lineRule="auto"/>
        <w:ind w:left="273" w:right="910"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质疑人进行质疑后，招标方在法定时间内对质疑进行回复，质疑人认为回</w:t>
      </w:r>
      <w:r>
        <w:rPr>
          <w:rFonts w:hint="eastAsia" w:ascii="宋体" w:hAnsi="宋体" w:eastAsia="宋体" w:cs="宋体"/>
          <w:color w:val="auto"/>
          <w:position w:val="0"/>
          <w:sz w:val="24"/>
          <w:szCs w:val="24"/>
        </w:rPr>
        <w:t>复不满意的，可向相关的采购管理部门进行投诉。</w:t>
      </w:r>
    </w:p>
    <w:p>
      <w:pPr>
        <w:pStyle w:val="9"/>
        <w:numPr>
          <w:ilvl w:val="0"/>
          <w:numId w:val="17"/>
        </w:numPr>
        <w:tabs>
          <w:tab w:val="left" w:pos="1117"/>
        </w:tabs>
        <w:autoSpaceDE w:val="0"/>
        <w:autoSpaceDN w:val="0"/>
        <w:bidi w:val="0"/>
        <w:spacing w:before="0" w:after="160" w:line="240" w:lineRule="auto"/>
        <w:ind w:left="1117" w:right="0" w:hanging="364"/>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其他</w:t>
      </w:r>
    </w:p>
    <w:p>
      <w:pPr>
        <w:pStyle w:val="19"/>
        <w:numPr>
          <w:ilvl w:val="1"/>
          <w:numId w:val="17"/>
        </w:numPr>
        <w:tabs>
          <w:tab w:val="left" w:pos="1294"/>
        </w:tabs>
        <w:autoSpaceDE w:val="0"/>
        <w:autoSpaceDN w:val="0"/>
        <w:bidi w:val="0"/>
        <w:spacing w:before="134" w:after="160" w:line="240" w:lineRule="auto"/>
        <w:ind w:left="1293" w:right="0" w:hanging="541"/>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质疑函和投诉书应当使用中文。质疑函和投诉书的范本，由财政部制定。</w:t>
      </w:r>
    </w:p>
    <w:p>
      <w:pPr>
        <w:pStyle w:val="19"/>
        <w:numPr>
          <w:ilvl w:val="1"/>
          <w:numId w:val="17"/>
        </w:numPr>
        <w:tabs>
          <w:tab w:val="left" w:pos="1294"/>
        </w:tabs>
        <w:autoSpaceDE w:val="0"/>
        <w:autoSpaceDN w:val="0"/>
        <w:bidi w:val="0"/>
        <w:spacing w:before="132" w:after="160" w:line="240" w:lineRule="auto"/>
        <w:ind w:left="273" w:right="910"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对在质疑答复和投诉处理过程中知悉的国家秘密、商业秘密、个人隐私和</w:t>
      </w:r>
      <w:r>
        <w:rPr>
          <w:rFonts w:hint="eastAsia" w:ascii="宋体" w:hAnsi="宋体" w:eastAsia="宋体" w:cs="宋体"/>
          <w:color w:val="auto"/>
          <w:position w:val="0"/>
          <w:sz w:val="24"/>
          <w:szCs w:val="24"/>
        </w:rPr>
        <w:t>依法不予公开的信息，财政部门、采购人、采购代理机构等相关知情人应当保密。</w:t>
      </w:r>
    </w:p>
    <w:p>
      <w:pPr>
        <w:pStyle w:val="10"/>
        <w:numPr>
          <w:ilvl w:val="0"/>
          <w:numId w:val="0"/>
        </w:numPr>
        <w:autoSpaceDE w:val="0"/>
        <w:autoSpaceDN w:val="0"/>
        <w:spacing w:before="10" w:after="160" w:line="240" w:lineRule="auto"/>
        <w:ind w:right="0" w:firstLine="0"/>
        <w:jc w:val="left"/>
        <w:rPr>
          <w:rFonts w:hint="eastAsia" w:ascii="宋体" w:hAnsi="宋体" w:eastAsia="宋体" w:cs="宋体"/>
          <w:color w:val="auto"/>
          <w:position w:val="0"/>
          <w:sz w:val="24"/>
          <w:szCs w:val="24"/>
        </w:rPr>
      </w:pPr>
    </w:p>
    <w:p>
      <w:pPr>
        <w:pStyle w:val="9"/>
        <w:numPr>
          <w:ilvl w:val="0"/>
          <w:numId w:val="0"/>
        </w:numPr>
        <w:autoSpaceDE w:val="0"/>
        <w:autoSpaceDN w:val="0"/>
        <w:spacing w:before="66" w:after="160" w:line="240" w:lineRule="auto"/>
        <w:ind w:left="753" w:right="0" w:firstLine="0"/>
        <w:jc w:val="left"/>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质疑函制作说明:</w:t>
      </w:r>
    </w:p>
    <w:p>
      <w:pPr>
        <w:pStyle w:val="19"/>
        <w:numPr>
          <w:ilvl w:val="0"/>
          <w:numId w:val="20"/>
        </w:numPr>
        <w:tabs>
          <w:tab w:val="left" w:pos="995"/>
        </w:tabs>
        <w:autoSpaceDE w:val="0"/>
        <w:autoSpaceDN w:val="0"/>
        <w:bidi w:val="0"/>
        <w:spacing w:before="132" w:after="160" w:line="240" w:lineRule="auto"/>
        <w:ind w:left="994" w:right="0" w:hanging="24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供应商提出质疑时，应提交质疑函和必要的证明材料。</w:t>
      </w:r>
    </w:p>
    <w:p>
      <w:pPr>
        <w:pStyle w:val="19"/>
        <w:numPr>
          <w:ilvl w:val="0"/>
          <w:numId w:val="20"/>
        </w:numPr>
        <w:tabs>
          <w:tab w:val="left" w:pos="995"/>
        </w:tabs>
        <w:autoSpaceDE w:val="0"/>
        <w:autoSpaceDN w:val="0"/>
        <w:bidi w:val="0"/>
        <w:spacing w:before="134" w:after="160" w:line="240" w:lineRule="auto"/>
        <w:ind w:left="273" w:right="97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质疑供应商若委托代理人进行质疑的，质疑函应按要求列明“授权代表”的有关内容，并在附件中提交由质疑供应商签署的授权委托书。授权委托书应载明代</w:t>
      </w:r>
      <w:r>
        <w:rPr>
          <w:rFonts w:hint="eastAsia" w:ascii="宋体" w:hAnsi="宋体" w:eastAsia="宋体" w:cs="宋体"/>
          <w:color w:val="auto"/>
          <w:position w:val="0"/>
          <w:sz w:val="24"/>
          <w:szCs w:val="24"/>
        </w:rPr>
        <w:t>理人的姓名或者名称、代理事项、具体权限、期限和相关事项。</w:t>
      </w:r>
    </w:p>
    <w:p>
      <w:pPr>
        <w:pStyle w:val="19"/>
        <w:numPr>
          <w:ilvl w:val="0"/>
          <w:numId w:val="20"/>
        </w:numPr>
        <w:tabs>
          <w:tab w:val="left" w:pos="995"/>
        </w:tabs>
        <w:autoSpaceDE w:val="0"/>
        <w:autoSpaceDN w:val="0"/>
        <w:bidi w:val="0"/>
        <w:spacing w:before="1" w:after="160" w:line="240" w:lineRule="auto"/>
        <w:ind w:left="994" w:right="0" w:hanging="24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质疑供应商若对项目的某一分包进行质疑，质疑函中应列明具体分包号。</w:t>
      </w:r>
    </w:p>
    <w:p>
      <w:pPr>
        <w:pStyle w:val="19"/>
        <w:numPr>
          <w:ilvl w:val="0"/>
          <w:numId w:val="20"/>
        </w:numPr>
        <w:tabs>
          <w:tab w:val="left" w:pos="995"/>
        </w:tabs>
        <w:autoSpaceDE w:val="0"/>
        <w:autoSpaceDN w:val="0"/>
        <w:bidi w:val="0"/>
        <w:spacing w:before="131" w:after="160" w:line="240" w:lineRule="auto"/>
        <w:ind w:left="994" w:right="0" w:hanging="24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质疑函的质疑事项应具体、明确，并有必要的事实依据和法律依据。</w:t>
      </w:r>
    </w:p>
    <w:p>
      <w:pPr>
        <w:pStyle w:val="19"/>
        <w:numPr>
          <w:ilvl w:val="0"/>
          <w:numId w:val="20"/>
        </w:numPr>
        <w:tabs>
          <w:tab w:val="left" w:pos="995"/>
        </w:tabs>
        <w:autoSpaceDE w:val="0"/>
        <w:autoSpaceDN w:val="0"/>
        <w:bidi w:val="0"/>
        <w:spacing w:before="132" w:after="160" w:line="240" w:lineRule="auto"/>
        <w:ind w:left="994" w:right="0" w:hanging="24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质疑函的质疑请求应与质疑事项相关。</w:t>
      </w:r>
    </w:p>
    <w:p>
      <w:pPr>
        <w:pStyle w:val="19"/>
        <w:numPr>
          <w:ilvl w:val="0"/>
          <w:numId w:val="20"/>
        </w:numPr>
        <w:tabs>
          <w:tab w:val="left" w:pos="995"/>
        </w:tabs>
        <w:autoSpaceDE w:val="0"/>
        <w:autoSpaceDN w:val="0"/>
        <w:bidi w:val="0"/>
        <w:spacing w:before="134" w:after="160" w:line="240" w:lineRule="auto"/>
        <w:ind w:left="273" w:right="970" w:firstLine="480"/>
        <w:jc w:val="both"/>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质疑供应商为自然人的，质疑函应由本人签字；质疑供应商为法人或者其他组织的，质疑函应由法定代表人、主要负责人，或者其授权代表签字或者盖章，并</w:t>
      </w:r>
      <w:r>
        <w:rPr>
          <w:rFonts w:hint="eastAsia" w:ascii="宋体" w:hAnsi="宋体" w:eastAsia="宋体" w:cs="宋体"/>
          <w:color w:val="auto"/>
          <w:position w:val="0"/>
          <w:sz w:val="24"/>
          <w:szCs w:val="24"/>
        </w:rPr>
        <w:t>加盖公章。</w:t>
      </w:r>
    </w:p>
    <w:p>
      <w:pPr>
        <w:numPr>
          <w:ilvl w:val="0"/>
          <w:numId w:val="20"/>
        </w:numPr>
        <w:tabs>
          <w:tab w:val="left" w:pos="995"/>
        </w:tabs>
        <w:autoSpaceDE w:val="0"/>
        <w:autoSpaceDN w:val="0"/>
        <w:bidi w:val="0"/>
        <w:spacing w:before="134" w:after="160" w:line="240" w:lineRule="auto"/>
        <w:ind w:left="273" w:right="970" w:firstLine="480"/>
        <w:jc w:val="both"/>
        <w:rPr>
          <w:rFonts w:hint="eastAsia" w:ascii="宋体" w:hAnsi="宋体" w:eastAsia="宋体" w:cs="宋体"/>
          <w:color w:val="auto"/>
          <w:position w:val="0"/>
          <w:sz w:val="24"/>
          <w:szCs w:val="24"/>
        </w:rPr>
        <w:sectPr>
          <w:footerReference r:id="rId5" w:type="default"/>
          <w:pgSz w:w="11910" w:h="16840"/>
          <w:pgMar w:top="1580" w:right="820" w:bottom="960" w:left="1200" w:header="0" w:footer="778" w:gutter="0"/>
          <w:pgNumType w:fmt="decimal"/>
          <w:cols w:space="720" w:num="1"/>
          <w:docGrid w:linePitch="360" w:charSpace="6144"/>
        </w:sectPr>
      </w:pPr>
    </w:p>
    <w:p>
      <w:pPr>
        <w:numPr>
          <w:ilvl w:val="0"/>
          <w:numId w:val="0"/>
        </w:numPr>
        <w:autoSpaceDE w:val="0"/>
        <w:autoSpaceDN w:val="0"/>
        <w:spacing w:before="40" w:after="160" w:line="240" w:lineRule="auto"/>
        <w:ind w:right="603"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质疑函范本</w:t>
      </w:r>
    </w:p>
    <w:p>
      <w:pPr>
        <w:pStyle w:val="10"/>
        <w:numPr>
          <w:ilvl w:val="0"/>
          <w:numId w:val="0"/>
        </w:numPr>
        <w:autoSpaceDE w:val="0"/>
        <w:autoSpaceDN w:val="0"/>
        <w:spacing w:before="7" w:after="160" w:line="240" w:lineRule="auto"/>
        <w:ind w:right="0" w:firstLine="0"/>
        <w:jc w:val="left"/>
        <w:rPr>
          <w:rFonts w:hint="eastAsia" w:ascii="宋体" w:hAnsi="宋体" w:eastAsia="宋体" w:cs="宋体"/>
          <w:b/>
          <w:color w:val="auto"/>
          <w:position w:val="0"/>
          <w:sz w:val="24"/>
          <w:szCs w:val="24"/>
        </w:rPr>
      </w:pPr>
    </w:p>
    <w:p>
      <w:pPr>
        <w:numPr>
          <w:ilvl w:val="0"/>
          <w:numId w:val="21"/>
        </w:numPr>
        <w:autoSpaceDE w:val="0"/>
        <w:autoSpaceDN w:val="0"/>
        <w:spacing w:before="66" w:after="160" w:line="240" w:lineRule="auto"/>
        <w:ind w:left="273" w:right="6960" w:firstLine="0"/>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质疑供应商基本信息</w:t>
      </w:r>
    </w:p>
    <w:p>
      <w:pPr>
        <w:numPr>
          <w:ilvl w:val="0"/>
          <w:numId w:val="0"/>
        </w:numPr>
        <w:autoSpaceDE w:val="0"/>
        <w:autoSpaceDN w:val="0"/>
        <w:spacing w:before="66" w:after="160" w:line="240" w:lineRule="auto"/>
        <w:ind w:left="273" w:leftChars="0" w:right="6960" w:rightChars="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质疑供应商：</w:t>
      </w:r>
    </w:p>
    <w:p>
      <w:pPr>
        <w:pStyle w:val="10"/>
        <w:numPr>
          <w:ilvl w:val="0"/>
          <w:numId w:val="0"/>
        </w:numPr>
        <w:tabs>
          <w:tab w:val="left" w:pos="2553"/>
        </w:tabs>
        <w:autoSpaceDE w:val="0"/>
        <w:autoSpaceDN w:val="0"/>
        <w:spacing w:before="0" w:after="160" w:line="240" w:lineRule="auto"/>
        <w:ind w:left="27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地址：</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邮编：</w:t>
      </w:r>
    </w:p>
    <w:p>
      <w:pPr>
        <w:pStyle w:val="10"/>
        <w:numPr>
          <w:ilvl w:val="0"/>
          <w:numId w:val="0"/>
        </w:numPr>
        <w:tabs>
          <w:tab w:val="left" w:pos="2073"/>
        </w:tabs>
        <w:autoSpaceDE w:val="0"/>
        <w:autoSpaceDN w:val="0"/>
        <w:spacing w:before="132" w:after="160" w:line="240" w:lineRule="auto"/>
        <w:ind w:left="273" w:right="661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联系人：</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联系电话</w:t>
      </w:r>
      <w:r>
        <w:rPr>
          <w:rFonts w:hint="eastAsia" w:ascii="宋体" w:hAnsi="宋体" w:eastAsia="宋体" w:cs="宋体"/>
          <w:color w:val="auto"/>
          <w:spacing w:val="-17"/>
          <w:position w:val="0"/>
          <w:sz w:val="24"/>
          <w:szCs w:val="24"/>
        </w:rPr>
        <w:t>：</w:t>
      </w:r>
      <w:r>
        <w:rPr>
          <w:rFonts w:hint="eastAsia" w:ascii="宋体" w:hAnsi="宋体" w:eastAsia="宋体" w:cs="宋体"/>
          <w:color w:val="auto"/>
          <w:position w:val="0"/>
          <w:sz w:val="24"/>
          <w:szCs w:val="24"/>
        </w:rPr>
        <w:t>授权代表：</w:t>
      </w:r>
    </w:p>
    <w:p>
      <w:pPr>
        <w:pStyle w:val="10"/>
        <w:numPr>
          <w:ilvl w:val="0"/>
          <w:numId w:val="0"/>
        </w:numPr>
        <w:autoSpaceDE w:val="0"/>
        <w:autoSpaceDN w:val="0"/>
        <w:spacing w:before="0" w:after="160" w:line="240" w:lineRule="auto"/>
        <w:ind w:left="27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联系电话：</w:t>
      </w:r>
    </w:p>
    <w:p>
      <w:pPr>
        <w:pStyle w:val="10"/>
        <w:numPr>
          <w:ilvl w:val="0"/>
          <w:numId w:val="0"/>
        </w:numPr>
        <w:tabs>
          <w:tab w:val="left" w:pos="2553"/>
        </w:tabs>
        <w:autoSpaceDE w:val="0"/>
        <w:autoSpaceDN w:val="0"/>
        <w:spacing w:before="131" w:after="160" w:line="240" w:lineRule="auto"/>
        <w:ind w:left="27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地址：</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邮编：</w:t>
      </w:r>
    </w:p>
    <w:p>
      <w:pPr>
        <w:numPr>
          <w:ilvl w:val="0"/>
          <w:numId w:val="22"/>
        </w:numPr>
        <w:autoSpaceDE w:val="0"/>
        <w:autoSpaceDN w:val="0"/>
        <w:spacing w:before="135" w:after="160" w:line="240" w:lineRule="auto"/>
        <w:ind w:left="273" w:right="7200" w:firstLine="0"/>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质疑项目基本情况</w:t>
      </w:r>
    </w:p>
    <w:p>
      <w:pPr>
        <w:numPr>
          <w:ilvl w:val="0"/>
          <w:numId w:val="0"/>
        </w:numPr>
        <w:autoSpaceDE w:val="0"/>
        <w:autoSpaceDN w:val="0"/>
        <w:spacing w:before="135" w:after="160" w:line="240" w:lineRule="auto"/>
        <w:ind w:left="273" w:leftChars="0" w:right="7200" w:rightChars="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质疑项目的名称：</w:t>
      </w:r>
    </w:p>
    <w:p>
      <w:pPr>
        <w:pStyle w:val="10"/>
        <w:numPr>
          <w:ilvl w:val="0"/>
          <w:numId w:val="0"/>
        </w:numPr>
        <w:tabs>
          <w:tab w:val="left" w:pos="3033"/>
        </w:tabs>
        <w:autoSpaceDE w:val="0"/>
        <w:autoSpaceDN w:val="0"/>
        <w:spacing w:before="0" w:after="160" w:line="240" w:lineRule="auto"/>
        <w:ind w:left="273" w:right="613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质疑项目的编号：</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包号</w:t>
      </w:r>
      <w:r>
        <w:rPr>
          <w:rFonts w:hint="eastAsia" w:ascii="宋体" w:hAnsi="宋体" w:eastAsia="宋体" w:cs="宋体"/>
          <w:color w:val="auto"/>
          <w:spacing w:val="-17"/>
          <w:position w:val="0"/>
          <w:sz w:val="24"/>
          <w:szCs w:val="24"/>
        </w:rPr>
        <w:t>：</w:t>
      </w:r>
      <w:r>
        <w:rPr>
          <w:rFonts w:hint="eastAsia" w:ascii="宋体" w:hAnsi="宋体" w:eastAsia="宋体" w:cs="宋体"/>
          <w:color w:val="auto"/>
          <w:position w:val="0"/>
          <w:sz w:val="24"/>
          <w:szCs w:val="24"/>
        </w:rPr>
        <w:t>采购人名称：</w:t>
      </w:r>
    </w:p>
    <w:p>
      <w:pPr>
        <w:numPr>
          <w:ilvl w:val="0"/>
          <w:numId w:val="0"/>
        </w:numPr>
        <w:autoSpaceDE w:val="0"/>
        <w:autoSpaceDN w:val="0"/>
        <w:spacing w:before="0" w:after="160" w:line="240" w:lineRule="auto"/>
        <w:ind w:left="273" w:right="720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采购文件获取日期：</w:t>
      </w:r>
    </w:p>
    <w:p>
      <w:pPr>
        <w:numPr>
          <w:ilvl w:val="0"/>
          <w:numId w:val="22"/>
        </w:numPr>
        <w:autoSpaceDE w:val="0"/>
        <w:autoSpaceDN w:val="0"/>
        <w:spacing w:before="0" w:after="160" w:line="240" w:lineRule="auto"/>
        <w:ind w:left="273" w:leftChars="0" w:right="7200" w:firstLine="0" w:firstLineChars="0"/>
        <w:jc w:val="left"/>
        <w:rPr>
          <w:rFonts w:hint="eastAsia" w:ascii="宋体" w:hAnsi="宋体" w:eastAsia="宋体" w:cs="宋体"/>
          <w:b/>
          <w:color w:val="auto"/>
          <w:spacing w:val="-2"/>
          <w:position w:val="0"/>
          <w:sz w:val="24"/>
          <w:szCs w:val="24"/>
        </w:rPr>
      </w:pPr>
      <w:r>
        <w:rPr>
          <w:rFonts w:hint="eastAsia" w:ascii="宋体" w:hAnsi="宋体" w:eastAsia="宋体" w:cs="宋体"/>
          <w:b/>
          <w:color w:val="auto"/>
          <w:spacing w:val="-2"/>
          <w:position w:val="0"/>
          <w:sz w:val="24"/>
          <w:szCs w:val="24"/>
        </w:rPr>
        <w:t>质疑事项具体内容</w:t>
      </w:r>
    </w:p>
    <w:p>
      <w:pPr>
        <w:numPr>
          <w:ilvl w:val="0"/>
          <w:numId w:val="0"/>
        </w:numPr>
        <w:autoSpaceDE w:val="0"/>
        <w:autoSpaceDN w:val="0"/>
        <w:spacing w:before="0" w:after="160" w:line="240" w:lineRule="auto"/>
        <w:ind w:left="273" w:leftChars="0" w:right="7200" w:rightChars="0"/>
        <w:jc w:val="left"/>
        <w:rPr>
          <w:rFonts w:hint="eastAsia" w:ascii="宋体" w:hAnsi="宋体" w:eastAsia="宋体" w:cs="宋体"/>
          <w:color w:val="auto"/>
          <w:position w:val="0"/>
          <w:sz w:val="24"/>
          <w:szCs w:val="24"/>
        </w:rPr>
      </w:pPr>
      <w:r>
        <w:rPr>
          <w:rFonts w:hint="eastAsia" w:ascii="宋体" w:hAnsi="宋体" w:eastAsia="宋体" w:cs="宋体"/>
          <w:color w:val="auto"/>
          <w:spacing w:val="-12"/>
          <w:position w:val="0"/>
          <w:sz w:val="24"/>
          <w:szCs w:val="24"/>
        </w:rPr>
        <w:t>质疑事项</w:t>
      </w:r>
      <w:r>
        <w:rPr>
          <w:rFonts w:hint="eastAsia" w:ascii="宋体" w:hAnsi="宋体" w:eastAsia="宋体" w:cs="宋体"/>
          <w:color w:val="auto"/>
          <w:position w:val="0"/>
          <w:sz w:val="24"/>
          <w:szCs w:val="24"/>
        </w:rPr>
        <w:t>1：</w:t>
      </w:r>
    </w:p>
    <w:p>
      <w:pPr>
        <w:pStyle w:val="10"/>
        <w:numPr>
          <w:ilvl w:val="0"/>
          <w:numId w:val="0"/>
        </w:numPr>
        <w:autoSpaceDE w:val="0"/>
        <w:autoSpaceDN w:val="0"/>
        <w:spacing w:before="0" w:after="160" w:line="240" w:lineRule="auto"/>
        <w:ind w:left="273" w:right="8410"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事实依据：法律依据：质疑事项 2</w:t>
      </w:r>
    </w:p>
    <w:p>
      <w:pPr>
        <w:pStyle w:val="10"/>
        <w:numPr>
          <w:ilvl w:val="0"/>
          <w:numId w:val="0"/>
        </w:numPr>
        <w:autoSpaceDE w:val="0"/>
        <w:autoSpaceDN w:val="0"/>
        <w:spacing w:before="0" w:after="160" w:line="240" w:lineRule="auto"/>
        <w:ind w:left="27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p>
      <w:pPr>
        <w:pStyle w:val="9"/>
        <w:numPr>
          <w:ilvl w:val="0"/>
          <w:numId w:val="23"/>
        </w:numPr>
        <w:autoSpaceDE w:val="0"/>
        <w:autoSpaceDN w:val="0"/>
        <w:spacing w:before="127" w:after="160" w:line="240" w:lineRule="auto"/>
        <w:ind w:left="273" w:right="6238" w:firstLine="0"/>
        <w:jc w:val="left"/>
        <w:outlineLvl w:val="5"/>
        <w:rPr>
          <w:rFonts w:hint="eastAsia" w:ascii="宋体" w:hAnsi="宋体" w:eastAsia="宋体" w:cs="宋体"/>
          <w:b/>
          <w:color w:val="auto"/>
          <w:spacing w:val="-2"/>
          <w:position w:val="0"/>
          <w:sz w:val="24"/>
          <w:szCs w:val="24"/>
        </w:rPr>
      </w:pPr>
      <w:r>
        <w:rPr>
          <w:rFonts w:hint="eastAsia" w:ascii="宋体" w:hAnsi="宋体" w:eastAsia="宋体" w:cs="宋体"/>
          <w:b/>
          <w:color w:val="auto"/>
          <w:spacing w:val="-2"/>
          <w:position w:val="0"/>
          <w:sz w:val="24"/>
          <w:szCs w:val="24"/>
        </w:rPr>
        <w:t>与质疑事项相关的质疑请求</w:t>
      </w:r>
    </w:p>
    <w:p>
      <w:pPr>
        <w:pStyle w:val="9"/>
        <w:numPr>
          <w:ilvl w:val="0"/>
          <w:numId w:val="0"/>
        </w:numPr>
        <w:autoSpaceDE w:val="0"/>
        <w:autoSpaceDN w:val="0"/>
        <w:spacing w:before="127" w:after="160" w:line="240" w:lineRule="auto"/>
        <w:ind w:left="273" w:leftChars="0" w:right="6238" w:rightChars="0"/>
        <w:jc w:val="left"/>
        <w:outlineLvl w:val="5"/>
        <w:rPr>
          <w:rFonts w:hint="eastAsia" w:ascii="宋体" w:hAnsi="宋体" w:eastAsia="宋体" w:cs="宋体"/>
          <w:b w:val="0"/>
          <w:color w:val="auto"/>
          <w:position w:val="0"/>
          <w:sz w:val="24"/>
          <w:szCs w:val="24"/>
        </w:rPr>
      </w:pPr>
      <w:r>
        <w:rPr>
          <w:rFonts w:hint="eastAsia" w:ascii="宋体" w:hAnsi="宋体" w:eastAsia="宋体" w:cs="宋体"/>
          <w:b w:val="0"/>
          <w:color w:val="auto"/>
          <w:position w:val="0"/>
          <w:sz w:val="24"/>
          <w:szCs w:val="24"/>
        </w:rPr>
        <w:t>请求：</w:t>
      </w:r>
    </w:p>
    <w:p>
      <w:pPr>
        <w:pStyle w:val="10"/>
        <w:numPr>
          <w:ilvl w:val="0"/>
          <w:numId w:val="0"/>
        </w:numPr>
        <w:autoSpaceDE w:val="0"/>
        <w:autoSpaceDN w:val="0"/>
        <w:spacing w:before="0" w:after="160" w:line="240" w:lineRule="auto"/>
        <w:ind w:left="273" w:right="709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签字（盖章）：</w:t>
      </w:r>
    </w:p>
    <w:p>
      <w:pPr>
        <w:pStyle w:val="10"/>
        <w:numPr>
          <w:ilvl w:val="0"/>
          <w:numId w:val="0"/>
        </w:numPr>
        <w:autoSpaceDE w:val="0"/>
        <w:autoSpaceDN w:val="0"/>
        <w:spacing w:before="0" w:after="160" w:line="240" w:lineRule="auto"/>
        <w:ind w:left="273" w:right="7090" w:firstLine="0"/>
        <w:jc w:val="left"/>
        <w:rPr>
          <w:rFonts w:hint="eastAsia" w:ascii="宋体" w:hAnsi="宋体" w:eastAsia="宋体" w:cs="宋体"/>
          <w:color w:val="auto"/>
          <w:spacing w:val="-5"/>
          <w:position w:val="0"/>
          <w:sz w:val="24"/>
          <w:szCs w:val="24"/>
        </w:rPr>
      </w:pPr>
      <w:r>
        <w:rPr>
          <w:rFonts w:hint="eastAsia" w:ascii="宋体" w:hAnsi="宋体" w:eastAsia="宋体" w:cs="宋体"/>
          <w:color w:val="auto"/>
          <w:spacing w:val="-5"/>
          <w:position w:val="0"/>
          <w:sz w:val="24"/>
          <w:szCs w:val="24"/>
        </w:rPr>
        <w:t>公章：</w:t>
      </w:r>
    </w:p>
    <w:p>
      <w:pPr>
        <w:pStyle w:val="10"/>
        <w:numPr>
          <w:ilvl w:val="0"/>
          <w:numId w:val="0"/>
        </w:numPr>
        <w:autoSpaceDE w:val="0"/>
        <w:autoSpaceDN w:val="0"/>
        <w:spacing w:before="0" w:after="160" w:line="240" w:lineRule="auto"/>
        <w:ind w:left="273" w:right="709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日期：</w:t>
      </w:r>
    </w:p>
    <w:p>
      <w:pPr>
        <w:numPr>
          <w:ilvl w:val="0"/>
          <w:numId w:val="0"/>
        </w:numPr>
        <w:autoSpaceDE w:val="0"/>
        <w:autoSpaceDN w:val="0"/>
        <w:spacing w:before="0" w:after="160" w:line="240" w:lineRule="auto"/>
        <w:ind w:left="273" w:right="7090" w:firstLine="0"/>
        <w:jc w:val="left"/>
        <w:rPr>
          <w:rFonts w:hint="eastAsia" w:ascii="宋体" w:hAnsi="宋体" w:eastAsia="宋体" w:cs="宋体"/>
          <w:color w:val="auto"/>
          <w:position w:val="0"/>
          <w:sz w:val="24"/>
          <w:szCs w:val="24"/>
        </w:rPr>
        <w:sectPr>
          <w:pgSz w:w="11910" w:h="16840"/>
          <w:pgMar w:top="1380" w:right="820" w:bottom="960" w:left="1200" w:header="0" w:footer="778" w:gutter="0"/>
          <w:pgNumType w:fmt="decimal"/>
          <w:cols w:space="720" w:num="1"/>
          <w:docGrid w:linePitch="360" w:charSpace="6144"/>
        </w:sectPr>
      </w:pPr>
    </w:p>
    <w:p>
      <w:pPr>
        <w:pStyle w:val="5"/>
        <w:numPr>
          <w:ilvl w:val="0"/>
          <w:numId w:val="0"/>
        </w:numPr>
        <w:tabs>
          <w:tab w:val="left" w:pos="1984"/>
        </w:tabs>
        <w:autoSpaceDE w:val="0"/>
        <w:autoSpaceDN w:val="0"/>
        <w:spacing w:before="49" w:after="160" w:line="240" w:lineRule="auto"/>
        <w:ind w:left="601" w:right="600" w:firstLine="1608"/>
        <w:jc w:val="left"/>
        <w:outlineLvl w:val="1"/>
        <w:rPr>
          <w:rFonts w:hint="eastAsia" w:ascii="宋体" w:hAnsi="宋体" w:eastAsia="宋体" w:cs="宋体"/>
          <w:b/>
          <w:color w:val="000000"/>
          <w:position w:val="0"/>
          <w:sz w:val="28"/>
          <w:szCs w:val="28"/>
          <w:lang w:eastAsia="zh-CN"/>
        </w:rPr>
      </w:pPr>
      <w:bookmarkStart w:id="14" w:name="第三部分___采购内容及服务要求"/>
      <w:bookmarkEnd w:id="14"/>
      <w:r>
        <w:rPr>
          <w:rFonts w:hint="eastAsia" w:ascii="宋体" w:hAnsi="宋体" w:eastAsia="宋体" w:cs="宋体"/>
          <w:b/>
          <w:color w:val="000000"/>
          <w:position w:val="0"/>
          <w:sz w:val="28"/>
          <w:szCs w:val="28"/>
        </w:rPr>
        <w:t>第三部分</w:t>
      </w:r>
      <w:r>
        <w:rPr>
          <w:rFonts w:hint="eastAsia" w:ascii="宋体" w:hAnsi="宋体" w:eastAsia="宋体" w:cs="宋体"/>
          <w:b/>
          <w:color w:val="000000"/>
          <w:position w:val="0"/>
          <w:sz w:val="28"/>
          <w:szCs w:val="28"/>
          <w:lang w:val="en-US" w:eastAsia="zh-CN"/>
        </w:rPr>
        <w:t xml:space="preserve"> </w:t>
      </w:r>
      <w:r>
        <w:rPr>
          <w:rFonts w:hint="eastAsia" w:ascii="宋体" w:hAnsi="宋体" w:eastAsia="宋体" w:cs="宋体"/>
          <w:b/>
          <w:color w:val="000000"/>
          <w:position w:val="0"/>
          <w:sz w:val="28"/>
          <w:szCs w:val="28"/>
          <w:lang w:eastAsia="zh-CN"/>
        </w:rPr>
        <w:t>采购项目技术要求及需求</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一、技术规范与要求</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按照国家现行施工质量验收规范及行业有关标准执行。</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质量目标达到合格标准。</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施工范围：</w:t>
      </w:r>
      <w:r>
        <w:rPr>
          <w:rFonts w:hint="eastAsia" w:ascii="宋体" w:hAnsi="宋体" w:eastAsia="宋体" w:cs="宋体"/>
          <w:color w:val="auto"/>
          <w:position w:val="0"/>
          <w:sz w:val="24"/>
          <w:szCs w:val="24"/>
          <w:lang w:val="en-US" w:eastAsia="zh-CN"/>
        </w:rPr>
        <w:t>二层检验大厅、采血室、微生物检验室。结核实验室、PCR实验室及办公更衣室等所属区域的地面、墙面、吊顶、有编号的内门、内窗装修及照明、应急照明、插座、监控、网络通信、门襟安装等</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lang w:eastAsia="zh-CN"/>
        </w:rPr>
      </w:pPr>
      <w:r>
        <w:rPr>
          <w:rFonts w:hint="eastAsia" w:ascii="宋体" w:hAnsi="宋体" w:eastAsia="宋体" w:cs="宋体"/>
          <w:color w:val="auto"/>
          <w:position w:val="0"/>
          <w:sz w:val="24"/>
          <w:szCs w:val="24"/>
        </w:rPr>
        <w:t>项目地点：</w:t>
      </w:r>
      <w:r>
        <w:rPr>
          <w:rFonts w:hint="eastAsia" w:ascii="宋体" w:hAnsi="宋体" w:eastAsia="宋体" w:cs="宋体"/>
          <w:color w:val="auto"/>
          <w:position w:val="0"/>
          <w:sz w:val="24"/>
          <w:szCs w:val="24"/>
          <w:lang w:eastAsia="zh-CN"/>
        </w:rPr>
        <w:t>巴里坤县人民医院</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二、工程量清单：见附表。</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三、说明</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施工所发生的一切费用都包括在合同总价（磋商报价）内，包括办理相关手续、有关部门验收等。</w:t>
      </w:r>
    </w:p>
    <w:p>
      <w:pPr>
        <w:pStyle w:val="10"/>
        <w:numPr>
          <w:ilvl w:val="0"/>
          <w:numId w:val="0"/>
        </w:numPr>
        <w:autoSpaceDE w:val="0"/>
        <w:autoSpaceDN w:val="0"/>
        <w:spacing w:before="0" w:after="160" w:line="480" w:lineRule="exact"/>
        <w:ind w:left="440" w:right="0" w:firstLine="24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eastAsia="zh-CN"/>
        </w:rPr>
        <w:t>四、</w:t>
      </w:r>
      <w:r>
        <w:rPr>
          <w:rFonts w:hint="eastAsia" w:ascii="宋体" w:hAnsi="宋体" w:eastAsia="宋体" w:cs="宋体"/>
          <w:color w:val="auto"/>
          <w:position w:val="0"/>
          <w:sz w:val="24"/>
          <w:szCs w:val="24"/>
        </w:rPr>
        <w:t>工程量清单编制说明及具体内容详见附件。</w:t>
      </w:r>
    </w:p>
    <w:p>
      <w:pPr>
        <w:pStyle w:val="10"/>
        <w:numPr>
          <w:ilvl w:val="0"/>
          <w:numId w:val="0"/>
        </w:numPr>
        <w:autoSpaceDE w:val="0"/>
        <w:autoSpaceDN w:val="0"/>
        <w:spacing w:before="0" w:after="160" w:line="480" w:lineRule="exact"/>
        <w:ind w:right="0" w:firstLine="48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480" w:lineRule="exact"/>
        <w:ind w:right="0" w:firstLine="48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480" w:lineRule="exact"/>
        <w:ind w:right="0" w:firstLine="480"/>
        <w:jc w:val="left"/>
        <w:rPr>
          <w:rFonts w:hint="eastAsia" w:ascii="宋体" w:hAnsi="宋体" w:eastAsia="宋体" w:cs="宋体"/>
          <w:color w:val="auto"/>
          <w:position w:val="0"/>
          <w:sz w:val="24"/>
          <w:szCs w:val="24"/>
        </w:rPr>
      </w:pPr>
    </w:p>
    <w:p>
      <w:pPr>
        <w:pStyle w:val="5"/>
        <w:numPr>
          <w:ilvl w:val="0"/>
          <w:numId w:val="0"/>
        </w:numPr>
        <w:tabs>
          <w:tab w:val="left" w:pos="1804"/>
        </w:tabs>
        <w:autoSpaceDE w:val="0"/>
        <w:autoSpaceDN w:val="0"/>
        <w:spacing w:before="49" w:after="160" w:line="240" w:lineRule="auto"/>
        <w:ind w:right="605" w:firstLine="0"/>
        <w:jc w:val="both"/>
        <w:outlineLvl w:val="1"/>
        <w:rPr>
          <w:rFonts w:hint="eastAsia" w:ascii="宋体" w:hAnsi="宋体" w:eastAsia="宋体" w:cs="宋体"/>
          <w:b/>
          <w:color w:val="auto"/>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auto"/>
          <w:position w:val="0"/>
          <w:sz w:val="24"/>
          <w:szCs w:val="24"/>
        </w:rPr>
      </w:pPr>
    </w:p>
    <w:p>
      <w:pPr>
        <w:pStyle w:val="12"/>
        <w:numPr>
          <w:ilvl w:val="0"/>
          <w:numId w:val="0"/>
        </w:numPr>
        <w:autoSpaceDE/>
        <w:autoSpaceDN/>
        <w:spacing w:before="0" w:after="160" w:line="240" w:lineRule="auto"/>
        <w:ind w:right="0" w:firstLine="221"/>
        <w:jc w:val="center"/>
        <w:rPr>
          <w:rFonts w:hint="eastAsia" w:ascii="宋体" w:hAnsi="宋体" w:eastAsia="宋体" w:cs="宋体"/>
          <w:b/>
          <w:color w:val="585858"/>
          <w:position w:val="0"/>
          <w:sz w:val="24"/>
          <w:szCs w:val="24"/>
        </w:rPr>
      </w:pPr>
    </w:p>
    <w:p>
      <w:pPr>
        <w:pStyle w:val="12"/>
        <w:numPr>
          <w:ilvl w:val="0"/>
          <w:numId w:val="0"/>
        </w:numPr>
        <w:autoSpaceDE/>
        <w:autoSpaceDN/>
        <w:spacing w:before="0" w:after="160" w:line="240" w:lineRule="auto"/>
        <w:ind w:right="0" w:firstLine="221"/>
        <w:jc w:val="center"/>
        <w:rPr>
          <w:rFonts w:hint="eastAsia" w:ascii="宋体" w:hAnsi="宋体" w:eastAsia="宋体" w:cs="宋体"/>
          <w:b/>
          <w:color w:val="585858"/>
          <w:position w:val="0"/>
          <w:sz w:val="24"/>
          <w:szCs w:val="24"/>
        </w:rPr>
      </w:pPr>
    </w:p>
    <w:p>
      <w:pPr>
        <w:pStyle w:val="12"/>
        <w:numPr>
          <w:ilvl w:val="0"/>
          <w:numId w:val="0"/>
        </w:numPr>
        <w:autoSpaceDE/>
        <w:autoSpaceDN/>
        <w:spacing w:before="0" w:after="160" w:line="240" w:lineRule="auto"/>
        <w:ind w:right="0" w:firstLine="221"/>
        <w:jc w:val="center"/>
        <w:rPr>
          <w:rFonts w:hint="eastAsia" w:ascii="宋体" w:hAnsi="宋体" w:eastAsia="宋体" w:cs="宋体"/>
          <w:b/>
          <w:color w:val="585858"/>
          <w:position w:val="0"/>
          <w:sz w:val="24"/>
          <w:szCs w:val="24"/>
        </w:rPr>
      </w:pPr>
    </w:p>
    <w:p>
      <w:pPr>
        <w:pStyle w:val="12"/>
        <w:numPr>
          <w:ilvl w:val="0"/>
          <w:numId w:val="0"/>
        </w:numPr>
        <w:autoSpaceDE/>
        <w:autoSpaceDN/>
        <w:spacing w:before="0" w:after="160" w:line="240" w:lineRule="auto"/>
        <w:ind w:right="0" w:firstLine="221"/>
        <w:jc w:val="center"/>
        <w:rPr>
          <w:rFonts w:hint="eastAsia" w:ascii="宋体" w:hAnsi="宋体" w:eastAsia="宋体" w:cs="宋体"/>
          <w:b/>
          <w:color w:val="585858"/>
          <w:position w:val="0"/>
          <w:sz w:val="24"/>
          <w:szCs w:val="24"/>
        </w:rPr>
      </w:pPr>
    </w:p>
    <w:p>
      <w:pPr>
        <w:pStyle w:val="12"/>
        <w:numPr>
          <w:ilvl w:val="0"/>
          <w:numId w:val="0"/>
        </w:numPr>
        <w:autoSpaceDE/>
        <w:autoSpaceDN/>
        <w:spacing w:before="0" w:after="160" w:line="240" w:lineRule="auto"/>
        <w:ind w:right="0" w:firstLine="221"/>
        <w:jc w:val="center"/>
        <w:rPr>
          <w:rFonts w:hint="eastAsia" w:ascii="宋体" w:hAnsi="宋体" w:eastAsia="宋体" w:cs="宋体"/>
          <w:b/>
          <w:color w:val="585858"/>
          <w:position w:val="0"/>
          <w:sz w:val="24"/>
          <w:szCs w:val="24"/>
        </w:rPr>
      </w:pPr>
    </w:p>
    <w:p>
      <w:pPr>
        <w:pStyle w:val="12"/>
        <w:numPr>
          <w:ilvl w:val="0"/>
          <w:numId w:val="0"/>
        </w:numPr>
        <w:autoSpaceDE/>
        <w:autoSpaceDN/>
        <w:spacing w:before="0" w:after="160" w:line="240" w:lineRule="auto"/>
        <w:ind w:right="0" w:firstLine="221"/>
        <w:jc w:val="center"/>
        <w:rPr>
          <w:rFonts w:hint="eastAsia" w:ascii="宋体" w:hAnsi="宋体" w:eastAsia="宋体" w:cs="宋体"/>
          <w:b/>
          <w:color w:val="585858"/>
          <w:position w:val="0"/>
          <w:sz w:val="24"/>
          <w:szCs w:val="24"/>
        </w:rPr>
      </w:pPr>
    </w:p>
    <w:p>
      <w:pPr>
        <w:pStyle w:val="12"/>
        <w:numPr>
          <w:ilvl w:val="0"/>
          <w:numId w:val="0"/>
        </w:numPr>
        <w:autoSpaceDE/>
        <w:autoSpaceDN/>
        <w:spacing w:before="0" w:after="160" w:line="240" w:lineRule="auto"/>
        <w:ind w:right="0" w:firstLine="221"/>
        <w:jc w:val="center"/>
        <w:rPr>
          <w:rFonts w:hint="eastAsia" w:ascii="宋体" w:hAnsi="宋体" w:eastAsia="宋体" w:cs="宋体"/>
          <w:b/>
          <w:color w:val="585858"/>
          <w:position w:val="0"/>
          <w:sz w:val="24"/>
          <w:szCs w:val="24"/>
        </w:rPr>
      </w:pPr>
    </w:p>
    <w:p>
      <w:pPr>
        <w:pStyle w:val="5"/>
        <w:numPr>
          <w:ilvl w:val="0"/>
          <w:numId w:val="0"/>
        </w:numPr>
        <w:tabs>
          <w:tab w:val="left" w:pos="1984"/>
        </w:tabs>
        <w:autoSpaceDE w:val="0"/>
        <w:autoSpaceDN w:val="0"/>
        <w:spacing w:before="49" w:after="160" w:line="240" w:lineRule="auto"/>
        <w:ind w:right="600"/>
        <w:jc w:val="left"/>
        <w:outlineLvl w:val="1"/>
        <w:rPr>
          <w:rFonts w:hint="eastAsia" w:ascii="宋体" w:hAnsi="宋体" w:eastAsia="宋体" w:cs="宋体"/>
          <w:b/>
          <w:color w:val="000000"/>
          <w:position w:val="0"/>
          <w:sz w:val="28"/>
          <w:szCs w:val="28"/>
        </w:rPr>
      </w:pPr>
    </w:p>
    <w:p>
      <w:pPr>
        <w:pStyle w:val="5"/>
        <w:numPr>
          <w:ilvl w:val="0"/>
          <w:numId w:val="0"/>
        </w:numPr>
        <w:tabs>
          <w:tab w:val="left" w:pos="1984"/>
        </w:tabs>
        <w:autoSpaceDE w:val="0"/>
        <w:autoSpaceDN w:val="0"/>
        <w:spacing w:before="49" w:after="160" w:line="240" w:lineRule="auto"/>
        <w:ind w:right="600"/>
        <w:jc w:val="center"/>
        <w:outlineLvl w:val="1"/>
        <w:rPr>
          <w:rFonts w:hint="eastAsia" w:ascii="宋体" w:hAnsi="宋体" w:eastAsia="宋体" w:cs="宋体"/>
          <w:b/>
          <w:color w:val="000000"/>
          <w:position w:val="0"/>
          <w:sz w:val="28"/>
          <w:szCs w:val="28"/>
        </w:rPr>
      </w:pPr>
      <w:r>
        <w:rPr>
          <w:rFonts w:hint="eastAsia" w:ascii="宋体" w:hAnsi="宋体" w:eastAsia="宋体" w:cs="宋体"/>
          <w:b/>
          <w:color w:val="000000"/>
          <w:position w:val="0"/>
          <w:sz w:val="28"/>
          <w:szCs w:val="28"/>
        </w:rPr>
        <w:t>第四部分</w:t>
      </w:r>
      <w:r>
        <w:rPr>
          <w:rFonts w:hint="eastAsia" w:ascii="宋体" w:hAnsi="宋体" w:eastAsia="宋体" w:cs="宋体"/>
          <w:b/>
          <w:color w:val="000000"/>
          <w:position w:val="0"/>
          <w:sz w:val="28"/>
          <w:szCs w:val="28"/>
        </w:rPr>
        <w:tab/>
      </w:r>
      <w:r>
        <w:rPr>
          <w:rFonts w:hint="eastAsia" w:ascii="宋体" w:hAnsi="宋体" w:eastAsia="宋体" w:cs="宋体"/>
          <w:b/>
          <w:color w:val="000000"/>
          <w:position w:val="0"/>
          <w:sz w:val="28"/>
          <w:szCs w:val="28"/>
        </w:rPr>
        <w:t>合同条款</w:t>
      </w:r>
    </w:p>
    <w:p>
      <w:pPr>
        <w:pStyle w:val="5"/>
        <w:numPr>
          <w:ilvl w:val="0"/>
          <w:numId w:val="0"/>
        </w:numPr>
        <w:tabs>
          <w:tab w:val="left" w:pos="1984"/>
        </w:tabs>
        <w:autoSpaceDE w:val="0"/>
        <w:autoSpaceDN w:val="0"/>
        <w:spacing w:before="49" w:after="160" w:line="240" w:lineRule="auto"/>
        <w:ind w:left="601" w:right="600" w:firstLine="1608"/>
        <w:jc w:val="left"/>
        <w:outlineLvl w:val="1"/>
        <w:rPr>
          <w:rFonts w:hint="eastAsia" w:ascii="宋体" w:hAnsi="宋体" w:eastAsia="宋体" w:cs="宋体"/>
          <w:b/>
          <w:color w:val="000000"/>
          <w:position w:val="0"/>
          <w:sz w:val="28"/>
          <w:szCs w:val="28"/>
        </w:rPr>
      </w:pPr>
    </w:p>
    <w:p>
      <w:pPr>
        <w:pStyle w:val="5"/>
        <w:numPr>
          <w:ilvl w:val="0"/>
          <w:numId w:val="0"/>
        </w:numPr>
        <w:tabs>
          <w:tab w:val="left" w:pos="1984"/>
        </w:tabs>
        <w:autoSpaceDE w:val="0"/>
        <w:autoSpaceDN w:val="0"/>
        <w:spacing w:before="49" w:after="160" w:line="240" w:lineRule="auto"/>
        <w:ind w:left="601" w:right="600" w:firstLine="1608"/>
        <w:jc w:val="left"/>
        <w:outlineLvl w:val="1"/>
        <w:rPr>
          <w:rFonts w:hint="eastAsia" w:ascii="宋体" w:hAnsi="宋体" w:eastAsia="宋体" w:cs="宋体"/>
          <w:b/>
          <w:color w:val="000000"/>
          <w:position w:val="0"/>
          <w:sz w:val="28"/>
          <w:szCs w:val="28"/>
        </w:rPr>
      </w:pPr>
    </w:p>
    <w:p>
      <w:pPr>
        <w:pStyle w:val="5"/>
        <w:numPr>
          <w:ilvl w:val="0"/>
          <w:numId w:val="0"/>
        </w:numPr>
        <w:tabs>
          <w:tab w:val="left" w:pos="1984"/>
        </w:tabs>
        <w:autoSpaceDE w:val="0"/>
        <w:autoSpaceDN w:val="0"/>
        <w:spacing w:before="49" w:after="160" w:line="240" w:lineRule="auto"/>
        <w:ind w:right="600" w:firstLine="1124" w:firstLineChars="400"/>
        <w:jc w:val="left"/>
        <w:outlineLvl w:val="1"/>
        <w:rPr>
          <w:rFonts w:hint="eastAsia" w:ascii="宋体" w:hAnsi="宋体" w:eastAsia="宋体" w:cs="宋体"/>
          <w:b/>
          <w:color w:val="000000"/>
          <w:position w:val="0"/>
          <w:sz w:val="28"/>
          <w:szCs w:val="28"/>
        </w:rPr>
      </w:pPr>
      <w:r>
        <w:rPr>
          <w:rFonts w:hint="eastAsia" w:ascii="宋体" w:hAnsi="宋体" w:eastAsia="宋体" w:cs="宋体"/>
          <w:b/>
          <w:color w:val="000000"/>
          <w:position w:val="0"/>
          <w:sz w:val="28"/>
          <w:szCs w:val="28"/>
        </w:rPr>
        <w:t>（本合同内容仅供参考，最终合同以实际签订合同为准）</w:t>
      </w:r>
    </w:p>
    <w:p>
      <w:pPr>
        <w:numPr>
          <w:ilvl w:val="0"/>
          <w:numId w:val="0"/>
        </w:numPr>
        <w:autoSpaceDE w:val="0"/>
        <w:autoSpaceDN w:val="0"/>
        <w:spacing w:before="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585858"/>
          <w:position w:val="0"/>
          <w:sz w:val="24"/>
          <w:szCs w:val="24"/>
        </w:rPr>
      </w:pPr>
    </w:p>
    <w:p>
      <w:pPr>
        <w:pStyle w:val="10"/>
        <w:numPr>
          <w:ilvl w:val="0"/>
          <w:numId w:val="0"/>
        </w:numPr>
        <w:wordWrap w:val="0"/>
        <w:autoSpaceDE w:val="0"/>
        <w:autoSpaceDN w:val="0"/>
        <w:spacing w:before="0" w:after="0" w:line="520" w:lineRule="exact"/>
        <w:ind w:right="0" w:firstLine="0"/>
        <w:jc w:val="center"/>
        <w:rPr>
          <w:rFonts w:hint="eastAsia" w:ascii="宋体" w:hAnsi="宋体" w:eastAsia="宋体" w:cs="宋体"/>
          <w:b/>
          <w:color w:val="auto"/>
          <w:position w:val="0"/>
          <w:sz w:val="24"/>
          <w:szCs w:val="24"/>
        </w:rPr>
      </w:pPr>
    </w:p>
    <w:p>
      <w:pPr>
        <w:pStyle w:val="10"/>
        <w:numPr>
          <w:ilvl w:val="0"/>
          <w:numId w:val="0"/>
        </w:numPr>
        <w:wordWrap w:val="0"/>
        <w:autoSpaceDE w:val="0"/>
        <w:autoSpaceDN w:val="0"/>
        <w:spacing w:before="0" w:after="0" w:line="520" w:lineRule="exact"/>
        <w:ind w:right="0" w:firstLine="0"/>
        <w:jc w:val="center"/>
        <w:rPr>
          <w:rFonts w:hint="eastAsia" w:ascii="宋体" w:hAnsi="宋体" w:eastAsia="宋体" w:cs="宋体"/>
          <w:b/>
          <w:color w:val="auto"/>
          <w:position w:val="0"/>
          <w:sz w:val="24"/>
          <w:szCs w:val="24"/>
        </w:rPr>
      </w:pPr>
    </w:p>
    <w:p>
      <w:pPr>
        <w:pStyle w:val="10"/>
        <w:numPr>
          <w:ilvl w:val="0"/>
          <w:numId w:val="0"/>
        </w:numPr>
        <w:wordWrap w:val="0"/>
        <w:autoSpaceDE w:val="0"/>
        <w:autoSpaceDN w:val="0"/>
        <w:spacing w:before="0" w:after="0" w:line="520" w:lineRule="exact"/>
        <w:ind w:right="0" w:firstLine="0"/>
        <w:jc w:val="center"/>
        <w:rPr>
          <w:rFonts w:hint="eastAsia" w:ascii="宋体" w:hAnsi="宋体" w:eastAsia="宋体" w:cs="宋体"/>
          <w:b/>
          <w:color w:val="auto"/>
          <w:position w:val="0"/>
          <w:sz w:val="24"/>
          <w:szCs w:val="24"/>
        </w:rPr>
      </w:pPr>
    </w:p>
    <w:p>
      <w:pPr>
        <w:pStyle w:val="10"/>
        <w:numPr>
          <w:ilvl w:val="0"/>
          <w:numId w:val="0"/>
        </w:numPr>
        <w:wordWrap w:val="0"/>
        <w:autoSpaceDE w:val="0"/>
        <w:autoSpaceDN w:val="0"/>
        <w:spacing w:before="0" w:after="0" w:line="520" w:lineRule="exact"/>
        <w:ind w:right="0" w:firstLine="0"/>
        <w:jc w:val="center"/>
        <w:rPr>
          <w:rFonts w:hint="eastAsia" w:ascii="宋体" w:hAnsi="宋体" w:eastAsia="宋体" w:cs="宋体"/>
          <w:b/>
          <w:color w:val="auto"/>
          <w:position w:val="0"/>
          <w:sz w:val="24"/>
          <w:szCs w:val="24"/>
        </w:rPr>
      </w:pPr>
    </w:p>
    <w:p>
      <w:pPr>
        <w:pStyle w:val="10"/>
        <w:numPr>
          <w:ilvl w:val="0"/>
          <w:numId w:val="0"/>
        </w:numPr>
        <w:wordWrap w:val="0"/>
        <w:autoSpaceDE w:val="0"/>
        <w:autoSpaceDN w:val="0"/>
        <w:spacing w:before="0" w:after="0" w:line="520" w:lineRule="exact"/>
        <w:ind w:right="0" w:firstLine="0"/>
        <w:jc w:val="center"/>
        <w:rPr>
          <w:rFonts w:hint="eastAsia" w:ascii="宋体" w:hAnsi="宋体" w:eastAsia="宋体" w:cs="宋体"/>
          <w:b/>
          <w:color w:val="auto"/>
          <w:position w:val="0"/>
          <w:sz w:val="24"/>
          <w:szCs w:val="24"/>
        </w:rPr>
      </w:pPr>
    </w:p>
    <w:p>
      <w:pPr>
        <w:pStyle w:val="10"/>
        <w:numPr>
          <w:ilvl w:val="0"/>
          <w:numId w:val="0"/>
        </w:numPr>
        <w:wordWrap w:val="0"/>
        <w:autoSpaceDE w:val="0"/>
        <w:autoSpaceDN w:val="0"/>
        <w:spacing w:before="0" w:after="0" w:line="520" w:lineRule="exact"/>
        <w:ind w:right="0" w:firstLine="0"/>
        <w:jc w:val="center"/>
        <w:rPr>
          <w:rFonts w:hint="eastAsia" w:ascii="宋体" w:hAnsi="宋体" w:eastAsia="宋体" w:cs="宋体"/>
          <w:b/>
          <w:color w:val="auto"/>
          <w:position w:val="0"/>
          <w:sz w:val="24"/>
          <w:szCs w:val="24"/>
        </w:rPr>
      </w:pPr>
    </w:p>
    <w:p>
      <w:pPr>
        <w:pStyle w:val="10"/>
        <w:numPr>
          <w:ilvl w:val="0"/>
          <w:numId w:val="0"/>
        </w:numPr>
        <w:wordWrap w:val="0"/>
        <w:autoSpaceDE w:val="0"/>
        <w:autoSpaceDN w:val="0"/>
        <w:spacing w:before="0" w:after="0" w:line="520" w:lineRule="exact"/>
        <w:ind w:right="0" w:firstLine="0"/>
        <w:jc w:val="center"/>
        <w:rPr>
          <w:rFonts w:hint="eastAsia" w:ascii="宋体" w:hAnsi="宋体" w:eastAsia="宋体" w:cs="宋体"/>
          <w:b/>
          <w:color w:val="auto"/>
          <w:position w:val="0"/>
          <w:sz w:val="24"/>
          <w:szCs w:val="24"/>
        </w:rPr>
      </w:pPr>
    </w:p>
    <w:p>
      <w:pPr>
        <w:pStyle w:val="10"/>
        <w:numPr>
          <w:ilvl w:val="0"/>
          <w:numId w:val="0"/>
        </w:numPr>
        <w:wordWrap w:val="0"/>
        <w:autoSpaceDE w:val="0"/>
        <w:autoSpaceDN w:val="0"/>
        <w:spacing w:before="0" w:after="0" w:line="520" w:lineRule="exact"/>
        <w:ind w:right="0" w:firstLine="0"/>
        <w:jc w:val="center"/>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合同条款格式</w:t>
      </w:r>
    </w:p>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甲方（采购人）∶</w:t>
      </w:r>
      <w:r>
        <w:rPr>
          <w:rFonts w:hint="eastAsia" w:ascii="宋体" w:hAnsi="宋体" w:eastAsia="宋体" w:cs="宋体"/>
          <w:color w:val="auto"/>
          <w:position w:val="0"/>
          <w:sz w:val="24"/>
          <w:szCs w:val="24"/>
          <w:u w:val="single"/>
        </w:rPr>
        <w:t xml:space="preserve">                                 </w:t>
      </w:r>
    </w:p>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乙方（响应单位）∶</w:t>
      </w:r>
      <w:r>
        <w:rPr>
          <w:rFonts w:hint="eastAsia" w:ascii="宋体" w:hAnsi="宋体" w:eastAsia="宋体" w:cs="宋体"/>
          <w:color w:val="auto"/>
          <w:position w:val="0"/>
          <w:sz w:val="24"/>
          <w:szCs w:val="24"/>
          <w:u w:val="single"/>
        </w:rPr>
        <w:t xml:space="preserve">                                    </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依照《中华人民共和国合同法》、《中华人民共和国政府采购法》及其他有关法律、法规，遵循平等、自愿、公平和诚实信用的原则，双方就</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采购及有关事项协商一致，同意按照以下条款和条件，订立本合同。</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color w:val="auto"/>
          <w:position w:val="0"/>
          <w:sz w:val="24"/>
          <w:szCs w:val="24"/>
        </w:rPr>
        <w:t>一、</w:t>
      </w:r>
      <w:r>
        <w:rPr>
          <w:rFonts w:hint="eastAsia" w:ascii="宋体" w:hAnsi="宋体" w:eastAsia="宋体" w:cs="宋体"/>
          <w:b/>
          <w:color w:val="auto"/>
          <w:position w:val="0"/>
          <w:sz w:val="24"/>
          <w:szCs w:val="24"/>
        </w:rPr>
        <w:t>本合同由合同文本和下列文件组成</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（一）本合同条款;</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（二）中标（成交）通知书;</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（三）中标（成交）响应单位的响应文件;</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（四）中标（成交）响应单位在招标过程中做出的书面说明或承诺;</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（五）招标（采购）文件;</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（六）技术规格和要求;</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（七）本合同附件。</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二、委托内容</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u w:val="single"/>
        </w:rPr>
      </w:pPr>
      <w:r>
        <w:rPr>
          <w:rFonts w:hint="eastAsia" w:ascii="宋体" w:hAnsi="宋体" w:eastAsia="宋体" w:cs="宋体"/>
          <w:b/>
          <w:color w:val="auto"/>
          <w:position w:val="0"/>
          <w:sz w:val="24"/>
          <w:szCs w:val="24"/>
          <w:u w:val="single"/>
        </w:rPr>
        <w:t xml:space="preserve">                                                                              </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u w:val="single"/>
        </w:rPr>
      </w:pPr>
      <w:r>
        <w:rPr>
          <w:rFonts w:hint="eastAsia" w:ascii="宋体" w:hAnsi="宋体" w:eastAsia="宋体" w:cs="宋体"/>
          <w:b/>
          <w:color w:val="auto"/>
          <w:position w:val="0"/>
          <w:sz w:val="24"/>
          <w:szCs w:val="24"/>
          <w:u w:val="single"/>
        </w:rPr>
        <w:t xml:space="preserve">                                                                              </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三、委托期限</w:t>
      </w:r>
    </w:p>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u w:val="single"/>
        </w:rPr>
        <w:t xml:space="preserve">                                                                              </w:t>
      </w:r>
    </w:p>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r>
        <w:rPr>
          <w:rFonts w:hint="eastAsia" w:ascii="宋体" w:hAnsi="宋体" w:eastAsia="宋体" w:cs="宋体"/>
          <w:b/>
          <w:color w:val="auto"/>
          <w:position w:val="0"/>
          <w:sz w:val="24"/>
          <w:szCs w:val="24"/>
        </w:rPr>
        <w:t>四、合同金额</w:t>
      </w:r>
      <w:r>
        <w:rPr>
          <w:rFonts w:hint="eastAsia" w:ascii="宋体" w:hAnsi="宋体" w:eastAsia="宋体" w:cs="宋体"/>
          <w:color w:val="auto"/>
          <w:position w:val="0"/>
          <w:sz w:val="24"/>
          <w:szCs w:val="24"/>
        </w:rPr>
        <w:t xml:space="preserve"> </w:t>
      </w:r>
    </w:p>
    <w:tbl>
      <w:tblPr>
        <w:tblStyle w:val="16"/>
        <w:tblW w:w="9184"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296"/>
        <w:gridCol w:w="2296"/>
        <w:gridCol w:w="2296"/>
        <w:gridCol w:w="229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296" w:type="dxa"/>
            <w:tcBorders>
              <w:top w:val="single" w:color="000000" w:sz="4" w:space="0"/>
              <w:left w:val="single" w:color="000000" w:sz="4" w:space="0"/>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296" w:type="dxa"/>
            <w:tcBorders>
              <w:top w:val="single" w:color="000000" w:sz="4" w:space="0"/>
              <w:left w:val="single" w:color="000000" w:sz="4" w:space="0"/>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2296" w:type="dxa"/>
            <w:tcBorders>
              <w:top w:val="single" w:color="000000" w:sz="4" w:space="0"/>
              <w:left w:val="single" w:color="000000" w:sz="4" w:space="0"/>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c>
          <w:tcPr>
            <w:tcW w:w="2296" w:type="dxa"/>
            <w:tcBorders>
              <w:top w:val="single" w:color="000000" w:sz="4" w:space="0"/>
              <w:left w:val="nil"/>
              <w:bottom w:val="single" w:color="000000" w:sz="4" w:space="0"/>
              <w:right w:val="single" w:color="000000" w:sz="4" w:space="0"/>
            </w:tcBorders>
            <w:shd w:val="clear" w:color="000000" w:fill="auto"/>
            <w:noWrap w:val="0"/>
            <w:vAlign w:val="top"/>
          </w:tcPr>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tc>
      </w:tr>
    </w:tbl>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合同总金额为人民币∶</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w:t>
      </w:r>
    </w:p>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大</w:t>
      </w:r>
      <w:r>
        <w:rPr>
          <w:rFonts w:hint="eastAsia" w:ascii="宋体" w:hAnsi="宋体" w:eastAsia="宋体" w:cs="宋体"/>
          <w:color w:val="auto"/>
          <w:position w:val="0"/>
          <w:sz w:val="24"/>
          <w:szCs w:val="24"/>
          <w:lang w:val="en-US" w:eastAsia="zh-CN"/>
        </w:rPr>
        <w:t xml:space="preserve">              </w:t>
      </w:r>
      <w:r>
        <w:rPr>
          <w:rFonts w:hint="eastAsia" w:ascii="宋体" w:hAnsi="宋体" w:eastAsia="宋体" w:cs="宋体"/>
          <w:color w:val="auto"/>
          <w:position w:val="0"/>
          <w:sz w:val="24"/>
          <w:szCs w:val="24"/>
        </w:rPr>
        <w:t>写：</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五、费用支付</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（一）支付途径</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分为三种∶1、国库支付;2、甲方支付; 3、国库与甲方共同支付。</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rPr>
      </w:pPr>
      <w:r>
        <w:rPr>
          <w:rFonts w:hint="eastAsia" w:ascii="宋体" w:hAnsi="宋体" w:eastAsia="宋体" w:cs="宋体"/>
          <w:b/>
          <w:color w:val="auto"/>
          <w:position w:val="0"/>
          <w:sz w:val="24"/>
          <w:szCs w:val="24"/>
          <w:highlight w:val="none"/>
        </w:rPr>
        <w:t>本合同的支付途径采用第</w:t>
      </w:r>
      <w:r>
        <w:rPr>
          <w:rFonts w:hint="eastAsia" w:ascii="宋体" w:hAnsi="宋体" w:eastAsia="宋体" w:cs="宋体"/>
          <w:b/>
          <w:color w:val="auto"/>
          <w:position w:val="0"/>
          <w:sz w:val="24"/>
          <w:szCs w:val="24"/>
          <w:highlight w:val="none"/>
          <w:u w:val="single"/>
        </w:rPr>
        <w:t xml:space="preserve">   </w:t>
      </w:r>
      <w:r>
        <w:rPr>
          <w:rFonts w:hint="eastAsia" w:ascii="宋体" w:hAnsi="宋体" w:eastAsia="宋体" w:cs="宋体"/>
          <w:b/>
          <w:color w:val="auto"/>
          <w:position w:val="0"/>
          <w:sz w:val="24"/>
          <w:szCs w:val="24"/>
          <w:highlight w:val="none"/>
        </w:rPr>
        <w:t>种</w:t>
      </w:r>
      <w:r>
        <w:rPr>
          <w:rFonts w:hint="eastAsia" w:ascii="宋体" w:hAnsi="宋体" w:eastAsia="宋体" w:cs="宋体"/>
          <w:color w:val="auto"/>
          <w:position w:val="0"/>
          <w:sz w:val="24"/>
          <w:szCs w:val="24"/>
          <w:highlight w:val="none"/>
        </w:rPr>
        <w:t>，具体支付金额如下∶</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国库支付∶</w:t>
      </w:r>
      <w:r>
        <w:rPr>
          <w:rFonts w:hint="eastAsia" w:ascii="宋体" w:hAnsi="宋体" w:eastAsia="宋体" w:cs="宋体"/>
          <w:color w:val="auto"/>
          <w:position w:val="0"/>
          <w:sz w:val="24"/>
          <w:szCs w:val="24"/>
          <w:highlight w:val="none"/>
          <w:u w:val="single"/>
        </w:rPr>
        <w:t xml:space="preserve">                     </w:t>
      </w:r>
      <w:r>
        <w:rPr>
          <w:rFonts w:hint="eastAsia" w:ascii="宋体" w:hAnsi="宋体" w:eastAsia="宋体" w:cs="宋体"/>
          <w:color w:val="auto"/>
          <w:position w:val="0"/>
          <w:sz w:val="24"/>
          <w:szCs w:val="24"/>
          <w:highlight w:val="none"/>
        </w:rPr>
        <w:t>；</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甲方支付∶</w:t>
      </w:r>
      <w:r>
        <w:rPr>
          <w:rFonts w:hint="eastAsia" w:ascii="宋体" w:hAnsi="宋体" w:eastAsia="宋体" w:cs="宋体"/>
          <w:color w:val="auto"/>
          <w:position w:val="0"/>
          <w:sz w:val="24"/>
          <w:szCs w:val="24"/>
          <w:highlight w:val="none"/>
          <w:u w:val="single"/>
        </w:rPr>
        <w:t xml:space="preserve">                     </w:t>
      </w:r>
      <w:r>
        <w:rPr>
          <w:rFonts w:hint="eastAsia" w:ascii="宋体" w:hAnsi="宋体" w:eastAsia="宋体" w:cs="宋体"/>
          <w:color w:val="auto"/>
          <w:position w:val="0"/>
          <w:sz w:val="24"/>
          <w:szCs w:val="24"/>
          <w:highlight w:val="none"/>
        </w:rPr>
        <w:t>。</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 xml:space="preserve">    属国库支付的财政资金，在合同生效按照合同约定付款时，甲方应在规定的时间由提供质量验收单，并提出支付申请。</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（二）支付方式</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1、合同生效后，甲方支付合同总金额的__%作为预付款;货到后经乙方安装、调试并经联合验收合格，付至合同总金额的__%，余款作为质量保证金，_个月后无质量问题付清。</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 xml:space="preserve">2、合同生效后，经验收无质量问题，支付全部货款。 </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u w:val="single"/>
        </w:rPr>
      </w:pPr>
      <w:r>
        <w:rPr>
          <w:rFonts w:hint="eastAsia" w:ascii="宋体" w:hAnsi="宋体" w:eastAsia="宋体" w:cs="宋体"/>
          <w:color w:val="auto"/>
          <w:position w:val="0"/>
          <w:sz w:val="24"/>
          <w:szCs w:val="24"/>
          <w:highlight w:val="none"/>
        </w:rPr>
        <w:t>3、其他支付方式∶</w:t>
      </w:r>
      <w:r>
        <w:rPr>
          <w:rFonts w:hint="eastAsia" w:ascii="宋体" w:hAnsi="宋体" w:eastAsia="宋体" w:cs="宋体"/>
          <w:color w:val="auto"/>
          <w:position w:val="0"/>
          <w:sz w:val="24"/>
          <w:szCs w:val="24"/>
          <w:highlight w:val="none"/>
          <w:u w:val="single"/>
        </w:rPr>
        <w:t xml:space="preserve">                                     </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本合同采用的是第</w:t>
      </w:r>
      <w:r>
        <w:rPr>
          <w:rFonts w:hint="eastAsia" w:ascii="宋体" w:hAnsi="宋体" w:eastAsia="宋体" w:cs="宋体"/>
          <w:color w:val="auto"/>
          <w:position w:val="0"/>
          <w:sz w:val="24"/>
          <w:szCs w:val="24"/>
          <w:highlight w:val="none"/>
          <w:u w:val="single"/>
        </w:rPr>
        <w:t xml:space="preserve">   </w:t>
      </w:r>
      <w:r>
        <w:rPr>
          <w:rFonts w:hint="eastAsia" w:ascii="宋体" w:hAnsi="宋体" w:eastAsia="宋体" w:cs="宋体"/>
          <w:color w:val="auto"/>
          <w:position w:val="0"/>
          <w:sz w:val="24"/>
          <w:szCs w:val="24"/>
          <w:highlight w:val="none"/>
        </w:rPr>
        <w:t>种方式。</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highlight w:val="none"/>
        </w:rPr>
      </w:pPr>
      <w:r>
        <w:rPr>
          <w:rFonts w:hint="eastAsia" w:ascii="宋体" w:hAnsi="宋体" w:eastAsia="宋体" w:cs="宋体"/>
          <w:b/>
          <w:color w:val="auto"/>
          <w:position w:val="0"/>
          <w:sz w:val="24"/>
          <w:szCs w:val="24"/>
          <w:highlight w:val="none"/>
        </w:rPr>
        <w:t>六、合同生效</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本合同为附条件生效合同，除双方签字盖章，还应满足以下条件∶</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乙方应提交∶（一）履约保证金;</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本合同应提交</w:t>
      </w:r>
      <w:r>
        <w:rPr>
          <w:rFonts w:hint="eastAsia" w:ascii="宋体" w:hAnsi="宋体" w:eastAsia="宋体" w:cs="宋体"/>
          <w:color w:val="auto"/>
          <w:position w:val="0"/>
          <w:sz w:val="24"/>
          <w:szCs w:val="24"/>
          <w:u w:val="single"/>
        </w:rPr>
        <w:t xml:space="preserve">（一）        </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七、违约</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一）乙方在谈判过程中，所报材料必须真实，不得弄虚作假。如在项目实施过程中发现乙方在用人等方面实际情况与所谈判材料不符，甲方有权单方面解除与乙方的所有委托业务，且乙方应承担由此给甲方带来的一切损失。</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（二）乙方严禁将评估任务转包或私自分包，否则甲方将有权解除合同并扣除乙方质量保证金。</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（三）乙方受托过程中获取的材料、数据等资料只能用于受托的项目并严格保密，不得向甲方以外的第三方泄露，否则承担相关法律责任。</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（四）其他未尽事宜，以《中华人民共和国合同法》和其他有关法律、法规为准，无相关规定的，双方协商解决。</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八、不可抗力</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双方中任何一方因法定不可抗力不能及时或完全履行合同的，应及时通知另一方，双方互不承担责任，并在 10 日内提供相应证明。</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未履行完合同部分是否继续履行、如何履行等问题，可由双方协商解决。</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九、争议</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合同发生纠纷时，双方应协商解决，协商不成可依法向当地人民法院起诉。</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十、附加协议条款</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u w:val="single"/>
        </w:rPr>
      </w:pPr>
      <w:r>
        <w:rPr>
          <w:rFonts w:hint="eastAsia" w:ascii="宋体" w:hAnsi="宋体" w:eastAsia="宋体" w:cs="宋体"/>
          <w:b/>
          <w:color w:val="auto"/>
          <w:position w:val="0"/>
          <w:sz w:val="24"/>
          <w:szCs w:val="24"/>
          <w:u w:val="single"/>
        </w:rPr>
        <w:t xml:space="preserve">                                                                        </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十一、合同保存</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本合同于</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u w:val="single"/>
        </w:rPr>
        <w:t xml:space="preserve">      日签订，</w:t>
      </w:r>
      <w:r>
        <w:rPr>
          <w:rFonts w:hint="eastAsia" w:ascii="宋体" w:hAnsi="宋体" w:eastAsia="宋体" w:cs="宋体"/>
          <w:color w:val="auto"/>
          <w:position w:val="0"/>
          <w:sz w:val="24"/>
          <w:szCs w:val="24"/>
        </w:rPr>
        <w:t>自</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生效。</w:t>
      </w:r>
    </w:p>
    <w:p>
      <w:pPr>
        <w:numPr>
          <w:ilvl w:val="0"/>
          <w:numId w:val="0"/>
        </w:numPr>
        <w:wordWrap w:val="0"/>
        <w:autoSpaceDE w:val="0"/>
        <w:autoSpaceDN w:val="0"/>
        <w:spacing w:before="0" w:after="0" w:line="240" w:lineRule="auto"/>
        <w:ind w:right="0" w:firstLine="567"/>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本合同一式8 份，具有同等法律效力。</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甲方∶（公章）                                   乙方∶（公章）</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住所∶                                           住所∶</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法定代表人∶                               法定代表人∶</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委托代理人∶                               委托代理人∶</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电话∶                                           电话∶</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传真∶                                           传真∶</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开户银行：                                  开户银行∶</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账号∶                                           账号∶</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行号∶                                           行号∶</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邮政编码∶                                   邮政编码∶</w:t>
      </w: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p>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p>
      <w:pPr>
        <w:numPr>
          <w:ilvl w:val="0"/>
          <w:numId w:val="0"/>
        </w:numPr>
        <w:wordWrap w:val="0"/>
        <w:autoSpaceDE w:val="0"/>
        <w:autoSpaceDN w:val="0"/>
        <w:spacing w:before="0" w:after="0" w:line="240" w:lineRule="auto"/>
        <w:ind w:right="0" w:firstLine="0"/>
        <w:jc w:val="both"/>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（注：本合同文本仅供参考，具体合同条款以最终签订为准）</w:t>
      </w:r>
    </w:p>
    <w:p>
      <w:pPr>
        <w:numPr>
          <w:ilvl w:val="0"/>
          <w:numId w:val="0"/>
        </w:numPr>
        <w:wordWrap w:val="0"/>
        <w:autoSpaceDE w:val="0"/>
        <w:autoSpaceDN w:val="0"/>
        <w:spacing w:before="0" w:after="0" w:line="240" w:lineRule="auto"/>
        <w:ind w:right="0" w:firstLine="0"/>
        <w:jc w:val="both"/>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12" w:after="160" w:line="240" w:lineRule="auto"/>
        <w:ind w:right="0" w:firstLine="0"/>
        <w:jc w:val="left"/>
        <w:rPr>
          <w:rFonts w:hint="eastAsia" w:ascii="宋体" w:hAnsi="宋体" w:eastAsia="宋体" w:cs="宋体"/>
          <w:color w:val="auto"/>
          <w:position w:val="0"/>
          <w:sz w:val="28"/>
          <w:szCs w:val="28"/>
        </w:rPr>
      </w:pPr>
    </w:p>
    <w:p>
      <w:pPr>
        <w:pStyle w:val="5"/>
        <w:numPr>
          <w:ilvl w:val="0"/>
          <w:numId w:val="0"/>
        </w:numPr>
        <w:tabs>
          <w:tab w:val="left" w:pos="1807"/>
          <w:tab w:val="left" w:pos="2527"/>
        </w:tabs>
        <w:autoSpaceDE w:val="0"/>
        <w:autoSpaceDN w:val="0"/>
        <w:spacing w:before="49" w:after="160" w:line="240" w:lineRule="auto"/>
        <w:ind w:right="603" w:firstLine="0"/>
        <w:jc w:val="center"/>
        <w:outlineLvl w:val="1"/>
        <w:rPr>
          <w:rFonts w:hint="eastAsia" w:ascii="宋体" w:hAnsi="宋体" w:eastAsia="宋体" w:cs="宋体"/>
          <w:b/>
          <w:color w:val="auto"/>
          <w:position w:val="0"/>
          <w:sz w:val="28"/>
          <w:szCs w:val="28"/>
        </w:rPr>
      </w:pPr>
      <w:bookmarkStart w:id="15" w:name="第五部分__附__件"/>
      <w:bookmarkEnd w:id="15"/>
      <w:r>
        <w:rPr>
          <w:rFonts w:hint="eastAsia" w:ascii="宋体" w:hAnsi="宋体" w:eastAsia="宋体" w:cs="宋体"/>
          <w:b/>
          <w:color w:val="auto"/>
          <w:position w:val="0"/>
          <w:sz w:val="28"/>
          <w:szCs w:val="28"/>
        </w:rPr>
        <w:t>第五部分</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附</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件</w:t>
      </w:r>
    </w:p>
    <w:p>
      <w:pPr>
        <w:numPr>
          <w:ilvl w:val="0"/>
          <w:numId w:val="0"/>
        </w:numPr>
        <w:autoSpaceDE w:val="0"/>
        <w:autoSpaceDN w:val="0"/>
        <w:spacing w:before="161" w:after="160" w:line="240" w:lineRule="auto"/>
        <w:ind w:right="609" w:firstLine="0"/>
        <w:jc w:val="both"/>
        <w:rPr>
          <w:rFonts w:hint="eastAsia" w:ascii="宋体" w:hAnsi="宋体" w:eastAsia="宋体" w:cs="宋体"/>
          <w:color w:val="auto"/>
          <w:position w:val="0"/>
          <w:sz w:val="24"/>
          <w:szCs w:val="24"/>
        </w:rPr>
      </w:pPr>
      <w:bookmarkStart w:id="16" w:name="（响应文件制作格式，仅供参考）"/>
      <w:bookmarkEnd w:id="16"/>
    </w:p>
    <w:p>
      <w:pPr>
        <w:numPr>
          <w:ilvl w:val="0"/>
          <w:numId w:val="0"/>
        </w:numPr>
        <w:autoSpaceDE w:val="0"/>
        <w:autoSpaceDN w:val="0"/>
        <w:spacing w:before="161" w:after="160" w:line="240" w:lineRule="auto"/>
        <w:ind w:right="609" w:firstLine="0"/>
        <w:jc w:val="center"/>
        <w:rPr>
          <w:rFonts w:hint="eastAsia" w:ascii="宋体" w:hAnsi="宋体" w:eastAsia="宋体" w:cs="宋体"/>
          <w:b/>
          <w:bCs/>
          <w:color w:val="auto"/>
          <w:position w:val="0"/>
          <w:sz w:val="28"/>
          <w:szCs w:val="28"/>
        </w:rPr>
      </w:pPr>
      <w:r>
        <w:rPr>
          <w:rFonts w:hint="eastAsia" w:ascii="宋体" w:hAnsi="宋体" w:eastAsia="宋体" w:cs="宋体"/>
          <w:b/>
          <w:bCs/>
          <w:color w:val="auto"/>
          <w:position w:val="0"/>
          <w:sz w:val="28"/>
          <w:szCs w:val="28"/>
        </w:rPr>
        <w:t>（响应文件制作格式，仅供参考）</w:t>
      </w:r>
    </w:p>
    <w:p>
      <w:pPr>
        <w:numPr>
          <w:ilvl w:val="0"/>
          <w:numId w:val="0"/>
        </w:numPr>
        <w:autoSpaceDE w:val="0"/>
        <w:autoSpaceDN w:val="0"/>
        <w:spacing w:before="161" w:after="160" w:line="240" w:lineRule="auto"/>
        <w:ind w:right="609" w:firstLine="0"/>
        <w:jc w:val="both"/>
        <w:rPr>
          <w:rFonts w:hint="eastAsia" w:ascii="宋体" w:hAnsi="宋体" w:eastAsia="宋体" w:cs="宋体"/>
          <w:color w:val="auto"/>
          <w:position w:val="0"/>
          <w:sz w:val="24"/>
          <w:szCs w:val="24"/>
        </w:rPr>
        <w:sectPr>
          <w:pgSz w:w="11910" w:h="16840"/>
          <w:pgMar w:top="1580" w:right="1130" w:bottom="960" w:left="1200" w:header="0" w:footer="778" w:gutter="0"/>
          <w:pgNumType w:fmt="decimal"/>
          <w:cols w:space="720" w:num="1"/>
          <w:docGrid w:linePitch="360" w:charSpace="6144"/>
        </w:sect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6"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left="7178" w:right="0" w:firstLine="0"/>
        <w:jc w:val="left"/>
        <w:rPr>
          <w:rFonts w:hint="eastAsia" w:ascii="宋体" w:hAnsi="宋体" w:eastAsia="宋体" w:cs="宋体"/>
          <w:color w:val="auto"/>
          <w:position w:val="0"/>
          <w:sz w:val="24"/>
          <w:szCs w:val="24"/>
        </w:rPr>
      </w:pPr>
      <w:r>
        <w:rPr>
          <w:rFonts w:hint="eastAsia" w:ascii="宋体" w:hAnsi="宋体" w:eastAsia="宋体" w:cs="宋体"/>
          <w:sz w:val="24"/>
          <w:szCs w:val="24"/>
        </w:rPr>
        <mc:AlternateContent>
          <mc:Choice Requires="wps">
            <w:drawing>
              <wp:inline distT="0" distB="0" distL="114300" distR="114300">
                <wp:extent cx="1155700" cy="248285"/>
                <wp:effectExtent l="4445" t="4445" r="20955" b="13970"/>
                <wp:docPr id="105" name="文本框 105"/>
                <wp:cNvGraphicFramePr/>
                <a:graphic xmlns:a="http://schemas.openxmlformats.org/drawingml/2006/main">
                  <a:graphicData uri="http://schemas.microsoft.com/office/word/2010/wordprocessingShape">
                    <wps:wsp>
                      <wps:cNvSpPr txBox="1"/>
                      <wps:spPr>
                        <a:xfrm>
                          <a:off x="0" y="0"/>
                          <a:ext cx="1156335" cy="248920"/>
                        </a:xfrm>
                        <a:prstGeom prst="rect">
                          <a:avLst/>
                        </a:prstGeom>
                        <a:noFill/>
                        <a:ln w="6350" cap="flat" cmpd="sng">
                          <a:solidFill>
                            <a:prstClr val="black"/>
                          </a:solidFill>
                          <a:prstDash val="solid"/>
                          <a:miter lim="800000"/>
                          <a:headEnd type="none" w="med" len="med"/>
                          <a:tailEnd type="none" w="med" len="med"/>
                        </a:ln>
                        <a:effectLst/>
                      </wps:spPr>
                      <wps:txbx>
                        <w:txbxContent>
                          <w:p>
                            <w:pPr>
                              <w:numPr>
                                <w:ilvl w:val="0"/>
                                <w:numId w:val="0"/>
                              </w:numPr>
                              <w:autoSpaceDE w:val="0"/>
                              <w:autoSpaceDN w:val="0"/>
                              <w:spacing w:before="4" w:after="160" w:line="374" w:lineRule="exact"/>
                              <w:ind w:right="0" w:firstLine="0"/>
                              <w:jc w:val="left"/>
                              <w:rPr>
                                <w:rFonts w:hint="default" w:ascii="宋体" w:hAnsi="宋体" w:eastAsia="宋体"/>
                                <w:b/>
                                <w:color w:val="auto"/>
                                <w:position w:val="0"/>
                                <w:sz w:val="30"/>
                                <w:szCs w:val="30"/>
                              </w:rPr>
                            </w:pPr>
                            <w:r>
                              <w:rPr>
                                <w:rFonts w:hint="default" w:ascii="宋体" w:hAnsi="宋体" w:eastAsia="宋体"/>
                                <w:b/>
                                <w:color w:val="auto"/>
                                <w:spacing w:val="-3"/>
                                <w:position w:val="0"/>
                                <w:sz w:val="30"/>
                                <w:szCs w:val="30"/>
                              </w:rPr>
                              <w:t>正本(或副本)</w:t>
                            </w:r>
                          </w:p>
                        </w:txbxContent>
                      </wps:txbx>
                      <wps:bodyPr rot="0" spcFirstLastPara="0" vertOverflow="overflow" horzOverflow="overflow" vert="horz" wrap="square" lIns="0" tIns="0" rIns="0" bIns="0" numCol="1" spcCol="0" rtlCol="0" fromWordArt="0" anchor="ctr" anchorCtr="0" forceAA="0" upright="1" compatLnSpc="0"/>
                    </wps:wsp>
                  </a:graphicData>
                </a:graphic>
              </wp:inline>
            </w:drawing>
          </mc:Choice>
          <mc:Fallback>
            <w:pict>
              <v:shape id="_x0000_s1026" o:spid="_x0000_s1026" o:spt="202" type="#_x0000_t202" style="height:19.55pt;width:91pt;v-text-anchor:middle;" filled="f" stroked="t" coordsize="21600,21600" o:gfxdata="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VNATNUAAAAEAQAA&#10;DwAAAAAAAAABACAAAAAiAAAAZHJzL2Rvd25yZXYueG1sUEsBAhQAFAAAAAgAh07iQOohf8GOAgAA&#10;HgUAAA4AAAAAAAAAAQAgAAAAJAEAAGRycy9lMm9Eb2MueG1sUEsFBgAAAAAGAAYAWQEAACQGAAAA&#10;AA==&#10;">
                <v:fill on="f" focussize="0,0"/>
                <v:stroke weight="0.5pt" color="#000000" miterlimit="8" joinstyle="miter"/>
                <v:imagedata o:title=""/>
                <o:lock v:ext="edit" aspectratio="f"/>
                <v:textbox inset="0mm,0mm,0mm,0mm">
                  <w:txbxContent>
                    <w:p>
                      <w:pPr>
                        <w:numPr>
                          <w:ilvl w:val="0"/>
                          <w:numId w:val="0"/>
                        </w:numPr>
                        <w:autoSpaceDE w:val="0"/>
                        <w:autoSpaceDN w:val="0"/>
                        <w:spacing w:before="4" w:after="160" w:line="374" w:lineRule="exact"/>
                        <w:ind w:right="0" w:firstLine="0"/>
                        <w:jc w:val="left"/>
                        <w:rPr>
                          <w:rFonts w:hint="default" w:ascii="宋体" w:hAnsi="宋体" w:eastAsia="宋体"/>
                          <w:b/>
                          <w:color w:val="auto"/>
                          <w:position w:val="0"/>
                          <w:sz w:val="30"/>
                          <w:szCs w:val="30"/>
                        </w:rPr>
                      </w:pPr>
                      <w:r>
                        <w:rPr>
                          <w:rFonts w:hint="default" w:ascii="宋体" w:hAnsi="宋体" w:eastAsia="宋体"/>
                          <w:b/>
                          <w:color w:val="auto"/>
                          <w:spacing w:val="-3"/>
                          <w:position w:val="0"/>
                          <w:sz w:val="30"/>
                          <w:szCs w:val="30"/>
                        </w:rPr>
                        <w:t>正本(或副本)</w:t>
                      </w:r>
                    </w:p>
                  </w:txbxContent>
                </v:textbox>
                <w10:wrap type="none"/>
                <w10:anchorlock/>
              </v:shape>
            </w:pict>
          </mc:Fallback>
        </mc:AlternateContent>
      </w:r>
    </w:p>
    <w:p>
      <w:pPr>
        <w:pStyle w:val="10"/>
        <w:numPr>
          <w:ilvl w:val="0"/>
          <w:numId w:val="0"/>
        </w:numPr>
        <w:autoSpaceDE w:val="0"/>
        <w:autoSpaceDN w:val="0"/>
        <w:spacing w:before="8"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8"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5" w:after="160" w:line="240" w:lineRule="auto"/>
        <w:ind w:right="0"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lang w:val="en-US" w:eastAsia="zh-CN"/>
        </w:rPr>
        <w:t>哈密市巴里坤县人民医院医技楼建设项目(检验科 放射科装修工程)</w:t>
      </w:r>
    </w:p>
    <w:p>
      <w:pPr>
        <w:numPr>
          <w:ilvl w:val="0"/>
          <w:numId w:val="0"/>
        </w:numPr>
        <w:tabs>
          <w:tab w:val="left" w:pos="883"/>
        </w:tabs>
        <w:autoSpaceDE w:val="0"/>
        <w:autoSpaceDN w:val="0"/>
        <w:spacing w:before="1" w:after="160" w:line="240" w:lineRule="auto"/>
        <w:ind w:right="603"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响应文件</w:t>
      </w: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10" w:after="160" w:line="240" w:lineRule="auto"/>
        <w:ind w:right="0" w:firstLine="0"/>
        <w:jc w:val="left"/>
        <w:rPr>
          <w:rFonts w:hint="eastAsia" w:ascii="宋体" w:hAnsi="宋体" w:eastAsia="宋体" w:cs="宋体"/>
          <w:b/>
          <w:color w:val="auto"/>
          <w:position w:val="0"/>
          <w:sz w:val="24"/>
          <w:szCs w:val="24"/>
        </w:rPr>
      </w:pPr>
    </w:p>
    <w:p>
      <w:pPr>
        <w:numPr>
          <w:ilvl w:val="0"/>
          <w:numId w:val="0"/>
        </w:numPr>
        <w:autoSpaceDE w:val="0"/>
        <w:autoSpaceDN w:val="0"/>
        <w:spacing w:before="58" w:after="160" w:line="240" w:lineRule="auto"/>
        <w:ind w:left="273" w:right="0" w:firstLine="0"/>
        <w:jc w:val="left"/>
        <w:rPr>
          <w:rFonts w:hint="default" w:ascii="宋体" w:hAnsi="宋体" w:eastAsia="宋体" w:cs="宋体"/>
          <w:color w:val="auto"/>
          <w:position w:val="0"/>
          <w:sz w:val="24"/>
          <w:szCs w:val="24"/>
          <w:u w:val="single"/>
          <w:lang w:val="en-US" w:eastAsia="zh-CN"/>
        </w:rPr>
      </w:pPr>
      <w:r>
        <w:rPr>
          <w:rFonts w:hint="eastAsia" w:ascii="宋体" w:hAnsi="宋体" w:eastAsia="宋体" w:cs="宋体"/>
          <w:color w:val="auto"/>
          <w:position w:val="0"/>
          <w:sz w:val="24"/>
          <w:szCs w:val="24"/>
        </w:rPr>
        <w:t>项目编号：</w:t>
      </w:r>
      <w:r>
        <w:rPr>
          <w:rFonts w:hint="eastAsia" w:ascii="宋体" w:hAnsi="宋体" w:eastAsia="宋体" w:cs="宋体"/>
          <w:color w:val="auto"/>
          <w:position w:val="0"/>
          <w:sz w:val="24"/>
          <w:szCs w:val="24"/>
          <w:u w:val="single"/>
          <w:lang w:val="en-US" w:eastAsia="zh-CN"/>
        </w:rPr>
        <w:t xml:space="preserve">                    </w:t>
      </w:r>
    </w:p>
    <w:p>
      <w:pPr>
        <w:numPr>
          <w:ilvl w:val="0"/>
          <w:numId w:val="0"/>
        </w:numPr>
        <w:tabs>
          <w:tab w:val="left" w:pos="2224"/>
        </w:tabs>
        <w:autoSpaceDE w:val="0"/>
        <w:autoSpaceDN w:val="0"/>
        <w:spacing w:before="199" w:after="160" w:line="364" w:lineRule="auto"/>
        <w:ind w:left="273" w:right="5259" w:firstLine="0"/>
        <w:jc w:val="left"/>
        <w:rPr>
          <w:rFonts w:hint="eastAsia" w:ascii="宋体" w:hAnsi="宋体" w:eastAsia="宋体" w:cs="宋体"/>
          <w:color w:val="auto"/>
          <w:spacing w:val="-17"/>
          <w:position w:val="0"/>
          <w:sz w:val="24"/>
          <w:szCs w:val="24"/>
          <w:u w:val="single"/>
        </w:rPr>
      </w:pPr>
      <w:r>
        <w:rPr>
          <w:rFonts w:hint="eastAsia" w:ascii="宋体" w:hAnsi="宋体" w:eastAsia="宋体" w:cs="宋体"/>
          <w:color w:val="auto"/>
          <w:position w:val="0"/>
          <w:sz w:val="24"/>
          <w:szCs w:val="24"/>
        </w:rPr>
        <w:t>投标单位：</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（全称）（</w:t>
      </w:r>
      <w:r>
        <w:rPr>
          <w:rFonts w:hint="eastAsia" w:ascii="宋体" w:hAnsi="宋体" w:eastAsia="宋体" w:cs="宋体"/>
          <w:color w:val="auto"/>
          <w:position w:val="0"/>
          <w:sz w:val="24"/>
          <w:szCs w:val="24"/>
          <w:u w:val="single"/>
          <w:lang w:eastAsia="zh-CN"/>
        </w:rPr>
        <w:t>公</w:t>
      </w:r>
      <w:r>
        <w:rPr>
          <w:rFonts w:hint="eastAsia" w:ascii="宋体" w:hAnsi="宋体" w:eastAsia="宋体" w:cs="宋体"/>
          <w:color w:val="auto"/>
          <w:position w:val="0"/>
          <w:sz w:val="24"/>
          <w:szCs w:val="24"/>
          <w:u w:val="single"/>
        </w:rPr>
        <w:t>章</w:t>
      </w:r>
      <w:r>
        <w:rPr>
          <w:rFonts w:hint="eastAsia" w:ascii="宋体" w:hAnsi="宋体" w:eastAsia="宋体" w:cs="宋体"/>
          <w:color w:val="auto"/>
          <w:spacing w:val="-17"/>
          <w:position w:val="0"/>
          <w:sz w:val="24"/>
          <w:szCs w:val="24"/>
          <w:u w:val="single"/>
        </w:rPr>
        <w:t>）</w:t>
      </w:r>
    </w:p>
    <w:p>
      <w:pPr>
        <w:numPr>
          <w:ilvl w:val="0"/>
          <w:numId w:val="0"/>
        </w:numPr>
        <w:tabs>
          <w:tab w:val="left" w:pos="2224"/>
        </w:tabs>
        <w:autoSpaceDE w:val="0"/>
        <w:autoSpaceDN w:val="0"/>
        <w:spacing w:before="199" w:after="160" w:line="364" w:lineRule="auto"/>
        <w:ind w:left="273" w:right="5259" w:firstLine="0"/>
        <w:jc w:val="left"/>
        <w:rPr>
          <w:rFonts w:hint="default" w:ascii="宋体" w:hAnsi="宋体" w:eastAsia="宋体" w:cs="宋体"/>
          <w:color w:val="auto"/>
          <w:position w:val="0"/>
          <w:sz w:val="24"/>
          <w:szCs w:val="24"/>
          <w:u w:val="single"/>
          <w:lang w:val="en-US" w:eastAsia="zh-CN"/>
        </w:rPr>
      </w:pPr>
      <w:r>
        <w:rPr>
          <w:rFonts w:hint="eastAsia" w:ascii="宋体" w:hAnsi="宋体" w:eastAsia="宋体" w:cs="宋体"/>
          <w:color w:val="auto"/>
          <w:position w:val="0"/>
          <w:sz w:val="24"/>
          <w:szCs w:val="24"/>
        </w:rPr>
        <w:t>单位地址：</w:t>
      </w:r>
      <w:r>
        <w:rPr>
          <w:rFonts w:hint="eastAsia" w:ascii="宋体" w:hAnsi="宋体" w:eastAsia="宋体" w:cs="宋体"/>
          <w:color w:val="auto"/>
          <w:position w:val="0"/>
          <w:sz w:val="24"/>
          <w:szCs w:val="24"/>
          <w:u w:val="single"/>
          <w:lang w:val="en-US" w:eastAsia="zh-CN"/>
        </w:rPr>
        <w:t xml:space="preserve">                    </w:t>
      </w:r>
    </w:p>
    <w:p>
      <w:pPr>
        <w:numPr>
          <w:ilvl w:val="0"/>
          <w:numId w:val="0"/>
        </w:numPr>
        <w:autoSpaceDE w:val="0"/>
        <w:autoSpaceDN w:val="0"/>
        <w:spacing w:before="0" w:after="160" w:line="364" w:lineRule="auto"/>
        <w:ind w:left="273" w:right="481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投标单位法人代表或授权代表签字：</w:t>
      </w:r>
    </w:p>
    <w:p>
      <w:pPr>
        <w:numPr>
          <w:ilvl w:val="0"/>
          <w:numId w:val="0"/>
        </w:numPr>
        <w:autoSpaceDE w:val="0"/>
        <w:autoSpaceDN w:val="0"/>
        <w:spacing w:before="0" w:after="160" w:line="364" w:lineRule="auto"/>
        <w:ind w:left="273" w:right="4810" w:firstLine="0"/>
        <w:jc w:val="left"/>
        <w:rPr>
          <w:rFonts w:hint="default" w:ascii="宋体" w:hAnsi="宋体" w:eastAsia="宋体" w:cs="宋体"/>
          <w:color w:val="auto"/>
          <w:position w:val="0"/>
          <w:sz w:val="24"/>
          <w:szCs w:val="24"/>
          <w:u w:val="single"/>
          <w:lang w:val="en-US" w:eastAsia="zh-CN"/>
        </w:rPr>
      </w:pPr>
      <w:r>
        <w:rPr>
          <w:rFonts w:hint="eastAsia" w:ascii="宋体" w:hAnsi="宋体" w:eastAsia="宋体" w:cs="宋体"/>
          <w:color w:val="auto"/>
          <w:position w:val="0"/>
          <w:sz w:val="24"/>
          <w:szCs w:val="24"/>
        </w:rPr>
        <w:t>联系人及联系电话：</w:t>
      </w:r>
      <w:r>
        <w:rPr>
          <w:rFonts w:hint="eastAsia" w:ascii="宋体" w:hAnsi="宋体" w:eastAsia="宋体" w:cs="宋体"/>
          <w:color w:val="auto"/>
          <w:position w:val="0"/>
          <w:sz w:val="24"/>
          <w:szCs w:val="24"/>
          <w:u w:val="single"/>
          <w:lang w:val="en-US" w:eastAsia="zh-CN"/>
        </w:rPr>
        <w:t xml:space="preserve">             </w:t>
      </w:r>
    </w:p>
    <w:p>
      <w:pPr>
        <w:numPr>
          <w:ilvl w:val="0"/>
          <w:numId w:val="0"/>
        </w:numPr>
        <w:tabs>
          <w:tab w:val="left" w:pos="6904"/>
          <w:tab w:val="left" w:pos="7653"/>
        </w:tabs>
        <w:autoSpaceDE w:val="0"/>
        <w:autoSpaceDN w:val="0"/>
        <w:spacing w:before="0" w:after="160" w:line="240" w:lineRule="auto"/>
        <w:ind w:left="6304"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日</w:t>
      </w:r>
    </w:p>
    <w:p>
      <w:pPr>
        <w:numPr>
          <w:ilvl w:val="0"/>
          <w:numId w:val="0"/>
        </w:numPr>
        <w:tabs>
          <w:tab w:val="left" w:pos="6904"/>
          <w:tab w:val="left" w:pos="7653"/>
        </w:tabs>
        <w:autoSpaceDE w:val="0"/>
        <w:autoSpaceDN w:val="0"/>
        <w:spacing w:before="0" w:after="160" w:line="240" w:lineRule="auto"/>
        <w:ind w:left="6304" w:right="0" w:firstLine="0"/>
        <w:jc w:val="left"/>
        <w:rPr>
          <w:rFonts w:hint="eastAsia" w:ascii="宋体" w:hAnsi="宋体" w:eastAsia="宋体" w:cs="宋体"/>
          <w:color w:val="auto"/>
          <w:position w:val="0"/>
          <w:sz w:val="24"/>
          <w:szCs w:val="24"/>
        </w:rPr>
        <w:sectPr>
          <w:footerReference r:id="rId6" w:type="default"/>
          <w:pgSz w:w="11910" w:h="16840"/>
          <w:pgMar w:top="1580" w:right="820" w:bottom="960" w:left="1200" w:header="0" w:footer="778" w:gutter="0"/>
          <w:pgNumType w:fmt="decimal"/>
          <w:cols w:space="720" w:num="1"/>
          <w:docGrid w:linePitch="360" w:charSpace="6144"/>
        </w:sectPr>
      </w:pPr>
    </w:p>
    <w:p>
      <w:pPr>
        <w:pStyle w:val="10"/>
        <w:numPr>
          <w:ilvl w:val="0"/>
          <w:numId w:val="0"/>
        </w:numPr>
        <w:autoSpaceDE w:val="0"/>
        <w:autoSpaceDN w:val="0"/>
        <w:spacing w:before="3" w:after="160" w:line="240" w:lineRule="auto"/>
        <w:ind w:right="0" w:firstLine="0"/>
        <w:jc w:val="left"/>
        <w:rPr>
          <w:rFonts w:hint="eastAsia" w:ascii="宋体" w:hAnsi="宋体" w:eastAsia="宋体" w:cs="宋体"/>
          <w:color w:val="auto"/>
          <w:position w:val="0"/>
          <w:sz w:val="28"/>
          <w:szCs w:val="28"/>
        </w:rPr>
      </w:pPr>
    </w:p>
    <w:p>
      <w:pPr>
        <w:numPr>
          <w:ilvl w:val="0"/>
          <w:numId w:val="0"/>
        </w:numPr>
        <w:tabs>
          <w:tab w:val="left" w:pos="902"/>
        </w:tabs>
        <w:autoSpaceDE w:val="0"/>
        <w:autoSpaceDN w:val="0"/>
        <w:spacing w:before="50" w:after="160" w:line="240" w:lineRule="auto"/>
        <w:ind w:right="207"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目</w:t>
      </w:r>
      <w:r>
        <w:rPr>
          <w:rFonts w:hint="eastAsia" w:ascii="宋体" w:hAnsi="宋体" w:eastAsia="宋体" w:cs="宋体"/>
          <w:b/>
          <w:color w:val="auto"/>
          <w:position w:val="0"/>
          <w:sz w:val="28"/>
          <w:szCs w:val="28"/>
        </w:rPr>
        <w:tab/>
      </w:r>
      <w:r>
        <w:rPr>
          <w:rFonts w:hint="eastAsia" w:ascii="宋体" w:hAnsi="宋体" w:eastAsia="宋体" w:cs="宋体"/>
          <w:b/>
          <w:color w:val="auto"/>
          <w:position w:val="0"/>
          <w:sz w:val="28"/>
          <w:szCs w:val="28"/>
        </w:rPr>
        <w:t>录</w:t>
      </w:r>
    </w:p>
    <w:p>
      <w:pPr>
        <w:pStyle w:val="10"/>
        <w:numPr>
          <w:ilvl w:val="0"/>
          <w:numId w:val="0"/>
        </w:numPr>
        <w:autoSpaceDE w:val="0"/>
        <w:autoSpaceDN w:val="0"/>
        <w:spacing w:before="5"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left="868" w:right="469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投标文件包括（但不仅限于）下列内容：</w:t>
      </w:r>
    </w:p>
    <w:p>
      <w:pPr>
        <w:pStyle w:val="19"/>
        <w:numPr>
          <w:ilvl w:val="1"/>
          <w:numId w:val="24"/>
        </w:numPr>
        <w:tabs>
          <w:tab w:val="left" w:pos="1470"/>
        </w:tabs>
        <w:autoSpaceDE w:val="0"/>
        <w:autoSpaceDN w:val="0"/>
        <w:bidi w:val="0"/>
        <w:spacing w:before="50" w:after="160" w:line="240" w:lineRule="auto"/>
        <w:ind w:left="1469"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投标函；</w:t>
      </w:r>
    </w:p>
    <w:p>
      <w:pPr>
        <w:pStyle w:val="19"/>
        <w:numPr>
          <w:ilvl w:val="1"/>
          <w:numId w:val="24"/>
        </w:numPr>
        <w:tabs>
          <w:tab w:val="left" w:pos="1470"/>
        </w:tabs>
        <w:autoSpaceDE w:val="0"/>
        <w:autoSpaceDN w:val="0"/>
        <w:bidi w:val="0"/>
        <w:spacing w:before="191" w:after="160" w:line="240" w:lineRule="auto"/>
        <w:ind w:left="388" w:right="597"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5"/>
          <w:position w:val="0"/>
          <w:sz w:val="24"/>
          <w:szCs w:val="24"/>
        </w:rPr>
        <w:t>法定代表人</w:t>
      </w:r>
      <w:r>
        <w:rPr>
          <w:rFonts w:hint="eastAsia" w:ascii="宋体" w:hAnsi="宋体" w:eastAsia="宋体" w:cs="宋体"/>
          <w:color w:val="auto"/>
          <w:position w:val="0"/>
          <w:sz w:val="24"/>
          <w:szCs w:val="24"/>
        </w:rPr>
        <w:t>（或分支机构负责人</w:t>
      </w:r>
      <w:r>
        <w:rPr>
          <w:rFonts w:hint="eastAsia" w:ascii="宋体" w:hAnsi="宋体" w:eastAsia="宋体" w:cs="宋体"/>
          <w:color w:val="auto"/>
          <w:spacing w:val="-27"/>
          <w:position w:val="0"/>
          <w:sz w:val="24"/>
          <w:szCs w:val="24"/>
        </w:rPr>
        <w:t>）</w:t>
      </w:r>
      <w:r>
        <w:rPr>
          <w:rFonts w:hint="eastAsia" w:ascii="宋体" w:hAnsi="宋体" w:eastAsia="宋体" w:cs="宋体"/>
          <w:color w:val="auto"/>
          <w:spacing w:val="-3"/>
          <w:position w:val="0"/>
          <w:sz w:val="24"/>
          <w:szCs w:val="24"/>
        </w:rPr>
        <w:t>身份证明及法定代表人</w:t>
      </w:r>
      <w:r>
        <w:rPr>
          <w:rFonts w:hint="eastAsia" w:ascii="宋体" w:hAnsi="宋体" w:eastAsia="宋体" w:cs="宋体"/>
          <w:color w:val="auto"/>
          <w:position w:val="0"/>
          <w:sz w:val="24"/>
          <w:szCs w:val="24"/>
        </w:rPr>
        <w:t>（或分支机构负</w:t>
      </w:r>
      <w:r>
        <w:rPr>
          <w:rFonts w:hint="eastAsia" w:ascii="宋体" w:hAnsi="宋体" w:eastAsia="宋体" w:cs="宋体"/>
          <w:color w:val="auto"/>
          <w:spacing w:val="-9"/>
          <w:position w:val="0"/>
          <w:sz w:val="24"/>
          <w:szCs w:val="24"/>
        </w:rPr>
        <w:t>责人</w:t>
      </w:r>
      <w:r>
        <w:rPr>
          <w:rFonts w:hint="eastAsia" w:ascii="宋体" w:hAnsi="宋体" w:eastAsia="宋体" w:cs="宋体"/>
          <w:color w:val="auto"/>
          <w:position w:val="0"/>
          <w:sz w:val="24"/>
          <w:szCs w:val="24"/>
        </w:rPr>
        <w:t>）授权委托书；</w:t>
      </w:r>
    </w:p>
    <w:p>
      <w:pPr>
        <w:pStyle w:val="19"/>
        <w:numPr>
          <w:ilvl w:val="1"/>
          <w:numId w:val="24"/>
        </w:numPr>
        <w:tabs>
          <w:tab w:val="left" w:pos="1470"/>
        </w:tabs>
        <w:autoSpaceDE w:val="0"/>
        <w:autoSpaceDN w:val="0"/>
        <w:bidi w:val="0"/>
        <w:spacing w:before="5" w:after="160" w:line="240" w:lineRule="auto"/>
        <w:ind w:left="1469"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开标一览表；</w:t>
      </w:r>
    </w:p>
    <w:p>
      <w:pPr>
        <w:pStyle w:val="19"/>
        <w:numPr>
          <w:ilvl w:val="1"/>
          <w:numId w:val="24"/>
        </w:numPr>
        <w:tabs>
          <w:tab w:val="left" w:pos="1470"/>
        </w:tabs>
        <w:autoSpaceDE w:val="0"/>
        <w:autoSpaceDN w:val="0"/>
        <w:bidi w:val="0"/>
        <w:spacing w:before="192" w:after="160" w:line="240" w:lineRule="auto"/>
        <w:ind w:left="1469"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磋商保证金提交证明；</w:t>
      </w:r>
    </w:p>
    <w:p>
      <w:pPr>
        <w:pStyle w:val="19"/>
        <w:numPr>
          <w:ilvl w:val="1"/>
          <w:numId w:val="24"/>
        </w:numPr>
        <w:tabs>
          <w:tab w:val="left" w:pos="1470"/>
        </w:tabs>
        <w:autoSpaceDE w:val="0"/>
        <w:autoSpaceDN w:val="0"/>
        <w:bidi w:val="0"/>
        <w:spacing w:before="191" w:after="160" w:line="240" w:lineRule="auto"/>
        <w:ind w:left="1469" w:right="0" w:hanging="60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投标供应商资格证明文件，包括：</w:t>
      </w:r>
    </w:p>
    <w:p>
      <w:pPr>
        <w:pStyle w:val="10"/>
        <w:numPr>
          <w:ilvl w:val="0"/>
          <w:numId w:val="0"/>
        </w:numPr>
        <w:autoSpaceDE w:val="0"/>
        <w:autoSpaceDN w:val="0"/>
        <w:spacing w:before="194" w:after="160" w:line="240" w:lineRule="auto"/>
        <w:ind w:left="11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①关于资格的声明函；</w:t>
      </w:r>
    </w:p>
    <w:p>
      <w:pPr>
        <w:pStyle w:val="10"/>
        <w:numPr>
          <w:ilvl w:val="0"/>
          <w:numId w:val="0"/>
        </w:numPr>
        <w:autoSpaceDE w:val="0"/>
        <w:autoSpaceDN w:val="0"/>
        <w:spacing w:before="192" w:after="160" w:line="240" w:lineRule="auto"/>
        <w:ind w:left="11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②投标人基本情况表；</w:t>
      </w:r>
    </w:p>
    <w:p>
      <w:pPr>
        <w:pStyle w:val="10"/>
        <w:numPr>
          <w:ilvl w:val="0"/>
          <w:numId w:val="0"/>
        </w:numPr>
        <w:autoSpaceDE w:val="0"/>
        <w:autoSpaceDN w:val="0"/>
        <w:spacing w:before="194" w:after="160" w:line="240" w:lineRule="auto"/>
        <w:ind w:left="11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④信用查询记录；</w:t>
      </w:r>
    </w:p>
    <w:p>
      <w:pPr>
        <w:pStyle w:val="10"/>
        <w:numPr>
          <w:ilvl w:val="0"/>
          <w:numId w:val="0"/>
        </w:numPr>
        <w:autoSpaceDE w:val="0"/>
        <w:autoSpaceDN w:val="0"/>
        <w:spacing w:before="192" w:after="160" w:line="240" w:lineRule="auto"/>
        <w:ind w:left="11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⑤近三年内已完成的类似项目业绩；</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(6)服务承诺书；</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(7)偏离表；</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(8)其他有利于投标人的资料（如有）；</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(9)投标单位反商业贿赂承诺书。</w:t>
      </w:r>
    </w:p>
    <w:p>
      <w:pPr>
        <w:pStyle w:val="10"/>
        <w:numPr>
          <w:ilvl w:val="0"/>
          <w:numId w:val="0"/>
        </w:numPr>
        <w:autoSpaceDE w:val="0"/>
        <w:autoSpaceDN w:val="0"/>
        <w:spacing w:before="132" w:after="160" w:line="240" w:lineRule="auto"/>
        <w:ind w:left="752" w:right="0" w:firstLine="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(10)服务方案。</w:t>
      </w:r>
    </w:p>
    <w:p>
      <w:pPr>
        <w:pStyle w:val="8"/>
        <w:numPr>
          <w:ilvl w:val="0"/>
          <w:numId w:val="0"/>
        </w:numPr>
        <w:autoSpaceDE w:val="0"/>
        <w:autoSpaceDN w:val="0"/>
        <w:spacing w:before="103" w:after="160" w:line="240" w:lineRule="auto"/>
        <w:ind w:right="0" w:firstLine="0"/>
        <w:jc w:val="left"/>
        <w:outlineLvl w:val="4"/>
        <w:rPr>
          <w:rFonts w:hint="eastAsia" w:ascii="宋体" w:hAnsi="宋体" w:eastAsia="宋体" w:cs="宋体"/>
          <w:b/>
          <w:color w:val="auto"/>
          <w:position w:val="0"/>
          <w:sz w:val="24"/>
          <w:szCs w:val="24"/>
        </w:rPr>
        <w:sectPr>
          <w:footerReference r:id="rId7" w:type="default"/>
          <w:pgSz w:w="11910" w:h="16840"/>
          <w:pgMar w:top="1580" w:right="820" w:bottom="1160" w:left="1200" w:header="0" w:footer="975" w:gutter="0"/>
          <w:pgNumType w:fmt="decimal"/>
          <w:cols w:space="720" w:num="1"/>
          <w:docGrid w:linePitch="360" w:charSpace="6144"/>
        </w:sectPr>
      </w:pPr>
      <w:r>
        <w:rPr>
          <w:rFonts w:hint="eastAsia" w:ascii="宋体" w:hAnsi="宋体" w:eastAsia="宋体" w:cs="宋体"/>
          <w:b/>
          <w:color w:val="auto"/>
          <w:position w:val="0"/>
          <w:sz w:val="24"/>
          <w:szCs w:val="24"/>
        </w:rPr>
        <w:t>注：响应文件的内容包括但不仅限于上述内容，如有不足请自行补充</w:t>
      </w:r>
    </w:p>
    <w:p>
      <w:pPr>
        <w:numPr>
          <w:ilvl w:val="0"/>
          <w:numId w:val="0"/>
        </w:numPr>
        <w:autoSpaceDE w:val="0"/>
        <w:autoSpaceDN w:val="0"/>
        <w:spacing w:before="222" w:after="160" w:line="240" w:lineRule="auto"/>
        <w:ind w:right="207" w:firstLine="3614"/>
        <w:jc w:val="both"/>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（一）投标函</w:t>
      </w:r>
    </w:p>
    <w:p>
      <w:pPr>
        <w:pStyle w:val="10"/>
        <w:numPr>
          <w:ilvl w:val="0"/>
          <w:numId w:val="0"/>
        </w:numPr>
        <w:autoSpaceDE w:val="0"/>
        <w:autoSpaceDN w:val="0"/>
        <w:spacing w:before="0" w:after="160"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致：</w:t>
      </w:r>
      <w:r>
        <w:rPr>
          <w:rFonts w:hint="eastAsia" w:ascii="宋体" w:hAnsi="宋体" w:eastAsia="宋体" w:cs="宋体"/>
          <w:color w:val="auto"/>
          <w:position w:val="0"/>
          <w:sz w:val="24"/>
          <w:szCs w:val="24"/>
          <w:u w:val="single"/>
        </w:rPr>
        <w:t>（采购人名称）</w:t>
      </w:r>
    </w:p>
    <w:p>
      <w:pPr>
        <w:pStyle w:val="10"/>
        <w:numPr>
          <w:ilvl w:val="0"/>
          <w:numId w:val="0"/>
        </w:numPr>
        <w:autoSpaceDE w:val="0"/>
        <w:autoSpaceDN w:val="0"/>
        <w:spacing w:before="98" w:after="160" w:line="240" w:lineRule="auto"/>
        <w:ind w:left="388" w:right="596" w:firstLine="554"/>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根据贵方为</w:t>
      </w:r>
      <w:r>
        <w:rPr>
          <w:rFonts w:hint="eastAsia" w:ascii="宋体" w:hAnsi="宋体" w:eastAsia="宋体" w:cs="宋体"/>
          <w:color w:val="auto"/>
          <w:position w:val="0"/>
          <w:sz w:val="24"/>
          <w:szCs w:val="24"/>
          <w:u w:val="single"/>
        </w:rPr>
        <w:t>（项目名称）</w:t>
      </w:r>
      <w:r>
        <w:rPr>
          <w:rFonts w:hint="eastAsia" w:ascii="宋体" w:hAnsi="宋体" w:eastAsia="宋体" w:cs="宋体"/>
          <w:color w:val="auto"/>
          <w:position w:val="0"/>
          <w:sz w:val="24"/>
          <w:szCs w:val="24"/>
        </w:rPr>
        <w:t>项目的竞争性磋商文件</w:t>
      </w:r>
      <w:r>
        <w:rPr>
          <w:rFonts w:hint="eastAsia" w:ascii="宋体" w:hAnsi="宋体" w:eastAsia="宋体" w:cs="宋体"/>
          <w:color w:val="auto"/>
          <w:position w:val="0"/>
          <w:sz w:val="24"/>
          <w:szCs w:val="24"/>
          <w:u w:val="single"/>
        </w:rPr>
        <w:t>（项目编号）</w:t>
      </w:r>
      <w:r>
        <w:rPr>
          <w:rFonts w:hint="eastAsia" w:ascii="宋体" w:hAnsi="宋体" w:eastAsia="宋体" w:cs="宋体"/>
          <w:color w:val="auto"/>
          <w:position w:val="0"/>
          <w:sz w:val="24"/>
          <w:szCs w:val="24"/>
        </w:rPr>
        <w:t>，签字代表</w:t>
      </w:r>
      <w:r>
        <w:rPr>
          <w:rFonts w:hint="eastAsia" w:ascii="宋体" w:hAnsi="宋体" w:eastAsia="宋体" w:cs="宋体"/>
          <w:color w:val="auto"/>
          <w:position w:val="0"/>
          <w:sz w:val="24"/>
          <w:szCs w:val="24"/>
          <w:u w:val="single"/>
        </w:rPr>
        <w:t>（姓名、职务）</w:t>
      </w:r>
      <w:r>
        <w:rPr>
          <w:rFonts w:hint="eastAsia" w:ascii="宋体" w:hAnsi="宋体" w:eastAsia="宋体" w:cs="宋体"/>
          <w:color w:val="auto"/>
          <w:position w:val="0"/>
          <w:sz w:val="24"/>
          <w:szCs w:val="24"/>
        </w:rPr>
        <w:t>经正式授权并代表投标人</w:t>
      </w:r>
      <w:r>
        <w:rPr>
          <w:rFonts w:hint="eastAsia" w:ascii="宋体" w:hAnsi="宋体" w:eastAsia="宋体" w:cs="宋体"/>
          <w:color w:val="auto"/>
          <w:position w:val="0"/>
          <w:sz w:val="24"/>
          <w:szCs w:val="24"/>
          <w:u w:val="single"/>
        </w:rPr>
        <w:t>（投标人名称、地址）</w:t>
      </w:r>
      <w:r>
        <w:rPr>
          <w:rFonts w:hint="eastAsia" w:ascii="宋体" w:hAnsi="宋体" w:eastAsia="宋体" w:cs="宋体"/>
          <w:color w:val="auto"/>
          <w:spacing w:val="-2"/>
          <w:position w:val="0"/>
          <w:sz w:val="24"/>
          <w:szCs w:val="24"/>
        </w:rPr>
        <w:t>提交下述文件正</w:t>
      </w:r>
      <w:r>
        <w:rPr>
          <w:rFonts w:hint="eastAsia" w:ascii="宋体" w:hAnsi="宋体" w:eastAsia="宋体" w:cs="宋体"/>
          <w:color w:val="auto"/>
          <w:position w:val="0"/>
          <w:sz w:val="24"/>
          <w:szCs w:val="24"/>
        </w:rPr>
        <w:t>本一份和副本份。</w:t>
      </w:r>
    </w:p>
    <w:p>
      <w:pPr>
        <w:pStyle w:val="10"/>
        <w:numPr>
          <w:ilvl w:val="0"/>
          <w:numId w:val="0"/>
        </w:numPr>
        <w:autoSpaceDE w:val="0"/>
        <w:autoSpaceDN w:val="0"/>
        <w:spacing w:before="1" w:after="160" w:line="240" w:lineRule="auto"/>
        <w:ind w:left="86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1、开标一览表</w:t>
      </w:r>
    </w:p>
    <w:p>
      <w:pPr>
        <w:pStyle w:val="10"/>
        <w:numPr>
          <w:ilvl w:val="0"/>
          <w:numId w:val="0"/>
        </w:numPr>
        <w:autoSpaceDE w:val="0"/>
        <w:autoSpaceDN w:val="0"/>
        <w:spacing w:before="91" w:after="160" w:line="240" w:lineRule="auto"/>
        <w:ind w:left="868" w:right="0" w:firstLine="0"/>
        <w:jc w:val="left"/>
        <w:rPr>
          <w:rFonts w:hint="eastAsia" w:ascii="宋体" w:hAnsi="宋体" w:eastAsia="宋体" w:cs="宋体"/>
          <w:color w:val="auto"/>
          <w:position w:val="0"/>
          <w:sz w:val="24"/>
          <w:szCs w:val="24"/>
          <w:lang w:eastAsia="zh-CN"/>
        </w:rPr>
      </w:pPr>
      <w:r>
        <w:rPr>
          <w:rFonts w:hint="eastAsia" w:ascii="宋体" w:hAnsi="宋体" w:eastAsia="宋体" w:cs="宋体"/>
          <w:color w:val="auto"/>
          <w:position w:val="0"/>
          <w:sz w:val="24"/>
          <w:szCs w:val="24"/>
        </w:rPr>
        <w:t>2、按竞争性磋商文件投标人须知、技术规格要求及其他要求提供有关文件</w:t>
      </w:r>
      <w:r>
        <w:rPr>
          <w:rFonts w:hint="eastAsia" w:ascii="宋体" w:hAnsi="宋体" w:eastAsia="宋体" w:cs="宋体"/>
          <w:color w:val="auto"/>
          <w:position w:val="0"/>
          <w:sz w:val="24"/>
          <w:szCs w:val="24"/>
          <w:lang w:eastAsia="zh-CN"/>
        </w:rPr>
        <w:t>。</w:t>
      </w:r>
    </w:p>
    <w:p>
      <w:pPr>
        <w:pStyle w:val="10"/>
        <w:numPr>
          <w:ilvl w:val="0"/>
          <w:numId w:val="0"/>
        </w:numPr>
        <w:tabs>
          <w:tab w:val="left" w:pos="6748"/>
        </w:tabs>
        <w:autoSpaceDE w:val="0"/>
        <w:autoSpaceDN w:val="0"/>
        <w:spacing w:before="93" w:after="160" w:line="240" w:lineRule="auto"/>
        <w:ind w:left="943" w:right="2895" w:hanging="75"/>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3、磋商保证金，形式</w:t>
      </w:r>
      <w:r>
        <w:rPr>
          <w:rFonts w:hint="eastAsia" w:ascii="宋体" w:hAnsi="宋体" w:eastAsia="宋体" w:cs="宋体"/>
          <w:color w:val="auto"/>
          <w:position w:val="0"/>
          <w:sz w:val="24"/>
          <w:szCs w:val="24"/>
          <w:u w:val="single"/>
        </w:rPr>
        <w:t>（电汇、网银）</w:t>
      </w:r>
      <w:r>
        <w:rPr>
          <w:rFonts w:hint="eastAsia" w:ascii="宋体" w:hAnsi="宋体" w:eastAsia="宋体" w:cs="宋体"/>
          <w:color w:val="auto"/>
          <w:position w:val="0"/>
          <w:sz w:val="24"/>
          <w:szCs w:val="24"/>
        </w:rPr>
        <w:t>，金额为</w:t>
      </w:r>
      <w:r>
        <w:rPr>
          <w:rFonts w:hint="eastAsia" w:ascii="宋体" w:hAnsi="宋体" w:eastAsia="宋体" w:cs="宋体"/>
          <w:color w:val="auto"/>
          <w:position w:val="0"/>
          <w:sz w:val="24"/>
          <w:szCs w:val="24"/>
          <w:u w:val="single"/>
        </w:rPr>
        <w:tab/>
      </w:r>
      <w:r>
        <w:rPr>
          <w:rFonts w:hint="eastAsia" w:ascii="宋体" w:hAnsi="宋体" w:eastAsia="宋体" w:cs="宋体"/>
          <w:color w:val="auto"/>
          <w:spacing w:val="-17"/>
          <w:position w:val="0"/>
          <w:sz w:val="24"/>
          <w:szCs w:val="24"/>
        </w:rPr>
        <w:t>。</w:t>
      </w:r>
      <w:r>
        <w:rPr>
          <w:rFonts w:hint="eastAsia" w:ascii="宋体" w:hAnsi="宋体" w:eastAsia="宋体" w:cs="宋体"/>
          <w:color w:val="auto"/>
          <w:position w:val="0"/>
          <w:sz w:val="24"/>
          <w:szCs w:val="24"/>
        </w:rPr>
        <w:t>据此函，签字代表宣布并同意如下：</w:t>
      </w:r>
    </w:p>
    <w:p>
      <w:pPr>
        <w:pStyle w:val="10"/>
        <w:numPr>
          <w:ilvl w:val="0"/>
          <w:numId w:val="0"/>
        </w:numPr>
        <w:tabs>
          <w:tab w:val="left" w:pos="4947"/>
        </w:tabs>
        <w:autoSpaceDE w:val="0"/>
        <w:autoSpaceDN w:val="0"/>
        <w:spacing w:before="0" w:after="160" w:line="240" w:lineRule="auto"/>
        <w:ind w:left="388" w:right="598" w:firstLine="554"/>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1、所附投标报价表中规定的应提交和交付的货物和服务投标总报价为</w:t>
      </w:r>
      <w:r>
        <w:rPr>
          <w:rFonts w:hint="eastAsia" w:ascii="宋体" w:hAnsi="宋体" w:eastAsia="宋体" w:cs="宋体"/>
          <w:color w:val="auto"/>
          <w:position w:val="0"/>
          <w:sz w:val="24"/>
          <w:szCs w:val="24"/>
          <w:u w:val="single"/>
        </w:rPr>
        <w:t>（注明币</w:t>
      </w:r>
      <w:r>
        <w:rPr>
          <w:rFonts w:hint="eastAsia" w:ascii="宋体" w:hAnsi="宋体" w:eastAsia="宋体" w:cs="宋体"/>
          <w:color w:val="auto"/>
          <w:spacing w:val="-240"/>
          <w:position w:val="0"/>
          <w:sz w:val="24"/>
          <w:szCs w:val="24"/>
          <w:u w:val="single"/>
        </w:rPr>
        <w:t>种</w:t>
      </w:r>
      <w:r>
        <w:rPr>
          <w:rFonts w:hint="eastAsia" w:ascii="宋体" w:hAnsi="宋体" w:eastAsia="宋体" w:cs="宋体"/>
          <w:color w:val="auto"/>
          <w:spacing w:val="-226"/>
          <w:position w:val="0"/>
          <w:sz w:val="24"/>
          <w:szCs w:val="24"/>
          <w:u w:val="single"/>
        </w:rPr>
        <w:t>，</w:t>
      </w:r>
      <w:r>
        <w:rPr>
          <w:rFonts w:hint="eastAsia" w:ascii="宋体" w:hAnsi="宋体" w:eastAsia="宋体" w:cs="宋体"/>
          <w:color w:val="auto"/>
          <w:position w:val="0"/>
          <w:sz w:val="24"/>
          <w:szCs w:val="24"/>
          <w:u w:val="single"/>
        </w:rPr>
        <w:t>并用文字和数字表示的投标总报价）</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w:t>
      </w:r>
    </w:p>
    <w:p>
      <w:pPr>
        <w:pStyle w:val="10"/>
        <w:numPr>
          <w:ilvl w:val="0"/>
          <w:numId w:val="0"/>
        </w:numPr>
        <w:autoSpaceDE w:val="0"/>
        <w:autoSpaceDN w:val="0"/>
        <w:spacing w:before="2" w:after="160" w:line="240" w:lineRule="auto"/>
        <w:ind w:left="94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2、我方将按竞争性磋商文件的规定履行合同责任和义务；</w:t>
      </w:r>
    </w:p>
    <w:p>
      <w:pPr>
        <w:pStyle w:val="10"/>
        <w:numPr>
          <w:ilvl w:val="0"/>
          <w:numId w:val="0"/>
        </w:numPr>
        <w:autoSpaceDE w:val="0"/>
        <w:autoSpaceDN w:val="0"/>
        <w:spacing w:before="91" w:after="160" w:line="240" w:lineRule="auto"/>
        <w:ind w:left="388" w:right="473" w:firstLine="554"/>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3</w:t>
      </w:r>
      <w:r>
        <w:rPr>
          <w:rFonts w:hint="eastAsia" w:ascii="宋体" w:hAnsi="宋体" w:eastAsia="宋体" w:cs="宋体"/>
          <w:color w:val="auto"/>
          <w:spacing w:val="-13"/>
          <w:position w:val="0"/>
          <w:sz w:val="24"/>
          <w:szCs w:val="24"/>
        </w:rPr>
        <w:t>、我方已详细阅读并理解了竞争性磋商文件的全部，包括修改文件</w:t>
      </w:r>
      <w:r>
        <w:rPr>
          <w:rFonts w:hint="eastAsia" w:ascii="宋体" w:hAnsi="宋体" w:eastAsia="宋体" w:cs="宋体"/>
          <w:color w:val="auto"/>
          <w:spacing w:val="-3"/>
          <w:position w:val="0"/>
          <w:sz w:val="24"/>
          <w:szCs w:val="24"/>
        </w:rPr>
        <w:t>（</w:t>
      </w:r>
      <w:r>
        <w:rPr>
          <w:rFonts w:hint="eastAsia" w:ascii="宋体" w:hAnsi="宋体" w:eastAsia="宋体" w:cs="宋体"/>
          <w:color w:val="auto"/>
          <w:position w:val="0"/>
          <w:sz w:val="24"/>
          <w:szCs w:val="24"/>
        </w:rPr>
        <w:t>如有的话</w:t>
      </w:r>
      <w:r>
        <w:rPr>
          <w:rFonts w:hint="eastAsia" w:ascii="宋体" w:hAnsi="宋体" w:eastAsia="宋体" w:cs="宋体"/>
          <w:color w:val="auto"/>
          <w:spacing w:val="-118"/>
          <w:position w:val="0"/>
          <w:sz w:val="24"/>
          <w:szCs w:val="24"/>
        </w:rPr>
        <w:t>）</w:t>
      </w:r>
      <w:r>
        <w:rPr>
          <w:rFonts w:hint="eastAsia" w:ascii="宋体" w:hAnsi="宋体" w:eastAsia="宋体" w:cs="宋体"/>
          <w:color w:val="auto"/>
          <w:spacing w:val="-14"/>
          <w:position w:val="0"/>
          <w:sz w:val="24"/>
          <w:szCs w:val="24"/>
        </w:rPr>
        <w:t>。</w:t>
      </w:r>
      <w:r>
        <w:rPr>
          <w:rFonts w:hint="eastAsia" w:ascii="宋体" w:hAnsi="宋体" w:eastAsia="宋体" w:cs="宋体"/>
          <w:color w:val="auto"/>
          <w:position w:val="0"/>
          <w:sz w:val="24"/>
          <w:szCs w:val="24"/>
        </w:rPr>
        <w:t>我们完全理解并同意放弃对这方面有不明及误解的权利。</w:t>
      </w:r>
    </w:p>
    <w:p>
      <w:pPr>
        <w:pStyle w:val="10"/>
        <w:numPr>
          <w:ilvl w:val="0"/>
          <w:numId w:val="0"/>
        </w:numPr>
        <w:tabs>
          <w:tab w:val="left" w:pos="4663"/>
        </w:tabs>
        <w:autoSpaceDE w:val="0"/>
        <w:autoSpaceDN w:val="0"/>
        <w:spacing w:before="2" w:after="160" w:line="240" w:lineRule="auto"/>
        <w:ind w:left="94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4、本投标有效期自开标之日起</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个日历日。</w:t>
      </w:r>
    </w:p>
    <w:p>
      <w:pPr>
        <w:pStyle w:val="10"/>
        <w:numPr>
          <w:ilvl w:val="0"/>
          <w:numId w:val="0"/>
        </w:numPr>
        <w:autoSpaceDE w:val="0"/>
        <w:autoSpaceDN w:val="0"/>
        <w:spacing w:before="91" w:after="160" w:line="240" w:lineRule="auto"/>
        <w:ind w:left="388" w:right="598" w:firstLine="554"/>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5、在规定的开标时间后，如果在投标有效期内撤回投标，我方同意磋商保证金将被贵方没收。</w:t>
      </w:r>
    </w:p>
    <w:p>
      <w:pPr>
        <w:pStyle w:val="10"/>
        <w:numPr>
          <w:ilvl w:val="0"/>
          <w:numId w:val="0"/>
        </w:numPr>
        <w:autoSpaceDE w:val="0"/>
        <w:autoSpaceDN w:val="0"/>
        <w:spacing w:before="2" w:after="160" w:line="240" w:lineRule="auto"/>
        <w:ind w:left="388" w:right="598" w:firstLine="554"/>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6、我方同意提供按照贵方可能要求的与其投标有关的一切数据或资料，完全理解贵方不一定接受最低价的投标或收到的任何投标的约定。</w:t>
      </w:r>
    </w:p>
    <w:p>
      <w:pPr>
        <w:pStyle w:val="10"/>
        <w:numPr>
          <w:ilvl w:val="0"/>
          <w:numId w:val="0"/>
        </w:numPr>
        <w:autoSpaceDE w:val="0"/>
        <w:autoSpaceDN w:val="0"/>
        <w:spacing w:before="0" w:after="160" w:line="240" w:lineRule="auto"/>
        <w:ind w:left="957"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7、与本投标有关的一切正式往来信函请寄：</w:t>
      </w:r>
    </w:p>
    <w:p>
      <w:pPr>
        <w:pStyle w:val="10"/>
        <w:numPr>
          <w:ilvl w:val="0"/>
          <w:numId w:val="0"/>
        </w:numPr>
        <w:tabs>
          <w:tab w:val="left" w:pos="5548"/>
          <w:tab w:val="left" w:pos="5727"/>
          <w:tab w:val="left" w:pos="8847"/>
        </w:tabs>
        <w:autoSpaceDE w:val="0"/>
        <w:autoSpaceDN w:val="0"/>
        <w:spacing w:before="93" w:after="160" w:line="240" w:lineRule="auto"/>
        <w:ind w:left="868" w:right="1036"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地址：</w:t>
      </w:r>
      <w:r>
        <w:rPr>
          <w:rFonts w:hint="eastAsia" w:ascii="宋体" w:hAnsi="宋体" w:eastAsia="宋体" w:cs="宋体"/>
          <w:color w:val="auto"/>
          <w:position w:val="0"/>
          <w:sz w:val="24"/>
          <w:szCs w:val="24"/>
          <w:u w:val="single"/>
        </w:rPr>
        <w:tab/>
      </w:r>
    </w:p>
    <w:p>
      <w:pPr>
        <w:pStyle w:val="10"/>
        <w:numPr>
          <w:ilvl w:val="0"/>
          <w:numId w:val="0"/>
        </w:numPr>
        <w:tabs>
          <w:tab w:val="left" w:pos="5548"/>
          <w:tab w:val="left" w:pos="5727"/>
          <w:tab w:val="left" w:pos="8847"/>
        </w:tabs>
        <w:autoSpaceDE w:val="0"/>
        <w:autoSpaceDN w:val="0"/>
        <w:spacing w:before="93" w:after="160" w:line="240" w:lineRule="auto"/>
        <w:ind w:left="868" w:right="1036"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spacing w:val="-1"/>
          <w:position w:val="0"/>
          <w:sz w:val="24"/>
          <w:szCs w:val="24"/>
        </w:rPr>
        <w:t>邮</w:t>
      </w:r>
      <w:r>
        <w:rPr>
          <w:rFonts w:hint="eastAsia" w:ascii="宋体" w:hAnsi="宋体" w:eastAsia="宋体" w:cs="宋体"/>
          <w:color w:val="auto"/>
          <w:position w:val="0"/>
          <w:sz w:val="24"/>
          <w:szCs w:val="24"/>
        </w:rPr>
        <w:t>编：</w:t>
      </w:r>
      <w:r>
        <w:rPr>
          <w:rFonts w:hint="eastAsia" w:ascii="宋体" w:hAnsi="宋体" w:eastAsia="宋体" w:cs="宋体"/>
          <w:color w:val="auto"/>
          <w:position w:val="0"/>
          <w:sz w:val="24"/>
          <w:szCs w:val="24"/>
          <w:u w:val="single"/>
        </w:rPr>
        <w:tab/>
      </w:r>
    </w:p>
    <w:p>
      <w:pPr>
        <w:pStyle w:val="10"/>
        <w:numPr>
          <w:ilvl w:val="0"/>
          <w:numId w:val="0"/>
        </w:numPr>
        <w:tabs>
          <w:tab w:val="left" w:pos="5548"/>
          <w:tab w:val="left" w:pos="5727"/>
          <w:tab w:val="left" w:pos="8847"/>
        </w:tabs>
        <w:autoSpaceDE w:val="0"/>
        <w:autoSpaceDN w:val="0"/>
        <w:spacing w:before="93" w:after="160" w:line="240" w:lineRule="auto"/>
        <w:ind w:left="868" w:right="1036"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电话：</w:t>
      </w:r>
      <w:r>
        <w:rPr>
          <w:rFonts w:hint="eastAsia" w:ascii="宋体" w:hAnsi="宋体" w:eastAsia="宋体" w:cs="宋体"/>
          <w:color w:val="auto"/>
          <w:position w:val="0"/>
          <w:sz w:val="24"/>
          <w:szCs w:val="24"/>
          <w:u w:val="single"/>
        </w:rPr>
        <w:tab/>
      </w:r>
    </w:p>
    <w:p>
      <w:pPr>
        <w:pStyle w:val="10"/>
        <w:numPr>
          <w:ilvl w:val="0"/>
          <w:numId w:val="0"/>
        </w:numPr>
        <w:tabs>
          <w:tab w:val="left" w:pos="5548"/>
          <w:tab w:val="left" w:pos="5727"/>
          <w:tab w:val="left" w:pos="8847"/>
        </w:tabs>
        <w:autoSpaceDE w:val="0"/>
        <w:autoSpaceDN w:val="0"/>
        <w:spacing w:before="93" w:after="160" w:line="240" w:lineRule="auto"/>
        <w:ind w:left="868" w:right="1036"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spacing w:val="-1"/>
          <w:position w:val="0"/>
          <w:sz w:val="24"/>
          <w:szCs w:val="24"/>
        </w:rPr>
        <w:t>传</w:t>
      </w:r>
      <w:r>
        <w:rPr>
          <w:rFonts w:hint="eastAsia" w:ascii="宋体" w:hAnsi="宋体" w:eastAsia="宋体" w:cs="宋体"/>
          <w:color w:val="auto"/>
          <w:position w:val="0"/>
          <w:sz w:val="24"/>
          <w:szCs w:val="24"/>
        </w:rPr>
        <w:t>真：</w:t>
      </w:r>
      <w:r>
        <w:rPr>
          <w:rFonts w:hint="eastAsia" w:ascii="宋体" w:hAnsi="宋体" w:eastAsia="宋体" w:cs="宋体"/>
          <w:color w:val="auto"/>
          <w:position w:val="0"/>
          <w:sz w:val="24"/>
          <w:szCs w:val="24"/>
          <w:u w:val="single"/>
        </w:rPr>
        <w:tab/>
      </w:r>
    </w:p>
    <w:p>
      <w:pPr>
        <w:pStyle w:val="10"/>
        <w:numPr>
          <w:ilvl w:val="0"/>
          <w:numId w:val="0"/>
        </w:numPr>
        <w:tabs>
          <w:tab w:val="left" w:pos="5548"/>
          <w:tab w:val="left" w:pos="5727"/>
          <w:tab w:val="left" w:pos="8847"/>
        </w:tabs>
        <w:autoSpaceDE w:val="0"/>
        <w:autoSpaceDN w:val="0"/>
        <w:spacing w:before="93" w:after="160" w:line="240" w:lineRule="auto"/>
        <w:ind w:left="868" w:right="1036"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spacing w:val="-1"/>
          <w:position w:val="0"/>
          <w:sz w:val="24"/>
          <w:szCs w:val="24"/>
        </w:rPr>
        <w:t>投</w:t>
      </w:r>
      <w:r>
        <w:rPr>
          <w:rFonts w:hint="eastAsia" w:ascii="宋体" w:hAnsi="宋体" w:eastAsia="宋体" w:cs="宋体"/>
          <w:color w:val="auto"/>
          <w:position w:val="0"/>
          <w:sz w:val="24"/>
          <w:szCs w:val="24"/>
        </w:rPr>
        <w:t>标人代表签字：</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p>
    <w:p>
      <w:pPr>
        <w:pStyle w:val="10"/>
        <w:numPr>
          <w:ilvl w:val="0"/>
          <w:numId w:val="0"/>
        </w:numPr>
        <w:tabs>
          <w:tab w:val="left" w:pos="2308"/>
          <w:tab w:val="left" w:pos="5727"/>
        </w:tabs>
        <w:autoSpaceDE w:val="0"/>
        <w:autoSpaceDN w:val="0"/>
        <w:spacing w:before="1" w:after="160" w:line="240" w:lineRule="auto"/>
        <w:ind w:left="868" w:right="4156" w:firstLine="0"/>
        <w:jc w:val="both"/>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投标人名称：</w:t>
      </w:r>
      <w:r>
        <w:rPr>
          <w:rFonts w:hint="eastAsia" w:ascii="宋体" w:hAnsi="宋体" w:eastAsia="宋体" w:cs="宋体"/>
          <w:color w:val="auto"/>
          <w:position w:val="0"/>
          <w:sz w:val="24"/>
          <w:szCs w:val="24"/>
          <w:u w:val="single"/>
        </w:rPr>
        <w:tab/>
      </w:r>
    </w:p>
    <w:p>
      <w:pPr>
        <w:pStyle w:val="10"/>
        <w:numPr>
          <w:ilvl w:val="0"/>
          <w:numId w:val="0"/>
        </w:numPr>
        <w:tabs>
          <w:tab w:val="left" w:pos="2308"/>
          <w:tab w:val="left" w:pos="5727"/>
        </w:tabs>
        <w:autoSpaceDE w:val="0"/>
        <w:autoSpaceDN w:val="0"/>
        <w:spacing w:before="1" w:after="160" w:line="240" w:lineRule="auto"/>
        <w:ind w:left="868" w:right="4156"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公</w:t>
      </w:r>
      <w:r>
        <w:rPr>
          <w:rFonts w:hint="eastAsia" w:ascii="宋体" w:hAnsi="宋体" w:eastAsia="宋体" w:cs="宋体"/>
          <w:color w:val="auto"/>
          <w:spacing w:val="-1"/>
          <w:position w:val="0"/>
          <w:sz w:val="24"/>
          <w:szCs w:val="24"/>
        </w:rPr>
        <w:t>章</w:t>
      </w:r>
      <w:r>
        <w:rPr>
          <w:rFonts w:hint="eastAsia" w:ascii="宋体" w:hAnsi="宋体" w:eastAsia="宋体" w:cs="宋体"/>
          <w:color w:val="auto"/>
          <w:position w:val="0"/>
          <w:sz w:val="24"/>
          <w:szCs w:val="24"/>
        </w:rPr>
        <w:t>：</w:t>
      </w:r>
      <w:r>
        <w:rPr>
          <w:rFonts w:hint="eastAsia" w:ascii="宋体" w:hAnsi="宋体" w:eastAsia="宋体" w:cs="宋体"/>
          <w:color w:val="auto"/>
          <w:position w:val="0"/>
          <w:sz w:val="24"/>
          <w:szCs w:val="24"/>
          <w:u w:val="single"/>
        </w:rPr>
        <w:tab/>
      </w:r>
    </w:p>
    <w:p>
      <w:pPr>
        <w:pStyle w:val="10"/>
        <w:numPr>
          <w:ilvl w:val="0"/>
          <w:numId w:val="0"/>
        </w:numPr>
        <w:tabs>
          <w:tab w:val="left" w:pos="6748"/>
          <w:tab w:val="left" w:pos="7588"/>
          <w:tab w:val="left" w:pos="8428"/>
        </w:tabs>
        <w:autoSpaceDE w:val="0"/>
        <w:autoSpaceDN w:val="0"/>
        <w:spacing w:before="0" w:after="160" w:line="240" w:lineRule="auto"/>
        <w:ind w:left="59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20</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日</w:t>
      </w:r>
    </w:p>
    <w:p>
      <w:pPr>
        <w:numPr>
          <w:ilvl w:val="0"/>
          <w:numId w:val="0"/>
        </w:numPr>
        <w:tabs>
          <w:tab w:val="left" w:pos="6748"/>
          <w:tab w:val="left" w:pos="7588"/>
          <w:tab w:val="left" w:pos="8428"/>
        </w:tabs>
        <w:autoSpaceDE w:val="0"/>
        <w:autoSpaceDN w:val="0"/>
        <w:spacing w:before="0" w:after="160" w:line="240" w:lineRule="auto"/>
        <w:ind w:left="5908" w:right="0" w:firstLine="0"/>
        <w:jc w:val="left"/>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p>
    <w:p>
      <w:pPr>
        <w:numPr>
          <w:ilvl w:val="0"/>
          <w:numId w:val="0"/>
        </w:numPr>
        <w:autoSpaceDE w:val="0"/>
        <w:autoSpaceDN w:val="0"/>
        <w:spacing w:before="58" w:after="160" w:line="276" w:lineRule="auto"/>
        <w:ind w:left="2887" w:right="597" w:hanging="2289"/>
        <w:jc w:val="both"/>
        <w:rPr>
          <w:rFonts w:hint="eastAsia" w:ascii="宋体" w:hAnsi="宋体" w:eastAsia="宋体" w:cs="宋体"/>
          <w:b/>
          <w:color w:val="auto"/>
          <w:position w:val="0"/>
          <w:sz w:val="28"/>
          <w:szCs w:val="28"/>
        </w:rPr>
      </w:pPr>
      <w:r>
        <w:rPr>
          <w:rFonts w:hint="eastAsia" w:ascii="宋体" w:hAnsi="宋体" w:eastAsia="宋体" w:cs="宋体"/>
          <w:b/>
          <w:color w:val="auto"/>
          <w:w w:val="95"/>
          <w:position w:val="0"/>
          <w:sz w:val="28"/>
          <w:szCs w:val="28"/>
        </w:rPr>
        <w:t>（二</w:t>
      </w:r>
      <w:r>
        <w:rPr>
          <w:rFonts w:hint="eastAsia" w:ascii="宋体" w:hAnsi="宋体" w:eastAsia="宋体" w:cs="宋体"/>
          <w:b/>
          <w:color w:val="auto"/>
          <w:spacing w:val="-34"/>
          <w:w w:val="95"/>
          <w:position w:val="0"/>
          <w:sz w:val="28"/>
          <w:szCs w:val="28"/>
        </w:rPr>
        <w:t>）</w:t>
      </w:r>
      <w:r>
        <w:rPr>
          <w:rFonts w:hint="eastAsia" w:ascii="宋体" w:hAnsi="宋体" w:eastAsia="宋体" w:cs="宋体"/>
          <w:b/>
          <w:color w:val="auto"/>
          <w:spacing w:val="-7"/>
          <w:w w:val="95"/>
          <w:position w:val="0"/>
          <w:sz w:val="28"/>
          <w:szCs w:val="28"/>
        </w:rPr>
        <w:t>法定代表人</w:t>
      </w:r>
      <w:r>
        <w:rPr>
          <w:rFonts w:hint="eastAsia" w:ascii="宋体" w:hAnsi="宋体" w:eastAsia="宋体" w:cs="宋体"/>
          <w:b/>
          <w:color w:val="auto"/>
          <w:w w:val="95"/>
          <w:position w:val="0"/>
          <w:sz w:val="28"/>
          <w:szCs w:val="28"/>
        </w:rPr>
        <w:t>（或分支机构负责人</w:t>
      </w:r>
      <w:r>
        <w:rPr>
          <w:rFonts w:hint="eastAsia" w:ascii="宋体" w:hAnsi="宋体" w:eastAsia="宋体" w:cs="宋体"/>
          <w:b/>
          <w:color w:val="auto"/>
          <w:spacing w:val="-34"/>
          <w:w w:val="95"/>
          <w:position w:val="0"/>
          <w:sz w:val="28"/>
          <w:szCs w:val="28"/>
        </w:rPr>
        <w:t>）</w:t>
      </w:r>
      <w:r>
        <w:rPr>
          <w:rFonts w:hint="eastAsia" w:ascii="宋体" w:hAnsi="宋体" w:eastAsia="宋体" w:cs="宋体"/>
          <w:b/>
          <w:color w:val="auto"/>
          <w:spacing w:val="-4"/>
          <w:w w:val="95"/>
          <w:position w:val="0"/>
          <w:sz w:val="28"/>
          <w:szCs w:val="28"/>
        </w:rPr>
        <w:t>身份证明及法定代表人</w:t>
      </w:r>
      <w:r>
        <w:rPr>
          <w:rFonts w:hint="eastAsia" w:ascii="宋体" w:hAnsi="宋体" w:eastAsia="宋体" w:cs="宋体"/>
          <w:b/>
          <w:color w:val="auto"/>
          <w:w w:val="95"/>
          <w:position w:val="0"/>
          <w:sz w:val="28"/>
          <w:szCs w:val="28"/>
        </w:rPr>
        <w:t>（</w:t>
      </w:r>
      <w:r>
        <w:rPr>
          <w:rFonts w:hint="eastAsia" w:ascii="宋体" w:hAnsi="宋体" w:eastAsia="宋体" w:cs="宋体"/>
          <w:b/>
          <w:color w:val="auto"/>
          <w:spacing w:val="-12"/>
          <w:w w:val="95"/>
          <w:position w:val="0"/>
          <w:sz w:val="28"/>
          <w:szCs w:val="28"/>
        </w:rPr>
        <w:t>或</w:t>
      </w:r>
      <w:r>
        <w:rPr>
          <w:rFonts w:hint="eastAsia" w:ascii="宋体" w:hAnsi="宋体" w:eastAsia="宋体" w:cs="宋体"/>
          <w:b/>
          <w:color w:val="auto"/>
          <w:position w:val="0"/>
          <w:sz w:val="28"/>
          <w:szCs w:val="28"/>
        </w:rPr>
        <w:t>分支机构负责人）授权委托书</w:t>
      </w:r>
    </w:p>
    <w:p>
      <w:pPr>
        <w:pStyle w:val="8"/>
        <w:numPr>
          <w:ilvl w:val="0"/>
          <w:numId w:val="0"/>
        </w:numPr>
        <w:autoSpaceDE w:val="0"/>
        <w:autoSpaceDN w:val="0"/>
        <w:spacing w:before="226" w:after="160" w:line="240" w:lineRule="auto"/>
        <w:ind w:right="209" w:firstLine="0"/>
        <w:jc w:val="center"/>
        <w:outlineLvl w:val="4"/>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1、法定代表人（或分支机构负责人）身份证明</w:t>
      </w:r>
    </w:p>
    <w:p>
      <w:pPr>
        <w:pStyle w:val="10"/>
        <w:numPr>
          <w:ilvl w:val="0"/>
          <w:numId w:val="0"/>
        </w:numPr>
        <w:autoSpaceDE w:val="0"/>
        <w:autoSpaceDN w:val="0"/>
        <w:spacing w:before="3"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tabs>
          <w:tab w:val="left" w:pos="1948"/>
        </w:tabs>
        <w:autoSpaceDE w:val="0"/>
        <w:autoSpaceDN w:val="0"/>
        <w:spacing w:before="74" w:after="160" w:line="240" w:lineRule="auto"/>
        <w:ind w:left="86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（采购人）：</w:t>
      </w:r>
    </w:p>
    <w:p>
      <w:pPr>
        <w:pStyle w:val="10"/>
        <w:numPr>
          <w:ilvl w:val="0"/>
          <w:numId w:val="0"/>
        </w:numPr>
        <w:tabs>
          <w:tab w:val="left" w:pos="2847"/>
          <w:tab w:val="left" w:pos="6207"/>
        </w:tabs>
        <w:autoSpaceDE w:val="0"/>
        <w:autoSpaceDN w:val="0"/>
        <w:spacing w:before="154" w:after="160" w:line="240" w:lineRule="auto"/>
        <w:ind w:left="388" w:right="597"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兹证明</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同志在我单位任</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（职务</w:t>
      </w:r>
      <w:r>
        <w:rPr>
          <w:rFonts w:hint="eastAsia" w:ascii="宋体" w:hAnsi="宋体" w:eastAsia="宋体" w:cs="宋体"/>
          <w:color w:val="auto"/>
          <w:spacing w:val="-34"/>
          <w:position w:val="0"/>
          <w:sz w:val="24"/>
          <w:szCs w:val="24"/>
        </w:rPr>
        <w:t>），</w:t>
      </w:r>
      <w:r>
        <w:rPr>
          <w:rFonts w:hint="eastAsia" w:ascii="宋体" w:hAnsi="宋体" w:eastAsia="宋体" w:cs="宋体"/>
          <w:color w:val="auto"/>
          <w:position w:val="0"/>
          <w:sz w:val="24"/>
          <w:szCs w:val="24"/>
        </w:rPr>
        <w:t>是我单位的法定代表人（或分支机构负责人）。</w:t>
      </w:r>
    </w:p>
    <w:p>
      <w:pPr>
        <w:pStyle w:val="10"/>
        <w:numPr>
          <w:ilvl w:val="0"/>
          <w:numId w:val="0"/>
        </w:numPr>
        <w:autoSpaceDE w:val="0"/>
        <w:autoSpaceDN w:val="0"/>
        <w:spacing w:before="0" w:after="160" w:line="240" w:lineRule="auto"/>
        <w:ind w:left="86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附法定代表人（或分支机构负责人）基本情况：</w:t>
      </w:r>
    </w:p>
    <w:p>
      <w:pPr>
        <w:pStyle w:val="10"/>
        <w:numPr>
          <w:ilvl w:val="0"/>
          <w:numId w:val="0"/>
        </w:numPr>
        <w:tabs>
          <w:tab w:val="left" w:pos="1747"/>
          <w:tab w:val="left" w:pos="4146"/>
          <w:tab w:val="left" w:pos="6287"/>
          <w:tab w:val="left" w:pos="7527"/>
          <w:tab w:val="left" w:pos="8327"/>
        </w:tabs>
        <w:autoSpaceDE w:val="0"/>
        <w:autoSpaceDN w:val="0"/>
        <w:spacing w:before="153" w:after="160" w:line="240" w:lineRule="auto"/>
        <w:ind w:left="868" w:right="1556"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姓</w:t>
      </w:r>
      <w:r>
        <w:rPr>
          <w:rFonts w:hint="eastAsia" w:ascii="宋体" w:hAnsi="宋体" w:eastAsia="宋体" w:cs="宋体"/>
          <w:color w:val="auto"/>
          <w:spacing w:val="38"/>
          <w:position w:val="0"/>
          <w:sz w:val="24"/>
          <w:szCs w:val="24"/>
        </w:rPr>
        <w:t>名</w:t>
      </w:r>
      <w:r>
        <w:rPr>
          <w:rFonts w:hint="eastAsia" w:ascii="宋体" w:hAnsi="宋体" w:eastAsia="宋体" w:cs="宋体"/>
          <w:color w:val="auto"/>
          <w:spacing w:val="38"/>
          <w:position w:val="0"/>
          <w:sz w:val="24"/>
          <w:szCs w:val="24"/>
          <w:u w:val="single"/>
        </w:rPr>
        <w:tab/>
      </w:r>
      <w:r>
        <w:rPr>
          <w:rFonts w:hint="eastAsia" w:ascii="宋体" w:hAnsi="宋体" w:eastAsia="宋体" w:cs="宋体"/>
          <w:color w:val="auto"/>
          <w:position w:val="0"/>
          <w:sz w:val="24"/>
          <w:szCs w:val="24"/>
          <w:u w:val="single"/>
        </w:rPr>
        <w:t>（亲笔签字或盖章）</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性别</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年龄</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r>
        <w:rPr>
          <w:rFonts w:hint="eastAsia" w:ascii="宋体" w:hAnsi="宋体" w:eastAsia="宋体" w:cs="宋体"/>
          <w:color w:val="auto"/>
          <w:spacing w:val="-1"/>
          <w:position w:val="0"/>
          <w:sz w:val="24"/>
          <w:szCs w:val="24"/>
        </w:rPr>
        <w:t>身</w:t>
      </w:r>
      <w:r>
        <w:rPr>
          <w:rFonts w:hint="eastAsia" w:ascii="宋体" w:hAnsi="宋体" w:eastAsia="宋体" w:cs="宋体"/>
          <w:color w:val="auto"/>
          <w:position w:val="0"/>
          <w:sz w:val="24"/>
          <w:szCs w:val="24"/>
        </w:rPr>
        <w:t>份证号码：</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p>
    <w:p>
      <w:pPr>
        <w:pStyle w:val="10"/>
        <w:numPr>
          <w:ilvl w:val="0"/>
          <w:numId w:val="0"/>
        </w:numPr>
        <w:tabs>
          <w:tab w:val="left" w:pos="4228"/>
          <w:tab w:val="left" w:pos="7527"/>
        </w:tabs>
        <w:autoSpaceDE w:val="0"/>
        <w:autoSpaceDN w:val="0"/>
        <w:spacing w:before="0" w:after="160" w:line="240" w:lineRule="auto"/>
        <w:ind w:left="868" w:right="2356"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通</w:t>
      </w:r>
      <w:r>
        <w:rPr>
          <w:rFonts w:hint="eastAsia" w:ascii="宋体" w:hAnsi="宋体" w:eastAsia="宋体" w:cs="宋体"/>
          <w:color w:val="auto"/>
          <w:position w:val="0"/>
          <w:sz w:val="24"/>
          <w:szCs w:val="24"/>
        </w:rPr>
        <w:t>讯地址：</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电话号码：</w:t>
      </w:r>
      <w:r>
        <w:rPr>
          <w:rFonts w:hint="eastAsia" w:ascii="宋体" w:hAnsi="宋体" w:eastAsia="宋体" w:cs="宋体"/>
          <w:color w:val="auto"/>
          <w:position w:val="0"/>
          <w:sz w:val="24"/>
          <w:szCs w:val="24"/>
          <w:u w:val="single"/>
        </w:rPr>
        <w:tab/>
      </w:r>
      <w:r>
        <w:rPr>
          <w:rFonts w:hint="eastAsia" w:ascii="宋体" w:hAnsi="宋体" w:eastAsia="宋体" w:cs="宋体"/>
          <w:color w:val="auto"/>
          <w:spacing w:val="-1"/>
          <w:position w:val="0"/>
          <w:sz w:val="24"/>
          <w:szCs w:val="24"/>
        </w:rPr>
        <w:t>邮</w:t>
      </w:r>
      <w:r>
        <w:rPr>
          <w:rFonts w:hint="eastAsia" w:ascii="宋体" w:hAnsi="宋体" w:eastAsia="宋体" w:cs="宋体"/>
          <w:color w:val="auto"/>
          <w:position w:val="0"/>
          <w:sz w:val="24"/>
          <w:szCs w:val="24"/>
        </w:rPr>
        <w:t>编：</w:t>
      </w:r>
      <w:r>
        <w:rPr>
          <w:rFonts w:hint="eastAsia" w:ascii="宋体" w:hAnsi="宋体" w:eastAsia="宋体" w:cs="宋体"/>
          <w:color w:val="auto"/>
          <w:position w:val="0"/>
          <w:sz w:val="24"/>
          <w:szCs w:val="24"/>
          <w:u w:val="single"/>
        </w:rPr>
        <w:tab/>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5788"/>
          <w:tab w:val="left" w:pos="6628"/>
        </w:tabs>
        <w:autoSpaceDE w:val="0"/>
        <w:autoSpaceDN w:val="0"/>
        <w:spacing w:before="224" w:after="160" w:line="240" w:lineRule="auto"/>
        <w:ind w:left="4948" w:right="2895" w:hanging="120"/>
        <w:jc w:val="left"/>
        <w:rPr>
          <w:rFonts w:hint="eastAsia" w:ascii="宋体" w:hAnsi="宋体" w:eastAsia="宋体" w:cs="宋体"/>
          <w:color w:val="auto"/>
          <w:spacing w:val="-17"/>
          <w:position w:val="0"/>
          <w:sz w:val="24"/>
          <w:szCs w:val="24"/>
        </w:rPr>
      </w:pPr>
      <w:r>
        <w:rPr>
          <w:rFonts w:hint="eastAsia" w:ascii="宋体" w:hAnsi="宋体" w:eastAsia="宋体" w:cs="宋体"/>
          <w:color w:val="auto"/>
          <w:position w:val="0"/>
          <w:sz w:val="24"/>
          <w:szCs w:val="24"/>
        </w:rPr>
        <w:t>单位名称：（公章</w:t>
      </w:r>
      <w:r>
        <w:rPr>
          <w:rFonts w:hint="eastAsia" w:ascii="宋体" w:hAnsi="宋体" w:eastAsia="宋体" w:cs="宋体"/>
          <w:color w:val="auto"/>
          <w:spacing w:val="-17"/>
          <w:position w:val="0"/>
          <w:sz w:val="24"/>
          <w:szCs w:val="24"/>
        </w:rPr>
        <w:t>）</w:t>
      </w:r>
    </w:p>
    <w:p>
      <w:pPr>
        <w:pStyle w:val="10"/>
        <w:numPr>
          <w:ilvl w:val="0"/>
          <w:numId w:val="0"/>
        </w:numPr>
        <w:tabs>
          <w:tab w:val="left" w:pos="5788"/>
          <w:tab w:val="left" w:pos="6628"/>
        </w:tabs>
        <w:autoSpaceDE w:val="0"/>
        <w:autoSpaceDN w:val="0"/>
        <w:spacing w:before="224" w:after="160" w:line="240" w:lineRule="auto"/>
        <w:ind w:left="4948" w:right="2895" w:hanging="1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日</w:t>
      </w:r>
    </w:p>
    <w:p>
      <w:pPr>
        <w:pStyle w:val="8"/>
        <w:numPr>
          <w:ilvl w:val="0"/>
          <w:numId w:val="0"/>
        </w:numPr>
        <w:autoSpaceDE w:val="0"/>
        <w:autoSpaceDN w:val="0"/>
        <w:spacing w:before="151" w:after="160" w:line="240" w:lineRule="auto"/>
        <w:ind w:left="948" w:right="0" w:firstLine="0"/>
        <w:jc w:val="left"/>
        <w:outlineLvl w:val="4"/>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附：法定代表人（或分支机构负责人）《居民身份证》正反面</w:t>
      </w: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numPr>
          <w:ilvl w:val="0"/>
          <w:numId w:val="0"/>
        </w:numPr>
        <w:autoSpaceDE w:val="0"/>
        <w:autoSpaceDN w:val="0"/>
        <w:spacing w:before="70" w:after="160" w:line="240" w:lineRule="auto"/>
        <w:ind w:left="388" w:right="598" w:firstLine="0"/>
        <w:jc w:val="left"/>
        <w:rPr>
          <w:rFonts w:hint="eastAsia" w:ascii="宋体" w:hAnsi="宋体" w:eastAsia="宋体" w:cs="宋体"/>
          <w:color w:val="auto"/>
          <w:position w:val="0"/>
          <w:sz w:val="24"/>
          <w:szCs w:val="24"/>
        </w:rPr>
      </w:pPr>
    </w:p>
    <w:p>
      <w:pPr>
        <w:numPr>
          <w:ilvl w:val="0"/>
          <w:numId w:val="0"/>
        </w:numPr>
        <w:autoSpaceDE w:val="0"/>
        <w:autoSpaceDN w:val="0"/>
        <w:spacing w:before="70" w:after="160" w:line="240" w:lineRule="auto"/>
        <w:ind w:left="388" w:right="598" w:firstLine="0"/>
        <w:jc w:val="left"/>
        <w:rPr>
          <w:rFonts w:hint="eastAsia" w:ascii="宋体" w:hAnsi="宋体" w:eastAsia="宋体" w:cs="宋体"/>
          <w:color w:val="auto"/>
          <w:position w:val="0"/>
          <w:sz w:val="24"/>
          <w:szCs w:val="24"/>
        </w:rPr>
      </w:pPr>
    </w:p>
    <w:p>
      <w:pPr>
        <w:numPr>
          <w:ilvl w:val="0"/>
          <w:numId w:val="0"/>
        </w:numPr>
        <w:autoSpaceDE w:val="0"/>
        <w:autoSpaceDN w:val="0"/>
        <w:spacing w:before="70" w:after="160" w:line="240" w:lineRule="auto"/>
        <w:ind w:left="388" w:right="598"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注：1.法定代表人签字或盖章必须是亲笔签名或相关主管行政部门备案的法定代表人印章。不得使用其他印章或是电子版签名。</w:t>
      </w:r>
    </w:p>
    <w:p>
      <w:pPr>
        <w:pStyle w:val="19"/>
        <w:numPr>
          <w:ilvl w:val="0"/>
          <w:numId w:val="25"/>
        </w:numPr>
        <w:tabs>
          <w:tab w:val="left" w:pos="600"/>
        </w:tabs>
        <w:autoSpaceDE w:val="0"/>
        <w:autoSpaceDN w:val="0"/>
        <w:bidi w:val="0"/>
        <w:spacing w:before="0" w:after="160" w:line="240" w:lineRule="auto"/>
        <w:ind w:left="599" w:right="0" w:hanging="21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投标文件中须放置法定代表人（或分支机构负责人）身份证明。</w:t>
      </w:r>
    </w:p>
    <w:p>
      <w:pPr>
        <w:pStyle w:val="19"/>
        <w:numPr>
          <w:ilvl w:val="0"/>
          <w:numId w:val="25"/>
        </w:numPr>
        <w:tabs>
          <w:tab w:val="left" w:pos="600"/>
        </w:tabs>
        <w:autoSpaceDE w:val="0"/>
        <w:autoSpaceDN w:val="0"/>
        <w:bidi w:val="0"/>
        <w:spacing w:before="91" w:after="160" w:line="240" w:lineRule="auto"/>
        <w:ind w:left="388" w:right="596"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投标人的法人代表本人（</w:t>
      </w:r>
      <w:r>
        <w:rPr>
          <w:rFonts w:hint="eastAsia" w:ascii="宋体" w:hAnsi="宋体" w:eastAsia="宋体" w:cs="宋体"/>
          <w:color w:val="auto"/>
          <w:spacing w:val="1"/>
          <w:position w:val="0"/>
          <w:sz w:val="24"/>
          <w:szCs w:val="24"/>
        </w:rPr>
        <w:t>或负责人</w:t>
      </w:r>
      <w:r>
        <w:rPr>
          <w:rFonts w:hint="eastAsia" w:ascii="宋体" w:hAnsi="宋体" w:eastAsia="宋体" w:cs="宋体"/>
          <w:color w:val="auto"/>
          <w:position w:val="0"/>
          <w:sz w:val="24"/>
          <w:szCs w:val="24"/>
        </w:rPr>
        <w:t>）作为公司代理人前来参加投标的，在开标现场须提供此项证明文件，并携带法人（</w:t>
      </w:r>
      <w:r>
        <w:rPr>
          <w:rFonts w:hint="eastAsia" w:ascii="宋体" w:hAnsi="宋体" w:eastAsia="宋体" w:cs="宋体"/>
          <w:color w:val="auto"/>
          <w:spacing w:val="1"/>
          <w:position w:val="0"/>
          <w:sz w:val="24"/>
          <w:szCs w:val="24"/>
        </w:rPr>
        <w:t>或负责人</w:t>
      </w:r>
      <w:r>
        <w:rPr>
          <w:rFonts w:hint="eastAsia" w:ascii="宋体" w:hAnsi="宋体" w:eastAsia="宋体" w:cs="宋体"/>
          <w:color w:val="auto"/>
          <w:position w:val="0"/>
          <w:sz w:val="24"/>
          <w:szCs w:val="24"/>
        </w:rPr>
        <w:t>）的身份证原件（本授权书原件一式两份，一份密封封装在投标文件正本中，一份现场查验）。</w:t>
      </w:r>
    </w:p>
    <w:p>
      <w:pPr>
        <w:numPr>
          <w:ilvl w:val="0"/>
          <w:numId w:val="25"/>
        </w:numPr>
        <w:tabs>
          <w:tab w:val="left" w:pos="600"/>
        </w:tabs>
        <w:autoSpaceDE w:val="0"/>
        <w:autoSpaceDN w:val="0"/>
        <w:bidi w:val="0"/>
        <w:spacing w:before="91" w:after="160" w:line="240" w:lineRule="auto"/>
        <w:ind w:left="388" w:right="596" w:firstLine="0"/>
        <w:jc w:val="both"/>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p>
    <w:p>
      <w:pPr>
        <w:pStyle w:val="8"/>
        <w:numPr>
          <w:ilvl w:val="0"/>
          <w:numId w:val="0"/>
        </w:numPr>
        <w:autoSpaceDE w:val="0"/>
        <w:autoSpaceDN w:val="0"/>
        <w:spacing w:before="62" w:after="160" w:line="240" w:lineRule="auto"/>
        <w:ind w:right="207" w:firstLine="0"/>
        <w:jc w:val="center"/>
        <w:outlineLvl w:val="4"/>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2、法定代表人（或分支机构负责人）授权委托书</w:t>
      </w:r>
    </w:p>
    <w:p>
      <w:pPr>
        <w:numPr>
          <w:ilvl w:val="0"/>
          <w:numId w:val="0"/>
        </w:numPr>
        <w:autoSpaceDE w:val="0"/>
        <w:autoSpaceDN w:val="0"/>
        <w:spacing w:before="0" w:after="160" w:line="240" w:lineRule="auto"/>
        <w:ind w:left="808" w:right="490" w:firstLine="420"/>
        <w:jc w:val="left"/>
        <w:rPr>
          <w:rFonts w:hint="eastAsia" w:ascii="宋体" w:hAnsi="宋体" w:eastAsia="宋体" w:cs="宋体"/>
          <w:color w:val="auto"/>
          <w:position w:val="0"/>
          <w:sz w:val="24"/>
          <w:szCs w:val="24"/>
        </w:rPr>
      </w:pPr>
    </w:p>
    <w:p>
      <w:pPr>
        <w:numPr>
          <w:ilvl w:val="0"/>
          <w:numId w:val="0"/>
        </w:numPr>
        <w:autoSpaceDE w:val="0"/>
        <w:autoSpaceDN w:val="0"/>
        <w:spacing w:before="0" w:after="160" w:line="240" w:lineRule="auto"/>
        <w:ind w:left="808" w:right="490" w:firstLine="4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本授权书声明：注册于</w:t>
      </w:r>
      <w:r>
        <w:rPr>
          <w:rFonts w:hint="eastAsia" w:ascii="宋体" w:hAnsi="宋体" w:eastAsia="宋体" w:cs="宋体"/>
          <w:color w:val="auto"/>
          <w:position w:val="0"/>
          <w:sz w:val="24"/>
          <w:szCs w:val="24"/>
          <w:u w:val="single"/>
        </w:rPr>
        <w:t>（地区的名称）</w:t>
      </w:r>
      <w:r>
        <w:rPr>
          <w:rFonts w:hint="eastAsia" w:ascii="宋体" w:hAnsi="宋体" w:eastAsia="宋体" w:cs="宋体"/>
          <w:color w:val="auto"/>
          <w:position w:val="0"/>
          <w:sz w:val="24"/>
          <w:szCs w:val="24"/>
        </w:rPr>
        <w:t>的</w:t>
      </w:r>
      <w:r>
        <w:rPr>
          <w:rFonts w:hint="eastAsia" w:ascii="宋体" w:hAnsi="宋体" w:eastAsia="宋体" w:cs="宋体"/>
          <w:color w:val="auto"/>
          <w:position w:val="0"/>
          <w:sz w:val="24"/>
          <w:szCs w:val="24"/>
          <w:u w:val="single"/>
        </w:rPr>
        <w:t>（公司名称）</w:t>
      </w:r>
      <w:r>
        <w:rPr>
          <w:rFonts w:hint="eastAsia" w:ascii="宋体" w:hAnsi="宋体" w:eastAsia="宋体" w:cs="宋体"/>
          <w:color w:val="auto"/>
          <w:position w:val="0"/>
          <w:sz w:val="24"/>
          <w:szCs w:val="24"/>
        </w:rPr>
        <w:t>，在下面签字的法定代表人（或</w:t>
      </w:r>
      <w:r>
        <w:rPr>
          <w:rFonts w:hint="eastAsia" w:ascii="宋体" w:hAnsi="宋体" w:eastAsia="宋体" w:cs="宋体"/>
          <w:color w:val="auto"/>
          <w:w w:val="95"/>
          <w:position w:val="0"/>
          <w:sz w:val="24"/>
          <w:szCs w:val="24"/>
        </w:rPr>
        <w:t>分支机构负责人）</w:t>
      </w:r>
      <w:r>
        <w:rPr>
          <w:rFonts w:hint="eastAsia" w:ascii="宋体" w:hAnsi="宋体" w:eastAsia="宋体" w:cs="宋体"/>
          <w:color w:val="auto"/>
          <w:w w:val="95"/>
          <w:position w:val="0"/>
          <w:sz w:val="24"/>
          <w:szCs w:val="24"/>
          <w:u w:val="single"/>
        </w:rPr>
        <w:t>（姓名、职务）</w:t>
      </w:r>
      <w:r>
        <w:rPr>
          <w:rFonts w:hint="eastAsia" w:ascii="宋体" w:hAnsi="宋体" w:eastAsia="宋体" w:cs="宋体"/>
          <w:color w:val="auto"/>
          <w:w w:val="95"/>
          <w:position w:val="0"/>
          <w:sz w:val="24"/>
          <w:szCs w:val="24"/>
        </w:rPr>
        <w:t>，代表本公司委托在下面签字的</w:t>
      </w:r>
      <w:r>
        <w:rPr>
          <w:rFonts w:hint="eastAsia" w:ascii="宋体" w:hAnsi="宋体" w:eastAsia="宋体" w:cs="宋体"/>
          <w:color w:val="auto"/>
          <w:w w:val="95"/>
          <w:position w:val="0"/>
          <w:sz w:val="24"/>
          <w:szCs w:val="24"/>
          <w:u w:val="single"/>
        </w:rPr>
        <w:t>（被授权人的姓名、职务）</w:t>
      </w:r>
    </w:p>
    <w:p>
      <w:pPr>
        <w:numPr>
          <w:ilvl w:val="0"/>
          <w:numId w:val="0"/>
        </w:numPr>
        <w:autoSpaceDE w:val="0"/>
        <w:autoSpaceDN w:val="0"/>
        <w:spacing w:before="1" w:after="160" w:line="240" w:lineRule="auto"/>
        <w:ind w:left="8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20"/>
          <w:position w:val="0"/>
          <w:sz w:val="24"/>
          <w:szCs w:val="24"/>
        </w:rPr>
        <w:t>为本公司的合法代理人，代理人根据授权，以我方名义签署、澄清确认、递交、撤回、修改</w:t>
      </w:r>
      <w:r>
        <w:rPr>
          <w:rFonts w:hint="eastAsia" w:ascii="宋体" w:hAnsi="宋体" w:eastAsia="宋体" w:cs="宋体"/>
          <w:color w:val="auto"/>
          <w:spacing w:val="32"/>
          <w:position w:val="0"/>
          <w:sz w:val="24"/>
          <w:szCs w:val="24"/>
          <w:u w:val="single"/>
        </w:rPr>
        <w:t xml:space="preserve"> (项</w:t>
      </w:r>
    </w:p>
    <w:p>
      <w:pPr>
        <w:numPr>
          <w:ilvl w:val="0"/>
          <w:numId w:val="0"/>
        </w:numPr>
        <w:autoSpaceDE w:val="0"/>
        <w:autoSpaceDN w:val="0"/>
        <w:spacing w:before="151" w:after="160" w:line="240" w:lineRule="auto"/>
        <w:ind w:left="8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u w:val="single"/>
        </w:rPr>
        <w:t>目名称）</w:t>
      </w:r>
      <w:r>
        <w:rPr>
          <w:rFonts w:hint="eastAsia" w:ascii="宋体" w:hAnsi="宋体" w:eastAsia="宋体" w:cs="宋体"/>
          <w:color w:val="auto"/>
          <w:position w:val="0"/>
          <w:sz w:val="24"/>
          <w:szCs w:val="24"/>
        </w:rPr>
        <w:t>的投标文件、签订合同和处理有关事宜，其法律后果由我方承担。</w:t>
      </w:r>
    </w:p>
    <w:p>
      <w:pPr>
        <w:pStyle w:val="10"/>
        <w:numPr>
          <w:ilvl w:val="0"/>
          <w:numId w:val="0"/>
        </w:numPr>
        <w:autoSpaceDE w:val="0"/>
        <w:autoSpaceDN w:val="0"/>
        <w:spacing w:before="5"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left="868" w:right="325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委托期限：自本委托书签署之日起至投标有效期期满。代理人无转委托权。</w:t>
      </w:r>
    </w:p>
    <w:p>
      <w:pPr>
        <w:pStyle w:val="10"/>
        <w:numPr>
          <w:ilvl w:val="0"/>
          <w:numId w:val="0"/>
        </w:numPr>
        <w:autoSpaceDE w:val="0"/>
        <w:autoSpaceDN w:val="0"/>
        <w:spacing w:before="0" w:after="17" w:line="240" w:lineRule="auto"/>
        <w:ind w:left="868" w:right="0" w:firstLine="0"/>
        <w:jc w:val="left"/>
        <w:rPr>
          <w:rFonts w:hint="eastAsia" w:ascii="宋体" w:hAnsi="宋体" w:eastAsia="宋体" w:cs="宋体"/>
          <w:b/>
          <w:bCs/>
          <w:color w:val="auto"/>
          <w:position w:val="0"/>
          <w:sz w:val="24"/>
          <w:szCs w:val="24"/>
        </w:rPr>
      </w:pPr>
      <w:r>
        <w:rPr>
          <w:rFonts w:hint="eastAsia" w:ascii="宋体" w:hAnsi="宋体" w:eastAsia="宋体" w:cs="宋体"/>
          <w:b/>
          <w:bCs/>
          <w:color w:val="auto"/>
          <w:position w:val="0"/>
          <w:sz w:val="24"/>
          <w:szCs w:val="24"/>
        </w:rPr>
        <w:t>附：委托代理人的身份证</w:t>
      </w:r>
      <w:r>
        <w:rPr>
          <w:rFonts w:hint="eastAsia" w:ascii="宋体" w:hAnsi="宋体" w:eastAsia="宋体" w:cs="宋体"/>
          <w:b/>
          <w:bCs/>
          <w:color w:val="auto"/>
          <w:position w:val="0"/>
          <w:sz w:val="24"/>
          <w:szCs w:val="24"/>
          <w:lang w:eastAsia="zh-CN"/>
        </w:rPr>
        <w:t>正反面</w:t>
      </w:r>
    </w:p>
    <w:p>
      <w:pPr>
        <w:pStyle w:val="10"/>
        <w:numPr>
          <w:ilvl w:val="0"/>
          <w:numId w:val="0"/>
        </w:numPr>
        <w:autoSpaceDE w:val="0"/>
        <w:autoSpaceDN w:val="0"/>
        <w:spacing w:before="6"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3868"/>
          <w:tab w:val="left" w:pos="6147"/>
        </w:tabs>
        <w:autoSpaceDE w:val="0"/>
        <w:autoSpaceDN w:val="0"/>
        <w:spacing w:before="74" w:after="160" w:line="240" w:lineRule="auto"/>
        <w:ind w:left="2548" w:right="0" w:firstLine="0"/>
        <w:jc w:val="left"/>
        <w:rPr>
          <w:rFonts w:hint="eastAsia" w:ascii="宋体" w:hAnsi="宋体" w:eastAsia="宋体" w:cs="宋体"/>
          <w:color w:val="auto"/>
          <w:position w:val="0"/>
          <w:sz w:val="24"/>
          <w:szCs w:val="24"/>
        </w:rPr>
      </w:pPr>
    </w:p>
    <w:p>
      <w:pPr>
        <w:pStyle w:val="10"/>
        <w:numPr>
          <w:ilvl w:val="0"/>
          <w:numId w:val="0"/>
        </w:numPr>
        <w:tabs>
          <w:tab w:val="left" w:pos="3868"/>
          <w:tab w:val="left" w:pos="6147"/>
        </w:tabs>
        <w:autoSpaceDE w:val="0"/>
        <w:autoSpaceDN w:val="0"/>
        <w:spacing w:before="74" w:after="160" w:line="240" w:lineRule="auto"/>
        <w:ind w:left="254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（全称）（盖章）</w:t>
      </w:r>
      <w:r>
        <w:rPr>
          <w:rFonts w:hint="eastAsia" w:ascii="宋体" w:hAnsi="宋体" w:eastAsia="宋体" w:cs="宋体"/>
          <w:color w:val="auto"/>
          <w:position w:val="0"/>
          <w:sz w:val="24"/>
          <w:szCs w:val="24"/>
          <w:u w:val="single"/>
        </w:rPr>
        <w:tab/>
      </w:r>
    </w:p>
    <w:p>
      <w:pPr>
        <w:pStyle w:val="10"/>
        <w:numPr>
          <w:ilvl w:val="0"/>
          <w:numId w:val="0"/>
        </w:numPr>
        <w:tabs>
          <w:tab w:val="left" w:pos="9207"/>
        </w:tabs>
        <w:autoSpaceDE w:val="0"/>
        <w:autoSpaceDN w:val="0"/>
        <w:spacing w:before="113" w:after="160" w:line="240" w:lineRule="auto"/>
        <w:ind w:left="2548" w:right="676"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法</w:t>
      </w:r>
      <w:r>
        <w:rPr>
          <w:rFonts w:hint="eastAsia" w:ascii="宋体" w:hAnsi="宋体" w:eastAsia="宋体" w:cs="宋体"/>
          <w:color w:val="auto"/>
          <w:position w:val="0"/>
          <w:sz w:val="24"/>
          <w:szCs w:val="24"/>
        </w:rPr>
        <w:t>定代表人（或分支机构负责人）签字或盖章：</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身份证号码：</w:t>
      </w:r>
    </w:p>
    <w:p>
      <w:pPr>
        <w:pStyle w:val="10"/>
        <w:numPr>
          <w:ilvl w:val="0"/>
          <w:numId w:val="0"/>
        </w:numPr>
        <w:tabs>
          <w:tab w:val="left" w:pos="7167"/>
        </w:tabs>
        <w:autoSpaceDE w:val="0"/>
        <w:autoSpaceDN w:val="0"/>
        <w:spacing w:before="0" w:after="160" w:line="240" w:lineRule="auto"/>
        <w:ind w:left="2548" w:right="2716"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1"/>
          <w:position w:val="0"/>
          <w:sz w:val="24"/>
          <w:szCs w:val="24"/>
        </w:rPr>
        <w:t>委</w:t>
      </w:r>
      <w:r>
        <w:rPr>
          <w:rFonts w:hint="eastAsia" w:ascii="宋体" w:hAnsi="宋体" w:eastAsia="宋体" w:cs="宋体"/>
          <w:color w:val="auto"/>
          <w:position w:val="0"/>
          <w:sz w:val="24"/>
          <w:szCs w:val="24"/>
        </w:rPr>
        <w:t>托代理人签字：</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身份证号码：</w:t>
      </w:r>
    </w:p>
    <w:p>
      <w:pPr>
        <w:pStyle w:val="10"/>
        <w:numPr>
          <w:ilvl w:val="0"/>
          <w:numId w:val="0"/>
        </w:numPr>
        <w:tabs>
          <w:tab w:val="left" w:pos="6787"/>
        </w:tabs>
        <w:autoSpaceDE w:val="0"/>
        <w:autoSpaceDN w:val="0"/>
        <w:spacing w:before="0" w:after="160" w:line="240" w:lineRule="auto"/>
        <w:ind w:left="482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授权日期</w:t>
      </w:r>
      <w:r>
        <w:rPr>
          <w:rFonts w:hint="eastAsia" w:ascii="宋体" w:hAnsi="宋体" w:eastAsia="宋体" w:cs="宋体"/>
          <w:color w:val="auto"/>
          <w:spacing w:val="6"/>
          <w:position w:val="0"/>
          <w:sz w:val="24"/>
          <w:szCs w:val="24"/>
        </w:rPr>
        <w:t>：</w:t>
      </w:r>
      <w:r>
        <w:rPr>
          <w:rFonts w:hint="eastAsia" w:ascii="宋体" w:hAnsi="宋体" w:eastAsia="宋体" w:cs="宋体"/>
          <w:color w:val="auto"/>
          <w:spacing w:val="6"/>
          <w:position w:val="0"/>
          <w:sz w:val="24"/>
          <w:szCs w:val="24"/>
          <w:u w:val="single"/>
        </w:rPr>
        <w:tab/>
      </w:r>
      <w:r>
        <w:rPr>
          <w:rFonts w:hint="eastAsia" w:ascii="宋体" w:hAnsi="宋体" w:eastAsia="宋体" w:cs="宋体"/>
          <w:color w:val="auto"/>
          <w:spacing w:val="20"/>
          <w:position w:val="0"/>
          <w:sz w:val="24"/>
          <w:szCs w:val="24"/>
        </w:rPr>
        <w:t>年</w:t>
      </w:r>
      <w:r>
        <w:rPr>
          <w:rFonts w:hint="eastAsia" w:ascii="宋体" w:hAnsi="宋体" w:eastAsia="宋体" w:cs="宋体"/>
          <w:color w:val="auto"/>
          <w:spacing w:val="20"/>
          <w:position w:val="0"/>
          <w:sz w:val="24"/>
          <w:szCs w:val="24"/>
          <w:u w:val="single"/>
          <w:lang w:val="en-US" w:eastAsia="zh-CN"/>
        </w:rPr>
        <w:t xml:space="preserve">  </w:t>
      </w:r>
      <w:r>
        <w:rPr>
          <w:rFonts w:hint="eastAsia" w:ascii="宋体" w:hAnsi="宋体" w:eastAsia="宋体" w:cs="宋体"/>
          <w:color w:val="auto"/>
          <w:spacing w:val="19"/>
          <w:position w:val="0"/>
          <w:sz w:val="24"/>
          <w:szCs w:val="24"/>
        </w:rPr>
        <w:t>月</w:t>
      </w:r>
      <w:r>
        <w:rPr>
          <w:rFonts w:hint="eastAsia" w:ascii="宋体" w:hAnsi="宋体" w:eastAsia="宋体" w:cs="宋体"/>
          <w:color w:val="auto"/>
          <w:spacing w:val="19"/>
          <w:position w:val="0"/>
          <w:sz w:val="24"/>
          <w:szCs w:val="24"/>
          <w:u w:val="single"/>
          <w:lang w:val="en-US" w:eastAsia="zh-CN"/>
        </w:rPr>
        <w:t xml:space="preserve">   </w:t>
      </w:r>
      <w:r>
        <w:rPr>
          <w:rFonts w:hint="eastAsia" w:ascii="宋体" w:hAnsi="宋体" w:eastAsia="宋体" w:cs="宋体"/>
          <w:color w:val="auto"/>
          <w:position w:val="0"/>
          <w:sz w:val="24"/>
          <w:szCs w:val="24"/>
        </w:rPr>
        <w:t>日</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numPr>
          <w:ilvl w:val="0"/>
          <w:numId w:val="0"/>
        </w:numPr>
        <w:autoSpaceDE w:val="0"/>
        <w:autoSpaceDN w:val="0"/>
        <w:spacing w:before="179" w:after="160" w:line="240" w:lineRule="auto"/>
        <w:ind w:right="598"/>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w:t>
      </w:r>
      <w:r>
        <w:rPr>
          <w:rFonts w:hint="eastAsia" w:ascii="宋体" w:hAnsi="宋体" w:eastAsia="宋体" w:cs="宋体"/>
          <w:color w:val="auto"/>
          <w:position w:val="0"/>
          <w:sz w:val="24"/>
          <w:szCs w:val="24"/>
          <w:lang w:val="en-US" w:eastAsia="zh-CN"/>
        </w:rPr>
        <w:t>1.</w:t>
      </w:r>
      <w:r>
        <w:rPr>
          <w:rFonts w:hint="eastAsia" w:ascii="宋体" w:hAnsi="宋体" w:eastAsia="宋体" w:cs="宋体"/>
          <w:color w:val="auto"/>
          <w:position w:val="0"/>
          <w:sz w:val="24"/>
          <w:szCs w:val="24"/>
        </w:rPr>
        <w:t>法定代表人签字或盖章必须是亲笔签名或相关主管行政部门备案的法定代表人印章。不得使用其他印章或是电子版签名。</w:t>
      </w:r>
    </w:p>
    <w:p>
      <w:pPr>
        <w:pStyle w:val="19"/>
        <w:numPr>
          <w:ilvl w:val="0"/>
          <w:numId w:val="0"/>
        </w:numPr>
        <w:tabs>
          <w:tab w:val="left" w:pos="1018"/>
        </w:tabs>
        <w:autoSpaceDE w:val="0"/>
        <w:autoSpaceDN w:val="0"/>
        <w:bidi w:val="0"/>
        <w:spacing w:before="0" w:after="160" w:line="240" w:lineRule="auto"/>
        <w:ind w:right="0" w:rightChars="0" w:firstLine="480" w:firstLineChars="20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val="en-US" w:eastAsia="zh-CN"/>
        </w:rPr>
        <w:t>2.</w:t>
      </w:r>
      <w:r>
        <w:rPr>
          <w:rFonts w:hint="eastAsia" w:ascii="宋体" w:hAnsi="宋体" w:eastAsia="宋体" w:cs="宋体"/>
          <w:color w:val="auto"/>
          <w:position w:val="0"/>
          <w:sz w:val="24"/>
          <w:szCs w:val="24"/>
        </w:rPr>
        <w:t>本授权书原件一式两份，一份密封封装在投标文件正本中，一份现场查验。</w:t>
      </w:r>
    </w:p>
    <w:p>
      <w:pPr>
        <w:pStyle w:val="19"/>
        <w:keepNext w:val="0"/>
        <w:keepLines w:val="0"/>
        <w:pageBreakBefore w:val="0"/>
        <w:widowControl/>
        <w:numPr>
          <w:ilvl w:val="0"/>
          <w:numId w:val="0"/>
        </w:numPr>
        <w:tabs>
          <w:tab w:val="left" w:pos="1020"/>
        </w:tabs>
        <w:kinsoku/>
        <w:wordWrap/>
        <w:overflowPunct/>
        <w:topLinePunct w:val="0"/>
        <w:autoSpaceDE w:val="0"/>
        <w:autoSpaceDN w:val="0"/>
        <w:bidi w:val="0"/>
        <w:adjustRightInd/>
        <w:snapToGrid/>
        <w:spacing w:line="240" w:lineRule="auto"/>
        <w:ind w:right="0" w:rightChars="0" w:firstLine="480" w:firstLineChars="200"/>
        <w:jc w:val="left"/>
        <w:textAlignment w:val="auto"/>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r>
        <w:rPr>
          <w:rFonts w:hint="eastAsia" w:ascii="宋体" w:hAnsi="宋体" w:eastAsia="宋体" w:cs="宋体"/>
          <w:color w:val="auto"/>
          <w:position w:val="0"/>
          <w:sz w:val="24"/>
          <w:szCs w:val="24"/>
          <w:lang w:val="en-US" w:eastAsia="zh-CN"/>
        </w:rPr>
        <w:t>3.</w:t>
      </w:r>
      <w:r>
        <w:rPr>
          <w:rFonts w:hint="eastAsia" w:ascii="宋体" w:hAnsi="宋体" w:eastAsia="宋体" w:cs="宋体"/>
          <w:color w:val="auto"/>
          <w:position w:val="0"/>
          <w:sz w:val="24"/>
          <w:szCs w:val="24"/>
        </w:rPr>
        <w:t>投标人的委托代理人作为公司的代表前来参加投标的投标人，开标现场须提供此项证明文件。</w:t>
      </w:r>
    </w:p>
    <w:p>
      <w:pPr>
        <w:pStyle w:val="7"/>
        <w:numPr>
          <w:ilvl w:val="0"/>
          <w:numId w:val="0"/>
        </w:numPr>
        <w:autoSpaceDE w:val="0"/>
        <w:autoSpaceDN w:val="0"/>
        <w:spacing w:before="236" w:after="160" w:line="240" w:lineRule="auto"/>
        <w:ind w:right="209" w:firstLine="0"/>
        <w:jc w:val="center"/>
        <w:outlineLvl w:val="3"/>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（三）开标一览表</w:t>
      </w:r>
    </w:p>
    <w:p>
      <w:pPr>
        <w:pStyle w:val="10"/>
        <w:numPr>
          <w:ilvl w:val="0"/>
          <w:numId w:val="0"/>
        </w:numPr>
        <w:autoSpaceDE w:val="0"/>
        <w:autoSpaceDN w:val="0"/>
        <w:spacing w:before="12"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tabs>
          <w:tab w:val="left" w:pos="5188"/>
        </w:tabs>
        <w:autoSpaceDE w:val="0"/>
        <w:autoSpaceDN w:val="0"/>
        <w:spacing w:before="0" w:after="2"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项目名称：</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项目编号：</w:t>
      </w:r>
    </w:p>
    <w:tbl>
      <w:tblPr>
        <w:tblStyle w:val="16"/>
        <w:tblW w:w="9039" w:type="dxa"/>
        <w:tblInd w:w="3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3152"/>
        <w:gridCol w:w="4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300" w:type="dxa"/>
            <w:noWrap w:val="0"/>
            <w:vAlign w:val="top"/>
          </w:tcPr>
          <w:p>
            <w:pPr>
              <w:pStyle w:val="18"/>
              <w:numPr>
                <w:ilvl w:val="0"/>
                <w:numId w:val="0"/>
              </w:numPr>
              <w:autoSpaceDE w:val="0"/>
              <w:autoSpaceDN w:val="0"/>
              <w:spacing w:before="195" w:after="160" w:line="240" w:lineRule="auto"/>
              <w:ind w:left="400" w:right="369"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序号</w:t>
            </w:r>
          </w:p>
        </w:tc>
        <w:tc>
          <w:tcPr>
            <w:tcW w:w="3152" w:type="dxa"/>
            <w:noWrap w:val="0"/>
            <w:vAlign w:val="top"/>
          </w:tcPr>
          <w:p>
            <w:pPr>
              <w:pStyle w:val="18"/>
              <w:numPr>
                <w:ilvl w:val="0"/>
                <w:numId w:val="0"/>
              </w:numPr>
              <w:autoSpaceDE w:val="0"/>
              <w:autoSpaceDN w:val="0"/>
              <w:spacing w:before="195" w:after="160" w:line="240" w:lineRule="auto"/>
              <w:ind w:left="595" w:right="586"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项目</w:t>
            </w:r>
          </w:p>
        </w:tc>
        <w:tc>
          <w:tcPr>
            <w:tcW w:w="4587" w:type="dxa"/>
            <w:noWrap w:val="0"/>
            <w:vAlign w:val="top"/>
          </w:tcPr>
          <w:p>
            <w:pPr>
              <w:pStyle w:val="18"/>
              <w:numPr>
                <w:ilvl w:val="0"/>
                <w:numId w:val="0"/>
              </w:numPr>
              <w:autoSpaceDE w:val="0"/>
              <w:autoSpaceDN w:val="0"/>
              <w:spacing w:before="10"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0" w:after="160" w:line="240" w:lineRule="auto"/>
              <w:ind w:left="1672" w:right="1664"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130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201" w:after="160" w:line="240" w:lineRule="auto"/>
              <w:ind w:left="74"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w:t>
            </w:r>
          </w:p>
        </w:tc>
        <w:tc>
          <w:tcPr>
            <w:tcW w:w="3152"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201" w:after="160" w:line="240" w:lineRule="auto"/>
              <w:ind w:left="595" w:right="586"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投标总报价（元）</w:t>
            </w:r>
          </w:p>
        </w:tc>
        <w:tc>
          <w:tcPr>
            <w:tcW w:w="4587" w:type="dxa"/>
            <w:noWrap w:val="0"/>
            <w:vAlign w:val="top"/>
          </w:tcPr>
          <w:p>
            <w:pPr>
              <w:pStyle w:val="18"/>
              <w:numPr>
                <w:ilvl w:val="0"/>
                <w:numId w:val="0"/>
              </w:numPr>
              <w:autoSpaceDE w:val="0"/>
              <w:autoSpaceDN w:val="0"/>
              <w:spacing w:before="10"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tabs>
                <w:tab w:val="left" w:pos="3468"/>
              </w:tabs>
              <w:autoSpaceDE w:val="0"/>
              <w:autoSpaceDN w:val="0"/>
              <w:spacing w:before="0" w:after="160" w:line="312" w:lineRule="auto"/>
              <w:ind w:left="108" w:right="866"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小写：</w:t>
            </w:r>
            <w:r>
              <w:rPr>
                <w:rFonts w:hint="eastAsia" w:ascii="宋体" w:hAnsi="宋体" w:eastAsia="宋体" w:cs="宋体"/>
                <w:color w:val="auto"/>
                <w:position w:val="0"/>
                <w:sz w:val="24"/>
                <w:szCs w:val="24"/>
                <w:u w:val="single"/>
              </w:rPr>
              <w:tab/>
            </w:r>
            <w:r>
              <w:rPr>
                <w:rFonts w:hint="eastAsia" w:ascii="宋体" w:hAnsi="宋体" w:eastAsia="宋体" w:cs="宋体"/>
                <w:color w:val="auto"/>
                <w:spacing w:val="-17"/>
                <w:position w:val="0"/>
                <w:sz w:val="24"/>
                <w:szCs w:val="24"/>
              </w:rPr>
              <w:t>；</w:t>
            </w:r>
            <w:r>
              <w:rPr>
                <w:rFonts w:hint="eastAsia" w:ascii="宋体" w:hAnsi="宋体" w:eastAsia="宋体" w:cs="宋体"/>
                <w:color w:val="auto"/>
                <w:position w:val="0"/>
                <w:sz w:val="24"/>
                <w:szCs w:val="24"/>
              </w:rPr>
              <w:t>大写：</w:t>
            </w:r>
            <w:r>
              <w:rPr>
                <w:rFonts w:hint="eastAsia" w:ascii="宋体" w:hAnsi="宋体" w:eastAsia="宋体" w:cs="宋体"/>
                <w:color w:val="auto"/>
                <w:position w:val="0"/>
                <w:sz w:val="24"/>
                <w:szCs w:val="24"/>
                <w:u w:val="single"/>
              </w:rPr>
              <w:tab/>
            </w:r>
            <w:r>
              <w:rPr>
                <w:rFonts w:hint="eastAsia" w:ascii="宋体" w:hAnsi="宋体" w:eastAsia="宋体" w:cs="宋体"/>
                <w:color w:val="auto"/>
                <w:spacing w:val="-17"/>
                <w:positio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9039" w:type="dxa"/>
            <w:gridSpan w:val="3"/>
            <w:noWrap w:val="0"/>
            <w:vAlign w:val="top"/>
          </w:tcPr>
          <w:p>
            <w:pPr>
              <w:pStyle w:val="18"/>
              <w:numPr>
                <w:ilvl w:val="0"/>
                <w:numId w:val="0"/>
              </w:numPr>
              <w:autoSpaceDE w:val="0"/>
              <w:autoSpaceDN w:val="0"/>
              <w:spacing w:before="3"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0" w:after="160" w:line="240" w:lineRule="auto"/>
              <w:ind w:left="1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lang w:eastAsia="zh-CN"/>
              </w:rPr>
              <w:t>服务期限</w:t>
            </w:r>
            <w:r>
              <w:rPr>
                <w:rFonts w:hint="eastAsia" w:ascii="宋体" w:hAnsi="宋体" w:eastAsia="宋体" w:cs="宋体"/>
                <w:color w:val="auto"/>
                <w:positio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9039" w:type="dxa"/>
            <w:gridSpan w:val="3"/>
            <w:noWrap w:val="0"/>
            <w:vAlign w:val="top"/>
          </w:tcPr>
          <w:p>
            <w:pPr>
              <w:pStyle w:val="18"/>
              <w:numPr>
                <w:ilvl w:val="0"/>
                <w:numId w:val="0"/>
              </w:numPr>
              <w:autoSpaceDE w:val="0"/>
              <w:autoSpaceDN w:val="0"/>
              <w:spacing w:before="3"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0" w:after="160" w:line="240" w:lineRule="auto"/>
              <w:ind w:left="1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备注：</w:t>
            </w:r>
          </w:p>
        </w:tc>
      </w:tr>
    </w:tbl>
    <w:p>
      <w:pPr>
        <w:numPr>
          <w:ilvl w:val="0"/>
          <w:numId w:val="0"/>
        </w:numPr>
        <w:autoSpaceDE w:val="0"/>
        <w:autoSpaceDN w:val="0"/>
        <w:spacing w:before="1" w:after="160" w:line="240" w:lineRule="auto"/>
        <w:ind w:left="388" w:right="0" w:firstLine="0"/>
        <w:jc w:val="left"/>
        <w:rPr>
          <w:rFonts w:hint="eastAsia" w:ascii="宋体" w:hAnsi="宋体" w:eastAsia="宋体" w:cs="宋体"/>
          <w:color w:val="auto"/>
          <w:position w:val="0"/>
          <w:sz w:val="24"/>
          <w:szCs w:val="24"/>
        </w:rPr>
      </w:pPr>
    </w:p>
    <w:p>
      <w:pPr>
        <w:numPr>
          <w:ilvl w:val="0"/>
          <w:numId w:val="0"/>
        </w:numPr>
        <w:autoSpaceDE w:val="0"/>
        <w:autoSpaceDN w:val="0"/>
        <w:spacing w:before="1" w:after="160"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注：1.表中大小写不一致时，以大写为准。</w:t>
      </w:r>
    </w:p>
    <w:p>
      <w:pPr>
        <w:pStyle w:val="19"/>
        <w:numPr>
          <w:ilvl w:val="0"/>
          <w:numId w:val="26"/>
        </w:numPr>
        <w:tabs>
          <w:tab w:val="left" w:pos="1020"/>
        </w:tabs>
        <w:autoSpaceDE w:val="0"/>
        <w:autoSpaceDN w:val="0"/>
        <w:bidi w:val="0"/>
        <w:spacing w:before="2" w:after="160" w:line="240" w:lineRule="auto"/>
        <w:ind w:left="388" w:right="677" w:firstLine="4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此表一式两份，一份用信封单独密封，另一份装订在响应文件正本中，两个表须内容必须一致。</w:t>
      </w:r>
    </w:p>
    <w:p>
      <w:pPr>
        <w:pStyle w:val="19"/>
        <w:numPr>
          <w:ilvl w:val="0"/>
          <w:numId w:val="26"/>
        </w:numPr>
        <w:tabs>
          <w:tab w:val="left" w:pos="1020"/>
        </w:tabs>
        <w:autoSpaceDE w:val="0"/>
        <w:autoSpaceDN w:val="0"/>
        <w:bidi w:val="0"/>
        <w:spacing w:before="0" w:after="160" w:line="240" w:lineRule="auto"/>
        <w:ind w:left="1019" w:right="0" w:hanging="21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投标报价为完成本次采购项目内的所有内容的一切相关费用（含运输费、安装调试费、培训费、税费等）。可根据需要附报价明细。</w:t>
      </w:r>
    </w:p>
    <w:p>
      <w:pPr>
        <w:pStyle w:val="19"/>
        <w:numPr>
          <w:ilvl w:val="0"/>
          <w:numId w:val="26"/>
        </w:numPr>
        <w:tabs>
          <w:tab w:val="left" w:pos="1020"/>
        </w:tabs>
        <w:autoSpaceDE w:val="0"/>
        <w:autoSpaceDN w:val="0"/>
        <w:bidi w:val="0"/>
        <w:spacing w:before="5" w:after="160" w:line="240" w:lineRule="auto"/>
        <w:ind w:left="1019" w:right="0" w:hanging="212"/>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本表中“投标总报价”必须与《投标函》中的“投标总报价”均保持一致，如不一致，以《开标一览表》为准。</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6151"/>
          <w:tab w:val="left" w:pos="6628"/>
          <w:tab w:val="left" w:pos="8907"/>
        </w:tabs>
        <w:autoSpaceDE w:val="0"/>
        <w:autoSpaceDN w:val="0"/>
        <w:spacing w:before="156" w:after="160" w:line="364" w:lineRule="auto"/>
        <w:ind w:left="4588" w:right="735" w:firstLine="0"/>
        <w:jc w:val="left"/>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投标人供应商：</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（全称）（盖章）</w:t>
      </w:r>
      <w:r>
        <w:rPr>
          <w:rFonts w:hint="eastAsia" w:ascii="宋体" w:hAnsi="宋体" w:eastAsia="宋体" w:cs="宋体"/>
          <w:color w:val="auto"/>
          <w:position w:val="0"/>
          <w:sz w:val="24"/>
          <w:szCs w:val="24"/>
          <w:u w:val="single"/>
        </w:rPr>
        <w:tab/>
      </w:r>
    </w:p>
    <w:p>
      <w:pPr>
        <w:pStyle w:val="10"/>
        <w:numPr>
          <w:ilvl w:val="0"/>
          <w:numId w:val="0"/>
        </w:numPr>
        <w:tabs>
          <w:tab w:val="left" w:pos="6151"/>
          <w:tab w:val="left" w:pos="6628"/>
          <w:tab w:val="left" w:pos="8907"/>
        </w:tabs>
        <w:autoSpaceDE w:val="0"/>
        <w:autoSpaceDN w:val="0"/>
        <w:spacing w:before="156" w:after="160" w:line="364" w:lineRule="auto"/>
        <w:ind w:left="4588" w:right="735" w:firstLine="0"/>
        <w:jc w:val="left"/>
        <w:rPr>
          <w:rFonts w:hint="eastAsia" w:ascii="宋体" w:hAnsi="宋体" w:eastAsia="宋体" w:cs="宋体"/>
          <w:color w:val="auto"/>
          <w:spacing w:val="-17"/>
          <w:position w:val="0"/>
          <w:sz w:val="24"/>
          <w:szCs w:val="24"/>
          <w:u w:val="single"/>
        </w:rPr>
      </w:pPr>
      <w:r>
        <w:rPr>
          <w:rFonts w:hint="eastAsia" w:ascii="宋体" w:hAnsi="宋体" w:eastAsia="宋体" w:cs="宋体"/>
          <w:color w:val="auto"/>
          <w:position w:val="0"/>
          <w:sz w:val="24"/>
          <w:szCs w:val="24"/>
        </w:rPr>
        <w:t>法定代表人或委托代理人：</w:t>
      </w:r>
      <w:r>
        <w:rPr>
          <w:rFonts w:hint="eastAsia" w:ascii="宋体" w:hAnsi="宋体" w:eastAsia="宋体" w:cs="宋体"/>
          <w:color w:val="auto"/>
          <w:position w:val="0"/>
          <w:sz w:val="24"/>
          <w:szCs w:val="24"/>
          <w:u w:val="single"/>
        </w:rPr>
        <w:t>（签字或盖章</w:t>
      </w:r>
      <w:r>
        <w:rPr>
          <w:rFonts w:hint="eastAsia" w:ascii="宋体" w:hAnsi="宋体" w:eastAsia="宋体" w:cs="宋体"/>
          <w:color w:val="auto"/>
          <w:spacing w:val="-17"/>
          <w:position w:val="0"/>
          <w:sz w:val="24"/>
          <w:szCs w:val="24"/>
          <w:u w:val="single"/>
        </w:rPr>
        <w:t>）</w:t>
      </w:r>
    </w:p>
    <w:p>
      <w:pPr>
        <w:pStyle w:val="10"/>
        <w:numPr>
          <w:ilvl w:val="0"/>
          <w:numId w:val="0"/>
        </w:numPr>
        <w:tabs>
          <w:tab w:val="left" w:pos="6151"/>
          <w:tab w:val="left" w:pos="6628"/>
          <w:tab w:val="left" w:pos="8907"/>
        </w:tabs>
        <w:autoSpaceDE w:val="0"/>
        <w:autoSpaceDN w:val="0"/>
        <w:spacing w:before="156" w:after="160" w:line="364" w:lineRule="auto"/>
        <w:ind w:left="4588" w:right="73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日期：</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 xml:space="preserve"> 月</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 xml:space="preserve"> 日</w:t>
      </w:r>
    </w:p>
    <w:p>
      <w:pPr>
        <w:numPr>
          <w:ilvl w:val="0"/>
          <w:numId w:val="0"/>
        </w:numPr>
        <w:tabs>
          <w:tab w:val="left" w:pos="6151"/>
          <w:tab w:val="left" w:pos="6628"/>
          <w:tab w:val="left" w:pos="8907"/>
        </w:tabs>
        <w:autoSpaceDE w:val="0"/>
        <w:autoSpaceDN w:val="0"/>
        <w:spacing w:before="156" w:after="160" w:line="364" w:lineRule="auto"/>
        <w:ind w:left="4588" w:right="735" w:firstLine="0"/>
        <w:jc w:val="left"/>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p>
    <w:p>
      <w:pPr>
        <w:pStyle w:val="10"/>
        <w:numPr>
          <w:ilvl w:val="0"/>
          <w:numId w:val="0"/>
        </w:numPr>
        <w:autoSpaceDE w:val="0"/>
        <w:autoSpaceDN w:val="0"/>
        <w:spacing w:before="9" w:after="160" w:line="240" w:lineRule="auto"/>
        <w:ind w:right="0" w:firstLine="0"/>
        <w:jc w:val="left"/>
        <w:rPr>
          <w:rFonts w:hint="eastAsia" w:ascii="宋体" w:hAnsi="宋体" w:eastAsia="宋体" w:cs="宋体"/>
          <w:color w:val="auto"/>
          <w:position w:val="0"/>
          <w:sz w:val="24"/>
          <w:szCs w:val="24"/>
        </w:rPr>
      </w:pPr>
    </w:p>
    <w:p>
      <w:pPr>
        <w:pStyle w:val="7"/>
        <w:numPr>
          <w:ilvl w:val="0"/>
          <w:numId w:val="0"/>
        </w:numPr>
        <w:tabs>
          <w:tab w:val="left" w:pos="1432"/>
        </w:tabs>
        <w:autoSpaceDE w:val="0"/>
        <w:autoSpaceDN w:val="0"/>
        <w:spacing w:before="58" w:after="160" w:line="240" w:lineRule="auto"/>
        <w:ind w:right="207" w:firstLine="0"/>
        <w:jc w:val="center"/>
        <w:outlineLvl w:val="3"/>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附表3-1</w:t>
      </w:r>
      <w:r>
        <w:rPr>
          <w:rFonts w:hint="eastAsia" w:ascii="宋体" w:hAnsi="宋体" w:eastAsia="宋体" w:cs="宋体"/>
          <w:b/>
          <w:color w:val="auto"/>
          <w:position w:val="0"/>
          <w:sz w:val="24"/>
          <w:szCs w:val="24"/>
        </w:rPr>
        <w:tab/>
      </w:r>
      <w:r>
        <w:rPr>
          <w:rFonts w:hint="eastAsia" w:ascii="宋体" w:hAnsi="宋体" w:eastAsia="宋体" w:cs="宋体"/>
          <w:b/>
          <w:color w:val="auto"/>
          <w:position w:val="0"/>
          <w:sz w:val="24"/>
          <w:szCs w:val="24"/>
        </w:rPr>
        <w:t>报价明细表（如有）</w:t>
      </w: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tabs>
          <w:tab w:val="left" w:pos="7708"/>
        </w:tabs>
        <w:autoSpaceDE w:val="0"/>
        <w:autoSpaceDN w:val="0"/>
        <w:spacing w:before="242" w:after="2"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项目名称：</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单位：元</w:t>
      </w:r>
    </w:p>
    <w:tbl>
      <w:tblPr>
        <w:tblStyle w:val="16"/>
        <w:tblW w:w="8888"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973"/>
        <w:gridCol w:w="1146"/>
        <w:gridCol w:w="1470"/>
        <w:gridCol w:w="1365"/>
        <w:gridCol w:w="1068"/>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0" w:hRule="atLeast"/>
        </w:trPr>
        <w:tc>
          <w:tcPr>
            <w:tcW w:w="817" w:type="dxa"/>
            <w:noWrap w:val="0"/>
            <w:vAlign w:val="top"/>
          </w:tcPr>
          <w:p>
            <w:pPr>
              <w:pStyle w:val="18"/>
              <w:numPr>
                <w:ilvl w:val="0"/>
                <w:numId w:val="0"/>
              </w:numPr>
              <w:autoSpaceDE w:val="0"/>
              <w:autoSpaceDN w:val="0"/>
              <w:spacing w:before="84" w:after="160" w:line="240" w:lineRule="auto"/>
              <w:ind w:left="148" w:right="138"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序号</w:t>
            </w:r>
          </w:p>
        </w:tc>
        <w:tc>
          <w:tcPr>
            <w:tcW w:w="1973" w:type="dxa"/>
            <w:noWrap w:val="0"/>
            <w:vAlign w:val="top"/>
          </w:tcPr>
          <w:p>
            <w:pPr>
              <w:pStyle w:val="18"/>
              <w:numPr>
                <w:ilvl w:val="0"/>
                <w:numId w:val="0"/>
              </w:numPr>
              <w:autoSpaceDE w:val="0"/>
              <w:autoSpaceDN w:val="0"/>
              <w:spacing w:before="84" w:after="160" w:line="240" w:lineRule="auto"/>
              <w:ind w:right="495" w:firstLine="0"/>
              <w:jc w:val="righ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项目名称</w:t>
            </w:r>
          </w:p>
        </w:tc>
        <w:tc>
          <w:tcPr>
            <w:tcW w:w="1146" w:type="dxa"/>
            <w:noWrap w:val="0"/>
            <w:vAlign w:val="top"/>
          </w:tcPr>
          <w:p>
            <w:pPr>
              <w:pStyle w:val="18"/>
              <w:numPr>
                <w:ilvl w:val="0"/>
                <w:numId w:val="0"/>
              </w:numPr>
              <w:autoSpaceDE w:val="0"/>
              <w:autoSpaceDN w:val="0"/>
              <w:spacing w:before="84" w:after="160" w:line="240" w:lineRule="auto"/>
              <w:ind w:left="332"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单位</w:t>
            </w:r>
          </w:p>
        </w:tc>
        <w:tc>
          <w:tcPr>
            <w:tcW w:w="1470" w:type="dxa"/>
            <w:noWrap w:val="0"/>
            <w:vAlign w:val="top"/>
          </w:tcPr>
          <w:p>
            <w:pPr>
              <w:pStyle w:val="18"/>
              <w:numPr>
                <w:ilvl w:val="0"/>
                <w:numId w:val="0"/>
              </w:numPr>
              <w:autoSpaceDE w:val="0"/>
              <w:autoSpaceDN w:val="0"/>
              <w:spacing w:before="84" w:after="160" w:line="240" w:lineRule="auto"/>
              <w:ind w:left="494"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数量</w:t>
            </w:r>
          </w:p>
        </w:tc>
        <w:tc>
          <w:tcPr>
            <w:tcW w:w="1365" w:type="dxa"/>
            <w:noWrap w:val="0"/>
            <w:vAlign w:val="top"/>
          </w:tcPr>
          <w:p>
            <w:pPr>
              <w:pStyle w:val="18"/>
              <w:numPr>
                <w:ilvl w:val="0"/>
                <w:numId w:val="0"/>
              </w:numPr>
              <w:autoSpaceDE w:val="0"/>
              <w:autoSpaceDN w:val="0"/>
              <w:spacing w:before="84" w:after="160" w:line="240" w:lineRule="auto"/>
              <w:ind w:left="200"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综合单价</w:t>
            </w:r>
          </w:p>
        </w:tc>
        <w:tc>
          <w:tcPr>
            <w:tcW w:w="1068" w:type="dxa"/>
            <w:noWrap w:val="0"/>
            <w:vAlign w:val="top"/>
          </w:tcPr>
          <w:p>
            <w:pPr>
              <w:pStyle w:val="18"/>
              <w:numPr>
                <w:ilvl w:val="0"/>
                <w:numId w:val="0"/>
              </w:numPr>
              <w:autoSpaceDE w:val="0"/>
              <w:autoSpaceDN w:val="0"/>
              <w:spacing w:before="84" w:after="160" w:line="240" w:lineRule="auto"/>
              <w:ind w:left="292"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总价</w:t>
            </w:r>
          </w:p>
        </w:tc>
        <w:tc>
          <w:tcPr>
            <w:tcW w:w="1049" w:type="dxa"/>
            <w:noWrap w:val="0"/>
            <w:vAlign w:val="top"/>
          </w:tcPr>
          <w:p>
            <w:pPr>
              <w:pStyle w:val="18"/>
              <w:numPr>
                <w:ilvl w:val="0"/>
                <w:numId w:val="0"/>
              </w:numPr>
              <w:autoSpaceDE w:val="0"/>
              <w:autoSpaceDN w:val="0"/>
              <w:spacing w:before="84" w:after="160" w:line="240" w:lineRule="auto"/>
              <w:ind w:left="28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17" w:type="dxa"/>
            <w:noWrap w:val="0"/>
            <w:vAlign w:val="top"/>
          </w:tcPr>
          <w:p>
            <w:pPr>
              <w:pStyle w:val="18"/>
              <w:numPr>
                <w:ilvl w:val="0"/>
                <w:numId w:val="0"/>
              </w:numPr>
              <w:autoSpaceDE w:val="0"/>
              <w:autoSpaceDN w:val="0"/>
              <w:spacing w:before="67" w:after="160" w:line="240" w:lineRule="auto"/>
              <w:ind w:left="10"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w:t>
            </w:r>
          </w:p>
        </w:tc>
        <w:tc>
          <w:tcPr>
            <w:tcW w:w="197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1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47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6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68"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49"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17" w:type="dxa"/>
            <w:noWrap w:val="0"/>
            <w:vAlign w:val="top"/>
          </w:tcPr>
          <w:p>
            <w:pPr>
              <w:pStyle w:val="18"/>
              <w:numPr>
                <w:ilvl w:val="0"/>
                <w:numId w:val="0"/>
              </w:numPr>
              <w:autoSpaceDE w:val="0"/>
              <w:autoSpaceDN w:val="0"/>
              <w:spacing w:before="63" w:after="160" w:line="240" w:lineRule="auto"/>
              <w:ind w:left="10"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2</w:t>
            </w:r>
          </w:p>
        </w:tc>
        <w:tc>
          <w:tcPr>
            <w:tcW w:w="197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1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47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6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68"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49"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17" w:type="dxa"/>
            <w:noWrap w:val="0"/>
            <w:vAlign w:val="top"/>
          </w:tcPr>
          <w:p>
            <w:pPr>
              <w:pStyle w:val="18"/>
              <w:numPr>
                <w:ilvl w:val="0"/>
                <w:numId w:val="0"/>
              </w:numPr>
              <w:autoSpaceDE w:val="0"/>
              <w:autoSpaceDN w:val="0"/>
              <w:spacing w:before="40" w:after="160" w:line="240" w:lineRule="auto"/>
              <w:ind w:left="10"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3</w:t>
            </w:r>
          </w:p>
        </w:tc>
        <w:tc>
          <w:tcPr>
            <w:tcW w:w="197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1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47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6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68"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49"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817" w:type="dxa"/>
            <w:noWrap w:val="0"/>
            <w:vAlign w:val="top"/>
          </w:tcPr>
          <w:p>
            <w:pPr>
              <w:pStyle w:val="18"/>
              <w:numPr>
                <w:ilvl w:val="0"/>
                <w:numId w:val="0"/>
              </w:numPr>
              <w:autoSpaceDE w:val="0"/>
              <w:autoSpaceDN w:val="0"/>
              <w:spacing w:before="41" w:after="160" w:line="240" w:lineRule="auto"/>
              <w:ind w:left="10"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4</w:t>
            </w:r>
          </w:p>
        </w:tc>
        <w:tc>
          <w:tcPr>
            <w:tcW w:w="197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1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47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6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68"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49"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817" w:type="dxa"/>
            <w:noWrap w:val="0"/>
            <w:vAlign w:val="top"/>
          </w:tcPr>
          <w:p>
            <w:pPr>
              <w:pStyle w:val="18"/>
              <w:numPr>
                <w:ilvl w:val="0"/>
                <w:numId w:val="0"/>
              </w:numPr>
              <w:autoSpaceDE w:val="0"/>
              <w:autoSpaceDN w:val="0"/>
              <w:spacing w:before="39" w:after="160" w:line="240" w:lineRule="auto"/>
              <w:ind w:left="10"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tc>
        <w:tc>
          <w:tcPr>
            <w:tcW w:w="1973" w:type="dxa"/>
            <w:noWrap w:val="0"/>
            <w:vAlign w:val="top"/>
          </w:tcPr>
          <w:p>
            <w:pPr>
              <w:pStyle w:val="18"/>
              <w:numPr>
                <w:ilvl w:val="0"/>
                <w:numId w:val="0"/>
              </w:numPr>
              <w:autoSpaceDE w:val="0"/>
              <w:autoSpaceDN w:val="0"/>
              <w:spacing w:before="39" w:after="160" w:line="240" w:lineRule="auto"/>
              <w:ind w:left="8"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tc>
        <w:tc>
          <w:tcPr>
            <w:tcW w:w="11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47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6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68"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49"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17" w:type="dxa"/>
            <w:noWrap w:val="0"/>
            <w:vAlign w:val="top"/>
          </w:tcPr>
          <w:p>
            <w:pPr>
              <w:pStyle w:val="18"/>
              <w:numPr>
                <w:ilvl w:val="0"/>
                <w:numId w:val="0"/>
              </w:numPr>
              <w:autoSpaceDE w:val="0"/>
              <w:autoSpaceDN w:val="0"/>
              <w:spacing w:before="40" w:after="160" w:line="240" w:lineRule="auto"/>
              <w:ind w:left="10"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tc>
        <w:tc>
          <w:tcPr>
            <w:tcW w:w="1973" w:type="dxa"/>
            <w:noWrap w:val="0"/>
            <w:vAlign w:val="top"/>
          </w:tcPr>
          <w:p>
            <w:pPr>
              <w:pStyle w:val="18"/>
              <w:numPr>
                <w:ilvl w:val="0"/>
                <w:numId w:val="0"/>
              </w:numPr>
              <w:autoSpaceDE w:val="0"/>
              <w:autoSpaceDN w:val="0"/>
              <w:spacing w:before="40" w:after="160" w:line="240" w:lineRule="auto"/>
              <w:ind w:left="8" w:right="0"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tc>
        <w:tc>
          <w:tcPr>
            <w:tcW w:w="11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47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6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68"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49"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817"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973" w:type="dxa"/>
            <w:noWrap w:val="0"/>
            <w:vAlign w:val="top"/>
          </w:tcPr>
          <w:p>
            <w:pPr>
              <w:pStyle w:val="18"/>
              <w:numPr>
                <w:ilvl w:val="0"/>
                <w:numId w:val="0"/>
              </w:numPr>
              <w:autoSpaceDE w:val="0"/>
              <w:autoSpaceDN w:val="0"/>
              <w:spacing w:before="59" w:after="160" w:line="240" w:lineRule="auto"/>
              <w:ind w:right="451" w:firstLine="0"/>
              <w:jc w:val="right"/>
              <w:rPr>
                <w:rFonts w:hint="eastAsia" w:ascii="宋体" w:hAnsi="宋体" w:eastAsia="宋体" w:cs="宋体"/>
                <w:color w:val="auto"/>
                <w:position w:val="0"/>
                <w:sz w:val="24"/>
                <w:szCs w:val="24"/>
              </w:rPr>
            </w:pPr>
            <w:r>
              <w:rPr>
                <w:rFonts w:hint="eastAsia" w:ascii="宋体" w:hAnsi="宋体" w:eastAsia="宋体" w:cs="宋体"/>
                <w:color w:val="auto"/>
                <w:w w:val="95"/>
                <w:position w:val="0"/>
                <w:sz w:val="24"/>
                <w:szCs w:val="24"/>
              </w:rPr>
              <w:t>投标总报价</w:t>
            </w:r>
          </w:p>
        </w:tc>
        <w:tc>
          <w:tcPr>
            <w:tcW w:w="11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47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6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68"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049"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bl>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numPr>
          <w:ilvl w:val="0"/>
          <w:numId w:val="0"/>
        </w:numPr>
        <w:autoSpaceDE w:val="0"/>
        <w:autoSpaceDN w:val="0"/>
        <w:spacing w:before="201" w:after="160"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注：1. 此表中的投标总报价必须与“开标一览表”中的“投标总报价”一致。</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投标供应商：</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（全称）（盖章）</w:t>
      </w:r>
      <w:r>
        <w:rPr>
          <w:rFonts w:hint="eastAsia" w:ascii="宋体" w:hAnsi="宋体" w:eastAsia="宋体" w:cs="宋体"/>
          <w:color w:val="auto"/>
          <w:position w:val="0"/>
          <w:sz w:val="24"/>
          <w:szCs w:val="24"/>
          <w:u w:val="single"/>
        </w:rPr>
        <w:tab/>
      </w:r>
    </w:p>
    <w:p>
      <w:pPr>
        <w:pStyle w:val="10"/>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spacing w:val="-17"/>
          <w:position w:val="0"/>
          <w:sz w:val="24"/>
          <w:szCs w:val="24"/>
        </w:rPr>
      </w:pPr>
      <w:r>
        <w:rPr>
          <w:rFonts w:hint="eastAsia" w:ascii="宋体" w:hAnsi="宋体" w:eastAsia="宋体" w:cs="宋体"/>
          <w:color w:val="auto"/>
          <w:position w:val="0"/>
          <w:sz w:val="24"/>
          <w:szCs w:val="24"/>
        </w:rPr>
        <w:t>法定代表人或授权代理人：（签字或盖章</w:t>
      </w:r>
      <w:r>
        <w:rPr>
          <w:rFonts w:hint="eastAsia" w:ascii="宋体" w:hAnsi="宋体" w:eastAsia="宋体" w:cs="宋体"/>
          <w:color w:val="auto"/>
          <w:spacing w:val="-17"/>
          <w:position w:val="0"/>
          <w:sz w:val="24"/>
          <w:szCs w:val="24"/>
        </w:rPr>
        <w:t>）</w:t>
      </w:r>
    </w:p>
    <w:p>
      <w:pPr>
        <w:pStyle w:val="10"/>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日期：</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日</w:t>
      </w:r>
    </w:p>
    <w:p>
      <w:pPr>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p>
    <w:p>
      <w:pPr>
        <w:pStyle w:val="7"/>
        <w:numPr>
          <w:ilvl w:val="0"/>
          <w:numId w:val="0"/>
        </w:numPr>
        <w:autoSpaceDE w:val="0"/>
        <w:autoSpaceDN w:val="0"/>
        <w:spacing w:before="58" w:after="160" w:line="240" w:lineRule="auto"/>
        <w:ind w:right="209" w:firstLine="0"/>
        <w:jc w:val="center"/>
        <w:outlineLvl w:val="3"/>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（四）磋商保证金提交证明</w:t>
      </w:r>
    </w:p>
    <w:p>
      <w:pPr>
        <w:pStyle w:val="10"/>
        <w:numPr>
          <w:ilvl w:val="0"/>
          <w:numId w:val="0"/>
        </w:numPr>
        <w:autoSpaceDE w:val="0"/>
        <w:autoSpaceDN w:val="0"/>
        <w:spacing w:before="2" w:after="160" w:line="240" w:lineRule="auto"/>
        <w:ind w:right="0" w:firstLine="0"/>
        <w:jc w:val="left"/>
        <w:rPr>
          <w:rFonts w:hint="eastAsia" w:ascii="宋体" w:hAnsi="宋体" w:eastAsia="宋体" w:cs="宋体"/>
          <w:b/>
          <w:color w:val="auto"/>
          <w:position w:val="0"/>
          <w:sz w:val="24"/>
          <w:szCs w:val="24"/>
        </w:rPr>
      </w:pPr>
      <w:r>
        <w:rPr>
          <w:rFonts w:hint="eastAsia" w:ascii="宋体" w:hAnsi="宋体" w:eastAsia="宋体" w:cs="宋体"/>
          <w:sz w:val="24"/>
          <w:szCs w:val="24"/>
        </w:rPr>
        <mc:AlternateContent>
          <mc:Choice Requires="wpg">
            <w:drawing>
              <wp:anchor distT="0" distB="0" distL="114300" distR="114300" simplePos="0" relativeHeight="251661312" behindDoc="1" locked="0" layoutInCell="1" allowOverlap="1">
                <wp:simplePos x="0" y="0"/>
                <wp:positionH relativeFrom="page">
                  <wp:posOffset>1255395</wp:posOffset>
                </wp:positionH>
                <wp:positionV relativeFrom="paragraph">
                  <wp:posOffset>237490</wp:posOffset>
                </wp:positionV>
                <wp:extent cx="5086985" cy="2089785"/>
                <wp:effectExtent l="0" t="0" r="0" b="0"/>
                <wp:wrapTopAndBottom/>
                <wp:docPr id="176" name="组合 176"/>
                <wp:cNvGraphicFramePr/>
                <a:graphic xmlns:a="http://schemas.openxmlformats.org/drawingml/2006/main">
                  <a:graphicData uri="http://schemas.microsoft.com/office/word/2010/wordprocessingGroup">
                    <wpg:wgp>
                      <wpg:cNvGrpSpPr/>
                      <wpg:grpSpPr>
                        <a:xfrm>
                          <a:off x="0" y="0"/>
                          <a:ext cx="5086985" cy="2089785"/>
                          <a:chOff x="0" y="0"/>
                          <a:chExt cx="5087620" cy="2090419"/>
                        </a:xfrm>
                        <a:effectLst/>
                      </wpg:grpSpPr>
                      <wps:wsp>
                        <wps:cNvPr id="19" name="任意多边形 84"/>
                        <wps:cNvSpPr/>
                        <wps:spPr>
                          <a:xfrm>
                            <a:off x="635" y="0"/>
                            <a:ext cx="5086350" cy="4445"/>
                          </a:xfrm>
                          <a:custGeom>
                            <a:avLst/>
                            <a:gdLst>
                              <a:gd name="TX0" fmla="*/ 8011 w 8011"/>
                              <a:gd name="TY0" fmla="*/ 3291 h 3291"/>
                              <a:gd name="TX1" fmla="*/ 0 w 8011"/>
                              <a:gd name="TY1" fmla="*/ 3291 h 3291"/>
                              <a:gd name="TX2" fmla="*/ 0 w 8011"/>
                              <a:gd name="TY2" fmla="*/ 0 h 3291"/>
                              <a:gd name="TX3" fmla="*/ 8011 w 8011"/>
                              <a:gd name="TY3" fmla="*/ 0 h 3291"/>
                              <a:gd name="TX4" fmla="*/ 8011 w 8011"/>
                              <a:gd name="TY4" fmla="*/ 7 h 3291"/>
                              <a:gd name="TX5" fmla="*/ 15 w 8011"/>
                              <a:gd name="TY5" fmla="*/ 7 h 3291"/>
                              <a:gd name="TX6" fmla="*/ 7 w 8011"/>
                              <a:gd name="TY6" fmla="*/ 15 h 3291"/>
                              <a:gd name="TX7" fmla="*/ 15 w 8011"/>
                              <a:gd name="TY7" fmla="*/ 15 h 3291"/>
                              <a:gd name="TX8" fmla="*/ 15 w 8011"/>
                              <a:gd name="TY8" fmla="*/ 3276 h 3291"/>
                              <a:gd name="TX9" fmla="*/ 7 w 8011"/>
                              <a:gd name="TY9" fmla="*/ 3276 h 3291"/>
                              <a:gd name="TX10" fmla="*/ 15 w 8011"/>
                              <a:gd name="TY10" fmla="*/ 3283 h 3291"/>
                              <a:gd name="TX11" fmla="*/ 8011 w 8011"/>
                              <a:gd name="TY11" fmla="*/ 3283 h 3291"/>
                              <a:gd name="TX12" fmla="*/ 8011 w 8011"/>
                              <a:gd name="TY12" fmla="*/ 3291 h 3291"/>
                              <a:gd name="TX14" fmla="*/ 15 w 8011"/>
                              <a:gd name="TY14" fmla="*/ 15 h 3291"/>
                              <a:gd name="TX15" fmla="*/ 7 w 8011"/>
                              <a:gd name="TY15" fmla="*/ 15 h 3291"/>
                              <a:gd name="TX16" fmla="*/ 15 w 8011"/>
                              <a:gd name="TY16" fmla="*/ 7 h 3291"/>
                              <a:gd name="TX17" fmla="*/ 15 w 8011"/>
                              <a:gd name="TY17" fmla="*/ 15 h 3291"/>
                              <a:gd name="TX19" fmla="*/ 7996 w 8011"/>
                              <a:gd name="TY19" fmla="*/ 15 h 3291"/>
                              <a:gd name="TX20" fmla="*/ 15 w 8011"/>
                              <a:gd name="TY20" fmla="*/ 15 h 3291"/>
                              <a:gd name="TX21" fmla="*/ 15 w 8011"/>
                              <a:gd name="TY21" fmla="*/ 7 h 3291"/>
                              <a:gd name="TX22" fmla="*/ 7996 w 8011"/>
                              <a:gd name="TY22" fmla="*/ 7 h 3291"/>
                              <a:gd name="TX23" fmla="*/ 7996 w 8011"/>
                              <a:gd name="TY23" fmla="*/ 15 h 3291"/>
                              <a:gd name="TX25" fmla="*/ 7996 w 8011"/>
                              <a:gd name="TY25" fmla="*/ 3283 h 3291"/>
                              <a:gd name="TX26" fmla="*/ 7996 w 8011"/>
                              <a:gd name="TY26" fmla="*/ 7 h 3291"/>
                              <a:gd name="TX27" fmla="*/ 8003 w 8011"/>
                              <a:gd name="TY27" fmla="*/ 15 h 3291"/>
                              <a:gd name="TX28" fmla="*/ 8011 w 8011"/>
                              <a:gd name="TY28" fmla="*/ 15 h 3291"/>
                              <a:gd name="TX29" fmla="*/ 8011 w 8011"/>
                              <a:gd name="TY29" fmla="*/ 3276 h 3291"/>
                              <a:gd name="TX30" fmla="*/ 8003 w 8011"/>
                              <a:gd name="TY30" fmla="*/ 3276 h 3291"/>
                              <a:gd name="TX31" fmla="*/ 7996 w 8011"/>
                              <a:gd name="TY31" fmla="*/ 3283 h 3291"/>
                              <a:gd name="TX33" fmla="*/ 8011 w 8011"/>
                              <a:gd name="TY33" fmla="*/ 15 h 3291"/>
                              <a:gd name="TX34" fmla="*/ 8003 w 8011"/>
                              <a:gd name="TY34" fmla="*/ 15 h 3291"/>
                              <a:gd name="TX35" fmla="*/ 7996 w 8011"/>
                              <a:gd name="TY35" fmla="*/ 7 h 3291"/>
                              <a:gd name="TX36" fmla="*/ 8011 w 8011"/>
                              <a:gd name="TY36" fmla="*/ 7 h 3291"/>
                              <a:gd name="TX37" fmla="*/ 8011 w 8011"/>
                              <a:gd name="TY37" fmla="*/ 15 h 3291"/>
                              <a:gd name="TX39" fmla="*/ 15 w 8011"/>
                              <a:gd name="TY39" fmla="*/ 3283 h 3291"/>
                              <a:gd name="TX40" fmla="*/ 7 w 8011"/>
                              <a:gd name="TY40" fmla="*/ 3276 h 3291"/>
                              <a:gd name="TX41" fmla="*/ 15 w 8011"/>
                              <a:gd name="TY41" fmla="*/ 3276 h 3291"/>
                              <a:gd name="TX42" fmla="*/ 15 w 8011"/>
                              <a:gd name="TY42" fmla="*/ 3283 h 3291"/>
                              <a:gd name="TX44" fmla="*/ 7996 w 8011"/>
                              <a:gd name="TY44" fmla="*/ 3283 h 3291"/>
                              <a:gd name="TX45" fmla="*/ 15 w 8011"/>
                              <a:gd name="TY45" fmla="*/ 3283 h 3291"/>
                              <a:gd name="TX46" fmla="*/ 15 w 8011"/>
                              <a:gd name="TY46" fmla="*/ 3276 h 3291"/>
                              <a:gd name="TX47" fmla="*/ 7996 w 8011"/>
                              <a:gd name="TY47" fmla="*/ 3276 h 3291"/>
                              <a:gd name="TX48" fmla="*/ 7996 w 8011"/>
                              <a:gd name="TY48" fmla="*/ 3283 h 3291"/>
                              <a:gd name="TX50" fmla="*/ 8011 w 8011"/>
                              <a:gd name="TY50" fmla="*/ 3283 h 3291"/>
                              <a:gd name="TX51" fmla="*/ 7996 w 8011"/>
                              <a:gd name="TY51" fmla="*/ 3283 h 3291"/>
                              <a:gd name="TX52" fmla="*/ 8003 w 8011"/>
                              <a:gd name="TY52" fmla="*/ 3276 h 3291"/>
                              <a:gd name="TX53" fmla="*/ 8011 w 8011"/>
                              <a:gd name="TY53" fmla="*/ 3276 h 3291"/>
                              <a:gd name="TX54" fmla="*/ 8011 w 8011"/>
                              <a:gd name="TY54" fmla="*/ 3283 h 3291"/>
                            </a:gdLst>
                            <a:ahLst/>
                            <a:cxnLst>
                              <a:cxn ang="0">
                                <a:pos x="TX0" y="TY0"/>
                              </a:cxn>
                              <a:cxn ang="0">
                                <a:pos x="TX1" y="TY1"/>
                              </a:cxn>
                              <a:cxn ang="0">
                                <a:pos x="TX2" y="TY2"/>
                              </a:cxn>
                              <a:cxn ang="0">
                                <a:pos x="TX3" y="TY3"/>
                              </a:cxn>
                              <a:cxn ang="0">
                                <a:pos x="TX4" y="TY4"/>
                              </a:cxn>
                              <a:cxn ang="0">
                                <a:pos x="TX5" y="TY5"/>
                              </a:cxn>
                              <a:cxn ang="0">
                                <a:pos x="TX6" y="TY6"/>
                              </a:cxn>
                              <a:cxn ang="0">
                                <a:pos x="TX7" y="TY7"/>
                              </a:cxn>
                              <a:cxn ang="0">
                                <a:pos x="TX8" y="TY8"/>
                              </a:cxn>
                              <a:cxn ang="0">
                                <a:pos x="TX9" y="TY9"/>
                              </a:cxn>
                              <a:cxn ang="0">
                                <a:pos x="TX10" y="TY10"/>
                              </a:cxn>
                              <a:cxn ang="0">
                                <a:pos x="TX11" y="TY11"/>
                              </a:cxn>
                              <a:cxn ang="0">
                                <a:pos x="TX12" y="TY12"/>
                              </a:cxn>
                              <a:cxn ang="0">
                                <a:pos x="TX14" y="TY14"/>
                              </a:cxn>
                              <a:cxn ang="0">
                                <a:pos x="TX15" y="TY15"/>
                              </a:cxn>
                              <a:cxn ang="0">
                                <a:pos x="TX16" y="TY16"/>
                              </a:cxn>
                              <a:cxn ang="0">
                                <a:pos x="TX17" y="TY17"/>
                              </a:cxn>
                              <a:cxn ang="0">
                                <a:pos x="TX19" y="TY19"/>
                              </a:cxn>
                              <a:cxn ang="0">
                                <a:pos x="TX20" y="TY20"/>
                              </a:cxn>
                              <a:cxn ang="0">
                                <a:pos x="TX21" y="TY21"/>
                              </a:cxn>
                              <a:cxn ang="0">
                                <a:pos x="TX22" y="TY22"/>
                              </a:cxn>
                              <a:cxn ang="0">
                                <a:pos x="TX23" y="TY23"/>
                              </a:cxn>
                              <a:cxn ang="0">
                                <a:pos x="TX25" y="TY25"/>
                              </a:cxn>
                              <a:cxn ang="0">
                                <a:pos x="TX26" y="TY26"/>
                              </a:cxn>
                              <a:cxn ang="0">
                                <a:pos x="TX27" y="TY27"/>
                              </a:cxn>
                              <a:cxn ang="0">
                                <a:pos x="TX28" y="TY28"/>
                              </a:cxn>
                              <a:cxn ang="0">
                                <a:pos x="TX29" y="TY29"/>
                              </a:cxn>
                              <a:cxn ang="0">
                                <a:pos x="TX30" y="TY30"/>
                              </a:cxn>
                              <a:cxn ang="0">
                                <a:pos x="TX31" y="TY31"/>
                              </a:cxn>
                              <a:cxn ang="0">
                                <a:pos x="TX33" y="TY33"/>
                              </a:cxn>
                              <a:cxn ang="0">
                                <a:pos x="TX34" y="TY34"/>
                              </a:cxn>
                              <a:cxn ang="0">
                                <a:pos x="TX35" y="TY35"/>
                              </a:cxn>
                              <a:cxn ang="0">
                                <a:pos x="TX36" y="TY36"/>
                              </a:cxn>
                              <a:cxn ang="0">
                                <a:pos x="TX37" y="TY37"/>
                              </a:cxn>
                              <a:cxn ang="0">
                                <a:pos x="TX39" y="TY39"/>
                              </a:cxn>
                              <a:cxn ang="0">
                                <a:pos x="TX40" y="TY40"/>
                              </a:cxn>
                              <a:cxn ang="0">
                                <a:pos x="TX41" y="TY41"/>
                              </a:cxn>
                              <a:cxn ang="0">
                                <a:pos x="TX42" y="TY42"/>
                              </a:cxn>
                              <a:cxn ang="0">
                                <a:pos x="TX44" y="TY44"/>
                              </a:cxn>
                              <a:cxn ang="0">
                                <a:pos x="TX45" y="TY45"/>
                              </a:cxn>
                              <a:cxn ang="0">
                                <a:pos x="TX46" y="TY46"/>
                              </a:cxn>
                              <a:cxn ang="0">
                                <a:pos x="TX47" y="TY47"/>
                              </a:cxn>
                              <a:cxn ang="0">
                                <a:pos x="TX48" y="TY48"/>
                              </a:cxn>
                              <a:cxn ang="0">
                                <a:pos x="TX50" y="TY50"/>
                              </a:cxn>
                              <a:cxn ang="0">
                                <a:pos x="TX51" y="TY51"/>
                              </a:cxn>
                              <a:cxn ang="0">
                                <a:pos x="TX52" y="TY52"/>
                              </a:cxn>
                              <a:cxn ang="0">
                                <a:pos x="TX53" y="TY53"/>
                              </a:cxn>
                              <a:cxn ang="0">
                                <a:pos x="TX54" y="TY54"/>
                              </a:cxn>
                            </a:cxnLst>
                            <a:rect l="l" t="t" r="r" b="b"/>
                            <a:pathLst>
                              <a:path w="8011" h="3291">
                                <a:moveTo>
                                  <a:pt x="8011" y="3291"/>
                                </a:moveTo>
                                <a:lnTo>
                                  <a:pt x="0" y="3291"/>
                                </a:lnTo>
                                <a:lnTo>
                                  <a:pt x="0" y="0"/>
                                </a:lnTo>
                                <a:lnTo>
                                  <a:pt x="8011" y="0"/>
                                </a:lnTo>
                                <a:lnTo>
                                  <a:pt x="8011" y="7"/>
                                </a:lnTo>
                                <a:lnTo>
                                  <a:pt x="15" y="7"/>
                                </a:lnTo>
                                <a:lnTo>
                                  <a:pt x="7" y="15"/>
                                </a:lnTo>
                                <a:lnTo>
                                  <a:pt x="15" y="15"/>
                                </a:lnTo>
                                <a:lnTo>
                                  <a:pt x="15" y="3276"/>
                                </a:lnTo>
                                <a:lnTo>
                                  <a:pt x="7" y="3276"/>
                                </a:lnTo>
                                <a:lnTo>
                                  <a:pt x="15" y="3283"/>
                                </a:lnTo>
                                <a:lnTo>
                                  <a:pt x="8011" y="3283"/>
                                </a:lnTo>
                                <a:lnTo>
                                  <a:pt x="8011" y="3291"/>
                                </a:lnTo>
                                <a:close/>
                                <a:moveTo>
                                  <a:pt x="15" y="15"/>
                                </a:moveTo>
                                <a:lnTo>
                                  <a:pt x="7" y="15"/>
                                </a:lnTo>
                                <a:lnTo>
                                  <a:pt x="15" y="7"/>
                                </a:lnTo>
                                <a:lnTo>
                                  <a:pt x="15" y="15"/>
                                </a:lnTo>
                                <a:close/>
                                <a:moveTo>
                                  <a:pt x="7996" y="15"/>
                                </a:moveTo>
                                <a:lnTo>
                                  <a:pt x="15" y="15"/>
                                </a:lnTo>
                                <a:lnTo>
                                  <a:pt x="15" y="7"/>
                                </a:lnTo>
                                <a:lnTo>
                                  <a:pt x="7996" y="7"/>
                                </a:lnTo>
                                <a:lnTo>
                                  <a:pt x="7996" y="15"/>
                                </a:lnTo>
                                <a:close/>
                                <a:moveTo>
                                  <a:pt x="7996" y="3283"/>
                                </a:moveTo>
                                <a:lnTo>
                                  <a:pt x="7996" y="7"/>
                                </a:lnTo>
                                <a:lnTo>
                                  <a:pt x="8003" y="15"/>
                                </a:lnTo>
                                <a:lnTo>
                                  <a:pt x="8011" y="15"/>
                                </a:lnTo>
                                <a:lnTo>
                                  <a:pt x="8011" y="3276"/>
                                </a:lnTo>
                                <a:lnTo>
                                  <a:pt x="8003" y="3276"/>
                                </a:lnTo>
                                <a:lnTo>
                                  <a:pt x="7996" y="3283"/>
                                </a:lnTo>
                                <a:close/>
                                <a:moveTo>
                                  <a:pt x="8011" y="15"/>
                                </a:moveTo>
                                <a:lnTo>
                                  <a:pt x="8003" y="15"/>
                                </a:lnTo>
                                <a:lnTo>
                                  <a:pt x="7996" y="7"/>
                                </a:lnTo>
                                <a:lnTo>
                                  <a:pt x="8011" y="7"/>
                                </a:lnTo>
                                <a:lnTo>
                                  <a:pt x="8011" y="15"/>
                                </a:lnTo>
                                <a:close/>
                                <a:moveTo>
                                  <a:pt x="15" y="3283"/>
                                </a:moveTo>
                                <a:lnTo>
                                  <a:pt x="7" y="3276"/>
                                </a:lnTo>
                                <a:lnTo>
                                  <a:pt x="15" y="3276"/>
                                </a:lnTo>
                                <a:lnTo>
                                  <a:pt x="15" y="3283"/>
                                </a:lnTo>
                                <a:close/>
                                <a:moveTo>
                                  <a:pt x="7996" y="3283"/>
                                </a:moveTo>
                                <a:lnTo>
                                  <a:pt x="15" y="3283"/>
                                </a:lnTo>
                                <a:lnTo>
                                  <a:pt x="15" y="3276"/>
                                </a:lnTo>
                                <a:lnTo>
                                  <a:pt x="7996" y="3276"/>
                                </a:lnTo>
                                <a:lnTo>
                                  <a:pt x="7996" y="3283"/>
                                </a:lnTo>
                                <a:close/>
                                <a:moveTo>
                                  <a:pt x="8011" y="3283"/>
                                </a:moveTo>
                                <a:lnTo>
                                  <a:pt x="7996" y="3283"/>
                                </a:lnTo>
                                <a:lnTo>
                                  <a:pt x="8003" y="3276"/>
                                </a:lnTo>
                                <a:lnTo>
                                  <a:pt x="8011" y="3276"/>
                                </a:lnTo>
                                <a:lnTo>
                                  <a:pt x="8011" y="3283"/>
                                </a:lnTo>
                                <a:close/>
                              </a:path>
                            </a:pathLst>
                          </a:custGeom>
                          <a:solidFill>
                            <a:prstClr val="black"/>
                          </a:solidFill>
                          <a:ln cap="flat">
                            <a:noFill/>
                          </a:ln>
                          <a:effectLst/>
                        </wps:spPr>
                        <wps:bodyPr rot="0" spcFirstLastPara="0" vertOverflow="overflow" horzOverflow="overflow" vert="horz" wrap="square" lIns="91440" tIns="45720" rIns="91440" bIns="45720" numCol="1" spcCol="0" rtlCol="0" fromWordArt="0" anchor="ctr" anchorCtr="0" forceAA="0" upright="1" compatLnSpc="0"/>
                      </wps:wsp>
                      <wps:wsp>
                        <wps:cNvPr id="21" name="文本框 85"/>
                        <wps:cNvSpPr txBox="1"/>
                        <wps:spPr>
                          <a:xfrm>
                            <a:off x="1590675" y="1270"/>
                            <a:ext cx="1920240" cy="2540"/>
                          </a:xfrm>
                          <a:prstGeom prst="rect">
                            <a:avLst/>
                          </a:prstGeom>
                          <a:noFill/>
                          <a:ln cap="flat">
                            <a:noFill/>
                          </a:ln>
                          <a:effectLst/>
                        </wps:spPr>
                        <wps:txbx>
                          <w:txbxContent>
                            <w:p>
                              <w:pPr>
                                <w:numPr>
                                  <w:ilvl w:val="0"/>
                                  <w:numId w:val="0"/>
                                </w:numPr>
                                <w:autoSpaceDE w:val="0"/>
                                <w:autoSpaceDN w:val="0"/>
                                <w:spacing w:before="0" w:after="160" w:line="300" w:lineRule="exact"/>
                                <w:ind w:right="0" w:firstLine="0"/>
                                <w:jc w:val="left"/>
                                <w:rPr>
                                  <w:rFonts w:hint="default" w:ascii="宋体" w:hAnsi="宋体" w:eastAsia="宋体"/>
                                  <w:color w:val="auto"/>
                                  <w:position w:val="0"/>
                                  <w:sz w:val="30"/>
                                  <w:szCs w:val="30"/>
                                </w:rPr>
                              </w:pPr>
                              <w:r>
                                <w:rPr>
                                  <w:rFonts w:hint="default" w:ascii="宋体" w:hAnsi="宋体" w:eastAsia="宋体"/>
                                  <w:color w:val="auto"/>
                                  <w:position w:val="0"/>
                                  <w:sz w:val="30"/>
                                  <w:szCs w:val="30"/>
                                </w:rPr>
                                <w:t>磋商保证金收据复印件</w:t>
                              </w:r>
                            </w:p>
                          </w:txbxContent>
                        </wps:txbx>
                        <wps:bodyPr rot="0" spcFirstLastPara="0" vertOverflow="overflow" horzOverflow="overflow" vert="horz" wrap="square" lIns="0" tIns="0" rIns="0" bIns="0" numCol="1" spcCol="0" rtlCol="0" fromWordArt="0" anchor="ctr" anchorCtr="0" forceAA="0" upright="1" compatLnSpc="0"/>
                      </wps:wsp>
                    </wpg:wgp>
                  </a:graphicData>
                </a:graphic>
              </wp:anchor>
            </w:drawing>
          </mc:Choice>
          <mc:Fallback>
            <w:pict>
              <v:group id="_x0000_s1026" o:spid="_x0000_s1026" o:spt="203" style="position:absolute;left:0pt;margin-left:98.85pt;margin-top:18.7pt;height:164.55pt;width:400.55pt;mso-position-horizontal-relative:page;mso-wrap-distance-bottom:0pt;mso-wrap-distance-top:0pt;z-index:-251655168;mso-width-relative:page;mso-height-relative:page;" coordsize="5087620,2090419" o:gfxdata="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">
                <o:lock v:ext="edit" aspectratio="f"/>
                <v:shape id="任意多边形 84" o:spid="_x0000_s1026" o:spt="100" style="position:absolute;left:635;top:0;height:4445;width:5086350;v-text-anchor:middle;" fillcolor="#000000" filled="t" stroked="f" coordsize="8011,3291" o:gfxdata="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JrgqC5AAAA2wAA&#10;AA8AAAAAAAAAAQAgAAAAIgAAAGRycy9kb3ducmV2LnhtbFBLAQIUABQAAAAIAIdO4kAzLwWeOwAA&#10;ADkAAAAQAAAAAAAAAAEAIAAAAAgBAABkcnMvc2hhcGV4bWwueG1sUEsFBgAAAAAGAAYAWwEAALID&#10;AAAAAA==&#10;" path="m8011,3291l0,3291,0,0,8011,0,8011,7,15,7,7,15,15,15,15,3276,7,3276,15,3283,8011,3283,8011,3291xm15,15l7,15,15,7,15,15xm7996,15l15,15,15,7,7996,7,7996,15xm7996,3283l7996,7,8003,15,8011,15,8011,3276,8003,3276,7996,3283xm8011,15l8003,15,7996,7,8011,7,8011,15xm15,3283l7,3276,15,3276,15,3283xm7996,3283l15,3283,15,3276,7996,3276,7996,3283xm8011,3283l7996,3283,8003,3276,8011,3276,8011,3283xe">
                  <v:path o:connectlocs="5086350,4445;0,4445;0,0;5086350,0;5086350,9;9523,9;4444,20;9523,20;9523,4424;4444,4424;9523,4434;5086350,4434;5086350,4445;9523,20;4444,20;9523,9;9523,20;5076826,20;9523,20;9523,9;5076826,9;5076826,20;5076826,4434;5076826,9;5081270,20;5086350,20;5086350,4424;5081270,4424;5076826,4434;5086350,20;5081270,20;5076826,9;5086350,9;5086350,20;9523,4434;4444,4424;9523,4424;9523,4434;5076826,4434;9523,4434;9523,4424;5076826,4424;5076826,4434;5086350,4434;5076826,4434;5081270,4424;5086350,4424;5086350,4434" o:connectangles="0,0,0,0,0,0,0,0,0,0,0,0,0,0,0,0,0,0,0,0,0,0,0,0,0,0,0,0,0,0,0,0,0,0,0,0,0,0,0,0,0,0,0,0,0,0,0,0"/>
                  <v:fill on="t" focussize="0,0"/>
                  <v:stroke on="f"/>
                  <v:imagedata o:title=""/>
                  <o:lock v:ext="edit" aspectratio="f"/>
                </v:shape>
                <v:shape id="文本框 85" o:spid="_x0000_s1026" o:spt="202" type="#_x0000_t202" style="position:absolute;left:1590675;top:1270;height:2540;width:1920240;v-text-anchor:middle;" filled="f" stroked="f" coordsize="21600,21600" o:gfxdata="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FwfC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numPr>
                            <w:ilvl w:val="0"/>
                            <w:numId w:val="0"/>
                          </w:numPr>
                          <w:autoSpaceDE w:val="0"/>
                          <w:autoSpaceDN w:val="0"/>
                          <w:spacing w:before="0" w:after="160" w:line="300" w:lineRule="exact"/>
                          <w:ind w:right="0" w:firstLine="0"/>
                          <w:jc w:val="left"/>
                          <w:rPr>
                            <w:rFonts w:hint="default" w:ascii="宋体" w:hAnsi="宋体" w:eastAsia="宋体"/>
                            <w:color w:val="auto"/>
                            <w:position w:val="0"/>
                            <w:sz w:val="30"/>
                            <w:szCs w:val="30"/>
                          </w:rPr>
                        </w:pPr>
                        <w:r>
                          <w:rPr>
                            <w:rFonts w:hint="default" w:ascii="宋体" w:hAnsi="宋体" w:eastAsia="宋体"/>
                            <w:color w:val="auto"/>
                            <w:position w:val="0"/>
                            <w:sz w:val="30"/>
                            <w:szCs w:val="30"/>
                          </w:rPr>
                          <w:t>磋商保证金收据复印件</w:t>
                        </w:r>
                      </w:p>
                    </w:txbxContent>
                  </v:textbox>
                </v:shape>
                <w10:wrap type="topAndBottom"/>
              </v:group>
            </w:pict>
          </mc:Fallback>
        </mc:AlternateContent>
      </w: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2"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312" w:lineRule="auto"/>
        <w:ind w:left="398" w:right="605"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（投标人须将采购代理机构开具的财务收款收据复印件附在此处，该收款收据的原件必须在开标时提交至开标现场以备查验）</w:t>
      </w:r>
    </w:p>
    <w:p>
      <w:pPr>
        <w:pStyle w:val="10"/>
        <w:numPr>
          <w:ilvl w:val="0"/>
          <w:numId w:val="0"/>
        </w:numPr>
        <w:autoSpaceDE w:val="0"/>
        <w:autoSpaceDN w:val="0"/>
        <w:spacing w:before="4" w:after="160" w:line="240" w:lineRule="auto"/>
        <w:ind w:right="0" w:firstLine="0"/>
        <w:jc w:val="left"/>
        <w:rPr>
          <w:rFonts w:hint="eastAsia" w:ascii="宋体" w:hAnsi="宋体" w:eastAsia="宋体" w:cs="宋体"/>
          <w:color w:val="auto"/>
          <w:position w:val="0"/>
          <w:sz w:val="24"/>
          <w:szCs w:val="24"/>
        </w:rPr>
      </w:pPr>
    </w:p>
    <w:p>
      <w:pPr>
        <w:pStyle w:val="9"/>
        <w:numPr>
          <w:ilvl w:val="0"/>
          <w:numId w:val="0"/>
        </w:numPr>
        <w:autoSpaceDE w:val="0"/>
        <w:autoSpaceDN w:val="0"/>
        <w:spacing w:before="0" w:after="160" w:line="240" w:lineRule="auto"/>
        <w:ind w:right="221" w:firstLine="0"/>
        <w:jc w:val="center"/>
        <w:outlineLvl w:val="5"/>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同时在开标时，将收据原件携带至开标现场以备查验，未提供者后果自负。</w:t>
      </w:r>
    </w:p>
    <w:p>
      <w:pPr>
        <w:numPr>
          <w:ilvl w:val="0"/>
          <w:numId w:val="0"/>
        </w:numPr>
        <w:autoSpaceDE w:val="0"/>
        <w:autoSpaceDN w:val="0"/>
        <w:spacing w:before="0" w:after="160" w:line="240" w:lineRule="auto"/>
        <w:ind w:right="221" w:firstLine="0"/>
        <w:jc w:val="center"/>
        <w:outlineLvl w:val="5"/>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p>
    <w:p>
      <w:pPr>
        <w:numPr>
          <w:ilvl w:val="0"/>
          <w:numId w:val="0"/>
        </w:numPr>
        <w:autoSpaceDE w:val="0"/>
        <w:autoSpaceDN w:val="0"/>
        <w:spacing w:before="58" w:after="160" w:line="240" w:lineRule="auto"/>
        <w:ind w:right="207"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（五）投标供应商资格证明文件</w:t>
      </w:r>
    </w:p>
    <w:p>
      <w:pPr>
        <w:pStyle w:val="10"/>
        <w:numPr>
          <w:ilvl w:val="0"/>
          <w:numId w:val="0"/>
        </w:numPr>
        <w:autoSpaceDE w:val="0"/>
        <w:autoSpaceDN w:val="0"/>
        <w:spacing w:before="3" w:after="160" w:line="240" w:lineRule="auto"/>
        <w:ind w:right="0" w:firstLine="0"/>
        <w:jc w:val="left"/>
        <w:rPr>
          <w:rFonts w:hint="eastAsia" w:ascii="宋体" w:hAnsi="宋体" w:eastAsia="宋体" w:cs="宋体"/>
          <w:b/>
          <w:color w:val="auto"/>
          <w:position w:val="0"/>
          <w:sz w:val="24"/>
          <w:szCs w:val="24"/>
        </w:rPr>
      </w:pPr>
    </w:p>
    <w:p>
      <w:pPr>
        <w:numPr>
          <w:ilvl w:val="0"/>
          <w:numId w:val="0"/>
        </w:numPr>
        <w:autoSpaceDE w:val="0"/>
        <w:autoSpaceDN w:val="0"/>
        <w:spacing w:before="1" w:after="160" w:line="240" w:lineRule="auto"/>
        <w:ind w:right="207" w:firstLine="0"/>
        <w:jc w:val="center"/>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1、关于资格的声明函</w:t>
      </w: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200" w:after="160" w:line="240" w:lineRule="auto"/>
        <w:ind w:left="8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致：</w:t>
      </w:r>
      <w:r>
        <w:rPr>
          <w:rFonts w:hint="eastAsia" w:ascii="宋体" w:hAnsi="宋体" w:eastAsia="宋体" w:cs="宋体"/>
          <w:color w:val="auto"/>
          <w:position w:val="0"/>
          <w:sz w:val="24"/>
          <w:szCs w:val="24"/>
          <w:u w:val="single"/>
        </w:rPr>
        <w:t>（采购人名称）</w:t>
      </w:r>
    </w:p>
    <w:p>
      <w:pPr>
        <w:pStyle w:val="10"/>
        <w:numPr>
          <w:ilvl w:val="0"/>
          <w:numId w:val="0"/>
        </w:numPr>
        <w:autoSpaceDE w:val="0"/>
        <w:autoSpaceDN w:val="0"/>
        <w:spacing w:before="1"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9170"/>
        </w:tabs>
        <w:autoSpaceDE w:val="0"/>
        <w:autoSpaceDN w:val="0"/>
        <w:spacing w:before="74" w:after="160" w:line="240" w:lineRule="auto"/>
        <w:ind w:left="808" w:right="473"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关于贵方20</w:t>
      </w:r>
      <w:r>
        <w:rPr>
          <w:rFonts w:hint="eastAsia" w:ascii="宋体" w:hAnsi="宋体" w:eastAsia="宋体" w:cs="宋体"/>
          <w:color w:val="auto"/>
          <w:position w:val="0"/>
          <w:sz w:val="24"/>
          <w:szCs w:val="24"/>
          <w:lang w:val="en-US" w:eastAsia="zh-CN"/>
        </w:rPr>
        <w:t xml:space="preserve">  </w:t>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lang w:val="en-US" w:eastAsia="zh-CN"/>
        </w:rPr>
        <w:t xml:space="preserve">  </w:t>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lang w:val="en-US" w:eastAsia="zh-CN"/>
        </w:rPr>
        <w:t xml:space="preserve">  </w:t>
      </w:r>
      <w:r>
        <w:rPr>
          <w:rFonts w:hint="eastAsia" w:ascii="宋体" w:hAnsi="宋体" w:eastAsia="宋体" w:cs="宋体"/>
          <w:color w:val="auto"/>
          <w:position w:val="0"/>
          <w:sz w:val="24"/>
          <w:szCs w:val="24"/>
        </w:rPr>
        <w:t>日</w:t>
      </w:r>
      <w:r>
        <w:rPr>
          <w:rFonts w:hint="eastAsia" w:ascii="宋体" w:hAnsi="宋体" w:eastAsia="宋体" w:cs="宋体"/>
          <w:color w:val="auto"/>
          <w:spacing w:val="-34"/>
          <w:position w:val="0"/>
          <w:sz w:val="24"/>
          <w:szCs w:val="24"/>
        </w:rPr>
        <w:t>第</w:t>
      </w:r>
      <w:r>
        <w:rPr>
          <w:rFonts w:hint="eastAsia" w:ascii="宋体" w:hAnsi="宋体" w:eastAsia="宋体" w:cs="宋体"/>
          <w:color w:val="auto"/>
          <w:position w:val="0"/>
          <w:sz w:val="24"/>
          <w:szCs w:val="24"/>
        </w:rPr>
        <w:t>（项目编号</w:t>
      </w:r>
      <w:r>
        <w:rPr>
          <w:rFonts w:hint="eastAsia" w:ascii="宋体" w:hAnsi="宋体" w:eastAsia="宋体" w:cs="宋体"/>
          <w:color w:val="auto"/>
          <w:spacing w:val="-34"/>
          <w:position w:val="0"/>
          <w:sz w:val="24"/>
          <w:szCs w:val="24"/>
        </w:rPr>
        <w:t>）</w:t>
      </w:r>
      <w:r>
        <w:rPr>
          <w:rFonts w:hint="eastAsia" w:ascii="宋体" w:hAnsi="宋体" w:eastAsia="宋体" w:cs="宋体"/>
          <w:color w:val="auto"/>
          <w:position w:val="0"/>
          <w:sz w:val="24"/>
          <w:szCs w:val="24"/>
        </w:rPr>
        <w:t>竞争性磋商公告关</w:t>
      </w:r>
      <w:r>
        <w:rPr>
          <w:rFonts w:hint="eastAsia" w:ascii="宋体" w:hAnsi="宋体" w:eastAsia="宋体" w:cs="宋体"/>
          <w:color w:val="auto"/>
          <w:spacing w:val="-34"/>
          <w:position w:val="0"/>
          <w:sz w:val="24"/>
          <w:szCs w:val="24"/>
        </w:rPr>
        <w:t>于</w:t>
      </w:r>
      <w:r>
        <w:rPr>
          <w:rFonts w:hint="eastAsia" w:ascii="宋体" w:hAnsi="宋体" w:eastAsia="宋体" w:cs="宋体"/>
          <w:color w:val="auto"/>
          <w:position w:val="0"/>
          <w:sz w:val="24"/>
          <w:szCs w:val="24"/>
          <w:u w:val="single"/>
        </w:rPr>
        <w:t>“</w:t>
      </w:r>
      <w:r>
        <w:rPr>
          <w:rFonts w:hint="eastAsia" w:ascii="宋体" w:hAnsi="宋体" w:eastAsia="宋体" w:cs="宋体"/>
          <w:color w:val="auto"/>
          <w:position w:val="0"/>
          <w:sz w:val="24"/>
          <w:szCs w:val="24"/>
          <w:u w:val="single"/>
        </w:rPr>
        <w:tab/>
      </w:r>
      <w:r>
        <w:rPr>
          <w:rFonts w:hint="eastAsia" w:ascii="宋体" w:hAnsi="宋体" w:eastAsia="宋体" w:cs="宋体"/>
          <w:color w:val="auto"/>
          <w:spacing w:val="-17"/>
          <w:position w:val="0"/>
          <w:sz w:val="24"/>
          <w:szCs w:val="24"/>
          <w:u w:val="single"/>
        </w:rPr>
        <w:t>”</w:t>
      </w:r>
      <w:r>
        <w:rPr>
          <w:rFonts w:hint="eastAsia" w:ascii="宋体" w:hAnsi="宋体" w:eastAsia="宋体" w:cs="宋体"/>
          <w:color w:val="auto"/>
          <w:position w:val="0"/>
          <w:sz w:val="24"/>
          <w:szCs w:val="24"/>
        </w:rPr>
        <w:t>的采购项目</w:t>
      </w:r>
      <w:r>
        <w:rPr>
          <w:rFonts w:hint="eastAsia" w:ascii="宋体" w:hAnsi="宋体" w:eastAsia="宋体" w:cs="宋体"/>
          <w:color w:val="auto"/>
          <w:spacing w:val="-12"/>
          <w:position w:val="0"/>
          <w:sz w:val="24"/>
          <w:szCs w:val="24"/>
        </w:rPr>
        <w:t>，</w:t>
      </w:r>
      <w:r>
        <w:rPr>
          <w:rFonts w:hint="eastAsia" w:ascii="宋体" w:hAnsi="宋体" w:eastAsia="宋体" w:cs="宋体"/>
          <w:color w:val="auto"/>
          <w:position w:val="0"/>
          <w:sz w:val="24"/>
          <w:szCs w:val="24"/>
        </w:rPr>
        <w:t>本签字人愿意参加投标</w:t>
      </w:r>
      <w:r>
        <w:rPr>
          <w:rFonts w:hint="eastAsia" w:ascii="宋体" w:hAnsi="宋体" w:eastAsia="宋体" w:cs="宋体"/>
          <w:color w:val="auto"/>
          <w:spacing w:val="-10"/>
          <w:position w:val="0"/>
          <w:sz w:val="24"/>
          <w:szCs w:val="24"/>
        </w:rPr>
        <w:t>，</w:t>
      </w:r>
      <w:r>
        <w:rPr>
          <w:rFonts w:hint="eastAsia" w:ascii="宋体" w:hAnsi="宋体" w:eastAsia="宋体" w:cs="宋体"/>
          <w:color w:val="auto"/>
          <w:position w:val="0"/>
          <w:sz w:val="24"/>
          <w:szCs w:val="24"/>
        </w:rPr>
        <w:t>并有能力提供</w:t>
      </w:r>
      <w:r>
        <w:rPr>
          <w:rFonts w:hint="eastAsia" w:ascii="宋体" w:hAnsi="宋体" w:eastAsia="宋体" w:cs="宋体"/>
          <w:color w:val="auto"/>
          <w:position w:val="0"/>
          <w:sz w:val="24"/>
          <w:szCs w:val="24"/>
          <w:u w:val="single"/>
        </w:rPr>
        <w:t>（项目名称）</w:t>
      </w:r>
      <w:r>
        <w:rPr>
          <w:rFonts w:hint="eastAsia" w:ascii="宋体" w:hAnsi="宋体" w:eastAsia="宋体" w:cs="宋体"/>
          <w:color w:val="auto"/>
          <w:position w:val="0"/>
          <w:sz w:val="24"/>
          <w:szCs w:val="24"/>
        </w:rPr>
        <w:t>项目中的全部服务内容，并保证所提交的所有文件和说明是真实和准确的。</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1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2668"/>
          <w:tab w:val="left" w:pos="4947"/>
        </w:tabs>
        <w:autoSpaceDE w:val="0"/>
        <w:autoSpaceDN w:val="0"/>
        <w:spacing w:before="0" w:after="160" w:line="240" w:lineRule="auto"/>
        <w:ind w:left="86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投标供应商：</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（全称）（盖章）</w:t>
      </w:r>
      <w:r>
        <w:rPr>
          <w:rFonts w:hint="eastAsia" w:ascii="宋体" w:hAnsi="宋体" w:eastAsia="宋体" w:cs="宋体"/>
          <w:color w:val="auto"/>
          <w:position w:val="0"/>
          <w:sz w:val="24"/>
          <w:szCs w:val="24"/>
          <w:u w:val="single"/>
        </w:rPr>
        <w:tab/>
      </w:r>
    </w:p>
    <w:p>
      <w:pPr>
        <w:pStyle w:val="10"/>
        <w:numPr>
          <w:ilvl w:val="0"/>
          <w:numId w:val="0"/>
        </w:numPr>
        <w:autoSpaceDE w:val="0"/>
        <w:autoSpaceDN w:val="0"/>
        <w:spacing w:before="129" w:after="160" w:line="240" w:lineRule="auto"/>
        <w:ind w:left="8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被授权签署本资格文件人：</w:t>
      </w:r>
      <w:r>
        <w:rPr>
          <w:rFonts w:hint="eastAsia" w:ascii="宋体" w:hAnsi="宋体" w:eastAsia="宋体" w:cs="宋体"/>
          <w:color w:val="auto"/>
          <w:position w:val="0"/>
          <w:sz w:val="24"/>
          <w:szCs w:val="24"/>
          <w:u w:val="single"/>
        </w:rPr>
        <w:t>被授权人姓名（签字）</w:t>
      </w:r>
    </w:p>
    <w:p>
      <w:pPr>
        <w:pStyle w:val="10"/>
        <w:numPr>
          <w:ilvl w:val="0"/>
          <w:numId w:val="0"/>
        </w:numPr>
        <w:autoSpaceDE w:val="0"/>
        <w:autoSpaceDN w:val="0"/>
        <w:spacing w:before="6"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67" w:after="160" w:line="436" w:lineRule="auto"/>
        <w:ind w:left="808" w:right="8355"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地址：传真：邮编：电话：</w:t>
      </w:r>
    </w:p>
    <w:p>
      <w:pPr>
        <w:pStyle w:val="10"/>
        <w:numPr>
          <w:ilvl w:val="0"/>
          <w:numId w:val="0"/>
        </w:numPr>
        <w:tabs>
          <w:tab w:val="left" w:pos="6712"/>
          <w:tab w:val="left" w:pos="7792"/>
        </w:tabs>
        <w:autoSpaceDE w:val="0"/>
        <w:autoSpaceDN w:val="0"/>
        <w:spacing w:before="3" w:after="160" w:line="240" w:lineRule="auto"/>
        <w:ind w:left="5992"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 xml:space="preserve">  </w:t>
      </w:r>
      <w:r>
        <w:rPr>
          <w:rFonts w:hint="eastAsia" w:ascii="宋体" w:hAnsi="宋体" w:eastAsia="宋体" w:cs="宋体"/>
          <w:color w:val="auto"/>
          <w:position w:val="0"/>
          <w:sz w:val="24"/>
          <w:szCs w:val="24"/>
        </w:rPr>
        <w:t xml:space="preserve"> 月</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日</w:t>
      </w:r>
    </w:p>
    <w:p>
      <w:pPr>
        <w:numPr>
          <w:ilvl w:val="0"/>
          <w:numId w:val="0"/>
        </w:numPr>
        <w:tabs>
          <w:tab w:val="left" w:pos="6712"/>
          <w:tab w:val="left" w:pos="7792"/>
        </w:tabs>
        <w:autoSpaceDE w:val="0"/>
        <w:autoSpaceDN w:val="0"/>
        <w:spacing w:before="3" w:after="160" w:line="240" w:lineRule="auto"/>
        <w:ind w:left="5992" w:right="0" w:firstLine="0"/>
        <w:jc w:val="left"/>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p>
    <w:p>
      <w:pPr>
        <w:numPr>
          <w:ilvl w:val="0"/>
          <w:numId w:val="0"/>
        </w:numPr>
        <w:autoSpaceDE w:val="0"/>
        <w:autoSpaceDN w:val="0"/>
        <w:spacing w:before="62" w:after="160" w:line="240" w:lineRule="auto"/>
        <w:ind w:right="207" w:firstLine="0"/>
        <w:jc w:val="center"/>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2、投标人基本情况表</w:t>
      </w:r>
    </w:p>
    <w:p>
      <w:pPr>
        <w:pStyle w:val="10"/>
        <w:numPr>
          <w:ilvl w:val="0"/>
          <w:numId w:val="0"/>
        </w:numPr>
        <w:tabs>
          <w:tab w:val="left" w:pos="1936"/>
        </w:tabs>
        <w:autoSpaceDE w:val="0"/>
        <w:autoSpaceDN w:val="0"/>
        <w:spacing w:before="120" w:after="21" w:line="240" w:lineRule="auto"/>
        <w:ind w:right="209"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表2-1 基本情况</w:t>
      </w:r>
      <w:r>
        <w:rPr>
          <w:rFonts w:hint="eastAsia" w:ascii="宋体" w:hAnsi="宋体" w:eastAsia="宋体" w:cs="宋体"/>
          <w:color w:val="auto"/>
          <w:position w:val="0"/>
          <w:sz w:val="24"/>
          <w:szCs w:val="24"/>
        </w:rPr>
        <w:tab/>
      </w:r>
      <w:r>
        <w:rPr>
          <w:rFonts w:hint="eastAsia" w:ascii="宋体" w:hAnsi="宋体" w:eastAsia="宋体" w:cs="宋体"/>
          <w:color w:val="auto"/>
          <w:position w:val="0"/>
          <w:sz w:val="24"/>
          <w:szCs w:val="24"/>
        </w:rPr>
        <w:t>（本表格式仅供参考，可根据企业情况自行补充修改）</w:t>
      </w:r>
    </w:p>
    <w:tbl>
      <w:tblPr>
        <w:tblStyle w:val="16"/>
        <w:tblW w:w="8755" w:type="dxa"/>
        <w:tblInd w:w="6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2"/>
        <w:gridCol w:w="1121"/>
        <w:gridCol w:w="611"/>
        <w:gridCol w:w="1731"/>
        <w:gridCol w:w="1733"/>
        <w:gridCol w:w="1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732" w:type="dxa"/>
            <w:noWrap w:val="0"/>
            <w:vAlign w:val="top"/>
          </w:tcPr>
          <w:p>
            <w:pPr>
              <w:pStyle w:val="18"/>
              <w:numPr>
                <w:ilvl w:val="0"/>
                <w:numId w:val="0"/>
              </w:numPr>
              <w:autoSpaceDE w:val="0"/>
              <w:autoSpaceDN w:val="0"/>
              <w:spacing w:before="75" w:after="160" w:line="240" w:lineRule="auto"/>
              <w:ind w:left="246" w:right="236"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名称</w:t>
            </w:r>
          </w:p>
        </w:tc>
        <w:tc>
          <w:tcPr>
            <w:tcW w:w="7023" w:type="dxa"/>
            <w:gridSpan w:val="5"/>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732" w:type="dxa"/>
            <w:noWrap w:val="0"/>
            <w:vAlign w:val="top"/>
          </w:tcPr>
          <w:p>
            <w:pPr>
              <w:pStyle w:val="18"/>
              <w:numPr>
                <w:ilvl w:val="0"/>
                <w:numId w:val="0"/>
              </w:numPr>
              <w:autoSpaceDE w:val="0"/>
              <w:autoSpaceDN w:val="0"/>
              <w:spacing w:before="79" w:after="160" w:line="240" w:lineRule="auto"/>
              <w:ind w:left="246" w:right="236"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注册地址</w:t>
            </w:r>
          </w:p>
        </w:tc>
        <w:tc>
          <w:tcPr>
            <w:tcW w:w="7023" w:type="dxa"/>
            <w:gridSpan w:val="5"/>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732" w:type="dxa"/>
            <w:noWrap w:val="0"/>
            <w:vAlign w:val="top"/>
          </w:tcPr>
          <w:p>
            <w:pPr>
              <w:pStyle w:val="18"/>
              <w:numPr>
                <w:ilvl w:val="0"/>
                <w:numId w:val="0"/>
              </w:numPr>
              <w:autoSpaceDE w:val="0"/>
              <w:autoSpaceDN w:val="0"/>
              <w:spacing w:before="75" w:after="160" w:line="240" w:lineRule="auto"/>
              <w:ind w:left="246" w:right="236"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办公地址</w:t>
            </w:r>
          </w:p>
        </w:tc>
        <w:tc>
          <w:tcPr>
            <w:tcW w:w="7023" w:type="dxa"/>
            <w:gridSpan w:val="5"/>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732" w:type="dxa"/>
            <w:noWrap w:val="0"/>
            <w:vAlign w:val="top"/>
          </w:tcPr>
          <w:p>
            <w:pPr>
              <w:pStyle w:val="18"/>
              <w:numPr>
                <w:ilvl w:val="0"/>
                <w:numId w:val="0"/>
              </w:numPr>
              <w:autoSpaceDE w:val="0"/>
              <w:autoSpaceDN w:val="0"/>
              <w:spacing w:before="79" w:after="160" w:line="240" w:lineRule="auto"/>
              <w:ind w:left="246" w:right="236"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法定代表人</w:t>
            </w:r>
          </w:p>
        </w:tc>
        <w:tc>
          <w:tcPr>
            <w:tcW w:w="1732" w:type="dxa"/>
            <w:gridSpan w:val="2"/>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731"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733" w:type="dxa"/>
            <w:noWrap w:val="0"/>
            <w:vAlign w:val="top"/>
          </w:tcPr>
          <w:p>
            <w:pPr>
              <w:pStyle w:val="18"/>
              <w:numPr>
                <w:ilvl w:val="0"/>
                <w:numId w:val="0"/>
              </w:numPr>
              <w:autoSpaceDE w:val="0"/>
              <w:autoSpaceDN w:val="0"/>
              <w:spacing w:before="79" w:after="160" w:line="240" w:lineRule="auto"/>
              <w:ind w:left="124" w:right="118"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联系人</w:t>
            </w:r>
          </w:p>
        </w:tc>
        <w:tc>
          <w:tcPr>
            <w:tcW w:w="1827"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732" w:type="dxa"/>
            <w:noWrap w:val="0"/>
            <w:vAlign w:val="top"/>
          </w:tcPr>
          <w:p>
            <w:pPr>
              <w:pStyle w:val="18"/>
              <w:numPr>
                <w:ilvl w:val="0"/>
                <w:numId w:val="0"/>
              </w:numPr>
              <w:autoSpaceDE w:val="0"/>
              <w:autoSpaceDN w:val="0"/>
              <w:spacing w:before="81" w:after="160" w:line="240" w:lineRule="auto"/>
              <w:ind w:left="246" w:right="236"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电话</w:t>
            </w:r>
          </w:p>
        </w:tc>
        <w:tc>
          <w:tcPr>
            <w:tcW w:w="1732" w:type="dxa"/>
            <w:gridSpan w:val="2"/>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731"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733" w:type="dxa"/>
            <w:noWrap w:val="0"/>
            <w:vAlign w:val="top"/>
          </w:tcPr>
          <w:p>
            <w:pPr>
              <w:pStyle w:val="18"/>
              <w:numPr>
                <w:ilvl w:val="0"/>
                <w:numId w:val="0"/>
              </w:numPr>
              <w:autoSpaceDE w:val="0"/>
              <w:autoSpaceDN w:val="0"/>
              <w:spacing w:before="81" w:after="160" w:line="240" w:lineRule="auto"/>
              <w:ind w:left="124" w:right="118"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传真</w:t>
            </w:r>
          </w:p>
        </w:tc>
        <w:tc>
          <w:tcPr>
            <w:tcW w:w="1827"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732" w:type="dxa"/>
            <w:noWrap w:val="0"/>
            <w:vAlign w:val="top"/>
          </w:tcPr>
          <w:p>
            <w:pPr>
              <w:pStyle w:val="18"/>
              <w:numPr>
                <w:ilvl w:val="0"/>
                <w:numId w:val="0"/>
              </w:numPr>
              <w:autoSpaceDE w:val="0"/>
              <w:autoSpaceDN w:val="0"/>
              <w:spacing w:before="84" w:after="160" w:line="240" w:lineRule="auto"/>
              <w:ind w:left="246" w:right="236"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邮政编码</w:t>
            </w:r>
          </w:p>
        </w:tc>
        <w:tc>
          <w:tcPr>
            <w:tcW w:w="1732" w:type="dxa"/>
            <w:gridSpan w:val="2"/>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731"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733" w:type="dxa"/>
            <w:noWrap w:val="0"/>
            <w:vAlign w:val="top"/>
          </w:tcPr>
          <w:p>
            <w:pPr>
              <w:pStyle w:val="18"/>
              <w:numPr>
                <w:ilvl w:val="0"/>
                <w:numId w:val="0"/>
              </w:numPr>
              <w:autoSpaceDE w:val="0"/>
              <w:autoSpaceDN w:val="0"/>
              <w:spacing w:before="90" w:after="160" w:line="240" w:lineRule="auto"/>
              <w:ind w:left="124" w:right="111"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E-Mail</w:t>
            </w:r>
          </w:p>
        </w:tc>
        <w:tc>
          <w:tcPr>
            <w:tcW w:w="1827"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853" w:type="dxa"/>
            <w:gridSpan w:val="2"/>
            <w:noWrap w:val="0"/>
            <w:vAlign w:val="top"/>
          </w:tcPr>
          <w:p>
            <w:pPr>
              <w:pStyle w:val="18"/>
              <w:numPr>
                <w:ilvl w:val="0"/>
                <w:numId w:val="0"/>
              </w:numPr>
              <w:autoSpaceDE w:val="0"/>
              <w:autoSpaceDN w:val="0"/>
              <w:spacing w:before="167" w:after="160" w:line="240" w:lineRule="auto"/>
              <w:ind w:left="465"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社会统一信用代码</w:t>
            </w:r>
          </w:p>
        </w:tc>
        <w:tc>
          <w:tcPr>
            <w:tcW w:w="5902" w:type="dxa"/>
            <w:gridSpan w:val="4"/>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853" w:type="dxa"/>
            <w:gridSpan w:val="2"/>
            <w:noWrap w:val="0"/>
            <w:vAlign w:val="top"/>
          </w:tcPr>
          <w:p>
            <w:pPr>
              <w:pStyle w:val="18"/>
              <w:numPr>
                <w:ilvl w:val="0"/>
                <w:numId w:val="0"/>
              </w:numPr>
              <w:autoSpaceDE w:val="0"/>
              <w:autoSpaceDN w:val="0"/>
              <w:spacing w:before="167" w:after="160" w:line="240" w:lineRule="auto"/>
              <w:ind w:left="945"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资质等级</w:t>
            </w:r>
          </w:p>
        </w:tc>
        <w:tc>
          <w:tcPr>
            <w:tcW w:w="5902" w:type="dxa"/>
            <w:gridSpan w:val="4"/>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732" w:type="dxa"/>
            <w:noWrap w:val="0"/>
            <w:vAlign w:val="top"/>
          </w:tcPr>
          <w:p>
            <w:pPr>
              <w:pStyle w:val="18"/>
              <w:numPr>
                <w:ilvl w:val="0"/>
                <w:numId w:val="0"/>
              </w:numPr>
              <w:autoSpaceDE w:val="0"/>
              <w:autoSpaceDN w:val="0"/>
              <w:spacing w:before="4" w:after="160" w:line="240" w:lineRule="auto"/>
              <w:ind w:left="386"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注册资金</w:t>
            </w:r>
          </w:p>
          <w:p>
            <w:pPr>
              <w:pStyle w:val="18"/>
              <w:numPr>
                <w:ilvl w:val="0"/>
                <w:numId w:val="0"/>
              </w:numPr>
              <w:autoSpaceDE w:val="0"/>
              <w:autoSpaceDN w:val="0"/>
              <w:spacing w:before="2" w:after="160" w:line="310" w:lineRule="atLeast"/>
              <w:ind w:left="626" w:right="253" w:hanging="36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（开办费）万元</w:t>
            </w:r>
          </w:p>
        </w:tc>
        <w:tc>
          <w:tcPr>
            <w:tcW w:w="3463" w:type="dxa"/>
            <w:gridSpan w:val="3"/>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733" w:type="dxa"/>
            <w:noWrap w:val="0"/>
            <w:vAlign w:val="top"/>
          </w:tcPr>
          <w:p>
            <w:pPr>
              <w:pStyle w:val="18"/>
              <w:numPr>
                <w:ilvl w:val="0"/>
                <w:numId w:val="0"/>
              </w:numPr>
              <w:autoSpaceDE w:val="0"/>
              <w:autoSpaceDN w:val="0"/>
              <w:spacing w:before="8"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1" w:after="160" w:line="240" w:lineRule="auto"/>
              <w:ind w:left="124" w:right="118"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专业人员数量</w:t>
            </w:r>
          </w:p>
        </w:tc>
        <w:tc>
          <w:tcPr>
            <w:tcW w:w="1827"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1" w:hRule="atLeast"/>
        </w:trPr>
        <w:tc>
          <w:tcPr>
            <w:tcW w:w="1732" w:type="dxa"/>
            <w:noWrap w:val="0"/>
            <w:vAlign w:val="top"/>
          </w:tcPr>
          <w:p>
            <w:pPr>
              <w:pStyle w:val="18"/>
              <w:numPr>
                <w:ilvl w:val="0"/>
                <w:numId w:val="0"/>
              </w:numPr>
              <w:autoSpaceDE w:val="0"/>
              <w:autoSpaceDN w:val="0"/>
              <w:spacing w:before="145" w:after="160" w:line="240" w:lineRule="auto"/>
              <w:ind w:left="386"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业务范围</w:t>
            </w:r>
          </w:p>
          <w:p>
            <w:pPr>
              <w:pStyle w:val="18"/>
              <w:numPr>
                <w:ilvl w:val="0"/>
                <w:numId w:val="0"/>
              </w:numPr>
              <w:autoSpaceDE w:val="0"/>
              <w:autoSpaceDN w:val="0"/>
              <w:spacing w:before="5" w:after="160" w:line="240" w:lineRule="auto"/>
              <w:ind w:left="386"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（编号）</w:t>
            </w:r>
          </w:p>
        </w:tc>
        <w:tc>
          <w:tcPr>
            <w:tcW w:w="7023" w:type="dxa"/>
            <w:gridSpan w:val="5"/>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7" w:hRule="atLeast"/>
        </w:trPr>
        <w:tc>
          <w:tcPr>
            <w:tcW w:w="8755" w:type="dxa"/>
            <w:gridSpan w:val="6"/>
            <w:noWrap w:val="0"/>
            <w:vAlign w:val="top"/>
          </w:tcPr>
          <w:p>
            <w:pPr>
              <w:pStyle w:val="18"/>
              <w:numPr>
                <w:ilvl w:val="0"/>
                <w:numId w:val="0"/>
              </w:numPr>
              <w:autoSpaceDE w:val="0"/>
              <w:autoSpaceDN w:val="0"/>
              <w:spacing w:before="2" w:after="160" w:line="240" w:lineRule="auto"/>
              <w:ind w:left="107"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机构简况：</w:t>
            </w:r>
          </w:p>
        </w:tc>
      </w:tr>
    </w:tbl>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numPr>
          <w:ilvl w:val="0"/>
          <w:numId w:val="0"/>
        </w:numPr>
        <w:autoSpaceDE w:val="0"/>
        <w:autoSpaceDN w:val="0"/>
        <w:spacing w:before="1" w:after="160" w:line="240" w:lineRule="auto"/>
        <w:ind w:left="568" w:right="597"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注：在本表后应附：①投标单位企业法人营业执照或具有同等法律效力的许可经营证明文件的复印件(并加盖</w:t>
      </w:r>
      <w:r>
        <w:rPr>
          <w:rFonts w:hint="eastAsia" w:ascii="宋体" w:hAnsi="宋体" w:eastAsia="宋体" w:cs="宋体"/>
          <w:color w:val="auto"/>
          <w:spacing w:val="-1"/>
          <w:position w:val="0"/>
          <w:sz w:val="24"/>
          <w:szCs w:val="24"/>
        </w:rPr>
        <w:t>单位章)、相关资质证书</w:t>
      </w:r>
      <w:r>
        <w:rPr>
          <w:rFonts w:hint="eastAsia" w:ascii="宋体" w:hAnsi="宋体" w:eastAsia="宋体" w:cs="宋体"/>
          <w:color w:val="auto"/>
          <w:position w:val="0"/>
          <w:sz w:val="24"/>
          <w:szCs w:val="24"/>
        </w:rPr>
        <w:t>（如有</w:t>
      </w:r>
      <w:r>
        <w:rPr>
          <w:rFonts w:hint="eastAsia" w:ascii="宋体" w:hAnsi="宋体" w:eastAsia="宋体" w:cs="宋体"/>
          <w:color w:val="auto"/>
          <w:spacing w:val="-3"/>
          <w:position w:val="0"/>
          <w:sz w:val="24"/>
          <w:szCs w:val="24"/>
        </w:rPr>
        <w:t>）</w:t>
      </w:r>
      <w:r>
        <w:rPr>
          <w:rFonts w:hint="eastAsia" w:ascii="宋体" w:hAnsi="宋体" w:eastAsia="宋体" w:cs="宋体"/>
          <w:color w:val="auto"/>
          <w:spacing w:val="-1"/>
          <w:position w:val="0"/>
          <w:sz w:val="24"/>
          <w:szCs w:val="24"/>
        </w:rPr>
        <w:t>、许可证书</w:t>
      </w:r>
      <w:r>
        <w:rPr>
          <w:rFonts w:hint="eastAsia" w:ascii="宋体" w:hAnsi="宋体" w:eastAsia="宋体" w:cs="宋体"/>
          <w:color w:val="auto"/>
          <w:position w:val="0"/>
          <w:sz w:val="24"/>
          <w:szCs w:val="24"/>
        </w:rPr>
        <w:t>（如有</w:t>
      </w:r>
      <w:r>
        <w:rPr>
          <w:rFonts w:hint="eastAsia" w:ascii="宋体" w:hAnsi="宋体" w:eastAsia="宋体" w:cs="宋体"/>
          <w:color w:val="auto"/>
          <w:spacing w:val="-3"/>
          <w:position w:val="0"/>
          <w:sz w:val="24"/>
          <w:szCs w:val="24"/>
        </w:rPr>
        <w:t>）</w:t>
      </w:r>
      <w:r>
        <w:rPr>
          <w:rFonts w:hint="eastAsia" w:ascii="宋体" w:hAnsi="宋体" w:eastAsia="宋体" w:cs="宋体"/>
          <w:color w:val="auto"/>
          <w:spacing w:val="-1"/>
          <w:position w:val="0"/>
          <w:sz w:val="24"/>
          <w:szCs w:val="24"/>
        </w:rPr>
        <w:t>及本竞争性磋商文件中相关资格要求的内容等资料的复印</w:t>
      </w:r>
      <w:r>
        <w:rPr>
          <w:rFonts w:hint="eastAsia" w:ascii="宋体" w:hAnsi="宋体" w:eastAsia="宋体" w:cs="宋体"/>
          <w:color w:val="auto"/>
          <w:position w:val="0"/>
          <w:sz w:val="24"/>
          <w:szCs w:val="24"/>
        </w:rPr>
        <w:t>件。</w:t>
      </w:r>
    </w:p>
    <w:p>
      <w:pPr>
        <w:numPr>
          <w:ilvl w:val="0"/>
          <w:numId w:val="0"/>
        </w:numPr>
        <w:autoSpaceDE w:val="0"/>
        <w:autoSpaceDN w:val="0"/>
        <w:spacing w:before="3" w:after="160" w:line="240" w:lineRule="auto"/>
        <w:ind w:left="928" w:right="1845"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②附其他相关证明材料复印件（如：办公用房产权或者使用权证明复印件）（如有需要）以上复印件在响应文件正本中均为加盖公章复印件，必须完整、清晰可辨、有效。</w:t>
      </w:r>
    </w:p>
    <w:p>
      <w:pPr>
        <w:numPr>
          <w:ilvl w:val="0"/>
          <w:numId w:val="0"/>
        </w:numPr>
        <w:autoSpaceDE w:val="0"/>
        <w:autoSpaceDN w:val="0"/>
        <w:spacing w:before="3" w:after="160" w:line="240" w:lineRule="auto"/>
        <w:ind w:left="928" w:right="1845" w:firstLine="0"/>
        <w:jc w:val="both"/>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p>
    <w:p>
      <w:pPr>
        <w:numPr>
          <w:ilvl w:val="0"/>
          <w:numId w:val="0"/>
        </w:numPr>
        <w:autoSpaceDE w:val="0"/>
        <w:autoSpaceDN w:val="0"/>
        <w:spacing w:before="212" w:after="160"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附表 2-2 投标人关联企业情况表（如有）</w:t>
      </w:r>
    </w:p>
    <w:p>
      <w:pPr>
        <w:pStyle w:val="10"/>
        <w:numPr>
          <w:ilvl w:val="0"/>
          <w:numId w:val="0"/>
        </w:numPr>
        <w:autoSpaceDE w:val="0"/>
        <w:autoSpaceDN w:val="0"/>
        <w:spacing w:before="8"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207"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投标人的母公司、子公司（含控股公司）关联企业等情况表</w:t>
      </w:r>
    </w:p>
    <w:tbl>
      <w:tblPr>
        <w:tblStyle w:val="16"/>
        <w:tblW w:w="8778"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7"/>
        <w:gridCol w:w="6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717"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6061" w:type="dxa"/>
            <w:noWrap w:val="0"/>
            <w:vAlign w:val="top"/>
          </w:tcPr>
          <w:p>
            <w:pPr>
              <w:pStyle w:val="18"/>
              <w:numPr>
                <w:ilvl w:val="0"/>
                <w:numId w:val="0"/>
              </w:numPr>
              <w:autoSpaceDE w:val="0"/>
              <w:autoSpaceDN w:val="0"/>
              <w:spacing w:before="2"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1" w:after="160" w:line="240" w:lineRule="auto"/>
              <w:ind w:left="592" w:right="587"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2717" w:type="dxa"/>
            <w:noWrap w:val="0"/>
            <w:vAlign w:val="top"/>
          </w:tcPr>
          <w:p>
            <w:pPr>
              <w:pStyle w:val="18"/>
              <w:numPr>
                <w:ilvl w:val="0"/>
                <w:numId w:val="0"/>
              </w:numPr>
              <w:autoSpaceDE w:val="0"/>
              <w:autoSpaceDN w:val="0"/>
              <w:spacing w:before="10"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0" w:after="160" w:line="242" w:lineRule="auto"/>
              <w:ind w:left="108" w:right="78"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投标人的母公司及其母公司的子公司（含控股公司）的情况</w:t>
            </w:r>
          </w:p>
        </w:tc>
        <w:tc>
          <w:tcPr>
            <w:tcW w:w="6061"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0" w:after="160" w:line="244" w:lineRule="auto"/>
              <w:ind w:right="98" w:firstLine="240" w:firstLineChars="10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叙述或附图表示投标人的母公司及其母公司的子公司（含控股公司）的情况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717"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174" w:after="160" w:line="242" w:lineRule="auto"/>
              <w:ind w:left="108" w:right="48"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投标人的子公司（含控股公司）的情况</w:t>
            </w:r>
          </w:p>
        </w:tc>
        <w:tc>
          <w:tcPr>
            <w:tcW w:w="6061" w:type="dxa"/>
            <w:noWrap w:val="0"/>
            <w:vAlign w:val="top"/>
          </w:tcPr>
          <w:p>
            <w:pPr>
              <w:pStyle w:val="18"/>
              <w:numPr>
                <w:ilvl w:val="0"/>
                <w:numId w:val="0"/>
              </w:numPr>
              <w:autoSpaceDE w:val="0"/>
              <w:autoSpaceDN w:val="0"/>
              <w:spacing w:before="1"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0" w:after="160" w:line="240" w:lineRule="auto"/>
              <w:ind w:left="594" w:right="587" w:firstLine="0"/>
              <w:jc w:val="center"/>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叙述或附图表示投标人子公司（含控股公司）的情况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2717"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168" w:after="160" w:line="244" w:lineRule="auto"/>
              <w:ind w:left="108" w:right="9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投标人的投资参股关系的关联企业的情况</w:t>
            </w:r>
          </w:p>
        </w:tc>
        <w:tc>
          <w:tcPr>
            <w:tcW w:w="6061"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2717" w:type="dxa"/>
            <w:noWrap w:val="0"/>
            <w:vAlign w:val="top"/>
          </w:tcPr>
          <w:p>
            <w:pPr>
              <w:pStyle w:val="18"/>
              <w:numPr>
                <w:ilvl w:val="0"/>
                <w:numId w:val="0"/>
              </w:numPr>
              <w:autoSpaceDE w:val="0"/>
              <w:autoSpaceDN w:val="0"/>
              <w:spacing w:before="1" w:after="160" w:line="240" w:lineRule="auto"/>
              <w:ind w:right="0" w:firstLine="0"/>
              <w:jc w:val="left"/>
              <w:rPr>
                <w:rFonts w:hint="eastAsia" w:ascii="宋体" w:hAnsi="宋体" w:eastAsia="宋体" w:cs="宋体"/>
                <w:color w:val="auto"/>
                <w:position w:val="0"/>
                <w:sz w:val="24"/>
                <w:szCs w:val="24"/>
              </w:rPr>
            </w:pPr>
          </w:p>
          <w:p>
            <w:pPr>
              <w:pStyle w:val="18"/>
              <w:numPr>
                <w:ilvl w:val="0"/>
                <w:numId w:val="0"/>
              </w:numPr>
              <w:autoSpaceDE w:val="0"/>
              <w:autoSpaceDN w:val="0"/>
              <w:spacing w:before="1" w:after="160" w:line="242" w:lineRule="auto"/>
              <w:ind w:left="108" w:right="95" w:firstLine="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投标人的法定代表人为同一人的两个及两个以上法人的情况</w:t>
            </w:r>
          </w:p>
        </w:tc>
        <w:tc>
          <w:tcPr>
            <w:tcW w:w="6061"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bl>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7108"/>
        </w:tabs>
        <w:autoSpaceDE w:val="0"/>
        <w:autoSpaceDN w:val="0"/>
        <w:spacing w:before="213" w:after="160" w:line="240" w:lineRule="auto"/>
        <w:ind w:left="422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（盖单位章）</w:t>
      </w:r>
    </w:p>
    <w:p>
      <w:pPr>
        <w:pStyle w:val="10"/>
        <w:numPr>
          <w:ilvl w:val="0"/>
          <w:numId w:val="0"/>
        </w:numPr>
        <w:autoSpaceDE w:val="0"/>
        <w:autoSpaceDN w:val="0"/>
        <w:spacing w:before="94" w:after="160" w:line="240" w:lineRule="auto"/>
        <w:ind w:left="422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法定代表人或其委托代理人：</w:t>
      </w:r>
      <w:r>
        <w:rPr>
          <w:rFonts w:hint="eastAsia" w:ascii="宋体" w:hAnsi="宋体" w:eastAsia="宋体" w:cs="宋体"/>
          <w:color w:val="auto"/>
          <w:position w:val="0"/>
          <w:sz w:val="24"/>
          <w:szCs w:val="24"/>
          <w:u w:val="single"/>
        </w:rPr>
        <w:t>（签字或盖章）</w:t>
      </w:r>
    </w:p>
    <w:p>
      <w:pPr>
        <w:numPr>
          <w:ilvl w:val="0"/>
          <w:numId w:val="0"/>
        </w:numPr>
        <w:autoSpaceDE w:val="0"/>
        <w:autoSpaceDN w:val="0"/>
        <w:spacing w:before="69" w:after="160" w:line="240" w:lineRule="auto"/>
        <w:ind w:left="388" w:right="593" w:firstLine="4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注：1</w:t>
      </w:r>
      <w:r>
        <w:rPr>
          <w:rFonts w:hint="eastAsia" w:ascii="宋体" w:hAnsi="宋体" w:eastAsia="宋体" w:cs="宋体"/>
          <w:color w:val="auto"/>
          <w:spacing w:val="-5"/>
          <w:position w:val="0"/>
          <w:sz w:val="24"/>
          <w:szCs w:val="24"/>
        </w:rPr>
        <w:t>. 投标人应如实、全面地填写“投标人关联企业情况表”。若因投标人故意隐瞒，一经查实，将视为投标人弄虚作假，提供了虚假资料，采购人将按相关规定以弄虚作假行为处理。</w:t>
      </w:r>
    </w:p>
    <w:p>
      <w:pPr>
        <w:pStyle w:val="19"/>
        <w:numPr>
          <w:ilvl w:val="0"/>
          <w:numId w:val="0"/>
        </w:numPr>
        <w:tabs>
          <w:tab w:val="left" w:pos="1020"/>
        </w:tabs>
        <w:autoSpaceDE w:val="0"/>
        <w:autoSpaceDN w:val="0"/>
        <w:bidi w:val="0"/>
        <w:spacing w:before="0" w:after="160" w:line="240" w:lineRule="auto"/>
        <w:ind w:left="807" w:leftChars="0" w:right="0" w:rightChars="0"/>
        <w:jc w:val="left"/>
        <w:rPr>
          <w:rFonts w:hint="eastAsia" w:ascii="宋体" w:hAnsi="宋体" w:eastAsia="宋体" w:cs="宋体"/>
          <w:color w:val="auto"/>
          <w:w w:val="100"/>
          <w:kern w:val="2"/>
          <w:position w:val="0"/>
          <w:sz w:val="24"/>
          <w:szCs w:val="24"/>
          <w:shd w:val="clear" w:color="auto" w:fill="auto"/>
          <w:lang w:val="en-US" w:eastAsia="zh-CN" w:bidi="ar-SA"/>
        </w:rPr>
      </w:pPr>
      <w:r>
        <w:rPr>
          <w:rFonts w:hint="eastAsia" w:ascii="宋体" w:hAnsi="宋体" w:eastAsia="宋体" w:cs="宋体"/>
          <w:color w:val="auto"/>
          <w:w w:val="100"/>
          <w:kern w:val="2"/>
          <w:position w:val="0"/>
          <w:sz w:val="24"/>
          <w:szCs w:val="24"/>
          <w:shd w:val="clear" w:color="auto" w:fill="auto"/>
          <w:lang w:val="en-US" w:eastAsia="zh-CN" w:bidi="ar-SA"/>
        </w:rPr>
        <w:t>2.如投标人无上表中所述的相关情况，则投标人可在相应表栏中填写“无”。</w:t>
      </w:r>
    </w:p>
    <w:p>
      <w:pPr>
        <w:pStyle w:val="19"/>
        <w:numPr>
          <w:ilvl w:val="0"/>
          <w:numId w:val="0"/>
        </w:numPr>
        <w:tabs>
          <w:tab w:val="left" w:pos="1020"/>
        </w:tabs>
        <w:autoSpaceDE w:val="0"/>
        <w:autoSpaceDN w:val="0"/>
        <w:bidi w:val="0"/>
        <w:spacing w:before="72" w:after="160" w:line="240" w:lineRule="auto"/>
        <w:ind w:left="808" w:leftChars="0" w:right="598" w:rightChars="0"/>
        <w:jc w:val="left"/>
        <w:rPr>
          <w:rFonts w:hint="eastAsia" w:ascii="宋体" w:hAnsi="宋体" w:eastAsia="宋体" w:cs="宋体"/>
          <w:color w:val="auto"/>
          <w:w w:val="100"/>
          <w:kern w:val="2"/>
          <w:position w:val="0"/>
          <w:sz w:val="24"/>
          <w:szCs w:val="24"/>
          <w:shd w:val="clear" w:color="auto" w:fill="auto"/>
          <w:lang w:val="en-US" w:eastAsia="zh-CN" w:bidi="ar-SA"/>
        </w:rPr>
      </w:pPr>
      <w:r>
        <w:rPr>
          <w:rFonts w:hint="eastAsia" w:ascii="宋体" w:hAnsi="宋体" w:eastAsia="宋体" w:cs="宋体"/>
          <w:color w:val="auto"/>
          <w:w w:val="100"/>
          <w:kern w:val="2"/>
          <w:position w:val="0"/>
          <w:sz w:val="24"/>
          <w:szCs w:val="24"/>
          <w:shd w:val="clear" w:color="auto" w:fill="auto"/>
          <w:lang w:val="en-US" w:eastAsia="zh-CN" w:bidi="ar-SA"/>
        </w:rPr>
        <w:t>3.单位负责人为同一人或者存在直接控股、管理关系的不同投标人，不得同时参加本招标项目的政府采购活动。</w:t>
      </w:r>
    </w:p>
    <w:p>
      <w:pPr>
        <w:numPr>
          <w:ilvl w:val="0"/>
          <w:numId w:val="27"/>
        </w:numPr>
        <w:tabs>
          <w:tab w:val="left" w:pos="1020"/>
        </w:tabs>
        <w:autoSpaceDE w:val="0"/>
        <w:autoSpaceDN w:val="0"/>
        <w:bidi w:val="0"/>
        <w:spacing w:before="72" w:after="160" w:line="240" w:lineRule="auto"/>
        <w:ind w:left="388" w:right="598" w:firstLine="420"/>
        <w:jc w:val="left"/>
        <w:rPr>
          <w:rFonts w:hint="eastAsia" w:ascii="宋体" w:hAnsi="宋体" w:eastAsia="宋体" w:cs="宋体"/>
          <w:color w:val="auto"/>
          <w:w w:val="100"/>
          <w:kern w:val="2"/>
          <w:position w:val="0"/>
          <w:sz w:val="24"/>
          <w:szCs w:val="24"/>
          <w:shd w:val="clear" w:color="auto" w:fill="auto"/>
          <w:lang w:val="en-US" w:eastAsia="zh-CN" w:bidi="ar-SA"/>
        </w:rPr>
        <w:sectPr>
          <w:footerReference r:id="rId8" w:type="default"/>
          <w:pgSz w:w="11910" w:h="16840"/>
          <w:pgMar w:top="1580" w:right="820" w:bottom="1160" w:left="1200" w:header="0" w:footer="975" w:gutter="0"/>
          <w:pgNumType w:fmt="decimal"/>
          <w:cols w:space="720" w:num="1"/>
          <w:docGrid w:linePitch="360" w:charSpace="6144"/>
        </w:sect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8"/>
        <w:numPr>
          <w:ilvl w:val="0"/>
          <w:numId w:val="0"/>
        </w:numPr>
        <w:autoSpaceDE w:val="0"/>
        <w:autoSpaceDN w:val="0"/>
        <w:spacing w:before="62" w:after="160" w:line="240" w:lineRule="auto"/>
        <w:ind w:right="207" w:firstLine="0"/>
        <w:jc w:val="center"/>
        <w:outlineLvl w:val="4"/>
        <w:rPr>
          <w:rFonts w:hint="eastAsia" w:ascii="宋体" w:hAnsi="宋体" w:eastAsia="宋体" w:cs="宋体"/>
          <w:b/>
          <w:color w:val="000000"/>
          <w:position w:val="0"/>
          <w:sz w:val="28"/>
          <w:szCs w:val="28"/>
        </w:rPr>
      </w:pPr>
      <w:r>
        <w:rPr>
          <w:rFonts w:hint="eastAsia" w:ascii="宋体" w:hAnsi="宋体" w:eastAsia="宋体" w:cs="宋体"/>
          <w:b/>
          <w:color w:val="000000"/>
          <w:position w:val="0"/>
          <w:sz w:val="28"/>
          <w:szCs w:val="28"/>
        </w:rPr>
        <w:t>4、信用查询记录</w:t>
      </w:r>
    </w:p>
    <w:p>
      <w:pPr>
        <w:pStyle w:val="10"/>
        <w:numPr>
          <w:ilvl w:val="0"/>
          <w:numId w:val="0"/>
        </w:numPr>
        <w:autoSpaceDE w:val="0"/>
        <w:autoSpaceDN w:val="0"/>
        <w:spacing w:before="5" w:after="160" w:line="240" w:lineRule="auto"/>
        <w:ind w:right="0" w:firstLine="0"/>
        <w:jc w:val="left"/>
        <w:rPr>
          <w:rFonts w:hint="eastAsia" w:ascii="宋体" w:hAnsi="宋体" w:eastAsia="宋体" w:cs="宋体"/>
          <w:b/>
          <w:color w:val="000000"/>
          <w:position w:val="0"/>
          <w:sz w:val="24"/>
          <w:szCs w:val="24"/>
        </w:rPr>
      </w:pPr>
    </w:p>
    <w:p>
      <w:pPr>
        <w:pStyle w:val="10"/>
        <w:numPr>
          <w:ilvl w:val="0"/>
          <w:numId w:val="0"/>
        </w:numPr>
        <w:autoSpaceDE w:val="0"/>
        <w:autoSpaceDN w:val="0"/>
        <w:spacing w:before="0" w:after="160" w:line="343" w:lineRule="auto"/>
        <w:ind w:left="388" w:right="591" w:firstLine="480"/>
        <w:jc w:val="left"/>
        <w:rPr>
          <w:rFonts w:hint="eastAsia" w:ascii="宋体" w:hAnsi="宋体" w:eastAsia="宋体" w:cs="宋体"/>
          <w:color w:val="000000"/>
          <w:position w:val="0"/>
          <w:sz w:val="24"/>
          <w:szCs w:val="24"/>
        </w:rPr>
      </w:pPr>
      <w:r>
        <w:rPr>
          <w:rFonts w:hint="eastAsia" w:ascii="宋体" w:hAnsi="宋体" w:eastAsia="宋体" w:cs="宋体"/>
          <w:b/>
          <w:color w:val="000000"/>
          <w:position w:val="0"/>
          <w:sz w:val="24"/>
          <w:szCs w:val="24"/>
        </w:rPr>
        <w:t>查询渠道为：</w:t>
      </w:r>
      <w:r>
        <w:rPr>
          <w:rFonts w:hint="eastAsia" w:ascii="宋体" w:hAnsi="宋体" w:eastAsia="宋体" w:cs="宋体"/>
          <w:color w:val="000000"/>
          <w:position w:val="0"/>
          <w:sz w:val="24"/>
          <w:szCs w:val="24"/>
        </w:rPr>
        <w:t>“中国裁判文书网”（（http://wenshu.court.gov.cn/）、“信用中国”网站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\h </w:instrText>
      </w:r>
      <w:r>
        <w:rPr>
          <w:rFonts w:hint="eastAsia" w:ascii="宋体" w:hAnsi="宋体" w:eastAsia="宋体" w:cs="宋体"/>
          <w:sz w:val="24"/>
          <w:szCs w:val="24"/>
        </w:rPr>
        <w:fldChar w:fldCharType="separate"/>
      </w:r>
      <w:r>
        <w:rPr>
          <w:rFonts w:hint="eastAsia" w:ascii="宋体" w:hAnsi="宋体" w:eastAsia="宋体" w:cs="宋体"/>
          <w:color w:val="000000"/>
          <w:position w:val="0"/>
          <w:sz w:val="24"/>
          <w:szCs w:val="24"/>
        </w:rPr>
        <w:t>（www.creditchina.gov.cn</w:t>
      </w:r>
      <w:r>
        <w:rPr>
          <w:rFonts w:hint="eastAsia" w:ascii="宋体" w:hAnsi="宋体" w:eastAsia="宋体" w:cs="宋体"/>
          <w:color w:val="000000"/>
          <w:position w:val="0"/>
          <w:sz w:val="24"/>
          <w:szCs w:val="24"/>
        </w:rPr>
        <w:fldChar w:fldCharType="end"/>
      </w:r>
      <w:r>
        <w:rPr>
          <w:rFonts w:hint="eastAsia" w:ascii="宋体" w:hAnsi="宋体" w:eastAsia="宋体" w:cs="宋体"/>
          <w:color w:val="000000"/>
          <w:position w:val="0"/>
          <w:sz w:val="24"/>
          <w:szCs w:val="24"/>
        </w:rPr>
        <w:t>）</w:t>
      </w:r>
      <w:r>
        <w:rPr>
          <w:rFonts w:hint="eastAsia" w:ascii="宋体" w:hAnsi="宋体" w:eastAsia="宋体" w:cs="宋体"/>
          <w:color w:val="000000"/>
          <w:spacing w:val="-2"/>
          <w:position w:val="0"/>
          <w:sz w:val="24"/>
          <w:szCs w:val="24"/>
        </w:rPr>
        <w:t>及“中国政府采购</w:t>
      </w:r>
      <w:r>
        <w:rPr>
          <w:rFonts w:hint="eastAsia" w:ascii="宋体" w:hAnsi="宋体" w:eastAsia="宋体" w:cs="宋体"/>
          <w:color w:val="000000"/>
          <w:spacing w:val="-27"/>
          <w:position w:val="0"/>
          <w:sz w:val="24"/>
          <w:szCs w:val="24"/>
        </w:rPr>
        <w:t>网</w:t>
      </w:r>
      <w:r>
        <w:rPr>
          <w:rFonts w:hint="eastAsia" w:ascii="宋体" w:hAnsi="宋体" w:eastAsia="宋体" w:cs="宋体"/>
          <w:color w:val="000000"/>
          <w:spacing w:val="-3"/>
          <w:position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\h </w:instrText>
      </w:r>
      <w:r>
        <w:rPr>
          <w:rFonts w:hint="eastAsia" w:ascii="宋体" w:hAnsi="宋体" w:eastAsia="宋体" w:cs="宋体"/>
          <w:sz w:val="24"/>
          <w:szCs w:val="24"/>
        </w:rPr>
        <w:fldChar w:fldCharType="separate"/>
      </w:r>
      <w:r>
        <w:rPr>
          <w:rFonts w:hint="eastAsia" w:ascii="宋体" w:hAnsi="宋体" w:eastAsia="宋体" w:cs="宋体"/>
          <w:color w:val="000000"/>
          <w:spacing w:val="-3"/>
          <w:position w:val="0"/>
          <w:sz w:val="24"/>
          <w:szCs w:val="24"/>
        </w:rPr>
        <w:t>www.ccgp.gov.cn</w:t>
      </w:r>
      <w:r>
        <w:rPr>
          <w:rFonts w:hint="eastAsia" w:ascii="宋体" w:hAnsi="宋体" w:eastAsia="宋体" w:cs="宋体"/>
          <w:color w:val="000000"/>
          <w:spacing w:val="-3"/>
          <w:position w:val="0"/>
          <w:sz w:val="24"/>
          <w:szCs w:val="24"/>
        </w:rPr>
        <w:fldChar w:fldCharType="end"/>
      </w:r>
      <w:r>
        <w:rPr>
          <w:rFonts w:hint="eastAsia" w:ascii="宋体" w:hAnsi="宋体" w:eastAsia="宋体" w:cs="宋体"/>
          <w:color w:val="000000"/>
          <w:spacing w:val="-3"/>
          <w:position w:val="0"/>
          <w:sz w:val="24"/>
          <w:szCs w:val="24"/>
        </w:rPr>
        <w:t>）</w:t>
      </w:r>
      <w:r>
        <w:rPr>
          <w:rFonts w:hint="eastAsia" w:ascii="宋体" w:hAnsi="宋体" w:eastAsia="宋体" w:cs="宋体"/>
          <w:color w:val="000000"/>
          <w:spacing w:val="-7"/>
          <w:position w:val="0"/>
          <w:sz w:val="24"/>
          <w:szCs w:val="24"/>
        </w:rPr>
        <w:t>”。查询时间为自公告发布之日起至响应文件递交截止时间止</w:t>
      </w:r>
    </w:p>
    <w:p>
      <w:pPr>
        <w:pStyle w:val="10"/>
        <w:numPr>
          <w:ilvl w:val="0"/>
          <w:numId w:val="0"/>
        </w:numPr>
        <w:autoSpaceDE w:val="0"/>
        <w:autoSpaceDN w:val="0"/>
        <w:spacing w:before="0" w:after="160" w:line="306" w:lineRule="exact"/>
        <w:ind w:left="388" w:right="0"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（该时间段内任一时间）。</w:t>
      </w:r>
    </w:p>
    <w:p>
      <w:pPr>
        <w:numPr>
          <w:ilvl w:val="0"/>
          <w:numId w:val="0"/>
        </w:numPr>
        <w:autoSpaceDE w:val="0"/>
        <w:autoSpaceDN w:val="0"/>
        <w:spacing w:before="95" w:after="160" w:line="240" w:lineRule="auto"/>
        <w:ind w:left="868" w:right="0"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附网页查询后的截图证明。</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12" w:after="160" w:line="240" w:lineRule="auto"/>
        <w:ind w:right="0" w:firstLine="0"/>
        <w:jc w:val="left"/>
        <w:rPr>
          <w:rFonts w:hint="eastAsia" w:ascii="宋体" w:hAnsi="宋体" w:eastAsia="宋体" w:cs="宋体"/>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7"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5、近三年内已完成的类似项目业绩</w:t>
      </w: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tabs>
          <w:tab w:val="left" w:pos="5428"/>
          <w:tab w:val="left" w:pos="9347"/>
        </w:tabs>
        <w:autoSpaceDE w:val="0"/>
        <w:autoSpaceDN w:val="0"/>
        <w:spacing w:before="196" w:after="160" w:line="240" w:lineRule="auto"/>
        <w:ind w:left="5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投标人名称（公章）：</w:t>
      </w:r>
      <w:r>
        <w:rPr>
          <w:rFonts w:hint="eastAsia" w:ascii="宋体" w:hAnsi="宋体" w:eastAsia="宋体" w:cs="宋体"/>
          <w:color w:val="auto"/>
          <w:position w:val="0"/>
          <w:sz w:val="24"/>
          <w:szCs w:val="24"/>
          <w:u w:val="single"/>
        </w:rPr>
        <w:tab/>
      </w:r>
      <w:r>
        <w:rPr>
          <w:rFonts w:hint="eastAsia" w:ascii="宋体" w:hAnsi="宋体" w:eastAsia="宋体" w:cs="宋体"/>
          <w:color w:val="auto"/>
          <w:spacing w:val="-1"/>
          <w:position w:val="0"/>
          <w:sz w:val="24"/>
          <w:szCs w:val="24"/>
        </w:rPr>
        <w:t>项</w:t>
      </w:r>
      <w:r>
        <w:rPr>
          <w:rFonts w:hint="eastAsia" w:ascii="宋体" w:hAnsi="宋体" w:eastAsia="宋体" w:cs="宋体"/>
          <w:color w:val="auto"/>
          <w:position w:val="0"/>
          <w:sz w:val="24"/>
          <w:szCs w:val="24"/>
        </w:rPr>
        <w:t>目编号/包号：</w:t>
      </w:r>
      <w:r>
        <w:rPr>
          <w:rFonts w:hint="eastAsia" w:ascii="宋体" w:hAnsi="宋体" w:eastAsia="宋体" w:cs="宋体"/>
          <w:color w:val="auto"/>
          <w:position w:val="0"/>
          <w:sz w:val="24"/>
          <w:szCs w:val="24"/>
          <w:u w:val="single"/>
        </w:rPr>
        <w:tab/>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 w:line="240" w:lineRule="auto"/>
        <w:ind w:right="0" w:firstLine="0"/>
        <w:jc w:val="left"/>
        <w:rPr>
          <w:rFonts w:hint="eastAsia" w:ascii="宋体" w:hAnsi="宋体" w:eastAsia="宋体" w:cs="宋体"/>
          <w:color w:val="auto"/>
          <w:position w:val="0"/>
          <w:sz w:val="24"/>
          <w:szCs w:val="24"/>
        </w:rPr>
      </w:pPr>
    </w:p>
    <w:tbl>
      <w:tblPr>
        <w:tblStyle w:val="16"/>
        <w:tblW w:w="9072" w:type="dxa"/>
        <w:tblInd w:w="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843"/>
        <w:gridCol w:w="1276"/>
        <w:gridCol w:w="1995"/>
        <w:gridCol w:w="1620"/>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92" w:type="dxa"/>
            <w:shd w:val="clear" w:color="000000" w:fill="E6E6E6"/>
            <w:noWrap w:val="0"/>
            <w:vAlign w:val="top"/>
          </w:tcPr>
          <w:p>
            <w:pPr>
              <w:pStyle w:val="18"/>
              <w:numPr>
                <w:ilvl w:val="0"/>
                <w:numId w:val="0"/>
              </w:numPr>
              <w:autoSpaceDE w:val="0"/>
              <w:autoSpaceDN w:val="0"/>
              <w:spacing w:before="112" w:after="160" w:line="240" w:lineRule="auto"/>
              <w:ind w:left="254"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序号</w:t>
            </w:r>
          </w:p>
        </w:tc>
        <w:tc>
          <w:tcPr>
            <w:tcW w:w="1843" w:type="dxa"/>
            <w:shd w:val="clear" w:color="000000" w:fill="E6E6E6"/>
            <w:noWrap w:val="0"/>
            <w:vAlign w:val="top"/>
          </w:tcPr>
          <w:p>
            <w:pPr>
              <w:pStyle w:val="18"/>
              <w:numPr>
                <w:ilvl w:val="0"/>
                <w:numId w:val="0"/>
              </w:numPr>
              <w:autoSpaceDE w:val="0"/>
              <w:autoSpaceDN w:val="0"/>
              <w:spacing w:before="112" w:after="160" w:line="240" w:lineRule="auto"/>
              <w:ind w:left="493"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项目名称</w:t>
            </w:r>
          </w:p>
        </w:tc>
        <w:tc>
          <w:tcPr>
            <w:tcW w:w="1276" w:type="dxa"/>
            <w:shd w:val="clear" w:color="000000" w:fill="E6E6E6"/>
            <w:noWrap w:val="0"/>
            <w:vAlign w:val="top"/>
          </w:tcPr>
          <w:p>
            <w:pPr>
              <w:pStyle w:val="18"/>
              <w:numPr>
                <w:ilvl w:val="0"/>
                <w:numId w:val="0"/>
              </w:numPr>
              <w:autoSpaceDE w:val="0"/>
              <w:autoSpaceDN w:val="0"/>
              <w:spacing w:before="112" w:after="160" w:line="240" w:lineRule="auto"/>
              <w:ind w:left="330"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发包人</w:t>
            </w:r>
          </w:p>
        </w:tc>
        <w:tc>
          <w:tcPr>
            <w:tcW w:w="1995" w:type="dxa"/>
            <w:shd w:val="clear" w:color="000000" w:fill="E6E6E6"/>
            <w:noWrap w:val="0"/>
            <w:vAlign w:val="top"/>
          </w:tcPr>
          <w:p>
            <w:pPr>
              <w:pStyle w:val="18"/>
              <w:numPr>
                <w:ilvl w:val="0"/>
                <w:numId w:val="0"/>
              </w:numPr>
              <w:autoSpaceDE w:val="0"/>
              <w:autoSpaceDN w:val="0"/>
              <w:spacing w:before="112" w:after="160" w:line="240" w:lineRule="auto"/>
              <w:ind w:left="139"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主要内容</w:t>
            </w:r>
          </w:p>
        </w:tc>
        <w:tc>
          <w:tcPr>
            <w:tcW w:w="1620" w:type="dxa"/>
            <w:shd w:val="clear" w:color="000000" w:fill="E6E6E6"/>
            <w:noWrap w:val="0"/>
            <w:vAlign w:val="top"/>
          </w:tcPr>
          <w:p>
            <w:pPr>
              <w:pStyle w:val="18"/>
              <w:numPr>
                <w:ilvl w:val="0"/>
                <w:numId w:val="0"/>
              </w:numPr>
              <w:autoSpaceDE w:val="0"/>
              <w:autoSpaceDN w:val="0"/>
              <w:spacing w:before="112" w:after="160" w:line="240" w:lineRule="auto"/>
              <w:ind w:left="32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完工时间</w:t>
            </w:r>
          </w:p>
        </w:tc>
        <w:tc>
          <w:tcPr>
            <w:tcW w:w="1346" w:type="dxa"/>
            <w:shd w:val="clear" w:color="000000" w:fill="E6E6E6"/>
            <w:noWrap w:val="0"/>
            <w:vAlign w:val="top"/>
          </w:tcPr>
          <w:p>
            <w:pPr>
              <w:pStyle w:val="18"/>
              <w:numPr>
                <w:ilvl w:val="0"/>
                <w:numId w:val="0"/>
              </w:numPr>
              <w:autoSpaceDE w:val="0"/>
              <w:autoSpaceDN w:val="0"/>
              <w:spacing w:before="112" w:after="160" w:line="240" w:lineRule="auto"/>
              <w:ind w:left="431"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84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27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99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62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2"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84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27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99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62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92"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84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27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995"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620"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3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92" w:type="dxa"/>
            <w:noWrap w:val="0"/>
            <w:vAlign w:val="top"/>
          </w:tcPr>
          <w:p>
            <w:pPr>
              <w:pStyle w:val="18"/>
              <w:numPr>
                <w:ilvl w:val="0"/>
                <w:numId w:val="0"/>
              </w:numPr>
              <w:autoSpaceDE w:val="0"/>
              <w:autoSpaceDN w:val="0"/>
              <w:spacing w:before="111" w:after="160" w:line="240" w:lineRule="auto"/>
              <w:ind w:left="1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tc>
        <w:tc>
          <w:tcPr>
            <w:tcW w:w="1843"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c>
          <w:tcPr>
            <w:tcW w:w="1276" w:type="dxa"/>
            <w:noWrap w:val="0"/>
            <w:vAlign w:val="top"/>
          </w:tcPr>
          <w:p>
            <w:pPr>
              <w:pStyle w:val="18"/>
              <w:numPr>
                <w:ilvl w:val="0"/>
                <w:numId w:val="0"/>
              </w:numPr>
              <w:autoSpaceDE w:val="0"/>
              <w:autoSpaceDN w:val="0"/>
              <w:spacing w:before="111" w:after="160" w:line="240" w:lineRule="auto"/>
              <w:ind w:left="107"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tc>
        <w:tc>
          <w:tcPr>
            <w:tcW w:w="1995" w:type="dxa"/>
            <w:noWrap w:val="0"/>
            <w:vAlign w:val="top"/>
          </w:tcPr>
          <w:p>
            <w:pPr>
              <w:pStyle w:val="18"/>
              <w:numPr>
                <w:ilvl w:val="0"/>
                <w:numId w:val="0"/>
              </w:numPr>
              <w:autoSpaceDE w:val="0"/>
              <w:autoSpaceDN w:val="0"/>
              <w:spacing w:before="111" w:after="160" w:line="240" w:lineRule="auto"/>
              <w:ind w:left="1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tc>
        <w:tc>
          <w:tcPr>
            <w:tcW w:w="1620" w:type="dxa"/>
            <w:noWrap w:val="0"/>
            <w:vAlign w:val="top"/>
          </w:tcPr>
          <w:p>
            <w:pPr>
              <w:pStyle w:val="18"/>
              <w:numPr>
                <w:ilvl w:val="0"/>
                <w:numId w:val="0"/>
              </w:numPr>
              <w:autoSpaceDE w:val="0"/>
              <w:autoSpaceDN w:val="0"/>
              <w:spacing w:before="111" w:after="160" w:line="240" w:lineRule="auto"/>
              <w:ind w:left="107"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w:t>
            </w:r>
          </w:p>
        </w:tc>
        <w:tc>
          <w:tcPr>
            <w:tcW w:w="1346" w:type="dxa"/>
            <w:noWrap w:val="0"/>
            <w:vAlign w:val="top"/>
          </w:tcPr>
          <w:p>
            <w:pPr>
              <w:pStyle w:val="18"/>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tc>
      </w:tr>
    </w:tbl>
    <w:p>
      <w:pPr>
        <w:pStyle w:val="10"/>
        <w:numPr>
          <w:ilvl w:val="0"/>
          <w:numId w:val="0"/>
        </w:numPr>
        <w:autoSpaceDE w:val="0"/>
        <w:autoSpaceDN w:val="0"/>
        <w:spacing w:before="112" w:after="160" w:line="240" w:lineRule="auto"/>
        <w:ind w:left="86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我单位承诺以上填报内容真实。如不真实，将按照有关规定接受处理。</w:t>
      </w:r>
    </w:p>
    <w:p>
      <w:pPr>
        <w:numPr>
          <w:ilvl w:val="0"/>
          <w:numId w:val="0"/>
        </w:numPr>
        <w:autoSpaceDE w:val="0"/>
        <w:autoSpaceDN w:val="0"/>
        <w:spacing w:before="66" w:after="160"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注：1.按采购人要求的内容及范围提供相关类型的业绩。</w:t>
      </w:r>
    </w:p>
    <w:p>
      <w:pPr>
        <w:pStyle w:val="19"/>
        <w:numPr>
          <w:ilvl w:val="0"/>
          <w:numId w:val="28"/>
        </w:numPr>
        <w:tabs>
          <w:tab w:val="left" w:pos="1020"/>
        </w:tabs>
        <w:autoSpaceDE w:val="0"/>
        <w:autoSpaceDN w:val="0"/>
        <w:bidi w:val="0"/>
        <w:spacing w:before="50" w:after="160" w:line="240" w:lineRule="auto"/>
        <w:ind w:left="388" w:right="598" w:firstLine="4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本表后须附清晰可辨的、真实的合同协议书或成交通知书等相关的证明材料。如未附证明材料或工作内容模糊不清的，其业绩将不予认定。有效业绩的认定详见投标人须知前附表。</w:t>
      </w:r>
    </w:p>
    <w:p>
      <w:pPr>
        <w:pStyle w:val="19"/>
        <w:numPr>
          <w:ilvl w:val="0"/>
          <w:numId w:val="28"/>
        </w:numPr>
        <w:tabs>
          <w:tab w:val="left" w:pos="1020"/>
        </w:tabs>
        <w:autoSpaceDE w:val="0"/>
        <w:autoSpaceDN w:val="0"/>
        <w:bidi w:val="0"/>
        <w:spacing w:before="0" w:after="160" w:line="240" w:lineRule="auto"/>
        <w:ind w:left="388" w:right="598" w:firstLine="420"/>
        <w:jc w:val="left"/>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r>
        <w:rPr>
          <w:rFonts w:hint="eastAsia" w:ascii="宋体" w:hAnsi="宋体" w:eastAsia="宋体" w:cs="宋体"/>
          <w:color w:val="auto"/>
          <w:position w:val="0"/>
          <w:sz w:val="24"/>
          <w:szCs w:val="24"/>
        </w:rPr>
        <w:t>如近年来，投标人法人机构发生合法变更或重组或法人名称变更时，应提供相关部门的合法批件或其他相关证明材料来证明其所附业绩的继承性。</w:t>
      </w:r>
    </w:p>
    <w:p>
      <w:pPr>
        <w:numPr>
          <w:ilvl w:val="0"/>
          <w:numId w:val="0"/>
        </w:numPr>
        <w:tabs>
          <w:tab w:val="left" w:pos="4387"/>
        </w:tabs>
        <w:autoSpaceDE w:val="0"/>
        <w:autoSpaceDN w:val="0"/>
        <w:spacing w:before="58" w:after="160" w:line="240" w:lineRule="auto"/>
        <w:ind w:right="3843" w:firstLine="0"/>
        <w:jc w:val="center"/>
        <w:rPr>
          <w:rFonts w:hint="eastAsia" w:ascii="宋体" w:hAnsi="宋体" w:eastAsia="宋体" w:cs="宋体"/>
          <w:b/>
          <w:color w:val="auto"/>
          <w:position w:val="0"/>
          <w:sz w:val="24"/>
          <w:szCs w:val="24"/>
        </w:rPr>
      </w:pPr>
      <w:r>
        <w:rPr>
          <w:rFonts w:hint="eastAsia" w:ascii="宋体" w:hAnsi="宋体" w:eastAsia="宋体" w:cs="宋体"/>
          <w:b/>
          <w:color w:val="auto"/>
          <w:position w:val="0"/>
          <w:sz w:val="28"/>
          <w:szCs w:val="28"/>
          <w:lang w:val="en-US" w:eastAsia="zh-CN"/>
        </w:rPr>
        <w:t xml:space="preserve">                      </w:t>
      </w:r>
      <w:r>
        <w:rPr>
          <w:rFonts w:hint="eastAsia" w:ascii="宋体" w:hAnsi="宋体" w:eastAsia="宋体" w:cs="宋体"/>
          <w:b/>
          <w:color w:val="auto"/>
          <w:position w:val="0"/>
          <w:sz w:val="28"/>
          <w:szCs w:val="28"/>
        </w:rPr>
        <w:t>（六）服务承诺</w:t>
      </w:r>
      <w:r>
        <w:rPr>
          <w:rFonts w:hint="eastAsia" w:ascii="宋体" w:hAnsi="宋体" w:eastAsia="宋体" w:cs="宋体"/>
          <w:b/>
          <w:color w:val="auto"/>
          <w:spacing w:val="-16"/>
          <w:position w:val="0"/>
          <w:sz w:val="28"/>
          <w:szCs w:val="28"/>
        </w:rPr>
        <w:t>书</w:t>
      </w:r>
    </w:p>
    <w:p>
      <w:pPr>
        <w:pStyle w:val="10"/>
        <w:numPr>
          <w:ilvl w:val="0"/>
          <w:numId w:val="0"/>
        </w:numPr>
        <w:autoSpaceDE w:val="0"/>
        <w:autoSpaceDN w:val="0"/>
        <w:spacing w:before="103" w:after="160"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u w:val="single"/>
        </w:rPr>
        <w:t>致：（采购人）</w:t>
      </w:r>
    </w:p>
    <w:p>
      <w:pPr>
        <w:pStyle w:val="10"/>
        <w:numPr>
          <w:ilvl w:val="0"/>
          <w:numId w:val="0"/>
        </w:numPr>
        <w:tabs>
          <w:tab w:val="left" w:pos="4267"/>
        </w:tabs>
        <w:autoSpaceDE w:val="0"/>
        <w:autoSpaceDN w:val="0"/>
        <w:spacing w:before="74" w:after="160" w:line="240" w:lineRule="auto"/>
        <w:ind w:left="388" w:right="597" w:firstLine="42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1</w:t>
      </w:r>
      <w:r>
        <w:rPr>
          <w:rFonts w:hint="eastAsia" w:ascii="宋体" w:hAnsi="宋体" w:eastAsia="宋体" w:cs="宋体"/>
          <w:color w:val="auto"/>
          <w:spacing w:val="-22"/>
          <w:position w:val="0"/>
          <w:sz w:val="24"/>
          <w:szCs w:val="24"/>
        </w:rPr>
        <w:t>、</w:t>
      </w:r>
      <w:r>
        <w:rPr>
          <w:rFonts w:hint="eastAsia" w:ascii="宋体" w:hAnsi="宋体" w:eastAsia="宋体" w:cs="宋体"/>
          <w:color w:val="auto"/>
          <w:position w:val="0"/>
          <w:sz w:val="24"/>
          <w:szCs w:val="24"/>
        </w:rPr>
        <w:t>根据已收到的</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项目的竞争性磋商文件</w:t>
      </w:r>
      <w:r>
        <w:rPr>
          <w:rFonts w:hint="eastAsia" w:ascii="宋体" w:hAnsi="宋体" w:eastAsia="宋体" w:cs="宋体"/>
          <w:color w:val="auto"/>
          <w:spacing w:val="-20"/>
          <w:position w:val="0"/>
          <w:sz w:val="24"/>
          <w:szCs w:val="24"/>
        </w:rPr>
        <w:t>，</w:t>
      </w:r>
      <w:r>
        <w:rPr>
          <w:rFonts w:hint="eastAsia" w:ascii="宋体" w:hAnsi="宋体" w:eastAsia="宋体" w:cs="宋体"/>
          <w:color w:val="auto"/>
          <w:position w:val="0"/>
          <w:sz w:val="24"/>
          <w:szCs w:val="24"/>
        </w:rPr>
        <w:t>我单位经考察和研究</w:t>
      </w:r>
      <w:r>
        <w:rPr>
          <w:rFonts w:hint="eastAsia" w:ascii="宋体" w:hAnsi="宋体" w:eastAsia="宋体" w:cs="宋体"/>
          <w:color w:val="auto"/>
          <w:spacing w:val="-18"/>
          <w:position w:val="0"/>
          <w:sz w:val="24"/>
          <w:szCs w:val="24"/>
        </w:rPr>
        <w:t>贵</w:t>
      </w:r>
      <w:r>
        <w:rPr>
          <w:rFonts w:hint="eastAsia" w:ascii="宋体" w:hAnsi="宋体" w:eastAsia="宋体" w:cs="宋体"/>
          <w:color w:val="auto"/>
          <w:position w:val="0"/>
          <w:sz w:val="24"/>
          <w:szCs w:val="24"/>
        </w:rPr>
        <w:t>方的竞争性磋商文件后，将接受该竞争性磋商文件中各条款内容并且以投标函表中</w:t>
      </w:r>
      <w:r>
        <w:rPr>
          <w:rFonts w:hint="eastAsia" w:ascii="宋体" w:hAnsi="宋体" w:eastAsia="宋体" w:cs="宋体"/>
          <w:color w:val="auto"/>
          <w:spacing w:val="-15"/>
          <w:position w:val="0"/>
          <w:sz w:val="24"/>
          <w:szCs w:val="24"/>
        </w:rPr>
        <w:t>所</w:t>
      </w:r>
      <w:r>
        <w:rPr>
          <w:rFonts w:hint="eastAsia" w:ascii="宋体" w:hAnsi="宋体" w:eastAsia="宋体" w:cs="宋体"/>
          <w:color w:val="auto"/>
          <w:position w:val="0"/>
          <w:sz w:val="24"/>
          <w:szCs w:val="24"/>
        </w:rPr>
        <w:t>报投标价格承包本招标范围内的服务等。</w:t>
      </w:r>
    </w:p>
    <w:p>
      <w:pPr>
        <w:pStyle w:val="10"/>
        <w:numPr>
          <w:ilvl w:val="0"/>
          <w:numId w:val="0"/>
        </w:numPr>
        <w:autoSpaceDE w:val="0"/>
        <w:autoSpaceDN w:val="0"/>
        <w:spacing w:before="0" w:after="160" w:line="240" w:lineRule="auto"/>
        <w:ind w:left="8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2、如果我方成交，非业主原因，我方保证在指定时间按时完成所承接的服务项目。</w:t>
      </w:r>
    </w:p>
    <w:p>
      <w:pPr>
        <w:pStyle w:val="10"/>
        <w:numPr>
          <w:ilvl w:val="0"/>
          <w:numId w:val="0"/>
        </w:numPr>
        <w:tabs>
          <w:tab w:val="left" w:pos="2368"/>
          <w:tab w:val="left" w:pos="3327"/>
        </w:tabs>
        <w:autoSpaceDE w:val="0"/>
        <w:autoSpaceDN w:val="0"/>
        <w:spacing w:before="158" w:after="160" w:line="240" w:lineRule="auto"/>
        <w:ind w:left="808" w:right="103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3、如果我方成交，非业主原因，我方保证将按下列质量等级完成招标项目</w:t>
      </w:r>
      <w:r>
        <w:rPr>
          <w:rFonts w:hint="eastAsia" w:ascii="宋体" w:hAnsi="宋体" w:eastAsia="宋体" w:cs="宋体"/>
          <w:color w:val="auto"/>
          <w:spacing w:val="-17"/>
          <w:position w:val="0"/>
          <w:sz w:val="24"/>
          <w:szCs w:val="24"/>
        </w:rPr>
        <w:t>。</w:t>
      </w:r>
      <w:r>
        <w:rPr>
          <w:rFonts w:hint="eastAsia" w:ascii="宋体" w:hAnsi="宋体" w:eastAsia="宋体" w:cs="宋体"/>
          <w:color w:val="auto"/>
          <w:position w:val="0"/>
          <w:sz w:val="24"/>
          <w:szCs w:val="24"/>
        </w:rPr>
        <w:t>质量等级：</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合格</w:t>
      </w:r>
      <w:r>
        <w:rPr>
          <w:rFonts w:hint="eastAsia" w:ascii="宋体" w:hAnsi="宋体" w:eastAsia="宋体" w:cs="宋体"/>
          <w:color w:val="auto"/>
          <w:position w:val="0"/>
          <w:sz w:val="24"/>
          <w:szCs w:val="24"/>
          <w:u w:val="single"/>
        </w:rPr>
        <w:tab/>
      </w:r>
    </w:p>
    <w:p>
      <w:pPr>
        <w:pStyle w:val="10"/>
        <w:numPr>
          <w:ilvl w:val="0"/>
          <w:numId w:val="0"/>
        </w:numPr>
        <w:autoSpaceDE w:val="0"/>
        <w:autoSpaceDN w:val="0"/>
        <w:spacing w:before="0" w:after="160" w:line="240" w:lineRule="auto"/>
        <w:ind w:left="388" w:right="597" w:firstLine="420"/>
        <w:jc w:val="both"/>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4</w:t>
      </w:r>
      <w:r>
        <w:rPr>
          <w:rFonts w:hint="eastAsia" w:ascii="宋体" w:hAnsi="宋体" w:eastAsia="宋体" w:cs="宋体"/>
          <w:color w:val="auto"/>
          <w:spacing w:val="-8"/>
          <w:position w:val="0"/>
          <w:sz w:val="24"/>
          <w:szCs w:val="24"/>
        </w:rPr>
        <w:t>、如果我方成交，我方将按竞争性磋商文件规定的时间内签订合同。如果我方违</w:t>
      </w:r>
      <w:r>
        <w:rPr>
          <w:rFonts w:hint="eastAsia" w:ascii="宋体" w:hAnsi="宋体" w:eastAsia="宋体" w:cs="宋体"/>
          <w:color w:val="auto"/>
          <w:spacing w:val="-1"/>
          <w:position w:val="0"/>
          <w:sz w:val="24"/>
          <w:szCs w:val="24"/>
        </w:rPr>
        <w:t>约，除投标保证金外，我方还将以成交价%作为赔偿金，同时贵方有权终止我方成交</w:t>
      </w:r>
      <w:r>
        <w:rPr>
          <w:rFonts w:hint="eastAsia" w:ascii="宋体" w:hAnsi="宋体" w:eastAsia="宋体" w:cs="宋体"/>
          <w:color w:val="auto"/>
          <w:position w:val="0"/>
          <w:sz w:val="24"/>
          <w:szCs w:val="24"/>
        </w:rPr>
        <w:t>并选择其它成交人。</w:t>
      </w:r>
    </w:p>
    <w:p>
      <w:pPr>
        <w:pStyle w:val="10"/>
        <w:numPr>
          <w:ilvl w:val="0"/>
          <w:numId w:val="0"/>
        </w:numPr>
        <w:autoSpaceDE w:val="0"/>
        <w:autoSpaceDN w:val="0"/>
        <w:spacing w:before="0" w:after="160" w:line="240" w:lineRule="auto"/>
        <w:ind w:left="388" w:right="597" w:firstLine="4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5</w:t>
      </w:r>
      <w:r>
        <w:rPr>
          <w:rFonts w:hint="eastAsia" w:ascii="宋体" w:hAnsi="宋体" w:eastAsia="宋体" w:cs="宋体"/>
          <w:color w:val="auto"/>
          <w:spacing w:val="-7"/>
          <w:position w:val="0"/>
          <w:sz w:val="24"/>
          <w:szCs w:val="24"/>
        </w:rPr>
        <w:t>、贵方的竞争性磋商文件、成交通知书、我方的响应文件将构成约束双方的合同</w:t>
      </w:r>
      <w:r>
        <w:rPr>
          <w:rFonts w:hint="eastAsia" w:ascii="宋体" w:hAnsi="宋体" w:eastAsia="宋体" w:cs="宋体"/>
          <w:color w:val="auto"/>
          <w:position w:val="0"/>
          <w:sz w:val="24"/>
          <w:szCs w:val="24"/>
        </w:rPr>
        <w:t>一部分。</w:t>
      </w:r>
    </w:p>
    <w:p>
      <w:pPr>
        <w:pStyle w:val="10"/>
        <w:numPr>
          <w:ilvl w:val="0"/>
          <w:numId w:val="0"/>
        </w:numPr>
        <w:autoSpaceDE w:val="0"/>
        <w:autoSpaceDN w:val="0"/>
        <w:spacing w:before="3" w:after="160" w:line="240" w:lineRule="auto"/>
        <w:ind w:left="388" w:right="597" w:firstLine="42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6</w:t>
      </w:r>
      <w:r>
        <w:rPr>
          <w:rFonts w:hint="eastAsia" w:ascii="宋体" w:hAnsi="宋体" w:eastAsia="宋体" w:cs="宋体"/>
          <w:color w:val="auto"/>
          <w:spacing w:val="-8"/>
          <w:position w:val="0"/>
          <w:sz w:val="24"/>
          <w:szCs w:val="24"/>
        </w:rPr>
        <w:t>、如果我方未成交，贵方没有必要对我方做出任何解释和说明，我方将充分尊重</w:t>
      </w:r>
      <w:r>
        <w:rPr>
          <w:rFonts w:hint="eastAsia" w:ascii="宋体" w:hAnsi="宋体" w:eastAsia="宋体" w:cs="宋体"/>
          <w:color w:val="auto"/>
          <w:position w:val="0"/>
          <w:sz w:val="24"/>
          <w:szCs w:val="24"/>
        </w:rPr>
        <w:t>和理解贵方的选择。</w:t>
      </w:r>
    </w:p>
    <w:p>
      <w:pPr>
        <w:pStyle w:val="10"/>
        <w:numPr>
          <w:ilvl w:val="0"/>
          <w:numId w:val="0"/>
        </w:numPr>
        <w:autoSpaceDE w:val="0"/>
        <w:autoSpaceDN w:val="0"/>
        <w:spacing w:before="0" w:after="160" w:line="240" w:lineRule="auto"/>
        <w:ind w:left="80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其它承诺优惠条件：</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9"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2068"/>
          <w:tab w:val="left" w:pos="2188"/>
          <w:tab w:val="left" w:pos="2788"/>
          <w:tab w:val="left" w:pos="3508"/>
          <w:tab w:val="left" w:pos="4467"/>
        </w:tabs>
        <w:autoSpaceDE w:val="0"/>
        <w:autoSpaceDN w:val="0"/>
        <w:spacing w:before="0" w:after="160" w:line="343" w:lineRule="auto"/>
        <w:ind w:left="388" w:right="4935" w:firstLine="0"/>
        <w:jc w:val="left"/>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投标供应商：</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（全称）（盖章）</w:t>
      </w:r>
      <w:r>
        <w:rPr>
          <w:rFonts w:hint="eastAsia" w:ascii="宋体" w:hAnsi="宋体" w:eastAsia="宋体" w:cs="宋体"/>
          <w:color w:val="auto"/>
          <w:position w:val="0"/>
          <w:sz w:val="24"/>
          <w:szCs w:val="24"/>
          <w:u w:val="single"/>
        </w:rPr>
        <w:tab/>
      </w:r>
    </w:p>
    <w:p>
      <w:pPr>
        <w:pStyle w:val="10"/>
        <w:numPr>
          <w:ilvl w:val="0"/>
          <w:numId w:val="0"/>
        </w:numPr>
        <w:tabs>
          <w:tab w:val="left" w:pos="2068"/>
          <w:tab w:val="left" w:pos="2188"/>
          <w:tab w:val="left" w:pos="2788"/>
          <w:tab w:val="left" w:pos="3508"/>
          <w:tab w:val="left" w:pos="4467"/>
        </w:tabs>
        <w:autoSpaceDE w:val="0"/>
        <w:autoSpaceDN w:val="0"/>
        <w:spacing w:before="0" w:after="160" w:line="343" w:lineRule="auto"/>
        <w:ind w:left="388" w:right="4935" w:firstLine="0"/>
        <w:jc w:val="left"/>
        <w:rPr>
          <w:rFonts w:hint="eastAsia" w:ascii="宋体" w:hAnsi="宋体" w:eastAsia="宋体" w:cs="宋体"/>
          <w:color w:val="auto"/>
          <w:spacing w:val="-17"/>
          <w:position w:val="0"/>
          <w:sz w:val="24"/>
          <w:szCs w:val="24"/>
        </w:rPr>
      </w:pPr>
      <w:r>
        <w:rPr>
          <w:rFonts w:hint="eastAsia" w:ascii="宋体" w:hAnsi="宋体" w:eastAsia="宋体" w:cs="宋体"/>
          <w:color w:val="auto"/>
          <w:position w:val="0"/>
          <w:sz w:val="24"/>
          <w:szCs w:val="24"/>
        </w:rPr>
        <w:t>法定代表人或委托代理人：（签字或盖章</w:t>
      </w:r>
      <w:r>
        <w:rPr>
          <w:rFonts w:hint="eastAsia" w:ascii="宋体" w:hAnsi="宋体" w:eastAsia="宋体" w:cs="宋体"/>
          <w:color w:val="auto"/>
          <w:spacing w:val="-17"/>
          <w:position w:val="0"/>
          <w:sz w:val="24"/>
          <w:szCs w:val="24"/>
        </w:rPr>
        <w:t>）</w:t>
      </w:r>
    </w:p>
    <w:p>
      <w:pPr>
        <w:pStyle w:val="10"/>
        <w:numPr>
          <w:ilvl w:val="0"/>
          <w:numId w:val="0"/>
        </w:numPr>
        <w:tabs>
          <w:tab w:val="left" w:pos="2068"/>
          <w:tab w:val="left" w:pos="2188"/>
          <w:tab w:val="left" w:pos="2788"/>
          <w:tab w:val="left" w:pos="3508"/>
          <w:tab w:val="left" w:pos="4467"/>
        </w:tabs>
        <w:autoSpaceDE w:val="0"/>
        <w:autoSpaceDN w:val="0"/>
        <w:spacing w:before="0" w:after="160" w:line="343" w:lineRule="auto"/>
        <w:ind w:left="388" w:right="4935" w:firstLine="0"/>
        <w:jc w:val="left"/>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r>
        <w:rPr>
          <w:rFonts w:hint="eastAsia" w:ascii="宋体" w:hAnsi="宋体" w:eastAsia="宋体" w:cs="宋体"/>
          <w:color w:val="auto"/>
          <w:position w:val="0"/>
          <w:sz w:val="24"/>
          <w:szCs w:val="24"/>
        </w:rPr>
        <w:t>日期：</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日</w:t>
      </w:r>
    </w:p>
    <w:p>
      <w:pPr>
        <w:pStyle w:val="7"/>
        <w:numPr>
          <w:ilvl w:val="0"/>
          <w:numId w:val="0"/>
        </w:numPr>
        <w:autoSpaceDE w:val="0"/>
        <w:autoSpaceDN w:val="0"/>
        <w:spacing w:before="1" w:after="160" w:line="240" w:lineRule="auto"/>
        <w:ind w:right="207" w:firstLine="0"/>
        <w:jc w:val="center"/>
        <w:outlineLvl w:val="3"/>
        <w:rPr>
          <w:rFonts w:hint="eastAsia" w:ascii="宋体" w:hAnsi="宋体" w:eastAsia="宋体" w:cs="宋体"/>
          <w:b/>
          <w:color w:val="000000"/>
          <w:position w:val="0"/>
          <w:sz w:val="28"/>
          <w:szCs w:val="28"/>
        </w:rPr>
      </w:pPr>
      <w:r>
        <w:rPr>
          <w:rFonts w:hint="eastAsia" w:ascii="宋体" w:hAnsi="宋体" w:eastAsia="宋体" w:cs="宋体"/>
          <w:b/>
          <w:color w:val="000000"/>
          <w:position w:val="0"/>
          <w:sz w:val="28"/>
          <w:szCs w:val="28"/>
        </w:rPr>
        <w:t>（七）偏离表</w:t>
      </w:r>
    </w:p>
    <w:p>
      <w:pPr>
        <w:pStyle w:val="10"/>
        <w:numPr>
          <w:ilvl w:val="0"/>
          <w:numId w:val="0"/>
        </w:numPr>
        <w:autoSpaceDE w:val="0"/>
        <w:autoSpaceDN w:val="0"/>
        <w:spacing w:before="6" w:after="160" w:line="240" w:lineRule="auto"/>
        <w:ind w:right="0" w:firstLine="0"/>
        <w:jc w:val="left"/>
        <w:rPr>
          <w:rFonts w:hint="eastAsia" w:ascii="宋体" w:hAnsi="宋体" w:eastAsia="宋体" w:cs="宋体"/>
          <w:b/>
          <w:color w:val="000000"/>
          <w:position w:val="0"/>
          <w:sz w:val="24"/>
          <w:szCs w:val="24"/>
        </w:rPr>
      </w:pPr>
    </w:p>
    <w:p>
      <w:pPr>
        <w:numPr>
          <w:ilvl w:val="0"/>
          <w:numId w:val="0"/>
        </w:numPr>
        <w:autoSpaceDE w:val="0"/>
        <w:autoSpaceDN w:val="0"/>
        <w:spacing w:before="0" w:after="160" w:line="240" w:lineRule="auto"/>
        <w:ind w:right="0" w:firstLine="0"/>
        <w:jc w:val="center"/>
        <w:outlineLvl w:val="0"/>
        <w:rPr>
          <w:rFonts w:hint="eastAsia" w:ascii="宋体" w:hAnsi="宋体" w:eastAsia="宋体" w:cs="宋体"/>
          <w:b/>
          <w:color w:val="000000"/>
          <w:position w:val="0"/>
          <w:sz w:val="24"/>
          <w:szCs w:val="24"/>
        </w:rPr>
      </w:pPr>
      <w:r>
        <w:rPr>
          <w:rFonts w:hint="eastAsia" w:ascii="宋体" w:hAnsi="宋体" w:eastAsia="宋体" w:cs="宋体"/>
          <w:b/>
          <w:color w:val="000000"/>
          <w:position w:val="0"/>
          <w:sz w:val="24"/>
          <w:szCs w:val="24"/>
        </w:rPr>
        <w:t>7.1技术要求偏离表</w:t>
      </w: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both"/>
        <w:outlineLvl w:val="0"/>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投标人名称：</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u w:val="single"/>
          <w:lang w:val="en-US" w:eastAsia="zh-CN"/>
        </w:rPr>
        <w:t xml:space="preserve">        </w:t>
      </w:r>
      <w:r>
        <w:rPr>
          <w:rFonts w:hint="eastAsia" w:ascii="宋体" w:hAnsi="宋体" w:eastAsia="宋体" w:cs="宋体"/>
          <w:color w:val="000000"/>
          <w:position w:val="0"/>
          <w:sz w:val="24"/>
          <w:szCs w:val="24"/>
        </w:rPr>
        <w:t>项目编号：</w:t>
      </w:r>
      <w:r>
        <w:rPr>
          <w:rFonts w:hint="eastAsia" w:ascii="宋体" w:hAnsi="宋体" w:eastAsia="宋体" w:cs="宋体"/>
          <w:color w:val="000000"/>
          <w:position w:val="0"/>
          <w:sz w:val="24"/>
          <w:szCs w:val="24"/>
          <w:lang w:val="en-US" w:eastAsia="zh-CN"/>
        </w:rPr>
        <w:t xml:space="preserve">    </w:t>
      </w:r>
      <w:r>
        <w:rPr>
          <w:rFonts w:hint="eastAsia" w:ascii="宋体" w:hAnsi="宋体" w:eastAsia="宋体" w:cs="宋体"/>
          <w:color w:val="000000"/>
          <w:position w:val="0"/>
          <w:sz w:val="24"/>
          <w:szCs w:val="24"/>
          <w:u w:val="single"/>
        </w:rPr>
        <w:tab/>
      </w: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u w:val="single"/>
        </w:rPr>
      </w:pPr>
    </w:p>
    <w:tbl>
      <w:tblPr>
        <w:tblStyle w:val="16"/>
        <w:tblW w:w="9169"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1147"/>
        <w:gridCol w:w="2410"/>
        <w:gridCol w:w="2227"/>
        <w:gridCol w:w="160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trPr>
        <w:tc>
          <w:tcPr>
            <w:tcW w:w="651" w:type="dxa"/>
            <w:noWrap w:val="0"/>
            <w:vAlign w:val="center"/>
          </w:tcPr>
          <w:p>
            <w:pPr>
              <w:numPr>
                <w:ilvl w:val="0"/>
                <w:numId w:val="0"/>
              </w:numPr>
              <w:autoSpaceDE w:val="0"/>
              <w:autoSpaceDN w:val="0"/>
              <w:spacing w:before="0" w:after="160" w:line="240" w:lineRule="auto"/>
              <w:ind w:right="0" w:firstLine="0"/>
              <w:jc w:val="center"/>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序号</w:t>
            </w:r>
          </w:p>
        </w:tc>
        <w:tc>
          <w:tcPr>
            <w:tcW w:w="1147" w:type="dxa"/>
            <w:noWrap w:val="0"/>
            <w:vAlign w:val="center"/>
          </w:tcPr>
          <w:p>
            <w:pPr>
              <w:numPr>
                <w:ilvl w:val="0"/>
                <w:numId w:val="0"/>
              </w:numPr>
              <w:autoSpaceDE w:val="0"/>
              <w:autoSpaceDN w:val="0"/>
              <w:spacing w:before="0" w:after="160" w:line="240" w:lineRule="auto"/>
              <w:ind w:right="0" w:firstLine="0"/>
              <w:jc w:val="center"/>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招标文件规格条目号</w:t>
            </w:r>
          </w:p>
        </w:tc>
        <w:tc>
          <w:tcPr>
            <w:tcW w:w="2410" w:type="dxa"/>
            <w:noWrap w:val="0"/>
            <w:vAlign w:val="center"/>
          </w:tcPr>
          <w:p>
            <w:pPr>
              <w:numPr>
                <w:ilvl w:val="0"/>
                <w:numId w:val="0"/>
              </w:numPr>
              <w:autoSpaceDE w:val="0"/>
              <w:autoSpaceDN w:val="0"/>
              <w:spacing w:before="0" w:after="160" w:line="240" w:lineRule="auto"/>
              <w:ind w:right="0" w:firstLine="0"/>
              <w:jc w:val="center"/>
              <w:rPr>
                <w:rFonts w:hint="eastAsia" w:ascii="宋体" w:hAnsi="宋体" w:eastAsia="宋体" w:cs="宋体"/>
                <w:color w:val="000000"/>
                <w:position w:val="0"/>
                <w:sz w:val="24"/>
                <w:szCs w:val="24"/>
              </w:rPr>
            </w:pPr>
            <w:r>
              <w:rPr>
                <w:rFonts w:hint="eastAsia" w:ascii="宋体" w:hAnsi="宋体" w:eastAsia="宋体" w:cs="宋体"/>
                <w:color w:val="auto"/>
                <w:position w:val="0"/>
                <w:sz w:val="24"/>
                <w:szCs w:val="24"/>
              </w:rPr>
              <w:t>招标规格</w:t>
            </w:r>
          </w:p>
        </w:tc>
        <w:tc>
          <w:tcPr>
            <w:tcW w:w="2227" w:type="dxa"/>
            <w:noWrap w:val="0"/>
            <w:vAlign w:val="center"/>
          </w:tcPr>
          <w:p>
            <w:pPr>
              <w:numPr>
                <w:ilvl w:val="0"/>
                <w:numId w:val="0"/>
              </w:numPr>
              <w:autoSpaceDE w:val="0"/>
              <w:autoSpaceDN w:val="0"/>
              <w:spacing w:before="0" w:after="160" w:line="240" w:lineRule="auto"/>
              <w:ind w:right="0" w:firstLine="0"/>
              <w:jc w:val="center"/>
              <w:rPr>
                <w:rFonts w:hint="eastAsia" w:ascii="宋体" w:hAnsi="宋体" w:eastAsia="宋体" w:cs="宋体"/>
                <w:color w:val="000000"/>
                <w:position w:val="0"/>
                <w:sz w:val="24"/>
                <w:szCs w:val="24"/>
              </w:rPr>
            </w:pPr>
            <w:r>
              <w:rPr>
                <w:rFonts w:hint="eastAsia" w:ascii="宋体" w:hAnsi="宋体" w:eastAsia="宋体" w:cs="宋体"/>
                <w:color w:val="auto"/>
                <w:position w:val="0"/>
                <w:sz w:val="24"/>
                <w:szCs w:val="24"/>
              </w:rPr>
              <w:t>投标规格</w:t>
            </w:r>
          </w:p>
        </w:tc>
        <w:tc>
          <w:tcPr>
            <w:tcW w:w="1600" w:type="dxa"/>
            <w:noWrap w:val="0"/>
            <w:vAlign w:val="center"/>
          </w:tcPr>
          <w:p>
            <w:pPr>
              <w:numPr>
                <w:ilvl w:val="0"/>
                <w:numId w:val="0"/>
              </w:numPr>
              <w:autoSpaceDE w:val="0"/>
              <w:autoSpaceDN w:val="0"/>
              <w:spacing w:before="0" w:after="160" w:line="240" w:lineRule="auto"/>
              <w:ind w:right="0" w:firstLine="0"/>
              <w:jc w:val="center"/>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偏离</w:t>
            </w:r>
          </w:p>
        </w:tc>
        <w:tc>
          <w:tcPr>
            <w:tcW w:w="1134" w:type="dxa"/>
            <w:noWrap w:val="0"/>
            <w:vAlign w:val="center"/>
          </w:tcPr>
          <w:p>
            <w:pPr>
              <w:numPr>
                <w:ilvl w:val="0"/>
                <w:numId w:val="0"/>
              </w:numPr>
              <w:autoSpaceDE w:val="0"/>
              <w:autoSpaceDN w:val="0"/>
              <w:spacing w:before="0" w:after="160" w:line="240" w:lineRule="auto"/>
              <w:ind w:right="0" w:firstLine="0"/>
              <w:jc w:val="center"/>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rPr>
        <w:tc>
          <w:tcPr>
            <w:tcW w:w="65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147"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410"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227"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600"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13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rPr>
        <w:tc>
          <w:tcPr>
            <w:tcW w:w="65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147"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410"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227"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600"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13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rPr>
        <w:tc>
          <w:tcPr>
            <w:tcW w:w="65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147"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410"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227"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600"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13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rPr>
        <w:tc>
          <w:tcPr>
            <w:tcW w:w="65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147"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410"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227"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600"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13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bl>
    <w:p>
      <w:pPr>
        <w:pStyle w:val="10"/>
        <w:numPr>
          <w:ilvl w:val="0"/>
          <w:numId w:val="0"/>
        </w:numPr>
        <w:tabs>
          <w:tab w:val="left" w:pos="5548"/>
          <w:tab w:val="left" w:pos="6028"/>
          <w:tab w:val="left" w:pos="6268"/>
          <w:tab w:val="left" w:pos="6868"/>
          <w:tab w:val="left" w:pos="8307"/>
        </w:tabs>
        <w:autoSpaceDE w:val="0"/>
        <w:autoSpaceDN w:val="0"/>
        <w:spacing w:before="166" w:after="160" w:line="343" w:lineRule="auto"/>
        <w:ind w:left="4228" w:right="1095" w:firstLine="0"/>
        <w:jc w:val="left"/>
        <w:rPr>
          <w:rFonts w:hint="eastAsia" w:ascii="宋体" w:hAnsi="宋体" w:eastAsia="宋体" w:cs="宋体"/>
          <w:color w:val="000000"/>
          <w:position w:val="0"/>
          <w:sz w:val="24"/>
          <w:szCs w:val="24"/>
        </w:rPr>
      </w:pPr>
    </w:p>
    <w:p>
      <w:pPr>
        <w:pStyle w:val="10"/>
        <w:numPr>
          <w:ilvl w:val="0"/>
          <w:numId w:val="0"/>
        </w:numPr>
        <w:tabs>
          <w:tab w:val="left" w:pos="5548"/>
          <w:tab w:val="left" w:pos="6028"/>
          <w:tab w:val="left" w:pos="6268"/>
          <w:tab w:val="left" w:pos="6868"/>
          <w:tab w:val="left" w:pos="8307"/>
        </w:tabs>
        <w:autoSpaceDE w:val="0"/>
        <w:autoSpaceDN w:val="0"/>
        <w:spacing w:before="166" w:after="160" w:line="343" w:lineRule="auto"/>
        <w:ind w:left="4228" w:right="1095" w:firstLine="0"/>
        <w:jc w:val="left"/>
        <w:rPr>
          <w:rFonts w:hint="eastAsia" w:ascii="宋体" w:hAnsi="宋体" w:eastAsia="宋体" w:cs="宋体"/>
          <w:color w:val="000000"/>
          <w:position w:val="0"/>
          <w:sz w:val="24"/>
          <w:szCs w:val="24"/>
          <w:u w:val="single"/>
        </w:rPr>
      </w:pPr>
      <w:r>
        <w:rPr>
          <w:rFonts w:hint="eastAsia" w:ascii="宋体" w:hAnsi="宋体" w:eastAsia="宋体" w:cs="宋体"/>
          <w:color w:val="000000"/>
          <w:position w:val="0"/>
          <w:sz w:val="24"/>
          <w:szCs w:val="24"/>
        </w:rPr>
        <w:t>投标供应商：</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u w:val="single"/>
        </w:rPr>
        <w:t>（全称）（盖章）</w:t>
      </w:r>
      <w:r>
        <w:rPr>
          <w:rFonts w:hint="eastAsia" w:ascii="宋体" w:hAnsi="宋体" w:eastAsia="宋体" w:cs="宋体"/>
          <w:color w:val="000000"/>
          <w:position w:val="0"/>
          <w:sz w:val="24"/>
          <w:szCs w:val="24"/>
          <w:u w:val="single"/>
        </w:rPr>
        <w:tab/>
      </w:r>
    </w:p>
    <w:p>
      <w:pPr>
        <w:pStyle w:val="10"/>
        <w:numPr>
          <w:ilvl w:val="0"/>
          <w:numId w:val="0"/>
        </w:numPr>
        <w:tabs>
          <w:tab w:val="left" w:pos="5548"/>
          <w:tab w:val="left" w:pos="6028"/>
          <w:tab w:val="left" w:pos="6268"/>
          <w:tab w:val="left" w:pos="6868"/>
          <w:tab w:val="left" w:pos="8307"/>
        </w:tabs>
        <w:autoSpaceDE w:val="0"/>
        <w:autoSpaceDN w:val="0"/>
        <w:spacing w:before="166" w:after="160" w:line="343" w:lineRule="auto"/>
        <w:ind w:left="4228" w:right="1095"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法定代表人或授权代理人：（签字或盖章</w:t>
      </w:r>
      <w:r>
        <w:rPr>
          <w:rFonts w:hint="eastAsia" w:ascii="宋体" w:hAnsi="宋体" w:eastAsia="宋体" w:cs="宋体"/>
          <w:color w:val="000000"/>
          <w:spacing w:val="-17"/>
          <w:position w:val="0"/>
          <w:sz w:val="24"/>
          <w:szCs w:val="24"/>
        </w:rPr>
        <w:t>）</w:t>
      </w:r>
      <w:r>
        <w:rPr>
          <w:rFonts w:hint="eastAsia" w:ascii="宋体" w:hAnsi="宋体" w:eastAsia="宋体" w:cs="宋体"/>
          <w:color w:val="000000"/>
          <w:position w:val="0"/>
          <w:sz w:val="24"/>
          <w:szCs w:val="24"/>
        </w:rPr>
        <w:t>日期：</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rPr>
        <w:t>年</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rPr>
        <w:t>月</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rPr>
        <w:t>日</w:t>
      </w:r>
    </w:p>
    <w:p>
      <w:pPr>
        <w:numPr>
          <w:ilvl w:val="0"/>
          <w:numId w:val="0"/>
        </w:numPr>
        <w:tabs>
          <w:tab w:val="left" w:pos="5548"/>
          <w:tab w:val="left" w:pos="6028"/>
          <w:tab w:val="left" w:pos="6268"/>
          <w:tab w:val="left" w:pos="6868"/>
          <w:tab w:val="left" w:pos="8307"/>
        </w:tabs>
        <w:autoSpaceDE w:val="0"/>
        <w:autoSpaceDN w:val="0"/>
        <w:spacing w:before="166" w:after="160" w:line="343" w:lineRule="auto"/>
        <w:ind w:left="4228" w:right="1095" w:firstLine="0"/>
        <w:jc w:val="left"/>
        <w:rPr>
          <w:rFonts w:hint="eastAsia" w:ascii="宋体" w:hAnsi="宋体" w:eastAsia="宋体" w:cs="宋体"/>
          <w:color w:val="000000"/>
          <w:position w:val="0"/>
          <w:sz w:val="24"/>
          <w:szCs w:val="24"/>
        </w:rPr>
        <w:sectPr>
          <w:pgSz w:w="11910" w:h="16840"/>
          <w:pgMar w:top="1580" w:right="820" w:bottom="1160" w:left="1200" w:header="0" w:footer="975" w:gutter="0"/>
          <w:pgNumType w:fmt="decimal"/>
          <w:cols w:space="720" w:num="1"/>
          <w:docGrid w:linePitch="360" w:charSpace="6144"/>
        </w:sectPr>
      </w:pPr>
    </w:p>
    <w:p>
      <w:pPr>
        <w:numPr>
          <w:ilvl w:val="0"/>
          <w:numId w:val="0"/>
        </w:numPr>
        <w:autoSpaceDE w:val="0"/>
        <w:autoSpaceDN w:val="0"/>
        <w:spacing w:before="0" w:after="160" w:line="240" w:lineRule="auto"/>
        <w:ind w:right="0" w:firstLine="0"/>
        <w:jc w:val="center"/>
        <w:outlineLvl w:val="0"/>
        <w:rPr>
          <w:rFonts w:hint="eastAsia" w:ascii="宋体" w:hAnsi="宋体" w:eastAsia="宋体" w:cs="宋体"/>
          <w:b/>
          <w:color w:val="000000"/>
          <w:position w:val="0"/>
          <w:sz w:val="24"/>
          <w:szCs w:val="24"/>
        </w:rPr>
      </w:pPr>
      <w:r>
        <w:rPr>
          <w:rFonts w:hint="eastAsia" w:ascii="宋体" w:hAnsi="宋体" w:eastAsia="宋体" w:cs="宋体"/>
          <w:b/>
          <w:color w:val="000000"/>
          <w:position w:val="0"/>
          <w:sz w:val="24"/>
          <w:szCs w:val="24"/>
        </w:rPr>
        <w:t>7.2商务条款偏离表</w:t>
      </w: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both"/>
        <w:outlineLvl w:val="0"/>
        <w:rPr>
          <w:rFonts w:hint="eastAsia" w:ascii="宋体" w:hAnsi="宋体" w:eastAsia="宋体" w:cs="宋体"/>
          <w:b/>
          <w:color w:val="000000"/>
          <w:position w:val="0"/>
          <w:sz w:val="24"/>
          <w:szCs w:val="24"/>
        </w:rPr>
      </w:pPr>
      <w:r>
        <w:rPr>
          <w:rFonts w:hint="eastAsia" w:ascii="宋体" w:hAnsi="宋体" w:eastAsia="宋体" w:cs="宋体"/>
          <w:color w:val="000000"/>
          <w:position w:val="0"/>
          <w:sz w:val="24"/>
          <w:szCs w:val="24"/>
        </w:rPr>
        <w:t>投标人名称：</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rPr>
        <w:t>项目编号/合同包号：</w:t>
      </w:r>
      <w:r>
        <w:rPr>
          <w:rFonts w:hint="eastAsia" w:ascii="宋体" w:hAnsi="宋体" w:eastAsia="宋体" w:cs="宋体"/>
          <w:color w:val="000000"/>
          <w:position w:val="0"/>
          <w:sz w:val="24"/>
          <w:szCs w:val="24"/>
          <w:u w:val="single"/>
        </w:rPr>
        <w:tab/>
      </w:r>
    </w:p>
    <w:tbl>
      <w:tblPr>
        <w:tblStyle w:val="16"/>
        <w:tblW w:w="9169"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1891"/>
        <w:gridCol w:w="2761"/>
        <w:gridCol w:w="1844"/>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80" w:hRule="atLeast"/>
        </w:trPr>
        <w:tc>
          <w:tcPr>
            <w:tcW w:w="689" w:type="dxa"/>
            <w:noWrap w:val="0"/>
            <w:vAlign w:val="center"/>
          </w:tcPr>
          <w:p>
            <w:pPr>
              <w:numPr>
                <w:ilvl w:val="0"/>
                <w:numId w:val="0"/>
              </w:numPr>
              <w:autoSpaceDE w:val="0"/>
              <w:autoSpaceDN w:val="0"/>
              <w:spacing w:before="0" w:after="160" w:line="240" w:lineRule="auto"/>
              <w:ind w:right="0" w:firstLine="0"/>
              <w:jc w:val="center"/>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序号</w:t>
            </w:r>
          </w:p>
        </w:tc>
        <w:tc>
          <w:tcPr>
            <w:tcW w:w="1891" w:type="dxa"/>
            <w:noWrap w:val="0"/>
            <w:vAlign w:val="top"/>
          </w:tcPr>
          <w:p>
            <w:pPr>
              <w:pStyle w:val="18"/>
              <w:numPr>
                <w:ilvl w:val="0"/>
                <w:numId w:val="0"/>
              </w:numPr>
              <w:autoSpaceDE w:val="0"/>
              <w:autoSpaceDN w:val="0"/>
              <w:spacing w:before="1" w:after="160" w:line="240" w:lineRule="auto"/>
              <w:ind w:left="174" w:right="0"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竞争性磋商</w:t>
            </w:r>
          </w:p>
          <w:p>
            <w:pPr>
              <w:pStyle w:val="18"/>
              <w:numPr>
                <w:ilvl w:val="0"/>
                <w:numId w:val="0"/>
              </w:numPr>
              <w:autoSpaceDE w:val="0"/>
              <w:autoSpaceDN w:val="0"/>
              <w:spacing w:before="5" w:after="160" w:line="289" w:lineRule="exact"/>
              <w:ind w:left="174" w:right="0"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文件条目号</w:t>
            </w:r>
          </w:p>
        </w:tc>
        <w:tc>
          <w:tcPr>
            <w:tcW w:w="2761" w:type="dxa"/>
            <w:noWrap w:val="0"/>
            <w:vAlign w:val="top"/>
          </w:tcPr>
          <w:p>
            <w:pPr>
              <w:pStyle w:val="18"/>
              <w:numPr>
                <w:ilvl w:val="0"/>
                <w:numId w:val="0"/>
              </w:numPr>
              <w:autoSpaceDE w:val="0"/>
              <w:autoSpaceDN w:val="0"/>
              <w:spacing w:before="1" w:after="160" w:line="240" w:lineRule="auto"/>
              <w:ind w:left="143" w:right="132" w:firstLine="0"/>
              <w:jc w:val="center"/>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竞争性磋商文件的</w:t>
            </w:r>
          </w:p>
          <w:p>
            <w:pPr>
              <w:pStyle w:val="18"/>
              <w:numPr>
                <w:ilvl w:val="0"/>
                <w:numId w:val="0"/>
              </w:numPr>
              <w:autoSpaceDE w:val="0"/>
              <w:autoSpaceDN w:val="0"/>
              <w:spacing w:before="5" w:after="160" w:line="289" w:lineRule="exact"/>
              <w:ind w:left="143" w:right="132" w:firstLine="0"/>
              <w:jc w:val="center"/>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条款</w:t>
            </w:r>
          </w:p>
        </w:tc>
        <w:tc>
          <w:tcPr>
            <w:tcW w:w="1844" w:type="dxa"/>
            <w:noWrap w:val="0"/>
            <w:vAlign w:val="top"/>
          </w:tcPr>
          <w:p>
            <w:pPr>
              <w:pStyle w:val="18"/>
              <w:numPr>
                <w:ilvl w:val="0"/>
                <w:numId w:val="0"/>
              </w:numPr>
              <w:autoSpaceDE w:val="0"/>
              <w:autoSpaceDN w:val="0"/>
              <w:spacing w:before="157" w:after="160" w:line="240" w:lineRule="auto"/>
              <w:ind w:left="142" w:right="0"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响应文件的条款</w:t>
            </w:r>
          </w:p>
        </w:tc>
        <w:tc>
          <w:tcPr>
            <w:tcW w:w="1984" w:type="dxa"/>
            <w:noWrap w:val="0"/>
            <w:vAlign w:val="center"/>
          </w:tcPr>
          <w:p>
            <w:pPr>
              <w:numPr>
                <w:ilvl w:val="0"/>
                <w:numId w:val="0"/>
              </w:numPr>
              <w:autoSpaceDE w:val="0"/>
              <w:autoSpaceDN w:val="0"/>
              <w:spacing w:before="0" w:after="160" w:line="240" w:lineRule="auto"/>
              <w:ind w:right="0" w:firstLine="0"/>
              <w:jc w:val="center"/>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rPr>
        <w:tc>
          <w:tcPr>
            <w:tcW w:w="689"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9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76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4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98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rPr>
        <w:tc>
          <w:tcPr>
            <w:tcW w:w="689"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9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76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4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98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rPr>
        <w:tc>
          <w:tcPr>
            <w:tcW w:w="689"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9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76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4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98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0" w:hRule="atLeast"/>
        </w:trPr>
        <w:tc>
          <w:tcPr>
            <w:tcW w:w="689"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9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76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4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98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0" w:hRule="atLeast"/>
        </w:trPr>
        <w:tc>
          <w:tcPr>
            <w:tcW w:w="689"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9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76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4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98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rPr>
        <w:tc>
          <w:tcPr>
            <w:tcW w:w="689"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9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76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4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98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trPr>
        <w:tc>
          <w:tcPr>
            <w:tcW w:w="689"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9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2761"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84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c>
          <w:tcPr>
            <w:tcW w:w="1984" w:type="dxa"/>
            <w:noWrap w:val="0"/>
            <w:vAlign w:val="top"/>
          </w:tcPr>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p>
        </w:tc>
      </w:tr>
    </w:tbl>
    <w:p>
      <w:pPr>
        <w:numPr>
          <w:ilvl w:val="0"/>
          <w:numId w:val="0"/>
        </w:numPr>
        <w:autoSpaceDE w:val="0"/>
        <w:autoSpaceDN w:val="0"/>
        <w:spacing w:before="0" w:after="160" w:line="240" w:lineRule="auto"/>
        <w:ind w:right="0"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　</w:t>
      </w:r>
    </w:p>
    <w:p>
      <w:pPr>
        <w:pStyle w:val="10"/>
        <w:numPr>
          <w:ilvl w:val="0"/>
          <w:numId w:val="0"/>
        </w:numPr>
        <w:tabs>
          <w:tab w:val="left" w:pos="5548"/>
          <w:tab w:val="left" w:pos="6028"/>
          <w:tab w:val="left" w:pos="6268"/>
          <w:tab w:val="left" w:pos="6868"/>
          <w:tab w:val="left" w:pos="8307"/>
        </w:tabs>
        <w:autoSpaceDE w:val="0"/>
        <w:autoSpaceDN w:val="0"/>
        <w:spacing w:before="166" w:after="160" w:line="343" w:lineRule="auto"/>
        <w:ind w:left="4228" w:right="1095" w:firstLine="0"/>
        <w:jc w:val="left"/>
        <w:rPr>
          <w:rFonts w:hint="eastAsia" w:ascii="宋体" w:hAnsi="宋体" w:eastAsia="宋体" w:cs="宋体"/>
          <w:color w:val="000000"/>
          <w:position w:val="0"/>
          <w:sz w:val="24"/>
          <w:szCs w:val="24"/>
          <w:u w:val="single"/>
        </w:rPr>
      </w:pPr>
      <w:r>
        <w:rPr>
          <w:rFonts w:hint="eastAsia" w:ascii="宋体" w:hAnsi="宋体" w:eastAsia="宋体" w:cs="宋体"/>
          <w:color w:val="000000"/>
          <w:position w:val="0"/>
          <w:sz w:val="24"/>
          <w:szCs w:val="24"/>
        </w:rPr>
        <w:t>投标供应商：</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u w:val="single"/>
        </w:rPr>
        <w:t>（全称）（盖章）</w:t>
      </w:r>
      <w:r>
        <w:rPr>
          <w:rFonts w:hint="eastAsia" w:ascii="宋体" w:hAnsi="宋体" w:eastAsia="宋体" w:cs="宋体"/>
          <w:color w:val="000000"/>
          <w:position w:val="0"/>
          <w:sz w:val="24"/>
          <w:szCs w:val="24"/>
          <w:u w:val="single"/>
        </w:rPr>
        <w:tab/>
      </w:r>
    </w:p>
    <w:p>
      <w:pPr>
        <w:pStyle w:val="10"/>
        <w:numPr>
          <w:ilvl w:val="0"/>
          <w:numId w:val="0"/>
        </w:numPr>
        <w:tabs>
          <w:tab w:val="left" w:pos="5548"/>
          <w:tab w:val="left" w:pos="6028"/>
          <w:tab w:val="left" w:pos="6268"/>
          <w:tab w:val="left" w:pos="6868"/>
          <w:tab w:val="left" w:pos="8307"/>
        </w:tabs>
        <w:autoSpaceDE w:val="0"/>
        <w:autoSpaceDN w:val="0"/>
        <w:spacing w:before="166" w:after="160" w:line="343" w:lineRule="auto"/>
        <w:ind w:left="4228" w:right="1095" w:firstLine="0"/>
        <w:jc w:val="left"/>
        <w:rPr>
          <w:rFonts w:hint="eastAsia" w:ascii="宋体" w:hAnsi="宋体" w:eastAsia="宋体" w:cs="宋体"/>
          <w:color w:val="000000"/>
          <w:spacing w:val="-17"/>
          <w:position w:val="0"/>
          <w:sz w:val="24"/>
          <w:szCs w:val="24"/>
        </w:rPr>
      </w:pPr>
      <w:r>
        <w:rPr>
          <w:rFonts w:hint="eastAsia" w:ascii="宋体" w:hAnsi="宋体" w:eastAsia="宋体" w:cs="宋体"/>
          <w:color w:val="000000"/>
          <w:position w:val="0"/>
          <w:sz w:val="24"/>
          <w:szCs w:val="24"/>
        </w:rPr>
        <w:t>法定代表人或授权代理人：（签字或盖章</w:t>
      </w:r>
      <w:r>
        <w:rPr>
          <w:rFonts w:hint="eastAsia" w:ascii="宋体" w:hAnsi="宋体" w:eastAsia="宋体" w:cs="宋体"/>
          <w:color w:val="000000"/>
          <w:spacing w:val="-17"/>
          <w:position w:val="0"/>
          <w:sz w:val="24"/>
          <w:szCs w:val="24"/>
        </w:rPr>
        <w:t>）</w:t>
      </w:r>
    </w:p>
    <w:p>
      <w:pPr>
        <w:pStyle w:val="10"/>
        <w:numPr>
          <w:ilvl w:val="0"/>
          <w:numId w:val="0"/>
        </w:numPr>
        <w:tabs>
          <w:tab w:val="left" w:pos="5548"/>
          <w:tab w:val="left" w:pos="6028"/>
          <w:tab w:val="left" w:pos="6268"/>
          <w:tab w:val="left" w:pos="6868"/>
          <w:tab w:val="left" w:pos="8307"/>
        </w:tabs>
        <w:autoSpaceDE w:val="0"/>
        <w:autoSpaceDN w:val="0"/>
        <w:spacing w:before="166" w:after="160" w:line="343" w:lineRule="auto"/>
        <w:ind w:left="4228" w:right="1095"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日期：</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rPr>
        <w:t>年</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rPr>
        <w:t>月</w:t>
      </w:r>
      <w:r>
        <w:rPr>
          <w:rFonts w:hint="eastAsia" w:ascii="宋体" w:hAnsi="宋体" w:eastAsia="宋体" w:cs="宋体"/>
          <w:color w:val="000000"/>
          <w:position w:val="0"/>
          <w:sz w:val="24"/>
          <w:szCs w:val="24"/>
          <w:u w:val="single"/>
        </w:rPr>
        <w:tab/>
      </w:r>
      <w:r>
        <w:rPr>
          <w:rFonts w:hint="eastAsia" w:ascii="宋体" w:hAnsi="宋体" w:eastAsia="宋体" w:cs="宋体"/>
          <w:color w:val="000000"/>
          <w:position w:val="0"/>
          <w:sz w:val="24"/>
          <w:szCs w:val="24"/>
        </w:rPr>
        <w:t>日</w:t>
      </w:r>
    </w:p>
    <w:p>
      <w:pPr>
        <w:numPr>
          <w:ilvl w:val="0"/>
          <w:numId w:val="0"/>
        </w:numPr>
        <w:autoSpaceDE w:val="0"/>
        <w:autoSpaceDN w:val="0"/>
        <w:spacing w:before="0" w:after="160" w:line="343" w:lineRule="auto"/>
        <w:ind w:right="0" w:firstLine="0"/>
        <w:jc w:val="left"/>
        <w:rPr>
          <w:rFonts w:hint="eastAsia" w:ascii="宋体" w:hAnsi="宋体" w:eastAsia="宋体" w:cs="宋体"/>
          <w:color w:val="000000"/>
          <w:position w:val="0"/>
          <w:sz w:val="24"/>
          <w:szCs w:val="24"/>
        </w:rPr>
      </w:pPr>
    </w:p>
    <w:p>
      <w:pPr>
        <w:pStyle w:val="2"/>
        <w:numPr>
          <w:ilvl w:val="0"/>
          <w:numId w:val="0"/>
        </w:numPr>
        <w:autoSpaceDE w:val="0"/>
        <w:autoSpaceDN w:val="0"/>
        <w:spacing w:before="120" w:after="160" w:line="240" w:lineRule="auto"/>
        <w:ind w:right="0" w:firstLine="0"/>
        <w:jc w:val="left"/>
        <w:rPr>
          <w:rFonts w:hint="eastAsia" w:ascii="宋体" w:hAnsi="宋体" w:eastAsia="宋体" w:cs="宋体"/>
          <w:color w:val="000000"/>
          <w:position w:val="0"/>
          <w:sz w:val="24"/>
          <w:szCs w:val="24"/>
        </w:rPr>
      </w:pPr>
    </w:p>
    <w:p>
      <w:pPr>
        <w:numPr>
          <w:ilvl w:val="0"/>
          <w:numId w:val="0"/>
        </w:numPr>
        <w:autoSpaceDE w:val="0"/>
        <w:autoSpaceDN w:val="0"/>
        <w:spacing w:before="110" w:after="160" w:line="240" w:lineRule="auto"/>
        <w:ind w:right="596" w:firstLine="0"/>
        <w:jc w:val="left"/>
        <w:rPr>
          <w:rFonts w:hint="eastAsia" w:ascii="宋体" w:hAnsi="宋体" w:eastAsia="宋体" w:cs="宋体"/>
          <w:color w:val="000000"/>
          <w:position w:val="0"/>
          <w:sz w:val="24"/>
          <w:szCs w:val="24"/>
        </w:rPr>
      </w:pPr>
      <w:r>
        <w:rPr>
          <w:rFonts w:hint="eastAsia" w:ascii="宋体" w:hAnsi="宋体" w:eastAsia="宋体" w:cs="宋体"/>
          <w:color w:val="000000"/>
          <w:position w:val="0"/>
          <w:sz w:val="24"/>
          <w:szCs w:val="24"/>
        </w:rPr>
        <w:t>注：投标人要将响应文件与竞争性磋商文件在商务部分的差异之处汇集成此表。投标方必须详细填写偏离表，偏离表未声明事项视为认同竞争性磋商文件标准。</w:t>
      </w:r>
    </w:p>
    <w:p>
      <w:pPr>
        <w:numPr>
          <w:ilvl w:val="0"/>
          <w:numId w:val="0"/>
        </w:numPr>
        <w:autoSpaceDE w:val="0"/>
        <w:autoSpaceDN w:val="0"/>
        <w:spacing w:before="110" w:after="160" w:line="240" w:lineRule="auto"/>
        <w:ind w:right="596" w:firstLine="0"/>
        <w:jc w:val="left"/>
        <w:rPr>
          <w:rFonts w:hint="eastAsia" w:ascii="宋体" w:hAnsi="宋体" w:eastAsia="宋体" w:cs="宋体"/>
          <w:color w:val="000000"/>
          <w:position w:val="0"/>
          <w:sz w:val="24"/>
          <w:szCs w:val="24"/>
        </w:rPr>
        <w:sectPr>
          <w:pgSz w:w="11910" w:h="16840"/>
          <w:pgMar w:top="1580" w:right="820" w:bottom="1160" w:left="1200" w:header="0" w:footer="975" w:gutter="0"/>
          <w:pgNumType w:fmt="decimal"/>
          <w:cols w:space="720" w:num="1"/>
          <w:docGrid w:linePitch="360" w:charSpace="6144"/>
        </w:sectPr>
      </w:pPr>
    </w:p>
    <w:p>
      <w:pPr>
        <w:pStyle w:val="7"/>
        <w:numPr>
          <w:ilvl w:val="0"/>
          <w:numId w:val="0"/>
        </w:numPr>
        <w:autoSpaceDE w:val="0"/>
        <w:autoSpaceDN w:val="0"/>
        <w:spacing w:before="58" w:after="160" w:line="240" w:lineRule="auto"/>
        <w:ind w:right="207" w:firstLine="0"/>
        <w:jc w:val="center"/>
        <w:outlineLvl w:val="3"/>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（八）其他有利于投标人的资料（如有）</w:t>
      </w:r>
    </w:p>
    <w:p>
      <w:pPr>
        <w:pStyle w:val="10"/>
        <w:numPr>
          <w:ilvl w:val="0"/>
          <w:numId w:val="0"/>
        </w:numPr>
        <w:autoSpaceDE w:val="0"/>
        <w:autoSpaceDN w:val="0"/>
        <w:spacing w:before="0"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4" w:after="160" w:line="240" w:lineRule="auto"/>
        <w:ind w:right="0" w:firstLine="0"/>
        <w:jc w:val="left"/>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right="209"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（九）投标单位反商业贿赂承诺书</w:t>
      </w:r>
    </w:p>
    <w:p>
      <w:pPr>
        <w:pStyle w:val="10"/>
        <w:numPr>
          <w:ilvl w:val="0"/>
          <w:numId w:val="0"/>
        </w:numPr>
        <w:autoSpaceDE w:val="0"/>
        <w:autoSpaceDN w:val="0"/>
        <w:spacing w:before="2" w:after="160" w:line="240" w:lineRule="auto"/>
        <w:ind w:right="0" w:firstLine="0"/>
        <w:jc w:val="left"/>
        <w:rPr>
          <w:rFonts w:hint="eastAsia" w:ascii="宋体" w:hAnsi="宋体" w:eastAsia="宋体" w:cs="宋体"/>
          <w:b/>
          <w:color w:val="auto"/>
          <w:position w:val="0"/>
          <w:sz w:val="24"/>
          <w:szCs w:val="24"/>
        </w:rPr>
      </w:pPr>
    </w:p>
    <w:p>
      <w:pPr>
        <w:numPr>
          <w:ilvl w:val="0"/>
          <w:numId w:val="0"/>
        </w:numPr>
        <w:autoSpaceDE w:val="0"/>
        <w:autoSpaceDN w:val="0"/>
        <w:spacing w:before="0" w:after="160" w:line="240" w:lineRule="auto"/>
        <w:ind w:left="4161" w:right="0" w:firstLine="0"/>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承诺书（1）</w:t>
      </w:r>
    </w:p>
    <w:p>
      <w:pPr>
        <w:pStyle w:val="10"/>
        <w:numPr>
          <w:ilvl w:val="0"/>
          <w:numId w:val="0"/>
        </w:numPr>
        <w:autoSpaceDE w:val="0"/>
        <w:autoSpaceDN w:val="0"/>
        <w:spacing w:before="8"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left="388" w:right="477" w:firstLine="48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我公司承诺在</w:t>
      </w:r>
      <w:r>
        <w:rPr>
          <w:rFonts w:hint="eastAsia" w:ascii="宋体" w:hAnsi="宋体" w:eastAsia="宋体" w:cs="宋体"/>
          <w:color w:val="auto"/>
          <w:position w:val="0"/>
          <w:sz w:val="24"/>
          <w:szCs w:val="24"/>
          <w:u w:val="single"/>
        </w:rPr>
        <w:t>（</w:t>
      </w:r>
      <w:r>
        <w:rPr>
          <w:rFonts w:hint="eastAsia" w:ascii="宋体" w:hAnsi="宋体" w:eastAsia="宋体" w:cs="宋体"/>
          <w:color w:val="auto"/>
          <w:spacing w:val="-3"/>
          <w:position w:val="0"/>
          <w:sz w:val="24"/>
          <w:szCs w:val="24"/>
          <w:u w:val="single"/>
        </w:rPr>
        <w:t>项目编号、项目名称</w:t>
      </w:r>
      <w:r>
        <w:rPr>
          <w:rFonts w:hint="eastAsia" w:ascii="宋体" w:hAnsi="宋体" w:eastAsia="宋体" w:cs="宋体"/>
          <w:color w:val="auto"/>
          <w:position w:val="0"/>
          <w:sz w:val="24"/>
          <w:szCs w:val="24"/>
          <w:u w:val="single"/>
        </w:rPr>
        <w:t>）</w:t>
      </w:r>
      <w:r>
        <w:rPr>
          <w:rFonts w:hint="eastAsia" w:ascii="宋体" w:hAnsi="宋体" w:eastAsia="宋体" w:cs="宋体"/>
          <w:color w:val="auto"/>
          <w:spacing w:val="-11"/>
          <w:position w:val="0"/>
          <w:sz w:val="24"/>
          <w:szCs w:val="24"/>
        </w:rPr>
        <w:t>招标活动中，不给予国家工作人员以及中</w:t>
      </w:r>
      <w:r>
        <w:rPr>
          <w:rFonts w:hint="eastAsia" w:ascii="宋体" w:hAnsi="宋体" w:eastAsia="宋体" w:cs="宋体"/>
          <w:color w:val="auto"/>
          <w:spacing w:val="-13"/>
          <w:position w:val="0"/>
          <w:sz w:val="24"/>
          <w:szCs w:val="24"/>
        </w:rPr>
        <w:t>介机构工作人员及其亲属各种形式的商业贿赂</w:t>
      </w:r>
      <w:r>
        <w:rPr>
          <w:rFonts w:hint="eastAsia" w:ascii="宋体" w:hAnsi="宋体" w:eastAsia="宋体" w:cs="宋体"/>
          <w:color w:val="auto"/>
          <w:spacing w:val="-3"/>
          <w:position w:val="0"/>
          <w:sz w:val="24"/>
          <w:szCs w:val="24"/>
        </w:rPr>
        <w:t>（</w:t>
      </w:r>
      <w:r>
        <w:rPr>
          <w:rFonts w:hint="eastAsia" w:ascii="宋体" w:hAnsi="宋体" w:eastAsia="宋体" w:cs="宋体"/>
          <w:color w:val="auto"/>
          <w:spacing w:val="-8"/>
          <w:position w:val="0"/>
          <w:sz w:val="24"/>
          <w:szCs w:val="24"/>
        </w:rPr>
        <w:t>包括送礼金礼品、有价证券、购物券、</w:t>
      </w:r>
      <w:r>
        <w:rPr>
          <w:rFonts w:hint="eastAsia" w:ascii="宋体" w:hAnsi="宋体" w:eastAsia="宋体" w:cs="宋体"/>
          <w:color w:val="auto"/>
          <w:spacing w:val="-12"/>
          <w:position w:val="0"/>
          <w:sz w:val="24"/>
          <w:szCs w:val="24"/>
        </w:rPr>
        <w:t>回扣、佣金、咨询费、劳务费、赞助费、宣传费、支付旅游费用、报销各种消费凭证、</w:t>
      </w:r>
      <w:r>
        <w:rPr>
          <w:rFonts w:hint="eastAsia" w:ascii="宋体" w:hAnsi="宋体" w:eastAsia="宋体" w:cs="宋体"/>
          <w:color w:val="auto"/>
          <w:spacing w:val="-5"/>
          <w:position w:val="0"/>
          <w:sz w:val="24"/>
          <w:szCs w:val="24"/>
        </w:rPr>
        <w:t>宴请、娱乐等</w:t>
      </w:r>
      <w:r>
        <w:rPr>
          <w:rFonts w:hint="eastAsia" w:ascii="宋体" w:hAnsi="宋体" w:eastAsia="宋体" w:cs="宋体"/>
          <w:color w:val="auto"/>
          <w:spacing w:val="-20"/>
          <w:position w:val="0"/>
          <w:sz w:val="24"/>
          <w:szCs w:val="24"/>
        </w:rPr>
        <w:t>），</w:t>
      </w:r>
      <w:r>
        <w:rPr>
          <w:rFonts w:hint="eastAsia" w:ascii="宋体" w:hAnsi="宋体" w:eastAsia="宋体" w:cs="宋体"/>
          <w:color w:val="auto"/>
          <w:spacing w:val="-6"/>
          <w:position w:val="0"/>
          <w:sz w:val="24"/>
          <w:szCs w:val="24"/>
        </w:rPr>
        <w:t>如有上述行为，我公司及项目参与人员愿意按照《反不正当竞争法》</w:t>
      </w:r>
      <w:r>
        <w:rPr>
          <w:rFonts w:hint="eastAsia" w:ascii="宋体" w:hAnsi="宋体" w:eastAsia="宋体" w:cs="宋体"/>
          <w:color w:val="auto"/>
          <w:position w:val="0"/>
          <w:sz w:val="24"/>
          <w:szCs w:val="24"/>
        </w:rPr>
        <w:t>的有关规定接受处罚。</w:t>
      </w:r>
    </w:p>
    <w:p>
      <w:pPr>
        <w:pStyle w:val="10"/>
        <w:numPr>
          <w:ilvl w:val="0"/>
          <w:numId w:val="0"/>
        </w:numPr>
        <w:autoSpaceDE w:val="0"/>
        <w:autoSpaceDN w:val="0"/>
        <w:spacing w:before="12"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投标供应商：</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（全称）（盖章）</w:t>
      </w:r>
      <w:r>
        <w:rPr>
          <w:rFonts w:hint="eastAsia" w:ascii="宋体" w:hAnsi="宋体" w:eastAsia="宋体" w:cs="宋体"/>
          <w:color w:val="auto"/>
          <w:position w:val="0"/>
          <w:sz w:val="24"/>
          <w:szCs w:val="24"/>
          <w:u w:val="single"/>
        </w:rPr>
        <w:tab/>
      </w:r>
    </w:p>
    <w:p>
      <w:pPr>
        <w:pStyle w:val="10"/>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spacing w:val="-17"/>
          <w:position w:val="0"/>
          <w:sz w:val="24"/>
          <w:szCs w:val="24"/>
        </w:rPr>
      </w:pPr>
      <w:r>
        <w:rPr>
          <w:rFonts w:hint="eastAsia" w:ascii="宋体" w:hAnsi="宋体" w:eastAsia="宋体" w:cs="宋体"/>
          <w:color w:val="auto"/>
          <w:position w:val="0"/>
          <w:sz w:val="24"/>
          <w:szCs w:val="24"/>
        </w:rPr>
        <w:t>法定代表人或授权代理人：（签字或盖章</w:t>
      </w:r>
      <w:r>
        <w:rPr>
          <w:rFonts w:hint="eastAsia" w:ascii="宋体" w:hAnsi="宋体" w:eastAsia="宋体" w:cs="宋体"/>
          <w:color w:val="auto"/>
          <w:spacing w:val="-17"/>
          <w:position w:val="0"/>
          <w:sz w:val="24"/>
          <w:szCs w:val="24"/>
        </w:rPr>
        <w:t>）</w:t>
      </w:r>
    </w:p>
    <w:p>
      <w:pPr>
        <w:pStyle w:val="10"/>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日期：</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日</w:t>
      </w:r>
    </w:p>
    <w:p>
      <w:pPr>
        <w:pStyle w:val="10"/>
        <w:numPr>
          <w:ilvl w:val="0"/>
          <w:numId w:val="0"/>
        </w:numPr>
        <w:autoSpaceDE w:val="0"/>
        <w:autoSpaceDN w:val="0"/>
        <w:spacing w:before="0"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autoSpaceDE w:val="0"/>
        <w:autoSpaceDN w:val="0"/>
        <w:spacing w:before="9" w:after="160" w:line="240" w:lineRule="auto"/>
        <w:ind w:right="0" w:firstLine="0"/>
        <w:jc w:val="left"/>
        <w:rPr>
          <w:rFonts w:hint="eastAsia" w:ascii="宋体" w:hAnsi="宋体" w:eastAsia="宋体" w:cs="宋体"/>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p>
    <w:p>
      <w:pPr>
        <w:pStyle w:val="7"/>
        <w:numPr>
          <w:ilvl w:val="0"/>
          <w:numId w:val="0"/>
        </w:numPr>
        <w:autoSpaceDE w:val="0"/>
        <w:autoSpaceDN w:val="0"/>
        <w:spacing w:before="0" w:after="160" w:line="240" w:lineRule="auto"/>
        <w:ind w:right="209" w:firstLine="0"/>
        <w:jc w:val="center"/>
        <w:outlineLvl w:val="3"/>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承诺书（2）</w:t>
      </w:r>
    </w:p>
    <w:p>
      <w:pPr>
        <w:pStyle w:val="10"/>
        <w:numPr>
          <w:ilvl w:val="0"/>
          <w:numId w:val="0"/>
        </w:numPr>
        <w:autoSpaceDE w:val="0"/>
        <w:autoSpaceDN w:val="0"/>
        <w:spacing w:before="2" w:after="160" w:line="240" w:lineRule="auto"/>
        <w:ind w:right="0" w:firstLine="0"/>
        <w:jc w:val="left"/>
        <w:rPr>
          <w:rFonts w:hint="eastAsia" w:ascii="宋体" w:hAnsi="宋体" w:eastAsia="宋体" w:cs="宋体"/>
          <w:b/>
          <w:color w:val="auto"/>
          <w:position w:val="0"/>
          <w:sz w:val="24"/>
          <w:szCs w:val="24"/>
        </w:rPr>
      </w:pPr>
    </w:p>
    <w:p>
      <w:pPr>
        <w:pStyle w:val="10"/>
        <w:numPr>
          <w:ilvl w:val="0"/>
          <w:numId w:val="0"/>
        </w:numPr>
        <w:autoSpaceDE w:val="0"/>
        <w:autoSpaceDN w:val="0"/>
        <w:spacing w:before="0" w:after="160" w:line="240" w:lineRule="auto"/>
        <w:ind w:left="38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投标单位承诺书</w:t>
      </w:r>
    </w:p>
    <w:p>
      <w:pPr>
        <w:pStyle w:val="10"/>
        <w:numPr>
          <w:ilvl w:val="0"/>
          <w:numId w:val="0"/>
        </w:numPr>
        <w:autoSpaceDE w:val="0"/>
        <w:autoSpaceDN w:val="0"/>
        <w:spacing w:before="112" w:after="160" w:line="240" w:lineRule="auto"/>
        <w:ind w:left="868" w:right="777" w:firstLine="0"/>
        <w:jc w:val="left"/>
        <w:rPr>
          <w:rFonts w:hint="eastAsia" w:ascii="宋体" w:hAnsi="宋体" w:eastAsia="宋体" w:cs="宋体"/>
          <w:color w:val="auto"/>
          <w:position w:val="0"/>
          <w:sz w:val="24"/>
          <w:szCs w:val="24"/>
        </w:rPr>
      </w:pPr>
      <w:r>
        <w:rPr>
          <w:rFonts w:hint="eastAsia" w:ascii="宋体" w:hAnsi="宋体" w:eastAsia="宋体" w:cs="宋体"/>
          <w:color w:val="auto"/>
          <w:spacing w:val="3"/>
          <w:position w:val="0"/>
          <w:sz w:val="24"/>
          <w:szCs w:val="24"/>
        </w:rPr>
        <w:t>我公司承诺在参加本次</w:t>
      </w:r>
      <w:r>
        <w:rPr>
          <w:rFonts w:hint="eastAsia" w:ascii="宋体" w:hAnsi="宋体" w:eastAsia="宋体" w:cs="宋体"/>
          <w:color w:val="auto"/>
          <w:position w:val="0"/>
          <w:sz w:val="24"/>
          <w:szCs w:val="24"/>
          <w:u w:val="single"/>
        </w:rPr>
        <w:t>（项目编号、项目名称）</w:t>
      </w:r>
      <w:r>
        <w:rPr>
          <w:rFonts w:hint="eastAsia" w:ascii="宋体" w:hAnsi="宋体" w:eastAsia="宋体" w:cs="宋体"/>
          <w:color w:val="auto"/>
          <w:spacing w:val="-11"/>
          <w:position w:val="0"/>
          <w:sz w:val="24"/>
          <w:szCs w:val="24"/>
        </w:rPr>
        <w:t>投标前三年内，无以下行为：</w:t>
      </w:r>
      <w:r>
        <w:rPr>
          <w:rFonts w:hint="eastAsia" w:ascii="宋体" w:hAnsi="宋体" w:eastAsia="宋体" w:cs="宋体"/>
          <w:color w:val="auto"/>
          <w:position w:val="0"/>
          <w:sz w:val="24"/>
          <w:szCs w:val="24"/>
        </w:rPr>
        <w:t>重大违法行为；</w:t>
      </w:r>
    </w:p>
    <w:p>
      <w:pPr>
        <w:pStyle w:val="10"/>
        <w:numPr>
          <w:ilvl w:val="0"/>
          <w:numId w:val="0"/>
        </w:numPr>
        <w:autoSpaceDE w:val="0"/>
        <w:autoSpaceDN w:val="0"/>
        <w:spacing w:before="0" w:after="160" w:line="240" w:lineRule="auto"/>
        <w:ind w:left="86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商业贿赂行为；</w:t>
      </w:r>
    </w:p>
    <w:p>
      <w:pPr>
        <w:pStyle w:val="10"/>
        <w:numPr>
          <w:ilvl w:val="0"/>
          <w:numId w:val="0"/>
        </w:numPr>
        <w:autoSpaceDE w:val="0"/>
        <w:autoSpaceDN w:val="0"/>
        <w:spacing w:before="113" w:after="160" w:line="240" w:lineRule="auto"/>
        <w:ind w:left="868" w:right="0" w:firstLine="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政府采购法《第七十七条》，列入不良行为记录名单的各种行为；</w:t>
      </w:r>
    </w:p>
    <w:p>
      <w:pPr>
        <w:pStyle w:val="10"/>
        <w:numPr>
          <w:ilvl w:val="0"/>
          <w:numId w:val="0"/>
        </w:numPr>
        <w:autoSpaceDE w:val="0"/>
        <w:autoSpaceDN w:val="0"/>
        <w:spacing w:before="112" w:after="160" w:line="240" w:lineRule="auto"/>
        <w:ind w:left="388" w:right="596" w:firstLine="480"/>
        <w:jc w:val="left"/>
        <w:rPr>
          <w:rFonts w:hint="eastAsia" w:ascii="宋体" w:hAnsi="宋体" w:eastAsia="宋体" w:cs="宋体"/>
          <w:color w:val="auto"/>
          <w:position w:val="0"/>
          <w:sz w:val="24"/>
          <w:szCs w:val="24"/>
        </w:rPr>
      </w:pPr>
      <w:r>
        <w:rPr>
          <w:rFonts w:hint="eastAsia" w:ascii="宋体" w:hAnsi="宋体" w:eastAsia="宋体" w:cs="宋体"/>
          <w:color w:val="auto"/>
          <w:position w:val="0"/>
          <w:sz w:val="24"/>
          <w:szCs w:val="24"/>
        </w:rPr>
        <w:t>如有上述行为，我公司及项目参与人员自愿放弃本次项目的投标、报价资格，若为预成交、成交人，也自愿放弃成交、成交资格。</w:t>
      </w:r>
    </w:p>
    <w:p>
      <w:pPr>
        <w:pStyle w:val="10"/>
        <w:numPr>
          <w:ilvl w:val="0"/>
          <w:numId w:val="0"/>
        </w:numPr>
        <w:autoSpaceDE w:val="0"/>
        <w:autoSpaceDN w:val="0"/>
        <w:spacing w:before="5" w:after="160" w:line="240" w:lineRule="auto"/>
        <w:ind w:right="0" w:firstLine="0"/>
        <w:jc w:val="left"/>
        <w:rPr>
          <w:rFonts w:hint="eastAsia" w:ascii="宋体" w:hAnsi="宋体" w:eastAsia="宋体" w:cs="宋体"/>
          <w:color w:val="auto"/>
          <w:position w:val="0"/>
          <w:sz w:val="24"/>
          <w:szCs w:val="24"/>
        </w:rPr>
      </w:pPr>
    </w:p>
    <w:p>
      <w:pPr>
        <w:pStyle w:val="10"/>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position w:val="0"/>
          <w:sz w:val="24"/>
          <w:szCs w:val="24"/>
          <w:u w:val="single"/>
        </w:rPr>
      </w:pPr>
      <w:r>
        <w:rPr>
          <w:rFonts w:hint="eastAsia" w:ascii="宋体" w:hAnsi="宋体" w:eastAsia="宋体" w:cs="宋体"/>
          <w:color w:val="auto"/>
          <w:position w:val="0"/>
          <w:sz w:val="24"/>
          <w:szCs w:val="24"/>
        </w:rPr>
        <w:t>投标供应商：</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（全称）（盖章）</w:t>
      </w:r>
      <w:r>
        <w:rPr>
          <w:rFonts w:hint="eastAsia" w:ascii="宋体" w:hAnsi="宋体" w:eastAsia="宋体" w:cs="宋体"/>
          <w:color w:val="auto"/>
          <w:position w:val="0"/>
          <w:sz w:val="24"/>
          <w:szCs w:val="24"/>
          <w:u w:val="single"/>
        </w:rPr>
        <w:tab/>
      </w:r>
    </w:p>
    <w:p>
      <w:pPr>
        <w:pStyle w:val="10"/>
        <w:numPr>
          <w:ilvl w:val="0"/>
          <w:numId w:val="0"/>
        </w:numPr>
        <w:tabs>
          <w:tab w:val="left" w:pos="5548"/>
          <w:tab w:val="left" w:pos="6028"/>
          <w:tab w:val="left" w:pos="6268"/>
          <w:tab w:val="left" w:pos="6868"/>
          <w:tab w:val="left" w:pos="8307"/>
        </w:tabs>
        <w:autoSpaceDE w:val="0"/>
        <w:autoSpaceDN w:val="0"/>
        <w:spacing w:before="0" w:after="160" w:line="343" w:lineRule="auto"/>
        <w:ind w:left="4228" w:right="1095" w:firstLine="0"/>
        <w:jc w:val="left"/>
        <w:rPr>
          <w:rFonts w:hint="eastAsia" w:ascii="宋体" w:hAnsi="宋体" w:eastAsia="宋体" w:cs="宋体"/>
          <w:color w:val="auto"/>
          <w:position w:val="0"/>
          <w:sz w:val="24"/>
          <w:szCs w:val="24"/>
        </w:rPr>
        <w:sectPr>
          <w:pgSz w:w="11910" w:h="16840"/>
          <w:pgMar w:top="1580" w:right="820" w:bottom="1160" w:left="1200" w:header="0" w:footer="975" w:gutter="0"/>
          <w:pgNumType w:fmt="decimal"/>
          <w:cols w:space="720" w:num="1"/>
          <w:docGrid w:linePitch="360" w:charSpace="6144"/>
        </w:sectPr>
      </w:pPr>
      <w:r>
        <w:rPr>
          <w:rFonts w:hint="eastAsia" w:ascii="宋体" w:hAnsi="宋体" w:eastAsia="宋体" w:cs="宋体"/>
          <w:color w:val="auto"/>
          <w:position w:val="0"/>
          <w:sz w:val="24"/>
          <w:szCs w:val="24"/>
        </w:rPr>
        <w:t>法定代表人或授权代理人：（签字或盖章</w:t>
      </w:r>
      <w:r>
        <w:rPr>
          <w:rFonts w:hint="eastAsia" w:ascii="宋体" w:hAnsi="宋体" w:eastAsia="宋体" w:cs="宋体"/>
          <w:color w:val="auto"/>
          <w:spacing w:val="-17"/>
          <w:position w:val="0"/>
          <w:sz w:val="24"/>
          <w:szCs w:val="24"/>
        </w:rPr>
        <w:t>）</w:t>
      </w:r>
      <w:r>
        <w:rPr>
          <w:rFonts w:hint="eastAsia" w:ascii="宋体" w:hAnsi="宋体" w:eastAsia="宋体" w:cs="宋体"/>
          <w:color w:val="auto"/>
          <w:position w:val="0"/>
          <w:sz w:val="24"/>
          <w:szCs w:val="24"/>
        </w:rPr>
        <w:t>日期：</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年</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月</w:t>
      </w:r>
      <w:r>
        <w:rPr>
          <w:rFonts w:hint="eastAsia" w:ascii="宋体" w:hAnsi="宋体" w:eastAsia="宋体" w:cs="宋体"/>
          <w:color w:val="auto"/>
          <w:position w:val="0"/>
          <w:sz w:val="24"/>
          <w:szCs w:val="24"/>
          <w:u w:val="single"/>
        </w:rPr>
        <w:tab/>
      </w:r>
      <w:r>
        <w:rPr>
          <w:rFonts w:hint="eastAsia" w:ascii="宋体" w:hAnsi="宋体" w:eastAsia="宋体" w:cs="宋体"/>
          <w:color w:val="auto"/>
          <w:position w:val="0"/>
          <w:sz w:val="24"/>
          <w:szCs w:val="24"/>
        </w:rPr>
        <w:t>日</w:t>
      </w:r>
    </w:p>
    <w:p>
      <w:pPr>
        <w:numPr>
          <w:ilvl w:val="0"/>
          <w:numId w:val="0"/>
        </w:numPr>
        <w:autoSpaceDE w:val="0"/>
        <w:autoSpaceDN w:val="0"/>
        <w:spacing w:before="0" w:after="160" w:line="240" w:lineRule="auto"/>
        <w:ind w:right="209" w:firstLine="0"/>
        <w:jc w:val="center"/>
        <w:rPr>
          <w:rFonts w:hint="eastAsia" w:ascii="宋体" w:hAnsi="宋体" w:eastAsia="宋体" w:cs="宋体"/>
          <w:b/>
          <w:color w:val="auto"/>
          <w:position w:val="0"/>
          <w:sz w:val="28"/>
          <w:szCs w:val="28"/>
        </w:rPr>
      </w:pPr>
      <w:r>
        <w:rPr>
          <w:rFonts w:hint="eastAsia" w:ascii="宋体" w:hAnsi="宋体" w:eastAsia="宋体" w:cs="宋体"/>
          <w:b/>
          <w:color w:val="auto"/>
          <w:position w:val="0"/>
          <w:sz w:val="28"/>
          <w:szCs w:val="28"/>
        </w:rPr>
        <w:t>（十）服务方案</w:t>
      </w:r>
    </w:p>
    <w:p>
      <w:pPr>
        <w:pStyle w:val="10"/>
        <w:numPr>
          <w:ilvl w:val="0"/>
          <w:numId w:val="0"/>
        </w:numPr>
        <w:autoSpaceDE w:val="0"/>
        <w:autoSpaceDN w:val="0"/>
        <w:spacing w:before="11" w:after="160" w:line="240" w:lineRule="auto"/>
        <w:ind w:right="0" w:firstLine="241"/>
        <w:jc w:val="left"/>
        <w:rPr>
          <w:rFonts w:hint="eastAsia" w:ascii="宋体" w:hAnsi="宋体" w:eastAsia="宋体" w:cs="宋体"/>
          <w:b/>
          <w:color w:val="auto"/>
          <w:position w:val="0"/>
          <w:sz w:val="24"/>
          <w:szCs w:val="24"/>
        </w:rPr>
      </w:pPr>
      <w:r>
        <w:rPr>
          <w:rFonts w:hint="eastAsia" w:ascii="宋体" w:hAnsi="宋体" w:eastAsia="宋体" w:cs="宋体"/>
          <w:b/>
          <w:color w:val="auto"/>
          <w:position w:val="0"/>
          <w:sz w:val="24"/>
          <w:szCs w:val="24"/>
        </w:rPr>
        <w:t>根据磋商文件中的采购内容及服务要求逐项编写，格式自拟。</w:t>
      </w:r>
    </w:p>
    <w:p>
      <w:pPr>
        <w:rPr>
          <w:rFonts w:hint="eastAsia" w:ascii="宋体" w:hAnsi="宋体" w:eastAsia="宋体" w:cs="宋体"/>
          <w:sz w:val="24"/>
          <w:szCs w:val="24"/>
          <w:lang w:val="en-US" w:eastAsia="zh-CN"/>
        </w:rPr>
      </w:pPr>
    </w:p>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DengXian">
    <w:altName w:val="宋体"/>
    <w:panose1 w:val="02010600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autoSpaceDE w:val="0"/>
      <w:autoSpaceDN w:val="0"/>
      <w:spacing w:before="0" w:after="160" w:line="14" w:lineRule="auto"/>
      <w:ind w:right="0" w:firstLine="0"/>
      <w:jc w:val="left"/>
      <w:rPr>
        <w:rFonts w:hint="default" w:ascii="宋体" w:hAnsi="宋体" w:eastAsia="宋体"/>
        <w:color w:val="auto"/>
        <w:position w:val="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autoSpaceDE w:val="0"/>
      <w:autoSpaceDN w:val="0"/>
      <w:spacing w:before="0" w:after="160" w:line="14" w:lineRule="auto"/>
      <w:ind w:right="0" w:firstLine="0"/>
      <w:jc w:val="left"/>
      <w:rPr>
        <w:rFonts w:hint="default" w:ascii="宋体" w:hAnsi="宋体" w:eastAsia="宋体"/>
        <w:color w:val="auto"/>
        <w:position w:val="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autoSpaceDE w:val="0"/>
      <w:autoSpaceDN w:val="0"/>
      <w:spacing w:before="0" w:after="160" w:line="14" w:lineRule="auto"/>
      <w:ind w:right="0" w:firstLine="0"/>
      <w:jc w:val="left"/>
      <w:rPr>
        <w:rFonts w:hint="default" w:ascii="宋体" w:hAnsi="宋体" w:eastAsia="宋体"/>
        <w:color w:val="auto"/>
        <w:position w:val="0"/>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autoSpaceDE w:val="0"/>
      <w:autoSpaceDN w:val="0"/>
      <w:spacing w:before="0" w:after="160" w:line="14" w:lineRule="auto"/>
      <w:ind w:right="0" w:firstLine="0"/>
      <w:jc w:val="left"/>
      <w:rPr>
        <w:rFonts w:hint="default" w:ascii="宋体" w:hAnsi="宋体" w:eastAsia="宋体"/>
        <w:color w:val="auto"/>
        <w:position w:val="0"/>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autoSpaceDE w:val="0"/>
      <w:autoSpaceDN w:val="0"/>
      <w:spacing w:before="0" w:after="160" w:line="14" w:lineRule="auto"/>
      <w:ind w:right="0" w:firstLine="0"/>
      <w:jc w:val="left"/>
      <w:rPr>
        <w:rFonts w:hint="default" w:ascii="宋体" w:hAnsi="宋体" w:eastAsia="宋体"/>
        <w:color w:val="auto"/>
        <w:position w:val="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autoSpaceDE w:val="0"/>
      <w:autoSpaceDN w:val="0"/>
      <w:spacing w:before="0" w:after="160" w:line="14" w:lineRule="auto"/>
      <w:ind w:right="0" w:firstLine="0"/>
      <w:jc w:val="left"/>
      <w:rPr>
        <w:rFonts w:hint="default" w:ascii="宋体" w:hAnsi="宋体" w:eastAsia="宋体"/>
        <w:color w:val="auto"/>
        <w:position w:val="0"/>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numPr>
        <w:ilvl w:val="0"/>
        <w:numId w:val="0"/>
      </w:numPr>
      <w:autoSpaceDE w:val="0"/>
      <w:autoSpaceDN w:val="0"/>
      <w:spacing w:before="0" w:after="160" w:line="14" w:lineRule="auto"/>
      <w:ind w:right="0" w:firstLine="0"/>
      <w:jc w:val="left"/>
      <w:rPr>
        <w:rFonts w:hint="default" w:ascii="宋体" w:hAnsi="宋体" w:eastAsia="宋体"/>
        <w:color w:val="auto"/>
        <w:position w:val="0"/>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37044"/>
    <w:multiLevelType w:val="singleLevel"/>
    <w:tmpl w:val="80237044"/>
    <w:lvl w:ilvl="0" w:tentative="0">
      <w:start w:val="2"/>
      <w:numFmt w:val="chineseCounting"/>
      <w:suff w:val="nothing"/>
      <w:lvlText w:val="%1、"/>
      <w:lvlJc w:val="left"/>
      <w:rPr>
        <w:rFonts w:hint="eastAsia"/>
      </w:rPr>
    </w:lvl>
  </w:abstractNum>
  <w:abstractNum w:abstractNumId="1">
    <w:nsid w:val="9D155B7F"/>
    <w:multiLevelType w:val="singleLevel"/>
    <w:tmpl w:val="9D155B7F"/>
    <w:lvl w:ilvl="0" w:tentative="0">
      <w:start w:val="1"/>
      <w:numFmt w:val="decimal"/>
      <w:suff w:val="nothing"/>
      <w:lvlText w:val="%1、"/>
      <w:lvlJc w:val="left"/>
    </w:lvl>
  </w:abstractNum>
  <w:abstractNum w:abstractNumId="2">
    <w:nsid w:val="AF8290F8"/>
    <w:multiLevelType w:val="singleLevel"/>
    <w:tmpl w:val="AF8290F8"/>
    <w:lvl w:ilvl="0" w:tentative="0">
      <w:start w:val="4"/>
      <w:numFmt w:val="chineseCounting"/>
      <w:suff w:val="nothing"/>
      <w:lvlText w:val="%1、"/>
      <w:lvlJc w:val="left"/>
      <w:rPr>
        <w:rFonts w:hint="eastAsia"/>
      </w:rPr>
    </w:lvl>
  </w:abstractNum>
  <w:abstractNum w:abstractNumId="3">
    <w:nsid w:val="00000000"/>
    <w:multiLevelType w:val="multilevel"/>
    <w:tmpl w:val="00000000"/>
    <w:lvl w:ilvl="0" w:tentative="0">
      <w:start w:val="2"/>
      <w:numFmt w:val="decimal"/>
      <w:lvlText w:val="%1."/>
      <w:lvlJc w:val="left"/>
      <w:pPr>
        <w:ind w:left="388" w:hanging="212"/>
        <w:jc w:val="both"/>
      </w:pPr>
      <w:rPr>
        <w:rFonts w:ascii="宋体" w:hAnsi="宋体" w:eastAsia="宋体"/>
        <w:spacing w:val="-2"/>
        <w:w w:val="99"/>
        <w:sz w:val="19"/>
        <w:szCs w:val="19"/>
        <w:shd w:val="clear" w:color="auto" w:fill="auto"/>
      </w:rPr>
    </w:lvl>
    <w:lvl w:ilvl="1" w:tentative="0">
      <w:start w:val="0"/>
      <w:numFmt w:val="bullet"/>
      <w:lvlText w:val="•"/>
      <w:lvlJc w:val="left"/>
      <w:pPr>
        <w:ind w:left="1330" w:hanging="212"/>
        <w:jc w:val="both"/>
      </w:pPr>
      <w:rPr>
        <w:w w:val="100"/>
        <w:sz w:val="20"/>
        <w:szCs w:val="20"/>
        <w:shd w:val="clear" w:color="auto" w:fill="auto"/>
      </w:rPr>
    </w:lvl>
    <w:lvl w:ilvl="2" w:tentative="0">
      <w:start w:val="0"/>
      <w:numFmt w:val="bullet"/>
      <w:lvlText w:val="•"/>
      <w:lvlJc w:val="left"/>
      <w:pPr>
        <w:ind w:left="2281" w:hanging="212"/>
        <w:jc w:val="both"/>
      </w:pPr>
      <w:rPr>
        <w:w w:val="100"/>
        <w:sz w:val="20"/>
        <w:szCs w:val="20"/>
        <w:shd w:val="clear" w:color="auto" w:fill="auto"/>
      </w:rPr>
    </w:lvl>
    <w:lvl w:ilvl="3" w:tentative="0">
      <w:start w:val="0"/>
      <w:numFmt w:val="bullet"/>
      <w:lvlText w:val="•"/>
      <w:lvlJc w:val="left"/>
      <w:pPr>
        <w:ind w:left="3231" w:hanging="212"/>
        <w:jc w:val="both"/>
      </w:pPr>
      <w:rPr>
        <w:w w:val="100"/>
        <w:sz w:val="20"/>
        <w:szCs w:val="20"/>
        <w:shd w:val="clear" w:color="auto" w:fill="auto"/>
      </w:rPr>
    </w:lvl>
    <w:lvl w:ilvl="4" w:tentative="0">
      <w:start w:val="0"/>
      <w:numFmt w:val="bullet"/>
      <w:lvlText w:val="•"/>
      <w:lvlJc w:val="left"/>
      <w:pPr>
        <w:ind w:left="4182" w:hanging="212"/>
        <w:jc w:val="both"/>
      </w:pPr>
      <w:rPr>
        <w:w w:val="100"/>
        <w:sz w:val="20"/>
        <w:szCs w:val="20"/>
        <w:shd w:val="clear" w:color="auto" w:fill="auto"/>
      </w:rPr>
    </w:lvl>
    <w:lvl w:ilvl="5" w:tentative="0">
      <w:start w:val="0"/>
      <w:numFmt w:val="bullet"/>
      <w:lvlText w:val="•"/>
      <w:lvlJc w:val="left"/>
      <w:pPr>
        <w:ind w:left="5133" w:hanging="212"/>
        <w:jc w:val="both"/>
      </w:pPr>
      <w:rPr>
        <w:w w:val="100"/>
        <w:sz w:val="20"/>
        <w:szCs w:val="20"/>
        <w:shd w:val="clear" w:color="auto" w:fill="auto"/>
      </w:rPr>
    </w:lvl>
    <w:lvl w:ilvl="6" w:tentative="0">
      <w:start w:val="0"/>
      <w:numFmt w:val="bullet"/>
      <w:lvlText w:val="•"/>
      <w:lvlJc w:val="left"/>
      <w:pPr>
        <w:ind w:left="6083" w:hanging="212"/>
        <w:jc w:val="both"/>
      </w:pPr>
      <w:rPr>
        <w:w w:val="100"/>
        <w:sz w:val="20"/>
        <w:szCs w:val="20"/>
        <w:shd w:val="clear" w:color="auto" w:fill="auto"/>
      </w:rPr>
    </w:lvl>
    <w:lvl w:ilvl="7" w:tentative="0">
      <w:start w:val="0"/>
      <w:numFmt w:val="bullet"/>
      <w:lvlText w:val="•"/>
      <w:lvlJc w:val="left"/>
      <w:pPr>
        <w:ind w:left="7034" w:hanging="212"/>
        <w:jc w:val="both"/>
      </w:pPr>
      <w:rPr>
        <w:w w:val="100"/>
        <w:sz w:val="20"/>
        <w:szCs w:val="20"/>
        <w:shd w:val="clear" w:color="auto" w:fill="auto"/>
      </w:rPr>
    </w:lvl>
    <w:lvl w:ilvl="8" w:tentative="0">
      <w:start w:val="0"/>
      <w:numFmt w:val="bullet"/>
      <w:lvlText w:val="•"/>
      <w:lvlJc w:val="left"/>
      <w:pPr>
        <w:ind w:left="7984" w:hanging="212"/>
        <w:jc w:val="both"/>
      </w:pPr>
      <w:rPr>
        <w:w w:val="100"/>
        <w:sz w:val="20"/>
        <w:szCs w:val="20"/>
        <w:shd w:val="clear" w:color="auto" w:fill="auto"/>
      </w:rPr>
    </w:lvl>
  </w:abstractNum>
  <w:abstractNum w:abstractNumId="4">
    <w:nsid w:val="00000001"/>
    <w:multiLevelType w:val="multilevel"/>
    <w:tmpl w:val="00000001"/>
    <w:lvl w:ilvl="0" w:tentative="0">
      <w:start w:val="1"/>
      <w:numFmt w:val="decimal"/>
      <w:lvlText w:val="（%1）"/>
      <w:lvlJc w:val="left"/>
      <w:pPr>
        <w:ind w:left="1354" w:hanging="601"/>
        <w:jc w:val="both"/>
      </w:pPr>
      <w:rPr>
        <w:rFonts w:ascii="宋体" w:hAnsi="宋体" w:eastAsia="宋体"/>
        <w:spacing w:val="-1"/>
        <w:w w:val="100"/>
        <w:sz w:val="22"/>
        <w:szCs w:val="22"/>
        <w:shd w:val="clear" w:color="auto" w:fill="auto"/>
      </w:rPr>
    </w:lvl>
    <w:lvl w:ilvl="1" w:tentative="0">
      <w:start w:val="1"/>
      <w:numFmt w:val="decimal"/>
      <w:lvlText w:val="（%2）"/>
      <w:lvlJc w:val="left"/>
      <w:pPr>
        <w:ind w:left="1469" w:hanging="601"/>
        <w:jc w:val="both"/>
      </w:pPr>
      <w:rPr>
        <w:rFonts w:ascii="宋体" w:hAnsi="宋体" w:eastAsia="宋体"/>
        <w:w w:val="100"/>
        <w:sz w:val="22"/>
        <w:szCs w:val="22"/>
        <w:shd w:val="clear" w:color="auto" w:fill="auto"/>
      </w:rPr>
    </w:lvl>
    <w:lvl w:ilvl="2" w:tentative="0">
      <w:start w:val="0"/>
      <w:numFmt w:val="bullet"/>
      <w:lvlText w:val="•"/>
      <w:lvlJc w:val="left"/>
      <w:pPr>
        <w:ind w:left="2396" w:hanging="601"/>
        <w:jc w:val="both"/>
      </w:pPr>
      <w:rPr>
        <w:w w:val="100"/>
        <w:sz w:val="20"/>
        <w:szCs w:val="20"/>
        <w:shd w:val="clear" w:color="auto" w:fill="auto"/>
      </w:rPr>
    </w:lvl>
    <w:lvl w:ilvl="3" w:tentative="0">
      <w:start w:val="0"/>
      <w:numFmt w:val="bullet"/>
      <w:lvlText w:val="•"/>
      <w:lvlJc w:val="left"/>
      <w:pPr>
        <w:ind w:left="3332" w:hanging="601"/>
        <w:jc w:val="both"/>
      </w:pPr>
      <w:rPr>
        <w:w w:val="100"/>
        <w:sz w:val="20"/>
        <w:szCs w:val="20"/>
        <w:shd w:val="clear" w:color="auto" w:fill="auto"/>
      </w:rPr>
    </w:lvl>
    <w:lvl w:ilvl="4" w:tentative="0">
      <w:start w:val="0"/>
      <w:numFmt w:val="bullet"/>
      <w:lvlText w:val="•"/>
      <w:lvlJc w:val="left"/>
      <w:pPr>
        <w:ind w:left="4268" w:hanging="601"/>
        <w:jc w:val="both"/>
      </w:pPr>
      <w:rPr>
        <w:w w:val="100"/>
        <w:sz w:val="20"/>
        <w:szCs w:val="20"/>
        <w:shd w:val="clear" w:color="auto" w:fill="auto"/>
      </w:rPr>
    </w:lvl>
    <w:lvl w:ilvl="5" w:tentative="0">
      <w:start w:val="0"/>
      <w:numFmt w:val="bullet"/>
      <w:lvlText w:val="•"/>
      <w:lvlJc w:val="left"/>
      <w:pPr>
        <w:ind w:left="5204" w:hanging="601"/>
        <w:jc w:val="both"/>
      </w:pPr>
      <w:rPr>
        <w:w w:val="100"/>
        <w:sz w:val="20"/>
        <w:szCs w:val="20"/>
        <w:shd w:val="clear" w:color="auto" w:fill="auto"/>
      </w:rPr>
    </w:lvl>
    <w:lvl w:ilvl="6" w:tentative="0">
      <w:start w:val="0"/>
      <w:numFmt w:val="bullet"/>
      <w:lvlText w:val="•"/>
      <w:lvlJc w:val="left"/>
      <w:pPr>
        <w:ind w:left="6141" w:hanging="601"/>
        <w:jc w:val="both"/>
      </w:pPr>
      <w:rPr>
        <w:w w:val="100"/>
        <w:sz w:val="20"/>
        <w:szCs w:val="20"/>
        <w:shd w:val="clear" w:color="auto" w:fill="auto"/>
      </w:rPr>
    </w:lvl>
    <w:lvl w:ilvl="7" w:tentative="0">
      <w:start w:val="0"/>
      <w:numFmt w:val="bullet"/>
      <w:lvlText w:val="•"/>
      <w:lvlJc w:val="left"/>
      <w:pPr>
        <w:ind w:left="7077" w:hanging="601"/>
        <w:jc w:val="both"/>
      </w:pPr>
      <w:rPr>
        <w:w w:val="100"/>
        <w:sz w:val="20"/>
        <w:szCs w:val="20"/>
        <w:shd w:val="clear" w:color="auto" w:fill="auto"/>
      </w:rPr>
    </w:lvl>
    <w:lvl w:ilvl="8" w:tentative="0">
      <w:start w:val="0"/>
      <w:numFmt w:val="bullet"/>
      <w:lvlText w:val="•"/>
      <w:lvlJc w:val="left"/>
      <w:pPr>
        <w:ind w:left="8013" w:hanging="601"/>
        <w:jc w:val="both"/>
      </w:pPr>
      <w:rPr>
        <w:w w:val="100"/>
        <w:sz w:val="20"/>
        <w:szCs w:val="20"/>
        <w:shd w:val="clear" w:color="auto" w:fill="auto"/>
      </w:rPr>
    </w:lvl>
  </w:abstractNum>
  <w:abstractNum w:abstractNumId="5">
    <w:nsid w:val="00000002"/>
    <w:multiLevelType w:val="multilevel"/>
    <w:tmpl w:val="00000002"/>
    <w:lvl w:ilvl="0" w:tentative="0">
      <w:start w:val="6"/>
      <w:numFmt w:val="decimal"/>
      <w:lvlText w:val="(%1)"/>
      <w:lvlJc w:val="left"/>
      <w:pPr>
        <w:ind w:left="1105" w:hanging="359"/>
        <w:jc w:val="both"/>
      </w:pPr>
      <w:rPr>
        <w:rFonts w:ascii="宋体" w:hAnsi="宋体" w:eastAsia="宋体"/>
        <w:spacing w:val="-5"/>
        <w:w w:val="100"/>
        <w:sz w:val="22"/>
        <w:szCs w:val="22"/>
        <w:shd w:val="clear" w:color="auto" w:fill="auto"/>
      </w:rPr>
    </w:lvl>
    <w:lvl w:ilvl="1" w:tentative="0">
      <w:start w:val="0"/>
      <w:numFmt w:val="bullet"/>
      <w:lvlText w:val="•"/>
      <w:lvlJc w:val="left"/>
      <w:pPr>
        <w:ind w:left="6140" w:hanging="359"/>
        <w:jc w:val="both"/>
      </w:pPr>
      <w:rPr>
        <w:w w:val="100"/>
        <w:sz w:val="20"/>
        <w:szCs w:val="20"/>
        <w:shd w:val="clear" w:color="auto" w:fill="auto"/>
      </w:rPr>
    </w:lvl>
    <w:lvl w:ilvl="2" w:tentative="0">
      <w:start w:val="0"/>
      <w:numFmt w:val="bullet"/>
      <w:lvlText w:val="•"/>
      <w:lvlJc w:val="left"/>
      <w:pPr>
        <w:ind w:left="6240" w:hanging="359"/>
        <w:jc w:val="both"/>
      </w:pPr>
      <w:rPr>
        <w:w w:val="100"/>
        <w:sz w:val="20"/>
        <w:szCs w:val="20"/>
        <w:shd w:val="clear" w:color="auto" w:fill="auto"/>
      </w:rPr>
    </w:lvl>
    <w:lvl w:ilvl="3" w:tentative="0">
      <w:start w:val="0"/>
      <w:numFmt w:val="bullet"/>
      <w:lvlText w:val="•"/>
      <w:lvlJc w:val="left"/>
      <w:pPr>
        <w:ind w:left="6695" w:hanging="359"/>
        <w:jc w:val="both"/>
      </w:pPr>
      <w:rPr>
        <w:w w:val="100"/>
        <w:sz w:val="20"/>
        <w:szCs w:val="20"/>
        <w:shd w:val="clear" w:color="auto" w:fill="auto"/>
      </w:rPr>
    </w:lvl>
    <w:lvl w:ilvl="4" w:tentative="0">
      <w:start w:val="0"/>
      <w:numFmt w:val="bullet"/>
      <w:lvlText w:val="•"/>
      <w:lvlJc w:val="left"/>
      <w:pPr>
        <w:ind w:left="7151" w:hanging="359"/>
        <w:jc w:val="both"/>
      </w:pPr>
      <w:rPr>
        <w:w w:val="100"/>
        <w:sz w:val="20"/>
        <w:szCs w:val="20"/>
        <w:shd w:val="clear" w:color="auto" w:fill="auto"/>
      </w:rPr>
    </w:lvl>
    <w:lvl w:ilvl="5" w:tentative="0">
      <w:start w:val="0"/>
      <w:numFmt w:val="bullet"/>
      <w:lvlText w:val="•"/>
      <w:lvlJc w:val="left"/>
      <w:pPr>
        <w:ind w:left="7607" w:hanging="359"/>
        <w:jc w:val="both"/>
      </w:pPr>
      <w:rPr>
        <w:w w:val="100"/>
        <w:sz w:val="20"/>
        <w:szCs w:val="20"/>
        <w:shd w:val="clear" w:color="auto" w:fill="auto"/>
      </w:rPr>
    </w:lvl>
    <w:lvl w:ilvl="6" w:tentative="0">
      <w:start w:val="0"/>
      <w:numFmt w:val="bullet"/>
      <w:lvlText w:val="•"/>
      <w:lvlJc w:val="left"/>
      <w:pPr>
        <w:ind w:left="8063" w:hanging="359"/>
        <w:jc w:val="both"/>
      </w:pPr>
      <w:rPr>
        <w:w w:val="100"/>
        <w:sz w:val="20"/>
        <w:szCs w:val="20"/>
        <w:shd w:val="clear" w:color="auto" w:fill="auto"/>
      </w:rPr>
    </w:lvl>
    <w:lvl w:ilvl="7" w:tentative="0">
      <w:start w:val="0"/>
      <w:numFmt w:val="bullet"/>
      <w:lvlText w:val="•"/>
      <w:lvlJc w:val="left"/>
      <w:pPr>
        <w:ind w:left="8518" w:hanging="359"/>
        <w:jc w:val="both"/>
      </w:pPr>
      <w:rPr>
        <w:w w:val="100"/>
        <w:sz w:val="20"/>
        <w:szCs w:val="20"/>
        <w:shd w:val="clear" w:color="auto" w:fill="auto"/>
      </w:rPr>
    </w:lvl>
    <w:lvl w:ilvl="8" w:tentative="0">
      <w:start w:val="0"/>
      <w:numFmt w:val="bullet"/>
      <w:lvlText w:val="•"/>
      <w:lvlJc w:val="left"/>
      <w:pPr>
        <w:ind w:left="8974" w:hanging="359"/>
        <w:jc w:val="both"/>
      </w:pPr>
      <w:rPr>
        <w:w w:val="100"/>
        <w:sz w:val="20"/>
        <w:szCs w:val="20"/>
        <w:shd w:val="clear" w:color="auto" w:fill="auto"/>
      </w:rPr>
    </w:lvl>
  </w:abstractNum>
  <w:abstractNum w:abstractNumId="6">
    <w:nsid w:val="00000003"/>
    <w:multiLevelType w:val="multilevel"/>
    <w:tmpl w:val="00000003"/>
    <w:lvl w:ilvl="0" w:tentative="0">
      <w:start w:val="35"/>
      <w:numFmt w:val="decimal"/>
      <w:lvlText w:val="%1."/>
      <w:lvlJc w:val="left"/>
      <w:pPr>
        <w:ind w:left="1237" w:hanging="484"/>
        <w:jc w:val="both"/>
      </w:pPr>
      <w:rPr>
        <w:rFonts w:ascii="宋体" w:hAnsi="宋体" w:eastAsia="宋体"/>
        <w:b/>
        <w:w w:val="99"/>
        <w:sz w:val="22"/>
        <w:szCs w:val="22"/>
        <w:shd w:val="clear" w:color="auto" w:fill="auto"/>
      </w:rPr>
    </w:lvl>
    <w:lvl w:ilvl="1" w:tentative="0">
      <w:start w:val="1"/>
      <w:numFmt w:val="decimal"/>
      <w:lvlText w:val="%1.%2"/>
      <w:lvlJc w:val="left"/>
      <w:pPr>
        <w:ind w:left="273" w:hanging="531"/>
        <w:jc w:val="both"/>
      </w:pPr>
      <w:rPr>
        <w:rFonts w:ascii="宋体" w:hAnsi="宋体" w:eastAsia="宋体"/>
        <w:spacing w:val="-3"/>
        <w:w w:val="100"/>
        <w:sz w:val="24"/>
        <w:szCs w:val="24"/>
        <w:shd w:val="clear" w:color="auto" w:fill="auto"/>
      </w:rPr>
    </w:lvl>
    <w:lvl w:ilvl="2" w:tentative="0">
      <w:start w:val="0"/>
      <w:numFmt w:val="bullet"/>
      <w:lvlText w:val="•"/>
      <w:lvlJc w:val="left"/>
      <w:pPr>
        <w:ind w:left="1300" w:hanging="531"/>
        <w:jc w:val="both"/>
      </w:pPr>
      <w:rPr>
        <w:w w:val="100"/>
        <w:sz w:val="20"/>
        <w:szCs w:val="20"/>
        <w:shd w:val="clear" w:color="auto" w:fill="auto"/>
      </w:rPr>
    </w:lvl>
    <w:lvl w:ilvl="3" w:tentative="0">
      <w:start w:val="0"/>
      <w:numFmt w:val="bullet"/>
      <w:lvlText w:val="•"/>
      <w:lvlJc w:val="left"/>
      <w:pPr>
        <w:ind w:left="2373" w:hanging="531"/>
        <w:jc w:val="both"/>
      </w:pPr>
      <w:rPr>
        <w:w w:val="100"/>
        <w:sz w:val="20"/>
        <w:szCs w:val="20"/>
        <w:shd w:val="clear" w:color="auto" w:fill="auto"/>
      </w:rPr>
    </w:lvl>
    <w:lvl w:ilvl="4" w:tentative="0">
      <w:start w:val="0"/>
      <w:numFmt w:val="bullet"/>
      <w:lvlText w:val="•"/>
      <w:lvlJc w:val="left"/>
      <w:pPr>
        <w:ind w:left="3446" w:hanging="531"/>
        <w:jc w:val="both"/>
      </w:pPr>
      <w:rPr>
        <w:w w:val="100"/>
        <w:sz w:val="20"/>
        <w:szCs w:val="20"/>
        <w:shd w:val="clear" w:color="auto" w:fill="auto"/>
      </w:rPr>
    </w:lvl>
    <w:lvl w:ilvl="5" w:tentative="0">
      <w:start w:val="0"/>
      <w:numFmt w:val="bullet"/>
      <w:lvlText w:val="•"/>
      <w:lvlJc w:val="left"/>
      <w:pPr>
        <w:ind w:left="4519" w:hanging="531"/>
        <w:jc w:val="both"/>
      </w:pPr>
      <w:rPr>
        <w:w w:val="100"/>
        <w:sz w:val="20"/>
        <w:szCs w:val="20"/>
        <w:shd w:val="clear" w:color="auto" w:fill="auto"/>
      </w:rPr>
    </w:lvl>
    <w:lvl w:ilvl="6" w:tentative="0">
      <w:start w:val="0"/>
      <w:numFmt w:val="bullet"/>
      <w:lvlText w:val="•"/>
      <w:lvlJc w:val="left"/>
      <w:pPr>
        <w:ind w:left="5593" w:hanging="531"/>
        <w:jc w:val="both"/>
      </w:pPr>
      <w:rPr>
        <w:w w:val="100"/>
        <w:sz w:val="20"/>
        <w:szCs w:val="20"/>
        <w:shd w:val="clear" w:color="auto" w:fill="auto"/>
      </w:rPr>
    </w:lvl>
    <w:lvl w:ilvl="7" w:tentative="0">
      <w:start w:val="0"/>
      <w:numFmt w:val="bullet"/>
      <w:lvlText w:val="•"/>
      <w:lvlJc w:val="left"/>
      <w:pPr>
        <w:ind w:left="6666" w:hanging="531"/>
        <w:jc w:val="both"/>
      </w:pPr>
      <w:rPr>
        <w:w w:val="100"/>
        <w:sz w:val="20"/>
        <w:szCs w:val="20"/>
        <w:shd w:val="clear" w:color="auto" w:fill="auto"/>
      </w:rPr>
    </w:lvl>
    <w:lvl w:ilvl="8" w:tentative="0">
      <w:start w:val="0"/>
      <w:numFmt w:val="bullet"/>
      <w:lvlText w:val="•"/>
      <w:lvlJc w:val="left"/>
      <w:pPr>
        <w:ind w:left="7739" w:hanging="531"/>
        <w:jc w:val="both"/>
      </w:pPr>
      <w:rPr>
        <w:w w:val="100"/>
        <w:sz w:val="20"/>
        <w:szCs w:val="20"/>
        <w:shd w:val="clear" w:color="auto" w:fill="auto"/>
      </w:rPr>
    </w:lvl>
  </w:abstractNum>
  <w:abstractNum w:abstractNumId="7">
    <w:nsid w:val="00000004"/>
    <w:multiLevelType w:val="multilevel"/>
    <w:tmpl w:val="00000004"/>
    <w:lvl w:ilvl="0" w:tentative="0">
      <w:start w:val="1"/>
      <w:numFmt w:val="decimal"/>
      <w:lvlText w:val="（%1）"/>
      <w:lvlJc w:val="left"/>
      <w:pPr>
        <w:ind w:left="639" w:hanging="525"/>
        <w:jc w:val="both"/>
      </w:pPr>
      <w:rPr>
        <w:rFonts w:ascii="宋体" w:hAnsi="宋体" w:eastAsia="宋体"/>
        <w:spacing w:val="-1"/>
        <w:w w:val="99"/>
        <w:sz w:val="19"/>
        <w:szCs w:val="19"/>
        <w:shd w:val="clear" w:color="auto" w:fill="auto"/>
      </w:rPr>
    </w:lvl>
    <w:lvl w:ilvl="1" w:tentative="0">
      <w:start w:val="0"/>
      <w:numFmt w:val="bullet"/>
      <w:lvlText w:val="•"/>
      <w:lvlJc w:val="left"/>
      <w:pPr>
        <w:ind w:left="1223" w:hanging="525"/>
        <w:jc w:val="both"/>
      </w:pPr>
      <w:rPr>
        <w:w w:val="100"/>
        <w:sz w:val="20"/>
        <w:szCs w:val="20"/>
        <w:shd w:val="clear" w:color="auto" w:fill="auto"/>
      </w:rPr>
    </w:lvl>
    <w:lvl w:ilvl="2" w:tentative="0">
      <w:start w:val="0"/>
      <w:numFmt w:val="bullet"/>
      <w:lvlText w:val="•"/>
      <w:lvlJc w:val="left"/>
      <w:pPr>
        <w:ind w:left="1807" w:hanging="525"/>
        <w:jc w:val="both"/>
      </w:pPr>
      <w:rPr>
        <w:w w:val="100"/>
        <w:sz w:val="20"/>
        <w:szCs w:val="20"/>
        <w:shd w:val="clear" w:color="auto" w:fill="auto"/>
      </w:rPr>
    </w:lvl>
    <w:lvl w:ilvl="3" w:tentative="0">
      <w:start w:val="0"/>
      <w:numFmt w:val="bullet"/>
      <w:lvlText w:val="•"/>
      <w:lvlJc w:val="left"/>
      <w:pPr>
        <w:ind w:left="2390" w:hanging="525"/>
        <w:jc w:val="both"/>
      </w:pPr>
      <w:rPr>
        <w:w w:val="100"/>
        <w:sz w:val="20"/>
        <w:szCs w:val="20"/>
        <w:shd w:val="clear" w:color="auto" w:fill="auto"/>
      </w:rPr>
    </w:lvl>
    <w:lvl w:ilvl="4" w:tentative="0">
      <w:start w:val="0"/>
      <w:numFmt w:val="bullet"/>
      <w:lvlText w:val="•"/>
      <w:lvlJc w:val="left"/>
      <w:pPr>
        <w:ind w:left="2974" w:hanging="525"/>
        <w:jc w:val="both"/>
      </w:pPr>
      <w:rPr>
        <w:w w:val="100"/>
        <w:sz w:val="20"/>
        <w:szCs w:val="20"/>
        <w:shd w:val="clear" w:color="auto" w:fill="auto"/>
      </w:rPr>
    </w:lvl>
    <w:lvl w:ilvl="5" w:tentative="0">
      <w:start w:val="0"/>
      <w:numFmt w:val="bullet"/>
      <w:lvlText w:val="•"/>
      <w:lvlJc w:val="left"/>
      <w:pPr>
        <w:ind w:left="3557" w:hanging="525"/>
        <w:jc w:val="both"/>
      </w:pPr>
      <w:rPr>
        <w:w w:val="100"/>
        <w:sz w:val="20"/>
        <w:szCs w:val="20"/>
        <w:shd w:val="clear" w:color="auto" w:fill="auto"/>
      </w:rPr>
    </w:lvl>
    <w:lvl w:ilvl="6" w:tentative="0">
      <w:start w:val="0"/>
      <w:numFmt w:val="bullet"/>
      <w:lvlText w:val="•"/>
      <w:lvlJc w:val="left"/>
      <w:pPr>
        <w:ind w:left="4141" w:hanging="525"/>
        <w:jc w:val="both"/>
      </w:pPr>
      <w:rPr>
        <w:w w:val="100"/>
        <w:sz w:val="20"/>
        <w:szCs w:val="20"/>
        <w:shd w:val="clear" w:color="auto" w:fill="auto"/>
      </w:rPr>
    </w:lvl>
    <w:lvl w:ilvl="7" w:tentative="0">
      <w:start w:val="0"/>
      <w:numFmt w:val="bullet"/>
      <w:lvlText w:val="•"/>
      <w:lvlJc w:val="left"/>
      <w:pPr>
        <w:ind w:left="4724" w:hanging="525"/>
        <w:jc w:val="both"/>
      </w:pPr>
      <w:rPr>
        <w:w w:val="100"/>
        <w:sz w:val="20"/>
        <w:szCs w:val="20"/>
        <w:shd w:val="clear" w:color="auto" w:fill="auto"/>
      </w:rPr>
    </w:lvl>
    <w:lvl w:ilvl="8" w:tentative="0">
      <w:start w:val="0"/>
      <w:numFmt w:val="bullet"/>
      <w:lvlText w:val="•"/>
      <w:lvlJc w:val="left"/>
      <w:pPr>
        <w:ind w:left="5308" w:hanging="525"/>
        <w:jc w:val="both"/>
      </w:pPr>
      <w:rPr>
        <w:w w:val="100"/>
        <w:sz w:val="20"/>
        <w:szCs w:val="20"/>
        <w:shd w:val="clear" w:color="auto" w:fill="auto"/>
      </w:rPr>
    </w:lvl>
  </w:abstractNum>
  <w:abstractNum w:abstractNumId="8">
    <w:nsid w:val="00000005"/>
    <w:multiLevelType w:val="multilevel"/>
    <w:tmpl w:val="00000005"/>
    <w:lvl w:ilvl="0" w:tentative="0">
      <w:start w:val="1"/>
      <w:numFmt w:val="decimal"/>
      <w:lvlText w:val="%1."/>
      <w:lvlJc w:val="left"/>
      <w:pPr>
        <w:ind w:left="994" w:hanging="241"/>
        <w:jc w:val="both"/>
      </w:pPr>
      <w:rPr>
        <w:rFonts w:ascii="宋体" w:hAnsi="宋体" w:eastAsia="宋体"/>
        <w:w w:val="100"/>
        <w:sz w:val="22"/>
        <w:szCs w:val="22"/>
        <w:shd w:val="clear" w:color="auto" w:fill="auto"/>
      </w:rPr>
    </w:lvl>
    <w:lvl w:ilvl="1" w:tentative="0">
      <w:start w:val="0"/>
      <w:numFmt w:val="bullet"/>
      <w:lvlText w:val="•"/>
      <w:lvlJc w:val="left"/>
      <w:pPr>
        <w:ind w:left="1888" w:hanging="241"/>
        <w:jc w:val="both"/>
      </w:pPr>
      <w:rPr>
        <w:w w:val="100"/>
        <w:sz w:val="20"/>
        <w:szCs w:val="20"/>
        <w:shd w:val="clear" w:color="auto" w:fill="auto"/>
      </w:rPr>
    </w:lvl>
    <w:lvl w:ilvl="2" w:tentative="0">
      <w:start w:val="0"/>
      <w:numFmt w:val="bullet"/>
      <w:lvlText w:val="•"/>
      <w:lvlJc w:val="left"/>
      <w:pPr>
        <w:ind w:left="2777" w:hanging="241"/>
        <w:jc w:val="both"/>
      </w:pPr>
      <w:rPr>
        <w:w w:val="100"/>
        <w:sz w:val="20"/>
        <w:szCs w:val="20"/>
        <w:shd w:val="clear" w:color="auto" w:fill="auto"/>
      </w:rPr>
    </w:lvl>
    <w:lvl w:ilvl="3" w:tentative="0">
      <w:start w:val="0"/>
      <w:numFmt w:val="bullet"/>
      <w:lvlText w:val="•"/>
      <w:lvlJc w:val="left"/>
      <w:pPr>
        <w:ind w:left="3665" w:hanging="241"/>
        <w:jc w:val="both"/>
      </w:pPr>
      <w:rPr>
        <w:w w:val="100"/>
        <w:sz w:val="20"/>
        <w:szCs w:val="20"/>
        <w:shd w:val="clear" w:color="auto" w:fill="auto"/>
      </w:rPr>
    </w:lvl>
    <w:lvl w:ilvl="4" w:tentative="0">
      <w:start w:val="0"/>
      <w:numFmt w:val="bullet"/>
      <w:lvlText w:val="•"/>
      <w:lvlJc w:val="left"/>
      <w:pPr>
        <w:ind w:left="4554" w:hanging="241"/>
        <w:jc w:val="both"/>
      </w:pPr>
      <w:rPr>
        <w:w w:val="100"/>
        <w:sz w:val="20"/>
        <w:szCs w:val="20"/>
        <w:shd w:val="clear" w:color="auto" w:fill="auto"/>
      </w:rPr>
    </w:lvl>
    <w:lvl w:ilvl="5" w:tentative="0">
      <w:start w:val="0"/>
      <w:numFmt w:val="bullet"/>
      <w:lvlText w:val="•"/>
      <w:lvlJc w:val="left"/>
      <w:pPr>
        <w:ind w:left="5443" w:hanging="241"/>
        <w:jc w:val="both"/>
      </w:pPr>
      <w:rPr>
        <w:w w:val="100"/>
        <w:sz w:val="20"/>
        <w:szCs w:val="20"/>
        <w:shd w:val="clear" w:color="auto" w:fill="auto"/>
      </w:rPr>
    </w:lvl>
    <w:lvl w:ilvl="6" w:tentative="0">
      <w:start w:val="0"/>
      <w:numFmt w:val="bullet"/>
      <w:lvlText w:val="•"/>
      <w:lvlJc w:val="left"/>
      <w:pPr>
        <w:ind w:left="6331" w:hanging="241"/>
        <w:jc w:val="both"/>
      </w:pPr>
      <w:rPr>
        <w:w w:val="100"/>
        <w:sz w:val="20"/>
        <w:szCs w:val="20"/>
        <w:shd w:val="clear" w:color="auto" w:fill="auto"/>
      </w:rPr>
    </w:lvl>
    <w:lvl w:ilvl="7" w:tentative="0">
      <w:start w:val="0"/>
      <w:numFmt w:val="bullet"/>
      <w:lvlText w:val="•"/>
      <w:lvlJc w:val="left"/>
      <w:pPr>
        <w:ind w:left="7220" w:hanging="241"/>
        <w:jc w:val="both"/>
      </w:pPr>
      <w:rPr>
        <w:w w:val="100"/>
        <w:sz w:val="20"/>
        <w:szCs w:val="20"/>
        <w:shd w:val="clear" w:color="auto" w:fill="auto"/>
      </w:rPr>
    </w:lvl>
    <w:lvl w:ilvl="8" w:tentative="0">
      <w:start w:val="0"/>
      <w:numFmt w:val="bullet"/>
      <w:lvlText w:val="•"/>
      <w:lvlJc w:val="left"/>
      <w:pPr>
        <w:ind w:left="8108" w:hanging="241"/>
        <w:jc w:val="both"/>
      </w:pPr>
      <w:rPr>
        <w:w w:val="100"/>
        <w:sz w:val="20"/>
        <w:szCs w:val="20"/>
        <w:shd w:val="clear" w:color="auto" w:fill="auto"/>
      </w:rPr>
    </w:lvl>
  </w:abstractNum>
  <w:abstractNum w:abstractNumId="9">
    <w:nsid w:val="00000006"/>
    <w:multiLevelType w:val="multilevel"/>
    <w:tmpl w:val="00000006"/>
    <w:lvl w:ilvl="0" w:tentative="0">
      <w:start w:val="5"/>
      <w:numFmt w:val="decimal"/>
      <w:lvlText w:val="(%1)"/>
      <w:lvlJc w:val="left"/>
      <w:pPr>
        <w:ind w:left="1114" w:hanging="361"/>
        <w:jc w:val="both"/>
      </w:pPr>
      <w:rPr>
        <w:rFonts w:ascii="宋体" w:hAnsi="宋体" w:eastAsia="宋体"/>
        <w:w w:val="100"/>
        <w:sz w:val="22"/>
        <w:szCs w:val="22"/>
        <w:shd w:val="clear" w:color="auto" w:fill="auto"/>
      </w:rPr>
    </w:lvl>
    <w:lvl w:ilvl="1" w:tentative="0">
      <w:start w:val="0"/>
      <w:numFmt w:val="bullet"/>
      <w:lvlText w:val="•"/>
      <w:lvlJc w:val="left"/>
      <w:pPr>
        <w:ind w:left="1996" w:hanging="361"/>
        <w:jc w:val="both"/>
      </w:pPr>
      <w:rPr>
        <w:w w:val="100"/>
        <w:sz w:val="20"/>
        <w:szCs w:val="20"/>
        <w:shd w:val="clear" w:color="auto" w:fill="auto"/>
      </w:rPr>
    </w:lvl>
    <w:lvl w:ilvl="2" w:tentative="0">
      <w:start w:val="0"/>
      <w:numFmt w:val="bullet"/>
      <w:lvlText w:val="•"/>
      <w:lvlJc w:val="left"/>
      <w:pPr>
        <w:ind w:left="2873" w:hanging="361"/>
        <w:jc w:val="both"/>
      </w:pPr>
      <w:rPr>
        <w:w w:val="100"/>
        <w:sz w:val="20"/>
        <w:szCs w:val="20"/>
        <w:shd w:val="clear" w:color="auto" w:fill="auto"/>
      </w:rPr>
    </w:lvl>
    <w:lvl w:ilvl="3" w:tentative="0">
      <w:start w:val="0"/>
      <w:numFmt w:val="bullet"/>
      <w:lvlText w:val="•"/>
      <w:lvlJc w:val="left"/>
      <w:pPr>
        <w:ind w:left="3749" w:hanging="361"/>
        <w:jc w:val="both"/>
      </w:pPr>
      <w:rPr>
        <w:w w:val="100"/>
        <w:sz w:val="20"/>
        <w:szCs w:val="20"/>
        <w:shd w:val="clear" w:color="auto" w:fill="auto"/>
      </w:rPr>
    </w:lvl>
    <w:lvl w:ilvl="4" w:tentative="0">
      <w:start w:val="0"/>
      <w:numFmt w:val="bullet"/>
      <w:lvlText w:val="•"/>
      <w:lvlJc w:val="left"/>
      <w:pPr>
        <w:ind w:left="4626" w:hanging="361"/>
        <w:jc w:val="both"/>
      </w:pPr>
      <w:rPr>
        <w:w w:val="100"/>
        <w:sz w:val="20"/>
        <w:szCs w:val="20"/>
        <w:shd w:val="clear" w:color="auto" w:fill="auto"/>
      </w:rPr>
    </w:lvl>
    <w:lvl w:ilvl="5" w:tentative="0">
      <w:start w:val="0"/>
      <w:numFmt w:val="bullet"/>
      <w:lvlText w:val="•"/>
      <w:lvlJc w:val="left"/>
      <w:pPr>
        <w:ind w:left="5503" w:hanging="361"/>
        <w:jc w:val="both"/>
      </w:pPr>
      <w:rPr>
        <w:w w:val="100"/>
        <w:sz w:val="20"/>
        <w:szCs w:val="20"/>
        <w:shd w:val="clear" w:color="auto" w:fill="auto"/>
      </w:rPr>
    </w:lvl>
    <w:lvl w:ilvl="6" w:tentative="0">
      <w:start w:val="0"/>
      <w:numFmt w:val="bullet"/>
      <w:lvlText w:val="•"/>
      <w:lvlJc w:val="left"/>
      <w:pPr>
        <w:ind w:left="6379" w:hanging="361"/>
        <w:jc w:val="both"/>
      </w:pPr>
      <w:rPr>
        <w:w w:val="100"/>
        <w:sz w:val="20"/>
        <w:szCs w:val="20"/>
        <w:shd w:val="clear" w:color="auto" w:fill="auto"/>
      </w:rPr>
    </w:lvl>
    <w:lvl w:ilvl="7" w:tentative="0">
      <w:start w:val="0"/>
      <w:numFmt w:val="bullet"/>
      <w:lvlText w:val="•"/>
      <w:lvlJc w:val="left"/>
      <w:pPr>
        <w:ind w:left="7256" w:hanging="361"/>
        <w:jc w:val="both"/>
      </w:pPr>
      <w:rPr>
        <w:w w:val="100"/>
        <w:sz w:val="20"/>
        <w:szCs w:val="20"/>
        <w:shd w:val="clear" w:color="auto" w:fill="auto"/>
      </w:rPr>
    </w:lvl>
    <w:lvl w:ilvl="8" w:tentative="0">
      <w:start w:val="0"/>
      <w:numFmt w:val="bullet"/>
      <w:lvlText w:val="•"/>
      <w:lvlJc w:val="left"/>
      <w:pPr>
        <w:ind w:left="8132" w:hanging="361"/>
        <w:jc w:val="both"/>
      </w:pPr>
      <w:rPr>
        <w:w w:val="100"/>
        <w:sz w:val="20"/>
        <w:szCs w:val="20"/>
        <w:shd w:val="clear" w:color="auto" w:fill="auto"/>
      </w:rPr>
    </w:lvl>
  </w:abstractNum>
  <w:abstractNum w:abstractNumId="10">
    <w:nsid w:val="00000007"/>
    <w:multiLevelType w:val="multilevel"/>
    <w:tmpl w:val="00000007"/>
    <w:lvl w:ilvl="0" w:tentative="0">
      <w:start w:val="2"/>
      <w:numFmt w:val="decimal"/>
      <w:lvlText w:val="(%1)"/>
      <w:lvlJc w:val="left"/>
      <w:pPr>
        <w:ind w:left="1114" w:hanging="361"/>
        <w:jc w:val="both"/>
      </w:pPr>
      <w:rPr>
        <w:rFonts w:ascii="宋体" w:hAnsi="宋体" w:eastAsia="宋体"/>
        <w:w w:val="100"/>
        <w:sz w:val="22"/>
        <w:szCs w:val="22"/>
        <w:shd w:val="clear" w:color="auto" w:fill="auto"/>
      </w:rPr>
    </w:lvl>
    <w:lvl w:ilvl="1" w:tentative="0">
      <w:start w:val="0"/>
      <w:numFmt w:val="bullet"/>
      <w:lvlText w:val="•"/>
      <w:lvlJc w:val="left"/>
      <w:pPr>
        <w:ind w:left="1996" w:hanging="361"/>
        <w:jc w:val="both"/>
      </w:pPr>
      <w:rPr>
        <w:w w:val="100"/>
        <w:sz w:val="20"/>
        <w:szCs w:val="20"/>
        <w:shd w:val="clear" w:color="auto" w:fill="auto"/>
      </w:rPr>
    </w:lvl>
    <w:lvl w:ilvl="2" w:tentative="0">
      <w:start w:val="0"/>
      <w:numFmt w:val="bullet"/>
      <w:lvlText w:val="•"/>
      <w:lvlJc w:val="left"/>
      <w:pPr>
        <w:ind w:left="2873" w:hanging="361"/>
        <w:jc w:val="both"/>
      </w:pPr>
      <w:rPr>
        <w:w w:val="100"/>
        <w:sz w:val="20"/>
        <w:szCs w:val="20"/>
        <w:shd w:val="clear" w:color="auto" w:fill="auto"/>
      </w:rPr>
    </w:lvl>
    <w:lvl w:ilvl="3" w:tentative="0">
      <w:start w:val="0"/>
      <w:numFmt w:val="bullet"/>
      <w:lvlText w:val="•"/>
      <w:lvlJc w:val="left"/>
      <w:pPr>
        <w:ind w:left="3749" w:hanging="361"/>
        <w:jc w:val="both"/>
      </w:pPr>
      <w:rPr>
        <w:w w:val="100"/>
        <w:sz w:val="20"/>
        <w:szCs w:val="20"/>
        <w:shd w:val="clear" w:color="auto" w:fill="auto"/>
      </w:rPr>
    </w:lvl>
    <w:lvl w:ilvl="4" w:tentative="0">
      <w:start w:val="0"/>
      <w:numFmt w:val="bullet"/>
      <w:lvlText w:val="•"/>
      <w:lvlJc w:val="left"/>
      <w:pPr>
        <w:ind w:left="4626" w:hanging="361"/>
        <w:jc w:val="both"/>
      </w:pPr>
      <w:rPr>
        <w:w w:val="100"/>
        <w:sz w:val="20"/>
        <w:szCs w:val="20"/>
        <w:shd w:val="clear" w:color="auto" w:fill="auto"/>
      </w:rPr>
    </w:lvl>
    <w:lvl w:ilvl="5" w:tentative="0">
      <w:start w:val="0"/>
      <w:numFmt w:val="bullet"/>
      <w:lvlText w:val="•"/>
      <w:lvlJc w:val="left"/>
      <w:pPr>
        <w:ind w:left="5503" w:hanging="361"/>
        <w:jc w:val="both"/>
      </w:pPr>
      <w:rPr>
        <w:w w:val="100"/>
        <w:sz w:val="20"/>
        <w:szCs w:val="20"/>
        <w:shd w:val="clear" w:color="auto" w:fill="auto"/>
      </w:rPr>
    </w:lvl>
    <w:lvl w:ilvl="6" w:tentative="0">
      <w:start w:val="0"/>
      <w:numFmt w:val="bullet"/>
      <w:lvlText w:val="•"/>
      <w:lvlJc w:val="left"/>
      <w:pPr>
        <w:ind w:left="6379" w:hanging="361"/>
        <w:jc w:val="both"/>
      </w:pPr>
      <w:rPr>
        <w:w w:val="100"/>
        <w:sz w:val="20"/>
        <w:szCs w:val="20"/>
        <w:shd w:val="clear" w:color="auto" w:fill="auto"/>
      </w:rPr>
    </w:lvl>
    <w:lvl w:ilvl="7" w:tentative="0">
      <w:start w:val="0"/>
      <w:numFmt w:val="bullet"/>
      <w:lvlText w:val="•"/>
      <w:lvlJc w:val="left"/>
      <w:pPr>
        <w:ind w:left="7256" w:hanging="361"/>
        <w:jc w:val="both"/>
      </w:pPr>
      <w:rPr>
        <w:w w:val="100"/>
        <w:sz w:val="20"/>
        <w:szCs w:val="20"/>
        <w:shd w:val="clear" w:color="auto" w:fill="auto"/>
      </w:rPr>
    </w:lvl>
    <w:lvl w:ilvl="8" w:tentative="0">
      <w:start w:val="0"/>
      <w:numFmt w:val="bullet"/>
      <w:lvlText w:val="•"/>
      <w:lvlJc w:val="left"/>
      <w:pPr>
        <w:ind w:left="8132" w:hanging="361"/>
        <w:jc w:val="both"/>
      </w:pPr>
      <w:rPr>
        <w:w w:val="100"/>
        <w:sz w:val="20"/>
        <w:szCs w:val="20"/>
        <w:shd w:val="clear" w:color="auto" w:fill="auto"/>
      </w:rPr>
    </w:lvl>
  </w:abstractNum>
  <w:abstractNum w:abstractNumId="11">
    <w:nsid w:val="00000008"/>
    <w:multiLevelType w:val="multilevel"/>
    <w:tmpl w:val="00000008"/>
    <w:lvl w:ilvl="0" w:tentative="0">
      <w:start w:val="3"/>
      <w:numFmt w:val="decimal"/>
      <w:lvlText w:val="(%1)"/>
      <w:lvlJc w:val="left"/>
      <w:pPr>
        <w:ind w:left="1105" w:hanging="359"/>
        <w:jc w:val="both"/>
      </w:pPr>
      <w:rPr>
        <w:rFonts w:ascii="宋体" w:hAnsi="宋体" w:eastAsia="宋体"/>
        <w:spacing w:val="-5"/>
        <w:w w:val="100"/>
        <w:sz w:val="22"/>
        <w:szCs w:val="22"/>
        <w:shd w:val="clear" w:color="auto" w:fill="auto"/>
      </w:rPr>
    </w:lvl>
    <w:lvl w:ilvl="1" w:tentative="0">
      <w:start w:val="0"/>
      <w:numFmt w:val="bullet"/>
      <w:lvlText w:val="•"/>
      <w:lvlJc w:val="left"/>
      <w:pPr>
        <w:ind w:left="1978" w:hanging="359"/>
        <w:jc w:val="both"/>
      </w:pPr>
      <w:rPr>
        <w:w w:val="100"/>
        <w:sz w:val="20"/>
        <w:szCs w:val="20"/>
        <w:shd w:val="clear" w:color="auto" w:fill="auto"/>
      </w:rPr>
    </w:lvl>
    <w:lvl w:ilvl="2" w:tentative="0">
      <w:start w:val="0"/>
      <w:numFmt w:val="bullet"/>
      <w:lvlText w:val="•"/>
      <w:lvlJc w:val="left"/>
      <w:pPr>
        <w:ind w:left="2857" w:hanging="359"/>
        <w:jc w:val="both"/>
      </w:pPr>
      <w:rPr>
        <w:w w:val="100"/>
        <w:sz w:val="20"/>
        <w:szCs w:val="20"/>
        <w:shd w:val="clear" w:color="auto" w:fill="auto"/>
      </w:rPr>
    </w:lvl>
    <w:lvl w:ilvl="3" w:tentative="0">
      <w:start w:val="0"/>
      <w:numFmt w:val="bullet"/>
      <w:lvlText w:val="•"/>
      <w:lvlJc w:val="left"/>
      <w:pPr>
        <w:ind w:left="3735" w:hanging="359"/>
        <w:jc w:val="both"/>
      </w:pPr>
      <w:rPr>
        <w:w w:val="100"/>
        <w:sz w:val="20"/>
        <w:szCs w:val="20"/>
        <w:shd w:val="clear" w:color="auto" w:fill="auto"/>
      </w:rPr>
    </w:lvl>
    <w:lvl w:ilvl="4" w:tentative="0">
      <w:start w:val="0"/>
      <w:numFmt w:val="bullet"/>
      <w:lvlText w:val="•"/>
      <w:lvlJc w:val="left"/>
      <w:pPr>
        <w:ind w:left="4614" w:hanging="359"/>
        <w:jc w:val="both"/>
      </w:pPr>
      <w:rPr>
        <w:w w:val="100"/>
        <w:sz w:val="20"/>
        <w:szCs w:val="20"/>
        <w:shd w:val="clear" w:color="auto" w:fill="auto"/>
      </w:rPr>
    </w:lvl>
    <w:lvl w:ilvl="5" w:tentative="0">
      <w:start w:val="0"/>
      <w:numFmt w:val="bullet"/>
      <w:lvlText w:val="•"/>
      <w:lvlJc w:val="left"/>
      <w:pPr>
        <w:ind w:left="5493" w:hanging="359"/>
        <w:jc w:val="both"/>
      </w:pPr>
      <w:rPr>
        <w:w w:val="100"/>
        <w:sz w:val="20"/>
        <w:szCs w:val="20"/>
        <w:shd w:val="clear" w:color="auto" w:fill="auto"/>
      </w:rPr>
    </w:lvl>
    <w:lvl w:ilvl="6" w:tentative="0">
      <w:start w:val="0"/>
      <w:numFmt w:val="bullet"/>
      <w:lvlText w:val="•"/>
      <w:lvlJc w:val="left"/>
      <w:pPr>
        <w:ind w:left="6371" w:hanging="359"/>
        <w:jc w:val="both"/>
      </w:pPr>
      <w:rPr>
        <w:w w:val="100"/>
        <w:sz w:val="20"/>
        <w:szCs w:val="20"/>
        <w:shd w:val="clear" w:color="auto" w:fill="auto"/>
      </w:rPr>
    </w:lvl>
    <w:lvl w:ilvl="7" w:tentative="0">
      <w:start w:val="0"/>
      <w:numFmt w:val="bullet"/>
      <w:lvlText w:val="•"/>
      <w:lvlJc w:val="left"/>
      <w:pPr>
        <w:ind w:left="7250" w:hanging="359"/>
        <w:jc w:val="both"/>
      </w:pPr>
      <w:rPr>
        <w:w w:val="100"/>
        <w:sz w:val="20"/>
        <w:szCs w:val="20"/>
        <w:shd w:val="clear" w:color="auto" w:fill="auto"/>
      </w:rPr>
    </w:lvl>
    <w:lvl w:ilvl="8" w:tentative="0">
      <w:start w:val="0"/>
      <w:numFmt w:val="bullet"/>
      <w:lvlText w:val="•"/>
      <w:lvlJc w:val="left"/>
      <w:pPr>
        <w:ind w:left="8128" w:hanging="359"/>
        <w:jc w:val="both"/>
      </w:pPr>
      <w:rPr>
        <w:w w:val="100"/>
        <w:sz w:val="20"/>
        <w:szCs w:val="20"/>
        <w:shd w:val="clear" w:color="auto" w:fill="auto"/>
      </w:rPr>
    </w:lvl>
  </w:abstractNum>
  <w:abstractNum w:abstractNumId="12">
    <w:nsid w:val="00000009"/>
    <w:multiLevelType w:val="multilevel"/>
    <w:tmpl w:val="00000009"/>
    <w:lvl w:ilvl="0" w:tentative="0">
      <w:start w:val="1"/>
      <w:numFmt w:val="decimal"/>
      <w:lvlText w:val="（%1）"/>
      <w:lvlJc w:val="left"/>
      <w:pPr>
        <w:ind w:left="1354" w:hanging="601"/>
        <w:jc w:val="both"/>
      </w:pPr>
      <w:rPr>
        <w:rFonts w:ascii="宋体" w:hAnsi="宋体" w:eastAsia="宋体"/>
        <w:w w:val="100"/>
        <w:sz w:val="22"/>
        <w:szCs w:val="22"/>
        <w:shd w:val="clear" w:color="auto" w:fill="auto"/>
      </w:rPr>
    </w:lvl>
    <w:lvl w:ilvl="1" w:tentative="0">
      <w:start w:val="0"/>
      <w:numFmt w:val="bullet"/>
      <w:lvlText w:val="•"/>
      <w:lvlJc w:val="left"/>
      <w:pPr>
        <w:ind w:left="2212" w:hanging="601"/>
        <w:jc w:val="both"/>
      </w:pPr>
      <w:rPr>
        <w:w w:val="100"/>
        <w:sz w:val="20"/>
        <w:szCs w:val="20"/>
        <w:shd w:val="clear" w:color="auto" w:fill="auto"/>
      </w:rPr>
    </w:lvl>
    <w:lvl w:ilvl="2" w:tentative="0">
      <w:start w:val="0"/>
      <w:numFmt w:val="bullet"/>
      <w:lvlText w:val="•"/>
      <w:lvlJc w:val="left"/>
      <w:pPr>
        <w:ind w:left="3065" w:hanging="601"/>
        <w:jc w:val="both"/>
      </w:pPr>
      <w:rPr>
        <w:w w:val="100"/>
        <w:sz w:val="20"/>
        <w:szCs w:val="20"/>
        <w:shd w:val="clear" w:color="auto" w:fill="auto"/>
      </w:rPr>
    </w:lvl>
    <w:lvl w:ilvl="3" w:tentative="0">
      <w:start w:val="0"/>
      <w:numFmt w:val="bullet"/>
      <w:lvlText w:val="•"/>
      <w:lvlJc w:val="left"/>
      <w:pPr>
        <w:ind w:left="3917" w:hanging="601"/>
        <w:jc w:val="both"/>
      </w:pPr>
      <w:rPr>
        <w:w w:val="100"/>
        <w:sz w:val="20"/>
        <w:szCs w:val="20"/>
        <w:shd w:val="clear" w:color="auto" w:fill="auto"/>
      </w:rPr>
    </w:lvl>
    <w:lvl w:ilvl="4" w:tentative="0">
      <w:start w:val="0"/>
      <w:numFmt w:val="bullet"/>
      <w:lvlText w:val="•"/>
      <w:lvlJc w:val="left"/>
      <w:pPr>
        <w:ind w:left="4770" w:hanging="601"/>
        <w:jc w:val="both"/>
      </w:pPr>
      <w:rPr>
        <w:w w:val="100"/>
        <w:sz w:val="20"/>
        <w:szCs w:val="20"/>
        <w:shd w:val="clear" w:color="auto" w:fill="auto"/>
      </w:rPr>
    </w:lvl>
    <w:lvl w:ilvl="5" w:tentative="0">
      <w:start w:val="0"/>
      <w:numFmt w:val="bullet"/>
      <w:lvlText w:val="•"/>
      <w:lvlJc w:val="left"/>
      <w:pPr>
        <w:ind w:left="5623" w:hanging="601"/>
        <w:jc w:val="both"/>
      </w:pPr>
      <w:rPr>
        <w:w w:val="100"/>
        <w:sz w:val="20"/>
        <w:szCs w:val="20"/>
        <w:shd w:val="clear" w:color="auto" w:fill="auto"/>
      </w:rPr>
    </w:lvl>
    <w:lvl w:ilvl="6" w:tentative="0">
      <w:start w:val="0"/>
      <w:numFmt w:val="bullet"/>
      <w:lvlText w:val="•"/>
      <w:lvlJc w:val="left"/>
      <w:pPr>
        <w:ind w:left="6475" w:hanging="601"/>
        <w:jc w:val="both"/>
      </w:pPr>
      <w:rPr>
        <w:w w:val="100"/>
        <w:sz w:val="20"/>
        <w:szCs w:val="20"/>
        <w:shd w:val="clear" w:color="auto" w:fill="auto"/>
      </w:rPr>
    </w:lvl>
    <w:lvl w:ilvl="7" w:tentative="0">
      <w:start w:val="0"/>
      <w:numFmt w:val="bullet"/>
      <w:lvlText w:val="•"/>
      <w:lvlJc w:val="left"/>
      <w:pPr>
        <w:ind w:left="7328" w:hanging="601"/>
        <w:jc w:val="both"/>
      </w:pPr>
      <w:rPr>
        <w:w w:val="100"/>
        <w:sz w:val="20"/>
        <w:szCs w:val="20"/>
        <w:shd w:val="clear" w:color="auto" w:fill="auto"/>
      </w:rPr>
    </w:lvl>
    <w:lvl w:ilvl="8" w:tentative="0">
      <w:start w:val="0"/>
      <w:numFmt w:val="bullet"/>
      <w:lvlText w:val="•"/>
      <w:lvlJc w:val="left"/>
      <w:pPr>
        <w:ind w:left="8180" w:hanging="601"/>
        <w:jc w:val="both"/>
      </w:pPr>
      <w:rPr>
        <w:w w:val="100"/>
        <w:sz w:val="20"/>
        <w:szCs w:val="20"/>
        <w:shd w:val="clear" w:color="auto" w:fill="auto"/>
      </w:rPr>
    </w:lvl>
  </w:abstractNum>
  <w:abstractNum w:abstractNumId="13">
    <w:nsid w:val="0000000A"/>
    <w:multiLevelType w:val="multilevel"/>
    <w:tmpl w:val="0000000A"/>
    <w:lvl w:ilvl="0" w:tentative="0">
      <w:start w:val="1"/>
      <w:numFmt w:val="decimal"/>
      <w:lvlText w:val="（%1）"/>
      <w:lvlJc w:val="left"/>
      <w:pPr>
        <w:ind w:left="793" w:hanging="525"/>
        <w:jc w:val="both"/>
      </w:pPr>
      <w:rPr>
        <w:rFonts w:ascii="宋体" w:hAnsi="宋体" w:eastAsia="宋体"/>
        <w:spacing w:val="-1"/>
        <w:w w:val="99"/>
        <w:sz w:val="19"/>
        <w:szCs w:val="19"/>
        <w:shd w:val="clear" w:color="auto" w:fill="auto"/>
      </w:rPr>
    </w:lvl>
    <w:lvl w:ilvl="1" w:tentative="0">
      <w:start w:val="0"/>
      <w:numFmt w:val="bullet"/>
      <w:lvlText w:val="•"/>
      <w:lvlJc w:val="left"/>
      <w:pPr>
        <w:ind w:left="1708" w:hanging="525"/>
        <w:jc w:val="both"/>
      </w:pPr>
      <w:rPr>
        <w:w w:val="100"/>
        <w:sz w:val="20"/>
        <w:szCs w:val="20"/>
        <w:shd w:val="clear" w:color="auto" w:fill="auto"/>
      </w:rPr>
    </w:lvl>
    <w:lvl w:ilvl="2" w:tentative="0">
      <w:start w:val="0"/>
      <w:numFmt w:val="bullet"/>
      <w:lvlText w:val="•"/>
      <w:lvlJc w:val="left"/>
      <w:pPr>
        <w:ind w:left="2617" w:hanging="525"/>
        <w:jc w:val="both"/>
      </w:pPr>
      <w:rPr>
        <w:w w:val="100"/>
        <w:sz w:val="20"/>
        <w:szCs w:val="20"/>
        <w:shd w:val="clear" w:color="auto" w:fill="auto"/>
      </w:rPr>
    </w:lvl>
    <w:lvl w:ilvl="3" w:tentative="0">
      <w:start w:val="0"/>
      <w:numFmt w:val="bullet"/>
      <w:lvlText w:val="•"/>
      <w:lvlJc w:val="left"/>
      <w:pPr>
        <w:ind w:left="3525" w:hanging="525"/>
        <w:jc w:val="both"/>
      </w:pPr>
      <w:rPr>
        <w:w w:val="100"/>
        <w:sz w:val="20"/>
        <w:szCs w:val="20"/>
        <w:shd w:val="clear" w:color="auto" w:fill="auto"/>
      </w:rPr>
    </w:lvl>
    <w:lvl w:ilvl="4" w:tentative="0">
      <w:start w:val="0"/>
      <w:numFmt w:val="bullet"/>
      <w:lvlText w:val="•"/>
      <w:lvlJc w:val="left"/>
      <w:pPr>
        <w:ind w:left="4434" w:hanging="525"/>
        <w:jc w:val="both"/>
      </w:pPr>
      <w:rPr>
        <w:w w:val="100"/>
        <w:sz w:val="20"/>
        <w:szCs w:val="20"/>
        <w:shd w:val="clear" w:color="auto" w:fill="auto"/>
      </w:rPr>
    </w:lvl>
    <w:lvl w:ilvl="5" w:tentative="0">
      <w:start w:val="0"/>
      <w:numFmt w:val="bullet"/>
      <w:lvlText w:val="•"/>
      <w:lvlJc w:val="left"/>
      <w:pPr>
        <w:ind w:left="5343" w:hanging="525"/>
        <w:jc w:val="both"/>
      </w:pPr>
      <w:rPr>
        <w:w w:val="100"/>
        <w:sz w:val="20"/>
        <w:szCs w:val="20"/>
        <w:shd w:val="clear" w:color="auto" w:fill="auto"/>
      </w:rPr>
    </w:lvl>
    <w:lvl w:ilvl="6" w:tentative="0">
      <w:start w:val="0"/>
      <w:numFmt w:val="bullet"/>
      <w:lvlText w:val="•"/>
      <w:lvlJc w:val="left"/>
      <w:pPr>
        <w:ind w:left="6251" w:hanging="525"/>
        <w:jc w:val="both"/>
      </w:pPr>
      <w:rPr>
        <w:w w:val="100"/>
        <w:sz w:val="20"/>
        <w:szCs w:val="20"/>
        <w:shd w:val="clear" w:color="auto" w:fill="auto"/>
      </w:rPr>
    </w:lvl>
    <w:lvl w:ilvl="7" w:tentative="0">
      <w:start w:val="0"/>
      <w:numFmt w:val="bullet"/>
      <w:lvlText w:val="•"/>
      <w:lvlJc w:val="left"/>
      <w:pPr>
        <w:ind w:left="7160" w:hanging="525"/>
        <w:jc w:val="both"/>
      </w:pPr>
      <w:rPr>
        <w:w w:val="100"/>
        <w:sz w:val="20"/>
        <w:szCs w:val="20"/>
        <w:shd w:val="clear" w:color="auto" w:fill="auto"/>
      </w:rPr>
    </w:lvl>
    <w:lvl w:ilvl="8" w:tentative="0">
      <w:start w:val="0"/>
      <w:numFmt w:val="bullet"/>
      <w:lvlText w:val="•"/>
      <w:lvlJc w:val="left"/>
      <w:pPr>
        <w:ind w:left="8068" w:hanging="525"/>
        <w:jc w:val="both"/>
      </w:pPr>
      <w:rPr>
        <w:w w:val="100"/>
        <w:sz w:val="20"/>
        <w:szCs w:val="20"/>
        <w:shd w:val="clear" w:color="auto" w:fill="auto"/>
      </w:rPr>
    </w:lvl>
  </w:abstractNum>
  <w:abstractNum w:abstractNumId="14">
    <w:nsid w:val="0000000B"/>
    <w:multiLevelType w:val="multilevel"/>
    <w:tmpl w:val="0000000B"/>
    <w:lvl w:ilvl="0" w:tentative="0">
      <w:start w:val="1"/>
      <w:numFmt w:val="decimal"/>
      <w:lvlText w:val="%1."/>
      <w:lvlJc w:val="left"/>
      <w:pPr>
        <w:ind w:left="1228" w:hanging="360"/>
        <w:jc w:val="both"/>
      </w:pPr>
      <w:rPr>
        <w:spacing w:val="-34"/>
        <w:w w:val="100"/>
        <w:sz w:val="20"/>
        <w:szCs w:val="20"/>
        <w:shd w:val="clear" w:color="auto" w:fill="auto"/>
      </w:rPr>
    </w:lvl>
    <w:lvl w:ilvl="1" w:tentative="0">
      <w:start w:val="1"/>
      <w:numFmt w:val="decimal"/>
      <w:lvlText w:val="%2."/>
      <w:lvlJc w:val="left"/>
      <w:pPr>
        <w:ind w:left="1231" w:hanging="284"/>
        <w:jc w:val="both"/>
      </w:pPr>
      <w:rPr>
        <w:rFonts w:ascii="宋体" w:hAnsi="宋体" w:eastAsia="宋体"/>
        <w:spacing w:val="-2"/>
        <w:w w:val="100"/>
        <w:sz w:val="26"/>
        <w:szCs w:val="26"/>
        <w:shd w:val="clear" w:color="auto" w:fill="auto"/>
      </w:rPr>
    </w:lvl>
    <w:lvl w:ilvl="2" w:tentative="0">
      <w:start w:val="0"/>
      <w:numFmt w:val="bullet"/>
      <w:lvlText w:val="•"/>
      <w:lvlJc w:val="left"/>
      <w:pPr>
        <w:ind w:left="3560" w:hanging="284"/>
        <w:jc w:val="both"/>
      </w:pPr>
      <w:rPr>
        <w:w w:val="100"/>
        <w:sz w:val="20"/>
        <w:szCs w:val="20"/>
        <w:shd w:val="clear" w:color="auto" w:fill="auto"/>
      </w:rPr>
    </w:lvl>
    <w:lvl w:ilvl="3" w:tentative="0">
      <w:start w:val="0"/>
      <w:numFmt w:val="bullet"/>
      <w:lvlText w:val="•"/>
      <w:lvlJc w:val="left"/>
      <w:pPr>
        <w:ind w:left="4350" w:hanging="284"/>
        <w:jc w:val="both"/>
      </w:pPr>
      <w:rPr>
        <w:w w:val="100"/>
        <w:sz w:val="20"/>
        <w:szCs w:val="20"/>
        <w:shd w:val="clear" w:color="auto" w:fill="auto"/>
      </w:rPr>
    </w:lvl>
    <w:lvl w:ilvl="4" w:tentative="0">
      <w:start w:val="0"/>
      <w:numFmt w:val="bullet"/>
      <w:lvlText w:val="•"/>
      <w:lvlJc w:val="left"/>
      <w:pPr>
        <w:ind w:left="5141" w:hanging="284"/>
        <w:jc w:val="both"/>
      </w:pPr>
      <w:rPr>
        <w:w w:val="100"/>
        <w:sz w:val="20"/>
        <w:szCs w:val="20"/>
        <w:shd w:val="clear" w:color="auto" w:fill="auto"/>
      </w:rPr>
    </w:lvl>
    <w:lvl w:ilvl="5" w:tentative="0">
      <w:start w:val="0"/>
      <w:numFmt w:val="bullet"/>
      <w:lvlText w:val="•"/>
      <w:lvlJc w:val="left"/>
      <w:pPr>
        <w:ind w:left="5932" w:hanging="284"/>
        <w:jc w:val="both"/>
      </w:pPr>
      <w:rPr>
        <w:w w:val="100"/>
        <w:sz w:val="20"/>
        <w:szCs w:val="20"/>
        <w:shd w:val="clear" w:color="auto" w:fill="auto"/>
      </w:rPr>
    </w:lvl>
    <w:lvl w:ilvl="6" w:tentative="0">
      <w:start w:val="0"/>
      <w:numFmt w:val="bullet"/>
      <w:lvlText w:val="•"/>
      <w:lvlJc w:val="left"/>
      <w:pPr>
        <w:ind w:left="6723" w:hanging="284"/>
        <w:jc w:val="both"/>
      </w:pPr>
      <w:rPr>
        <w:w w:val="100"/>
        <w:sz w:val="20"/>
        <w:szCs w:val="20"/>
        <w:shd w:val="clear" w:color="auto" w:fill="auto"/>
      </w:rPr>
    </w:lvl>
    <w:lvl w:ilvl="7" w:tentative="0">
      <w:start w:val="0"/>
      <w:numFmt w:val="bullet"/>
      <w:lvlText w:val="•"/>
      <w:lvlJc w:val="left"/>
      <w:pPr>
        <w:ind w:left="7513" w:hanging="284"/>
        <w:jc w:val="both"/>
      </w:pPr>
      <w:rPr>
        <w:w w:val="100"/>
        <w:sz w:val="20"/>
        <w:szCs w:val="20"/>
        <w:shd w:val="clear" w:color="auto" w:fill="auto"/>
      </w:rPr>
    </w:lvl>
    <w:lvl w:ilvl="8" w:tentative="0">
      <w:start w:val="0"/>
      <w:numFmt w:val="bullet"/>
      <w:lvlText w:val="•"/>
      <w:lvlJc w:val="left"/>
      <w:pPr>
        <w:ind w:left="8304" w:hanging="284"/>
        <w:jc w:val="both"/>
      </w:pPr>
      <w:rPr>
        <w:w w:val="100"/>
        <w:sz w:val="20"/>
        <w:szCs w:val="20"/>
        <w:shd w:val="clear" w:color="auto" w:fill="auto"/>
      </w:rPr>
    </w:lvl>
  </w:abstractNum>
  <w:abstractNum w:abstractNumId="15">
    <w:nsid w:val="0000000C"/>
    <w:multiLevelType w:val="multilevel"/>
    <w:tmpl w:val="0000000C"/>
    <w:lvl w:ilvl="0" w:tentative="0">
      <w:start w:val="1"/>
      <w:numFmt w:val="decimal"/>
      <w:lvlText w:val="(%1)"/>
      <w:lvlJc w:val="left"/>
      <w:pPr>
        <w:ind w:left="1105" w:hanging="359"/>
        <w:jc w:val="both"/>
      </w:pPr>
      <w:rPr>
        <w:rFonts w:ascii="宋体" w:hAnsi="宋体" w:eastAsia="宋体"/>
        <w:spacing w:val="-5"/>
        <w:w w:val="100"/>
        <w:sz w:val="22"/>
        <w:szCs w:val="22"/>
        <w:shd w:val="clear" w:color="auto" w:fill="auto"/>
      </w:rPr>
    </w:lvl>
    <w:lvl w:ilvl="1" w:tentative="0">
      <w:start w:val="0"/>
      <w:numFmt w:val="bullet"/>
      <w:lvlText w:val="•"/>
      <w:lvlJc w:val="left"/>
      <w:pPr>
        <w:ind w:left="1978" w:hanging="359"/>
        <w:jc w:val="both"/>
      </w:pPr>
      <w:rPr>
        <w:w w:val="100"/>
        <w:sz w:val="20"/>
        <w:szCs w:val="20"/>
        <w:shd w:val="clear" w:color="auto" w:fill="auto"/>
      </w:rPr>
    </w:lvl>
    <w:lvl w:ilvl="2" w:tentative="0">
      <w:start w:val="0"/>
      <w:numFmt w:val="bullet"/>
      <w:lvlText w:val="•"/>
      <w:lvlJc w:val="left"/>
      <w:pPr>
        <w:ind w:left="2857" w:hanging="359"/>
        <w:jc w:val="both"/>
      </w:pPr>
      <w:rPr>
        <w:w w:val="100"/>
        <w:sz w:val="20"/>
        <w:szCs w:val="20"/>
        <w:shd w:val="clear" w:color="auto" w:fill="auto"/>
      </w:rPr>
    </w:lvl>
    <w:lvl w:ilvl="3" w:tentative="0">
      <w:start w:val="0"/>
      <w:numFmt w:val="bullet"/>
      <w:lvlText w:val="•"/>
      <w:lvlJc w:val="left"/>
      <w:pPr>
        <w:ind w:left="3735" w:hanging="359"/>
        <w:jc w:val="both"/>
      </w:pPr>
      <w:rPr>
        <w:w w:val="100"/>
        <w:sz w:val="20"/>
        <w:szCs w:val="20"/>
        <w:shd w:val="clear" w:color="auto" w:fill="auto"/>
      </w:rPr>
    </w:lvl>
    <w:lvl w:ilvl="4" w:tentative="0">
      <w:start w:val="0"/>
      <w:numFmt w:val="bullet"/>
      <w:lvlText w:val="•"/>
      <w:lvlJc w:val="left"/>
      <w:pPr>
        <w:ind w:left="4614" w:hanging="359"/>
        <w:jc w:val="both"/>
      </w:pPr>
      <w:rPr>
        <w:w w:val="100"/>
        <w:sz w:val="20"/>
        <w:szCs w:val="20"/>
        <w:shd w:val="clear" w:color="auto" w:fill="auto"/>
      </w:rPr>
    </w:lvl>
    <w:lvl w:ilvl="5" w:tentative="0">
      <w:start w:val="0"/>
      <w:numFmt w:val="bullet"/>
      <w:lvlText w:val="•"/>
      <w:lvlJc w:val="left"/>
      <w:pPr>
        <w:ind w:left="5493" w:hanging="359"/>
        <w:jc w:val="both"/>
      </w:pPr>
      <w:rPr>
        <w:w w:val="100"/>
        <w:sz w:val="20"/>
        <w:szCs w:val="20"/>
        <w:shd w:val="clear" w:color="auto" w:fill="auto"/>
      </w:rPr>
    </w:lvl>
    <w:lvl w:ilvl="6" w:tentative="0">
      <w:start w:val="0"/>
      <w:numFmt w:val="bullet"/>
      <w:lvlText w:val="•"/>
      <w:lvlJc w:val="left"/>
      <w:pPr>
        <w:ind w:left="6371" w:hanging="359"/>
        <w:jc w:val="both"/>
      </w:pPr>
      <w:rPr>
        <w:w w:val="100"/>
        <w:sz w:val="20"/>
        <w:szCs w:val="20"/>
        <w:shd w:val="clear" w:color="auto" w:fill="auto"/>
      </w:rPr>
    </w:lvl>
    <w:lvl w:ilvl="7" w:tentative="0">
      <w:start w:val="0"/>
      <w:numFmt w:val="bullet"/>
      <w:lvlText w:val="•"/>
      <w:lvlJc w:val="left"/>
      <w:pPr>
        <w:ind w:left="7250" w:hanging="359"/>
        <w:jc w:val="both"/>
      </w:pPr>
      <w:rPr>
        <w:w w:val="100"/>
        <w:sz w:val="20"/>
        <w:szCs w:val="20"/>
        <w:shd w:val="clear" w:color="auto" w:fill="auto"/>
      </w:rPr>
    </w:lvl>
    <w:lvl w:ilvl="8" w:tentative="0">
      <w:start w:val="0"/>
      <w:numFmt w:val="bullet"/>
      <w:lvlText w:val="•"/>
      <w:lvlJc w:val="left"/>
      <w:pPr>
        <w:ind w:left="8128" w:hanging="359"/>
        <w:jc w:val="both"/>
      </w:pPr>
      <w:rPr>
        <w:w w:val="100"/>
        <w:sz w:val="20"/>
        <w:szCs w:val="20"/>
        <w:shd w:val="clear" w:color="auto" w:fill="auto"/>
      </w:rPr>
    </w:lvl>
  </w:abstractNum>
  <w:abstractNum w:abstractNumId="16">
    <w:nsid w:val="0000000D"/>
    <w:multiLevelType w:val="multilevel"/>
    <w:tmpl w:val="0000000D"/>
    <w:lvl w:ilvl="0" w:tentative="0">
      <w:start w:val="8"/>
      <w:numFmt w:val="decimal"/>
      <w:lvlText w:val="%1"/>
      <w:lvlJc w:val="left"/>
      <w:pPr>
        <w:ind w:left="273" w:hanging="420"/>
        <w:jc w:val="both"/>
      </w:pPr>
      <w:rPr>
        <w:w w:val="100"/>
        <w:sz w:val="20"/>
        <w:szCs w:val="20"/>
        <w:shd w:val="clear" w:color="auto" w:fill="auto"/>
      </w:rPr>
    </w:lvl>
    <w:lvl w:ilvl="1" w:tentative="0">
      <w:start w:val="1"/>
      <w:numFmt w:val="decimal"/>
      <w:lvlText w:val="%1.%2"/>
      <w:lvlJc w:val="left"/>
      <w:pPr>
        <w:ind w:left="273" w:hanging="420"/>
        <w:jc w:val="both"/>
      </w:pPr>
      <w:rPr>
        <w:rFonts w:ascii="宋体" w:hAnsi="宋体" w:eastAsia="宋体"/>
        <w:w w:val="100"/>
        <w:sz w:val="24"/>
        <w:szCs w:val="24"/>
        <w:shd w:val="clear" w:color="auto" w:fill="auto"/>
      </w:rPr>
    </w:lvl>
    <w:lvl w:ilvl="2" w:tentative="0">
      <w:start w:val="0"/>
      <w:numFmt w:val="bullet"/>
      <w:lvlText w:val="•"/>
      <w:lvlJc w:val="left"/>
      <w:pPr>
        <w:ind w:left="2201" w:hanging="420"/>
        <w:jc w:val="both"/>
      </w:pPr>
      <w:rPr>
        <w:w w:val="100"/>
        <w:sz w:val="20"/>
        <w:szCs w:val="20"/>
        <w:shd w:val="clear" w:color="auto" w:fill="auto"/>
      </w:rPr>
    </w:lvl>
    <w:lvl w:ilvl="3" w:tentative="0">
      <w:start w:val="0"/>
      <w:numFmt w:val="bullet"/>
      <w:lvlText w:val="•"/>
      <w:lvlJc w:val="left"/>
      <w:pPr>
        <w:ind w:left="3161" w:hanging="420"/>
        <w:jc w:val="both"/>
      </w:pPr>
      <w:rPr>
        <w:w w:val="100"/>
        <w:sz w:val="20"/>
        <w:szCs w:val="20"/>
        <w:shd w:val="clear" w:color="auto" w:fill="auto"/>
      </w:rPr>
    </w:lvl>
    <w:lvl w:ilvl="4" w:tentative="0">
      <w:start w:val="0"/>
      <w:numFmt w:val="bullet"/>
      <w:lvlText w:val="•"/>
      <w:lvlJc w:val="left"/>
      <w:pPr>
        <w:ind w:left="4122" w:hanging="420"/>
        <w:jc w:val="both"/>
      </w:pPr>
      <w:rPr>
        <w:w w:val="100"/>
        <w:sz w:val="20"/>
        <w:szCs w:val="20"/>
        <w:shd w:val="clear" w:color="auto" w:fill="auto"/>
      </w:rPr>
    </w:lvl>
    <w:lvl w:ilvl="5" w:tentative="0">
      <w:start w:val="0"/>
      <w:numFmt w:val="bullet"/>
      <w:lvlText w:val="•"/>
      <w:lvlJc w:val="left"/>
      <w:pPr>
        <w:ind w:left="5083" w:hanging="420"/>
        <w:jc w:val="both"/>
      </w:pPr>
      <w:rPr>
        <w:w w:val="100"/>
        <w:sz w:val="20"/>
        <w:szCs w:val="20"/>
        <w:shd w:val="clear" w:color="auto" w:fill="auto"/>
      </w:rPr>
    </w:lvl>
    <w:lvl w:ilvl="6" w:tentative="0">
      <w:start w:val="0"/>
      <w:numFmt w:val="bullet"/>
      <w:lvlText w:val="•"/>
      <w:lvlJc w:val="left"/>
      <w:pPr>
        <w:ind w:left="6043" w:hanging="420"/>
        <w:jc w:val="both"/>
      </w:pPr>
      <w:rPr>
        <w:w w:val="100"/>
        <w:sz w:val="20"/>
        <w:szCs w:val="20"/>
        <w:shd w:val="clear" w:color="auto" w:fill="auto"/>
      </w:rPr>
    </w:lvl>
    <w:lvl w:ilvl="7" w:tentative="0">
      <w:start w:val="0"/>
      <w:numFmt w:val="bullet"/>
      <w:lvlText w:val="•"/>
      <w:lvlJc w:val="left"/>
      <w:pPr>
        <w:ind w:left="7004" w:hanging="420"/>
        <w:jc w:val="both"/>
      </w:pPr>
      <w:rPr>
        <w:w w:val="100"/>
        <w:sz w:val="20"/>
        <w:szCs w:val="20"/>
        <w:shd w:val="clear" w:color="auto" w:fill="auto"/>
      </w:rPr>
    </w:lvl>
    <w:lvl w:ilvl="8" w:tentative="0">
      <w:start w:val="0"/>
      <w:numFmt w:val="bullet"/>
      <w:lvlText w:val="•"/>
      <w:lvlJc w:val="left"/>
      <w:pPr>
        <w:ind w:left="7964" w:hanging="420"/>
        <w:jc w:val="both"/>
      </w:pPr>
      <w:rPr>
        <w:w w:val="100"/>
        <w:sz w:val="20"/>
        <w:szCs w:val="20"/>
        <w:shd w:val="clear" w:color="auto" w:fill="auto"/>
      </w:rPr>
    </w:lvl>
  </w:abstractNum>
  <w:abstractNum w:abstractNumId="17">
    <w:nsid w:val="0000000E"/>
    <w:multiLevelType w:val="multilevel"/>
    <w:tmpl w:val="0000000E"/>
    <w:lvl w:ilvl="0" w:tentative="0">
      <w:start w:val="2"/>
      <w:numFmt w:val="decimal"/>
      <w:lvlText w:val="%1."/>
      <w:lvlJc w:val="left"/>
      <w:pPr>
        <w:ind w:left="599" w:hanging="212"/>
        <w:jc w:val="both"/>
      </w:pPr>
      <w:rPr>
        <w:rFonts w:ascii="宋体" w:hAnsi="宋体" w:eastAsia="宋体"/>
        <w:spacing w:val="-2"/>
        <w:w w:val="99"/>
        <w:sz w:val="19"/>
        <w:szCs w:val="19"/>
        <w:shd w:val="clear" w:color="auto" w:fill="auto"/>
      </w:rPr>
    </w:lvl>
    <w:lvl w:ilvl="1" w:tentative="0">
      <w:start w:val="2"/>
      <w:numFmt w:val="decimal"/>
      <w:lvlText w:val="%2."/>
      <w:lvlJc w:val="left"/>
      <w:pPr>
        <w:ind w:left="1017" w:hanging="209"/>
        <w:jc w:val="both"/>
      </w:pPr>
      <w:rPr>
        <w:rFonts w:ascii="宋体" w:hAnsi="宋体" w:eastAsia="宋体"/>
        <w:spacing w:val="-2"/>
        <w:w w:val="99"/>
        <w:sz w:val="19"/>
        <w:szCs w:val="19"/>
        <w:shd w:val="clear" w:color="auto" w:fill="auto"/>
      </w:rPr>
    </w:lvl>
    <w:lvl w:ilvl="2" w:tentative="0">
      <w:start w:val="0"/>
      <w:numFmt w:val="bullet"/>
      <w:lvlText w:val="•"/>
      <w:lvlJc w:val="left"/>
      <w:pPr>
        <w:ind w:left="2005" w:hanging="209"/>
        <w:jc w:val="both"/>
      </w:pPr>
      <w:rPr>
        <w:w w:val="100"/>
        <w:sz w:val="20"/>
        <w:szCs w:val="20"/>
        <w:shd w:val="clear" w:color="auto" w:fill="auto"/>
      </w:rPr>
    </w:lvl>
    <w:lvl w:ilvl="3" w:tentative="0">
      <w:start w:val="0"/>
      <w:numFmt w:val="bullet"/>
      <w:lvlText w:val="•"/>
      <w:lvlJc w:val="left"/>
      <w:pPr>
        <w:ind w:left="2990" w:hanging="209"/>
        <w:jc w:val="both"/>
      </w:pPr>
      <w:rPr>
        <w:w w:val="100"/>
        <w:sz w:val="20"/>
        <w:szCs w:val="20"/>
        <w:shd w:val="clear" w:color="auto" w:fill="auto"/>
      </w:rPr>
    </w:lvl>
    <w:lvl w:ilvl="4" w:tentative="0">
      <w:start w:val="0"/>
      <w:numFmt w:val="bullet"/>
      <w:lvlText w:val="•"/>
      <w:lvlJc w:val="left"/>
      <w:pPr>
        <w:ind w:left="3975" w:hanging="209"/>
        <w:jc w:val="both"/>
      </w:pPr>
      <w:rPr>
        <w:w w:val="100"/>
        <w:sz w:val="20"/>
        <w:szCs w:val="20"/>
        <w:shd w:val="clear" w:color="auto" w:fill="auto"/>
      </w:rPr>
    </w:lvl>
    <w:lvl w:ilvl="5" w:tentative="0">
      <w:start w:val="0"/>
      <w:numFmt w:val="bullet"/>
      <w:lvlText w:val="•"/>
      <w:lvlJc w:val="left"/>
      <w:pPr>
        <w:ind w:left="4960" w:hanging="209"/>
        <w:jc w:val="both"/>
      </w:pPr>
      <w:rPr>
        <w:w w:val="100"/>
        <w:sz w:val="20"/>
        <w:szCs w:val="20"/>
        <w:shd w:val="clear" w:color="auto" w:fill="auto"/>
      </w:rPr>
    </w:lvl>
    <w:lvl w:ilvl="6" w:tentative="0">
      <w:start w:val="0"/>
      <w:numFmt w:val="bullet"/>
      <w:lvlText w:val="•"/>
      <w:lvlJc w:val="left"/>
      <w:pPr>
        <w:ind w:left="5945" w:hanging="209"/>
        <w:jc w:val="both"/>
      </w:pPr>
      <w:rPr>
        <w:w w:val="100"/>
        <w:sz w:val="20"/>
        <w:szCs w:val="20"/>
        <w:shd w:val="clear" w:color="auto" w:fill="auto"/>
      </w:rPr>
    </w:lvl>
    <w:lvl w:ilvl="7" w:tentative="0">
      <w:start w:val="0"/>
      <w:numFmt w:val="bullet"/>
      <w:lvlText w:val="•"/>
      <w:lvlJc w:val="left"/>
      <w:pPr>
        <w:ind w:left="6930" w:hanging="209"/>
        <w:jc w:val="both"/>
      </w:pPr>
      <w:rPr>
        <w:w w:val="100"/>
        <w:sz w:val="20"/>
        <w:szCs w:val="20"/>
        <w:shd w:val="clear" w:color="auto" w:fill="auto"/>
      </w:rPr>
    </w:lvl>
    <w:lvl w:ilvl="8" w:tentative="0">
      <w:start w:val="0"/>
      <w:numFmt w:val="bullet"/>
      <w:lvlText w:val="•"/>
      <w:lvlJc w:val="left"/>
      <w:pPr>
        <w:ind w:left="7915" w:hanging="209"/>
        <w:jc w:val="both"/>
      </w:pPr>
      <w:rPr>
        <w:w w:val="100"/>
        <w:sz w:val="20"/>
        <w:szCs w:val="20"/>
        <w:shd w:val="clear" w:color="auto" w:fill="auto"/>
      </w:rPr>
    </w:lvl>
  </w:abstractNum>
  <w:abstractNum w:abstractNumId="18">
    <w:nsid w:val="0000000F"/>
    <w:multiLevelType w:val="multilevel"/>
    <w:tmpl w:val="0000000F"/>
    <w:lvl w:ilvl="0" w:tentative="0">
      <w:start w:val="1"/>
      <w:numFmt w:val="lowerLetter"/>
      <w:lvlText w:val="%1."/>
      <w:lvlJc w:val="left"/>
      <w:pPr>
        <w:ind w:left="273" w:hanging="387"/>
        <w:jc w:val="both"/>
      </w:pPr>
      <w:rPr>
        <w:rFonts w:ascii="宋体" w:hAnsi="宋体" w:eastAsia="宋体"/>
        <w:w w:val="100"/>
        <w:sz w:val="24"/>
        <w:szCs w:val="24"/>
        <w:shd w:val="clear" w:color="auto" w:fill="auto"/>
      </w:rPr>
    </w:lvl>
    <w:lvl w:ilvl="1" w:tentative="0">
      <w:start w:val="0"/>
      <w:numFmt w:val="bullet"/>
      <w:lvlText w:val="•"/>
      <w:lvlJc w:val="left"/>
      <w:pPr>
        <w:ind w:left="1240" w:hanging="387"/>
        <w:jc w:val="both"/>
      </w:pPr>
      <w:rPr>
        <w:w w:val="100"/>
        <w:sz w:val="20"/>
        <w:szCs w:val="20"/>
        <w:shd w:val="clear" w:color="auto" w:fill="auto"/>
      </w:rPr>
    </w:lvl>
    <w:lvl w:ilvl="2" w:tentative="0">
      <w:start w:val="0"/>
      <w:numFmt w:val="bullet"/>
      <w:lvlText w:val="•"/>
      <w:lvlJc w:val="left"/>
      <w:pPr>
        <w:ind w:left="2201" w:hanging="387"/>
        <w:jc w:val="both"/>
      </w:pPr>
      <w:rPr>
        <w:w w:val="100"/>
        <w:sz w:val="20"/>
        <w:szCs w:val="20"/>
        <w:shd w:val="clear" w:color="auto" w:fill="auto"/>
      </w:rPr>
    </w:lvl>
    <w:lvl w:ilvl="3" w:tentative="0">
      <w:start w:val="0"/>
      <w:numFmt w:val="bullet"/>
      <w:lvlText w:val="•"/>
      <w:lvlJc w:val="left"/>
      <w:pPr>
        <w:ind w:left="3161" w:hanging="387"/>
        <w:jc w:val="both"/>
      </w:pPr>
      <w:rPr>
        <w:w w:val="100"/>
        <w:sz w:val="20"/>
        <w:szCs w:val="20"/>
        <w:shd w:val="clear" w:color="auto" w:fill="auto"/>
      </w:rPr>
    </w:lvl>
    <w:lvl w:ilvl="4" w:tentative="0">
      <w:start w:val="0"/>
      <w:numFmt w:val="bullet"/>
      <w:lvlText w:val="•"/>
      <w:lvlJc w:val="left"/>
      <w:pPr>
        <w:ind w:left="4122" w:hanging="387"/>
        <w:jc w:val="both"/>
      </w:pPr>
      <w:rPr>
        <w:w w:val="100"/>
        <w:sz w:val="20"/>
        <w:szCs w:val="20"/>
        <w:shd w:val="clear" w:color="auto" w:fill="auto"/>
      </w:rPr>
    </w:lvl>
    <w:lvl w:ilvl="5" w:tentative="0">
      <w:start w:val="0"/>
      <w:numFmt w:val="bullet"/>
      <w:lvlText w:val="•"/>
      <w:lvlJc w:val="left"/>
      <w:pPr>
        <w:ind w:left="5083" w:hanging="387"/>
        <w:jc w:val="both"/>
      </w:pPr>
      <w:rPr>
        <w:w w:val="100"/>
        <w:sz w:val="20"/>
        <w:szCs w:val="20"/>
        <w:shd w:val="clear" w:color="auto" w:fill="auto"/>
      </w:rPr>
    </w:lvl>
    <w:lvl w:ilvl="6" w:tentative="0">
      <w:start w:val="0"/>
      <w:numFmt w:val="bullet"/>
      <w:lvlText w:val="•"/>
      <w:lvlJc w:val="left"/>
      <w:pPr>
        <w:ind w:left="6043" w:hanging="387"/>
        <w:jc w:val="both"/>
      </w:pPr>
      <w:rPr>
        <w:w w:val="100"/>
        <w:sz w:val="20"/>
        <w:szCs w:val="20"/>
        <w:shd w:val="clear" w:color="auto" w:fill="auto"/>
      </w:rPr>
    </w:lvl>
    <w:lvl w:ilvl="7" w:tentative="0">
      <w:start w:val="0"/>
      <w:numFmt w:val="bullet"/>
      <w:lvlText w:val="•"/>
      <w:lvlJc w:val="left"/>
      <w:pPr>
        <w:ind w:left="7004" w:hanging="387"/>
        <w:jc w:val="both"/>
      </w:pPr>
      <w:rPr>
        <w:w w:val="100"/>
        <w:sz w:val="20"/>
        <w:szCs w:val="20"/>
        <w:shd w:val="clear" w:color="auto" w:fill="auto"/>
      </w:rPr>
    </w:lvl>
    <w:lvl w:ilvl="8" w:tentative="0">
      <w:start w:val="0"/>
      <w:numFmt w:val="bullet"/>
      <w:lvlText w:val="•"/>
      <w:lvlJc w:val="left"/>
      <w:pPr>
        <w:ind w:left="7964" w:hanging="387"/>
        <w:jc w:val="both"/>
      </w:pPr>
      <w:rPr>
        <w:w w:val="100"/>
        <w:sz w:val="20"/>
        <w:szCs w:val="20"/>
        <w:shd w:val="clear" w:color="auto" w:fill="auto"/>
      </w:rPr>
    </w:lvl>
  </w:abstractNum>
  <w:abstractNum w:abstractNumId="19">
    <w:nsid w:val="00000010"/>
    <w:multiLevelType w:val="multilevel"/>
    <w:tmpl w:val="00000010"/>
    <w:lvl w:ilvl="0" w:tentative="0">
      <w:start w:val="1"/>
      <w:numFmt w:val="decimal"/>
      <w:lvlText w:val="(%1)"/>
      <w:lvlJc w:val="left"/>
      <w:pPr>
        <w:ind w:left="273" w:hanging="359"/>
        <w:jc w:val="both"/>
      </w:pPr>
      <w:rPr>
        <w:rFonts w:ascii="宋体" w:hAnsi="宋体" w:eastAsia="宋体"/>
        <w:spacing w:val="-5"/>
        <w:w w:val="100"/>
        <w:sz w:val="22"/>
        <w:szCs w:val="22"/>
        <w:shd w:val="clear" w:color="auto" w:fill="auto"/>
      </w:rPr>
    </w:lvl>
    <w:lvl w:ilvl="1" w:tentative="0">
      <w:start w:val="0"/>
      <w:numFmt w:val="bullet"/>
      <w:lvlText w:val="•"/>
      <w:lvlJc w:val="left"/>
      <w:pPr>
        <w:ind w:left="1240" w:hanging="359"/>
        <w:jc w:val="both"/>
      </w:pPr>
      <w:rPr>
        <w:w w:val="100"/>
        <w:sz w:val="20"/>
        <w:szCs w:val="20"/>
        <w:shd w:val="clear" w:color="auto" w:fill="auto"/>
      </w:rPr>
    </w:lvl>
    <w:lvl w:ilvl="2" w:tentative="0">
      <w:start w:val="0"/>
      <w:numFmt w:val="bullet"/>
      <w:lvlText w:val="•"/>
      <w:lvlJc w:val="left"/>
      <w:pPr>
        <w:ind w:left="2201" w:hanging="359"/>
        <w:jc w:val="both"/>
      </w:pPr>
      <w:rPr>
        <w:w w:val="100"/>
        <w:sz w:val="20"/>
        <w:szCs w:val="20"/>
        <w:shd w:val="clear" w:color="auto" w:fill="auto"/>
      </w:rPr>
    </w:lvl>
    <w:lvl w:ilvl="3" w:tentative="0">
      <w:start w:val="0"/>
      <w:numFmt w:val="bullet"/>
      <w:lvlText w:val="•"/>
      <w:lvlJc w:val="left"/>
      <w:pPr>
        <w:ind w:left="3161" w:hanging="359"/>
        <w:jc w:val="both"/>
      </w:pPr>
      <w:rPr>
        <w:w w:val="100"/>
        <w:sz w:val="20"/>
        <w:szCs w:val="20"/>
        <w:shd w:val="clear" w:color="auto" w:fill="auto"/>
      </w:rPr>
    </w:lvl>
    <w:lvl w:ilvl="4" w:tentative="0">
      <w:start w:val="0"/>
      <w:numFmt w:val="bullet"/>
      <w:lvlText w:val="•"/>
      <w:lvlJc w:val="left"/>
      <w:pPr>
        <w:ind w:left="4122" w:hanging="359"/>
        <w:jc w:val="both"/>
      </w:pPr>
      <w:rPr>
        <w:w w:val="100"/>
        <w:sz w:val="20"/>
        <w:szCs w:val="20"/>
        <w:shd w:val="clear" w:color="auto" w:fill="auto"/>
      </w:rPr>
    </w:lvl>
    <w:lvl w:ilvl="5" w:tentative="0">
      <w:start w:val="0"/>
      <w:numFmt w:val="bullet"/>
      <w:lvlText w:val="•"/>
      <w:lvlJc w:val="left"/>
      <w:pPr>
        <w:ind w:left="5083" w:hanging="359"/>
        <w:jc w:val="both"/>
      </w:pPr>
      <w:rPr>
        <w:w w:val="100"/>
        <w:sz w:val="20"/>
        <w:szCs w:val="20"/>
        <w:shd w:val="clear" w:color="auto" w:fill="auto"/>
      </w:rPr>
    </w:lvl>
    <w:lvl w:ilvl="6" w:tentative="0">
      <w:start w:val="0"/>
      <w:numFmt w:val="bullet"/>
      <w:lvlText w:val="•"/>
      <w:lvlJc w:val="left"/>
      <w:pPr>
        <w:ind w:left="6043" w:hanging="359"/>
        <w:jc w:val="both"/>
      </w:pPr>
      <w:rPr>
        <w:w w:val="100"/>
        <w:sz w:val="20"/>
        <w:szCs w:val="20"/>
        <w:shd w:val="clear" w:color="auto" w:fill="auto"/>
      </w:rPr>
    </w:lvl>
    <w:lvl w:ilvl="7" w:tentative="0">
      <w:start w:val="0"/>
      <w:numFmt w:val="bullet"/>
      <w:lvlText w:val="•"/>
      <w:lvlJc w:val="left"/>
      <w:pPr>
        <w:ind w:left="7004" w:hanging="359"/>
        <w:jc w:val="both"/>
      </w:pPr>
      <w:rPr>
        <w:w w:val="100"/>
        <w:sz w:val="20"/>
        <w:szCs w:val="20"/>
        <w:shd w:val="clear" w:color="auto" w:fill="auto"/>
      </w:rPr>
    </w:lvl>
    <w:lvl w:ilvl="8" w:tentative="0">
      <w:start w:val="0"/>
      <w:numFmt w:val="bullet"/>
      <w:lvlText w:val="•"/>
      <w:lvlJc w:val="left"/>
      <w:pPr>
        <w:ind w:left="7964" w:hanging="359"/>
        <w:jc w:val="both"/>
      </w:pPr>
      <w:rPr>
        <w:w w:val="100"/>
        <w:sz w:val="20"/>
        <w:szCs w:val="20"/>
        <w:shd w:val="clear" w:color="auto" w:fill="auto"/>
      </w:rPr>
    </w:lvl>
  </w:abstractNum>
  <w:abstractNum w:abstractNumId="20">
    <w:nsid w:val="00000011"/>
    <w:multiLevelType w:val="multilevel"/>
    <w:tmpl w:val="00000011"/>
    <w:lvl w:ilvl="0" w:tentative="0">
      <w:start w:val="2"/>
      <w:numFmt w:val="decimal"/>
      <w:lvlText w:val="%1."/>
      <w:lvlJc w:val="left"/>
      <w:pPr>
        <w:ind w:left="1019" w:hanging="212"/>
        <w:jc w:val="both"/>
      </w:pPr>
      <w:rPr>
        <w:rFonts w:ascii="宋体" w:hAnsi="宋体" w:eastAsia="宋体"/>
        <w:spacing w:val="-2"/>
        <w:w w:val="99"/>
        <w:sz w:val="19"/>
        <w:szCs w:val="19"/>
        <w:shd w:val="clear" w:color="auto" w:fill="auto"/>
      </w:rPr>
    </w:lvl>
    <w:lvl w:ilvl="1" w:tentative="0">
      <w:start w:val="1"/>
      <w:numFmt w:val="decimal"/>
      <w:lvlText w:val="%1-%2"/>
      <w:lvlJc w:val="left"/>
      <w:pPr>
        <w:ind w:left="3446" w:hanging="528"/>
        <w:jc w:val="both"/>
      </w:pPr>
      <w:rPr>
        <w:b/>
        <w:w w:val="99"/>
        <w:sz w:val="20"/>
        <w:szCs w:val="20"/>
        <w:shd w:val="clear" w:color="auto" w:fill="auto"/>
      </w:rPr>
    </w:lvl>
    <w:lvl w:ilvl="2" w:tentative="0">
      <w:start w:val="0"/>
      <w:numFmt w:val="bullet"/>
      <w:lvlText w:val="•"/>
      <w:lvlJc w:val="left"/>
      <w:pPr>
        <w:ind w:left="4156" w:hanging="528"/>
        <w:jc w:val="both"/>
      </w:pPr>
      <w:rPr>
        <w:w w:val="100"/>
        <w:sz w:val="20"/>
        <w:szCs w:val="20"/>
        <w:shd w:val="clear" w:color="auto" w:fill="auto"/>
      </w:rPr>
    </w:lvl>
    <w:lvl w:ilvl="3" w:tentative="0">
      <w:start w:val="0"/>
      <w:numFmt w:val="bullet"/>
      <w:lvlText w:val="•"/>
      <w:lvlJc w:val="left"/>
      <w:pPr>
        <w:ind w:left="4872" w:hanging="528"/>
        <w:jc w:val="both"/>
      </w:pPr>
      <w:rPr>
        <w:w w:val="100"/>
        <w:sz w:val="20"/>
        <w:szCs w:val="20"/>
        <w:shd w:val="clear" w:color="auto" w:fill="auto"/>
      </w:rPr>
    </w:lvl>
    <w:lvl w:ilvl="4" w:tentative="0">
      <w:start w:val="0"/>
      <w:numFmt w:val="bullet"/>
      <w:lvlText w:val="•"/>
      <w:lvlJc w:val="left"/>
      <w:pPr>
        <w:ind w:left="5588" w:hanging="528"/>
        <w:jc w:val="both"/>
      </w:pPr>
      <w:rPr>
        <w:w w:val="100"/>
        <w:sz w:val="20"/>
        <w:szCs w:val="20"/>
        <w:shd w:val="clear" w:color="auto" w:fill="auto"/>
      </w:rPr>
    </w:lvl>
    <w:lvl w:ilvl="5" w:tentative="0">
      <w:start w:val="0"/>
      <w:numFmt w:val="bullet"/>
      <w:lvlText w:val="•"/>
      <w:lvlJc w:val="left"/>
      <w:pPr>
        <w:ind w:left="6304" w:hanging="528"/>
        <w:jc w:val="both"/>
      </w:pPr>
      <w:rPr>
        <w:w w:val="100"/>
        <w:sz w:val="20"/>
        <w:szCs w:val="20"/>
        <w:shd w:val="clear" w:color="auto" w:fill="auto"/>
      </w:rPr>
    </w:lvl>
    <w:lvl w:ilvl="6" w:tentative="0">
      <w:start w:val="0"/>
      <w:numFmt w:val="bullet"/>
      <w:lvlText w:val="•"/>
      <w:lvlJc w:val="left"/>
      <w:pPr>
        <w:ind w:left="7021" w:hanging="528"/>
        <w:jc w:val="both"/>
      </w:pPr>
      <w:rPr>
        <w:w w:val="100"/>
        <w:sz w:val="20"/>
        <w:szCs w:val="20"/>
        <w:shd w:val="clear" w:color="auto" w:fill="auto"/>
      </w:rPr>
    </w:lvl>
    <w:lvl w:ilvl="7" w:tentative="0">
      <w:start w:val="0"/>
      <w:numFmt w:val="bullet"/>
      <w:lvlText w:val="•"/>
      <w:lvlJc w:val="left"/>
      <w:pPr>
        <w:ind w:left="7737" w:hanging="528"/>
        <w:jc w:val="both"/>
      </w:pPr>
      <w:rPr>
        <w:w w:val="100"/>
        <w:sz w:val="20"/>
        <w:szCs w:val="20"/>
        <w:shd w:val="clear" w:color="auto" w:fill="auto"/>
      </w:rPr>
    </w:lvl>
    <w:lvl w:ilvl="8" w:tentative="0">
      <w:start w:val="0"/>
      <w:numFmt w:val="bullet"/>
      <w:lvlText w:val="•"/>
      <w:lvlJc w:val="left"/>
      <w:pPr>
        <w:ind w:left="8453" w:hanging="528"/>
        <w:jc w:val="both"/>
      </w:pPr>
      <w:rPr>
        <w:w w:val="100"/>
        <w:sz w:val="20"/>
        <w:szCs w:val="20"/>
        <w:shd w:val="clear" w:color="auto" w:fill="auto"/>
      </w:rPr>
    </w:lvl>
  </w:abstractNum>
  <w:abstractNum w:abstractNumId="21">
    <w:nsid w:val="00000012"/>
    <w:multiLevelType w:val="multilevel"/>
    <w:tmpl w:val="00000012"/>
    <w:lvl w:ilvl="0" w:tentative="0">
      <w:start w:val="9"/>
      <w:numFmt w:val="decimal"/>
      <w:lvlText w:val="%1."/>
      <w:lvlJc w:val="left"/>
      <w:pPr>
        <w:ind w:left="1116" w:hanging="363"/>
        <w:jc w:val="both"/>
      </w:pPr>
      <w:rPr>
        <w:rFonts w:ascii="宋体" w:hAnsi="宋体" w:eastAsia="宋体"/>
        <w:b/>
        <w:w w:val="99"/>
        <w:sz w:val="24"/>
        <w:szCs w:val="24"/>
        <w:shd w:val="clear" w:color="auto" w:fill="auto"/>
      </w:rPr>
    </w:lvl>
    <w:lvl w:ilvl="1" w:tentative="0">
      <w:start w:val="1"/>
      <w:numFmt w:val="decimal"/>
      <w:lvlText w:val="%1.%2"/>
      <w:lvlJc w:val="left"/>
      <w:pPr>
        <w:ind w:left="273" w:hanging="531"/>
        <w:jc w:val="both"/>
      </w:pPr>
      <w:rPr>
        <w:spacing w:val="-3"/>
        <w:w w:val="100"/>
        <w:sz w:val="20"/>
        <w:szCs w:val="20"/>
        <w:shd w:val="clear" w:color="auto" w:fill="auto"/>
      </w:rPr>
    </w:lvl>
    <w:lvl w:ilvl="2" w:tentative="0">
      <w:start w:val="1"/>
      <w:numFmt w:val="decimal"/>
      <w:lvlText w:val="%1.%2.%3"/>
      <w:lvlJc w:val="left"/>
      <w:pPr>
        <w:ind w:left="273" w:hanging="531"/>
        <w:jc w:val="both"/>
      </w:pPr>
      <w:rPr>
        <w:rFonts w:ascii="宋体" w:hAnsi="宋体" w:eastAsia="宋体"/>
        <w:spacing w:val="-3"/>
        <w:w w:val="100"/>
        <w:sz w:val="24"/>
        <w:szCs w:val="24"/>
        <w:shd w:val="clear" w:color="auto" w:fill="auto"/>
      </w:rPr>
    </w:lvl>
    <w:lvl w:ilvl="3" w:tentative="0">
      <w:start w:val="0"/>
      <w:numFmt w:val="bullet"/>
      <w:lvlText w:val="•"/>
      <w:lvlJc w:val="left"/>
      <w:pPr>
        <w:ind w:left="1300" w:hanging="531"/>
        <w:jc w:val="both"/>
      </w:pPr>
      <w:rPr>
        <w:w w:val="100"/>
        <w:sz w:val="20"/>
        <w:szCs w:val="20"/>
        <w:shd w:val="clear" w:color="auto" w:fill="auto"/>
      </w:rPr>
    </w:lvl>
    <w:lvl w:ilvl="4" w:tentative="0">
      <w:start w:val="0"/>
      <w:numFmt w:val="bullet"/>
      <w:lvlText w:val="•"/>
      <w:lvlJc w:val="left"/>
      <w:pPr>
        <w:ind w:left="1360" w:hanging="531"/>
        <w:jc w:val="both"/>
      </w:pPr>
      <w:rPr>
        <w:w w:val="100"/>
        <w:sz w:val="20"/>
        <w:szCs w:val="20"/>
        <w:shd w:val="clear" w:color="auto" w:fill="auto"/>
      </w:rPr>
    </w:lvl>
    <w:lvl w:ilvl="5" w:tentative="0">
      <w:start w:val="0"/>
      <w:numFmt w:val="bullet"/>
      <w:lvlText w:val="•"/>
      <w:lvlJc w:val="left"/>
      <w:pPr>
        <w:ind w:left="1440" w:hanging="531"/>
        <w:jc w:val="both"/>
      </w:pPr>
      <w:rPr>
        <w:w w:val="100"/>
        <w:sz w:val="20"/>
        <w:szCs w:val="20"/>
        <w:shd w:val="clear" w:color="auto" w:fill="auto"/>
      </w:rPr>
    </w:lvl>
    <w:lvl w:ilvl="6" w:tentative="0">
      <w:start w:val="0"/>
      <w:numFmt w:val="bullet"/>
      <w:lvlText w:val="•"/>
      <w:lvlJc w:val="left"/>
      <w:pPr>
        <w:ind w:left="3129" w:hanging="531"/>
        <w:jc w:val="both"/>
      </w:pPr>
      <w:rPr>
        <w:w w:val="100"/>
        <w:sz w:val="20"/>
        <w:szCs w:val="20"/>
        <w:shd w:val="clear" w:color="auto" w:fill="auto"/>
      </w:rPr>
    </w:lvl>
    <w:lvl w:ilvl="7" w:tentative="0">
      <w:start w:val="0"/>
      <w:numFmt w:val="bullet"/>
      <w:lvlText w:val="•"/>
      <w:lvlJc w:val="left"/>
      <w:pPr>
        <w:ind w:left="4818" w:hanging="531"/>
        <w:jc w:val="both"/>
      </w:pPr>
      <w:rPr>
        <w:w w:val="100"/>
        <w:sz w:val="20"/>
        <w:szCs w:val="20"/>
        <w:shd w:val="clear" w:color="auto" w:fill="auto"/>
      </w:rPr>
    </w:lvl>
    <w:lvl w:ilvl="8" w:tentative="0">
      <w:start w:val="0"/>
      <w:numFmt w:val="bullet"/>
      <w:lvlText w:val="•"/>
      <w:lvlJc w:val="left"/>
      <w:pPr>
        <w:ind w:left="6507" w:hanging="531"/>
        <w:jc w:val="both"/>
      </w:pPr>
      <w:rPr>
        <w:w w:val="100"/>
        <w:sz w:val="20"/>
        <w:szCs w:val="20"/>
        <w:shd w:val="clear" w:color="auto" w:fill="auto"/>
      </w:rPr>
    </w:lvl>
  </w:abstractNum>
  <w:abstractNum w:abstractNumId="22">
    <w:nsid w:val="00000013"/>
    <w:multiLevelType w:val="multilevel"/>
    <w:tmpl w:val="00000013"/>
    <w:lvl w:ilvl="0" w:tentative="0">
      <w:start w:val="1"/>
      <w:numFmt w:val="decimal"/>
      <w:lvlText w:val="（%1）"/>
      <w:lvlJc w:val="left"/>
      <w:pPr>
        <w:ind w:left="1478" w:hanging="723"/>
        <w:jc w:val="both"/>
      </w:pPr>
      <w:rPr>
        <w:rFonts w:ascii="宋体" w:hAnsi="宋体" w:eastAsia="宋体"/>
        <w:b/>
        <w:w w:val="99"/>
        <w:sz w:val="24"/>
        <w:szCs w:val="24"/>
        <w:shd w:val="clear" w:color="auto" w:fill="auto"/>
      </w:rPr>
    </w:lvl>
    <w:lvl w:ilvl="1" w:tentative="0">
      <w:start w:val="0"/>
      <w:numFmt w:val="bullet"/>
      <w:lvlText w:val="•"/>
      <w:lvlJc w:val="left"/>
      <w:pPr>
        <w:ind w:left="2320" w:hanging="723"/>
        <w:jc w:val="both"/>
      </w:pPr>
      <w:rPr>
        <w:w w:val="100"/>
        <w:sz w:val="20"/>
        <w:szCs w:val="20"/>
        <w:shd w:val="clear" w:color="auto" w:fill="auto"/>
      </w:rPr>
    </w:lvl>
    <w:lvl w:ilvl="2" w:tentative="0">
      <w:start w:val="0"/>
      <w:numFmt w:val="bullet"/>
      <w:lvlText w:val="•"/>
      <w:lvlJc w:val="left"/>
      <w:pPr>
        <w:ind w:left="3161" w:hanging="723"/>
        <w:jc w:val="both"/>
      </w:pPr>
      <w:rPr>
        <w:w w:val="100"/>
        <w:sz w:val="20"/>
        <w:szCs w:val="20"/>
        <w:shd w:val="clear" w:color="auto" w:fill="auto"/>
      </w:rPr>
    </w:lvl>
    <w:lvl w:ilvl="3" w:tentative="0">
      <w:start w:val="0"/>
      <w:numFmt w:val="bullet"/>
      <w:lvlText w:val="•"/>
      <w:lvlJc w:val="left"/>
      <w:pPr>
        <w:ind w:left="4001" w:hanging="723"/>
        <w:jc w:val="both"/>
      </w:pPr>
      <w:rPr>
        <w:w w:val="100"/>
        <w:sz w:val="20"/>
        <w:szCs w:val="20"/>
        <w:shd w:val="clear" w:color="auto" w:fill="auto"/>
      </w:rPr>
    </w:lvl>
    <w:lvl w:ilvl="4" w:tentative="0">
      <w:start w:val="0"/>
      <w:numFmt w:val="bullet"/>
      <w:lvlText w:val="•"/>
      <w:lvlJc w:val="left"/>
      <w:pPr>
        <w:ind w:left="4842" w:hanging="723"/>
        <w:jc w:val="both"/>
      </w:pPr>
      <w:rPr>
        <w:w w:val="100"/>
        <w:sz w:val="20"/>
        <w:szCs w:val="20"/>
        <w:shd w:val="clear" w:color="auto" w:fill="auto"/>
      </w:rPr>
    </w:lvl>
    <w:lvl w:ilvl="5" w:tentative="0">
      <w:start w:val="0"/>
      <w:numFmt w:val="bullet"/>
      <w:lvlText w:val="•"/>
      <w:lvlJc w:val="left"/>
      <w:pPr>
        <w:ind w:left="5683" w:hanging="723"/>
        <w:jc w:val="both"/>
      </w:pPr>
      <w:rPr>
        <w:w w:val="100"/>
        <w:sz w:val="20"/>
        <w:szCs w:val="20"/>
        <w:shd w:val="clear" w:color="auto" w:fill="auto"/>
      </w:rPr>
    </w:lvl>
    <w:lvl w:ilvl="6" w:tentative="0">
      <w:start w:val="0"/>
      <w:numFmt w:val="bullet"/>
      <w:lvlText w:val="•"/>
      <w:lvlJc w:val="left"/>
      <w:pPr>
        <w:ind w:left="6523" w:hanging="723"/>
        <w:jc w:val="both"/>
      </w:pPr>
      <w:rPr>
        <w:w w:val="100"/>
        <w:sz w:val="20"/>
        <w:szCs w:val="20"/>
        <w:shd w:val="clear" w:color="auto" w:fill="auto"/>
      </w:rPr>
    </w:lvl>
    <w:lvl w:ilvl="7" w:tentative="0">
      <w:start w:val="0"/>
      <w:numFmt w:val="bullet"/>
      <w:lvlText w:val="•"/>
      <w:lvlJc w:val="left"/>
      <w:pPr>
        <w:ind w:left="7364" w:hanging="723"/>
        <w:jc w:val="both"/>
      </w:pPr>
      <w:rPr>
        <w:w w:val="100"/>
        <w:sz w:val="20"/>
        <w:szCs w:val="20"/>
        <w:shd w:val="clear" w:color="auto" w:fill="auto"/>
      </w:rPr>
    </w:lvl>
    <w:lvl w:ilvl="8" w:tentative="0">
      <w:start w:val="0"/>
      <w:numFmt w:val="bullet"/>
      <w:lvlText w:val="•"/>
      <w:lvlJc w:val="left"/>
      <w:pPr>
        <w:ind w:left="8204" w:hanging="723"/>
        <w:jc w:val="both"/>
      </w:pPr>
      <w:rPr>
        <w:w w:val="100"/>
        <w:sz w:val="20"/>
        <w:szCs w:val="20"/>
        <w:shd w:val="clear" w:color="auto" w:fill="auto"/>
      </w:rPr>
    </w:lvl>
  </w:abstractNum>
  <w:abstractNum w:abstractNumId="23">
    <w:nsid w:val="00000014"/>
    <w:multiLevelType w:val="multilevel"/>
    <w:tmpl w:val="00000014"/>
    <w:lvl w:ilvl="0" w:tentative="0">
      <w:start w:val="1"/>
      <w:numFmt w:val="decimal"/>
      <w:lvlText w:val="%1."/>
      <w:lvlJc w:val="left"/>
      <w:pPr>
        <w:ind w:left="1116" w:hanging="363"/>
        <w:jc w:val="both"/>
      </w:pPr>
      <w:rPr>
        <w:rFonts w:ascii="宋体" w:hAnsi="宋体" w:eastAsia="宋体"/>
        <w:b/>
        <w:w w:val="99"/>
        <w:sz w:val="24"/>
        <w:szCs w:val="24"/>
        <w:shd w:val="clear" w:color="auto" w:fill="auto"/>
      </w:rPr>
    </w:lvl>
    <w:lvl w:ilvl="1" w:tentative="0">
      <w:start w:val="1"/>
      <w:numFmt w:val="decimal"/>
      <w:lvlText w:val="%1.%2"/>
      <w:lvlJc w:val="left"/>
      <w:pPr>
        <w:ind w:left="1173" w:hanging="420"/>
        <w:jc w:val="both"/>
      </w:pPr>
      <w:rPr>
        <w:rFonts w:ascii="宋体" w:hAnsi="宋体" w:eastAsia="宋体"/>
        <w:w w:val="100"/>
        <w:sz w:val="24"/>
        <w:szCs w:val="24"/>
        <w:shd w:val="clear" w:color="auto" w:fill="auto"/>
      </w:rPr>
    </w:lvl>
    <w:lvl w:ilvl="2" w:tentative="0">
      <w:start w:val="1"/>
      <w:numFmt w:val="decimal"/>
      <w:lvlText w:val="%1.%2.%3"/>
      <w:lvlJc w:val="left"/>
      <w:pPr>
        <w:ind w:left="273" w:hanging="723"/>
        <w:jc w:val="both"/>
      </w:pPr>
      <w:rPr>
        <w:rFonts w:ascii="宋体" w:hAnsi="宋体" w:eastAsia="宋体"/>
        <w:w w:val="100"/>
        <w:sz w:val="24"/>
        <w:szCs w:val="24"/>
        <w:shd w:val="clear" w:color="auto" w:fill="auto"/>
      </w:rPr>
    </w:lvl>
    <w:lvl w:ilvl="3" w:tentative="0">
      <w:start w:val="0"/>
      <w:numFmt w:val="bullet"/>
      <w:lvlText w:val="•"/>
      <w:lvlJc w:val="left"/>
      <w:pPr>
        <w:ind w:left="1180" w:hanging="723"/>
        <w:jc w:val="both"/>
      </w:pPr>
      <w:rPr>
        <w:w w:val="100"/>
        <w:sz w:val="20"/>
        <w:szCs w:val="20"/>
        <w:shd w:val="clear" w:color="auto" w:fill="auto"/>
      </w:rPr>
    </w:lvl>
    <w:lvl w:ilvl="4" w:tentative="0">
      <w:start w:val="0"/>
      <w:numFmt w:val="bullet"/>
      <w:lvlText w:val="•"/>
      <w:lvlJc w:val="left"/>
      <w:pPr>
        <w:ind w:left="1240" w:hanging="723"/>
        <w:jc w:val="both"/>
      </w:pPr>
      <w:rPr>
        <w:w w:val="100"/>
        <w:sz w:val="20"/>
        <w:szCs w:val="20"/>
        <w:shd w:val="clear" w:color="auto" w:fill="auto"/>
      </w:rPr>
    </w:lvl>
    <w:lvl w:ilvl="5" w:tentative="0">
      <w:start w:val="0"/>
      <w:numFmt w:val="bullet"/>
      <w:lvlText w:val="•"/>
      <w:lvlJc w:val="left"/>
      <w:pPr>
        <w:ind w:left="2681" w:hanging="723"/>
        <w:jc w:val="both"/>
      </w:pPr>
      <w:rPr>
        <w:w w:val="100"/>
        <w:sz w:val="20"/>
        <w:szCs w:val="20"/>
        <w:shd w:val="clear" w:color="auto" w:fill="auto"/>
      </w:rPr>
    </w:lvl>
    <w:lvl w:ilvl="6" w:tentative="0">
      <w:start w:val="0"/>
      <w:numFmt w:val="bullet"/>
      <w:lvlText w:val="•"/>
      <w:lvlJc w:val="left"/>
      <w:pPr>
        <w:ind w:left="4122" w:hanging="723"/>
        <w:jc w:val="both"/>
      </w:pPr>
      <w:rPr>
        <w:w w:val="100"/>
        <w:sz w:val="20"/>
        <w:szCs w:val="20"/>
        <w:shd w:val="clear" w:color="auto" w:fill="auto"/>
      </w:rPr>
    </w:lvl>
    <w:lvl w:ilvl="7" w:tentative="0">
      <w:start w:val="0"/>
      <w:numFmt w:val="bullet"/>
      <w:lvlText w:val="•"/>
      <w:lvlJc w:val="left"/>
      <w:pPr>
        <w:ind w:left="5563" w:hanging="723"/>
        <w:jc w:val="both"/>
      </w:pPr>
      <w:rPr>
        <w:w w:val="100"/>
        <w:sz w:val="20"/>
        <w:szCs w:val="20"/>
        <w:shd w:val="clear" w:color="auto" w:fill="auto"/>
      </w:rPr>
    </w:lvl>
    <w:lvl w:ilvl="8" w:tentative="0">
      <w:start w:val="0"/>
      <w:numFmt w:val="bullet"/>
      <w:lvlText w:val="•"/>
      <w:lvlJc w:val="left"/>
      <w:pPr>
        <w:ind w:left="7004" w:hanging="723"/>
        <w:jc w:val="both"/>
      </w:pPr>
      <w:rPr>
        <w:w w:val="100"/>
        <w:sz w:val="20"/>
        <w:szCs w:val="20"/>
        <w:shd w:val="clear" w:color="auto" w:fill="auto"/>
      </w:rPr>
    </w:lvl>
  </w:abstractNum>
  <w:abstractNum w:abstractNumId="24">
    <w:nsid w:val="00000015"/>
    <w:multiLevelType w:val="multilevel"/>
    <w:tmpl w:val="00000015"/>
    <w:lvl w:ilvl="0" w:tentative="0">
      <w:start w:val="1"/>
      <w:numFmt w:val="decimal"/>
      <w:lvlText w:val="（%1）"/>
      <w:lvlJc w:val="left"/>
      <w:pPr>
        <w:ind w:left="273" w:hanging="601"/>
        <w:jc w:val="both"/>
      </w:pPr>
      <w:rPr>
        <w:rFonts w:ascii="宋体" w:hAnsi="宋体" w:eastAsia="宋体"/>
        <w:spacing w:val="-75"/>
        <w:w w:val="100"/>
        <w:sz w:val="22"/>
        <w:szCs w:val="22"/>
        <w:shd w:val="clear" w:color="auto" w:fill="auto"/>
      </w:rPr>
    </w:lvl>
    <w:lvl w:ilvl="1" w:tentative="0">
      <w:start w:val="0"/>
      <w:numFmt w:val="bullet"/>
      <w:lvlText w:val="•"/>
      <w:lvlJc w:val="left"/>
      <w:pPr>
        <w:ind w:left="1240" w:hanging="601"/>
        <w:jc w:val="both"/>
      </w:pPr>
      <w:rPr>
        <w:w w:val="100"/>
        <w:sz w:val="20"/>
        <w:szCs w:val="20"/>
        <w:shd w:val="clear" w:color="auto" w:fill="auto"/>
      </w:rPr>
    </w:lvl>
    <w:lvl w:ilvl="2" w:tentative="0">
      <w:start w:val="0"/>
      <w:numFmt w:val="bullet"/>
      <w:lvlText w:val="•"/>
      <w:lvlJc w:val="left"/>
      <w:pPr>
        <w:ind w:left="2201" w:hanging="601"/>
        <w:jc w:val="both"/>
      </w:pPr>
      <w:rPr>
        <w:w w:val="100"/>
        <w:sz w:val="20"/>
        <w:szCs w:val="20"/>
        <w:shd w:val="clear" w:color="auto" w:fill="auto"/>
      </w:rPr>
    </w:lvl>
    <w:lvl w:ilvl="3" w:tentative="0">
      <w:start w:val="0"/>
      <w:numFmt w:val="bullet"/>
      <w:lvlText w:val="•"/>
      <w:lvlJc w:val="left"/>
      <w:pPr>
        <w:ind w:left="3161" w:hanging="601"/>
        <w:jc w:val="both"/>
      </w:pPr>
      <w:rPr>
        <w:w w:val="100"/>
        <w:sz w:val="20"/>
        <w:szCs w:val="20"/>
        <w:shd w:val="clear" w:color="auto" w:fill="auto"/>
      </w:rPr>
    </w:lvl>
    <w:lvl w:ilvl="4" w:tentative="0">
      <w:start w:val="0"/>
      <w:numFmt w:val="bullet"/>
      <w:lvlText w:val="•"/>
      <w:lvlJc w:val="left"/>
      <w:pPr>
        <w:ind w:left="4122" w:hanging="601"/>
        <w:jc w:val="both"/>
      </w:pPr>
      <w:rPr>
        <w:w w:val="100"/>
        <w:sz w:val="20"/>
        <w:szCs w:val="20"/>
        <w:shd w:val="clear" w:color="auto" w:fill="auto"/>
      </w:rPr>
    </w:lvl>
    <w:lvl w:ilvl="5" w:tentative="0">
      <w:start w:val="0"/>
      <w:numFmt w:val="bullet"/>
      <w:lvlText w:val="•"/>
      <w:lvlJc w:val="left"/>
      <w:pPr>
        <w:ind w:left="5083" w:hanging="601"/>
        <w:jc w:val="both"/>
      </w:pPr>
      <w:rPr>
        <w:w w:val="100"/>
        <w:sz w:val="20"/>
        <w:szCs w:val="20"/>
        <w:shd w:val="clear" w:color="auto" w:fill="auto"/>
      </w:rPr>
    </w:lvl>
    <w:lvl w:ilvl="6" w:tentative="0">
      <w:start w:val="0"/>
      <w:numFmt w:val="bullet"/>
      <w:lvlText w:val="•"/>
      <w:lvlJc w:val="left"/>
      <w:pPr>
        <w:ind w:left="6043" w:hanging="601"/>
        <w:jc w:val="both"/>
      </w:pPr>
      <w:rPr>
        <w:w w:val="100"/>
        <w:sz w:val="20"/>
        <w:szCs w:val="20"/>
        <w:shd w:val="clear" w:color="auto" w:fill="auto"/>
      </w:rPr>
    </w:lvl>
    <w:lvl w:ilvl="7" w:tentative="0">
      <w:start w:val="0"/>
      <w:numFmt w:val="bullet"/>
      <w:lvlText w:val="•"/>
      <w:lvlJc w:val="left"/>
      <w:pPr>
        <w:ind w:left="7004" w:hanging="601"/>
        <w:jc w:val="both"/>
      </w:pPr>
      <w:rPr>
        <w:w w:val="100"/>
        <w:sz w:val="20"/>
        <w:szCs w:val="20"/>
        <w:shd w:val="clear" w:color="auto" w:fill="auto"/>
      </w:rPr>
    </w:lvl>
    <w:lvl w:ilvl="8" w:tentative="0">
      <w:start w:val="0"/>
      <w:numFmt w:val="bullet"/>
      <w:lvlText w:val="•"/>
      <w:lvlJc w:val="left"/>
      <w:pPr>
        <w:ind w:left="7964" w:hanging="601"/>
        <w:jc w:val="both"/>
      </w:pPr>
      <w:rPr>
        <w:w w:val="100"/>
        <w:sz w:val="20"/>
        <w:szCs w:val="20"/>
        <w:shd w:val="clear" w:color="auto" w:fill="auto"/>
      </w:rPr>
    </w:lvl>
  </w:abstractNum>
  <w:abstractNum w:abstractNumId="25">
    <w:nsid w:val="00000016"/>
    <w:multiLevelType w:val="multilevel"/>
    <w:tmpl w:val="00000016"/>
    <w:lvl w:ilvl="0" w:tentative="0">
      <w:start w:val="1"/>
      <w:numFmt w:val="decimal"/>
      <w:lvlText w:val="（%1）"/>
      <w:lvlJc w:val="left"/>
      <w:pPr>
        <w:ind w:left="1354" w:hanging="601"/>
        <w:jc w:val="both"/>
      </w:pPr>
      <w:rPr>
        <w:rFonts w:ascii="宋体" w:hAnsi="宋体" w:eastAsia="宋体"/>
        <w:w w:val="100"/>
        <w:sz w:val="22"/>
        <w:szCs w:val="22"/>
        <w:shd w:val="clear" w:color="auto" w:fill="auto"/>
      </w:rPr>
    </w:lvl>
    <w:lvl w:ilvl="1" w:tentative="0">
      <w:start w:val="0"/>
      <w:numFmt w:val="bullet"/>
      <w:lvlText w:val="•"/>
      <w:lvlJc w:val="left"/>
      <w:pPr>
        <w:ind w:left="2212" w:hanging="601"/>
        <w:jc w:val="both"/>
      </w:pPr>
      <w:rPr>
        <w:w w:val="100"/>
        <w:sz w:val="20"/>
        <w:szCs w:val="20"/>
        <w:shd w:val="clear" w:color="auto" w:fill="auto"/>
      </w:rPr>
    </w:lvl>
    <w:lvl w:ilvl="2" w:tentative="0">
      <w:start w:val="0"/>
      <w:numFmt w:val="bullet"/>
      <w:lvlText w:val="•"/>
      <w:lvlJc w:val="left"/>
      <w:pPr>
        <w:ind w:left="3065" w:hanging="601"/>
        <w:jc w:val="both"/>
      </w:pPr>
      <w:rPr>
        <w:w w:val="100"/>
        <w:sz w:val="20"/>
        <w:szCs w:val="20"/>
        <w:shd w:val="clear" w:color="auto" w:fill="auto"/>
      </w:rPr>
    </w:lvl>
    <w:lvl w:ilvl="3" w:tentative="0">
      <w:start w:val="0"/>
      <w:numFmt w:val="bullet"/>
      <w:lvlText w:val="•"/>
      <w:lvlJc w:val="left"/>
      <w:pPr>
        <w:ind w:left="3917" w:hanging="601"/>
        <w:jc w:val="both"/>
      </w:pPr>
      <w:rPr>
        <w:w w:val="100"/>
        <w:sz w:val="20"/>
        <w:szCs w:val="20"/>
        <w:shd w:val="clear" w:color="auto" w:fill="auto"/>
      </w:rPr>
    </w:lvl>
    <w:lvl w:ilvl="4" w:tentative="0">
      <w:start w:val="0"/>
      <w:numFmt w:val="bullet"/>
      <w:lvlText w:val="•"/>
      <w:lvlJc w:val="left"/>
      <w:pPr>
        <w:ind w:left="4770" w:hanging="601"/>
        <w:jc w:val="both"/>
      </w:pPr>
      <w:rPr>
        <w:w w:val="100"/>
        <w:sz w:val="20"/>
        <w:szCs w:val="20"/>
        <w:shd w:val="clear" w:color="auto" w:fill="auto"/>
      </w:rPr>
    </w:lvl>
    <w:lvl w:ilvl="5" w:tentative="0">
      <w:start w:val="0"/>
      <w:numFmt w:val="bullet"/>
      <w:lvlText w:val="•"/>
      <w:lvlJc w:val="left"/>
      <w:pPr>
        <w:ind w:left="5623" w:hanging="601"/>
        <w:jc w:val="both"/>
      </w:pPr>
      <w:rPr>
        <w:w w:val="100"/>
        <w:sz w:val="20"/>
        <w:szCs w:val="20"/>
        <w:shd w:val="clear" w:color="auto" w:fill="auto"/>
      </w:rPr>
    </w:lvl>
    <w:lvl w:ilvl="6" w:tentative="0">
      <w:start w:val="0"/>
      <w:numFmt w:val="bullet"/>
      <w:lvlText w:val="•"/>
      <w:lvlJc w:val="left"/>
      <w:pPr>
        <w:ind w:left="6475" w:hanging="601"/>
        <w:jc w:val="both"/>
      </w:pPr>
      <w:rPr>
        <w:w w:val="100"/>
        <w:sz w:val="20"/>
        <w:szCs w:val="20"/>
        <w:shd w:val="clear" w:color="auto" w:fill="auto"/>
      </w:rPr>
    </w:lvl>
    <w:lvl w:ilvl="7" w:tentative="0">
      <w:start w:val="0"/>
      <w:numFmt w:val="bullet"/>
      <w:lvlText w:val="•"/>
      <w:lvlJc w:val="left"/>
      <w:pPr>
        <w:ind w:left="7328" w:hanging="601"/>
        <w:jc w:val="both"/>
      </w:pPr>
      <w:rPr>
        <w:w w:val="100"/>
        <w:sz w:val="20"/>
        <w:szCs w:val="20"/>
        <w:shd w:val="clear" w:color="auto" w:fill="auto"/>
      </w:rPr>
    </w:lvl>
    <w:lvl w:ilvl="8" w:tentative="0">
      <w:start w:val="0"/>
      <w:numFmt w:val="bullet"/>
      <w:lvlText w:val="•"/>
      <w:lvlJc w:val="left"/>
      <w:pPr>
        <w:ind w:left="8180" w:hanging="601"/>
        <w:jc w:val="both"/>
      </w:pPr>
      <w:rPr>
        <w:w w:val="100"/>
        <w:sz w:val="20"/>
        <w:szCs w:val="20"/>
        <w:shd w:val="clear" w:color="auto" w:fill="auto"/>
      </w:rPr>
    </w:lvl>
  </w:abstractNum>
  <w:abstractNum w:abstractNumId="26">
    <w:nsid w:val="0CCD364C"/>
    <w:multiLevelType w:val="singleLevel"/>
    <w:tmpl w:val="0CCD364C"/>
    <w:lvl w:ilvl="0" w:tentative="0">
      <w:start w:val="2"/>
      <w:numFmt w:val="chineseCounting"/>
      <w:suff w:val="nothing"/>
      <w:lvlText w:val="%1、"/>
      <w:lvlJc w:val="left"/>
      <w:rPr>
        <w:rFonts w:hint="eastAsia"/>
      </w:rPr>
    </w:lvl>
  </w:abstractNum>
  <w:abstractNum w:abstractNumId="27">
    <w:nsid w:val="6F6358ED"/>
    <w:multiLevelType w:val="singleLevel"/>
    <w:tmpl w:val="6F6358ED"/>
    <w:lvl w:ilvl="0" w:tentative="0">
      <w:start w:val="1"/>
      <w:numFmt w:val="chineseCounting"/>
      <w:suff w:val="nothing"/>
      <w:lvlText w:val="%1、"/>
      <w:lvlJc w:val="left"/>
      <w:rPr>
        <w:rFonts w:hint="eastAsia"/>
      </w:rPr>
    </w:lvl>
  </w:abstractNum>
  <w:num w:numId="1">
    <w:abstractNumId w:val="26"/>
  </w:num>
  <w:num w:numId="2">
    <w:abstractNumId w:val="7"/>
  </w:num>
  <w:num w:numId="3">
    <w:abstractNumId w:val="23"/>
  </w:num>
  <w:num w:numId="4">
    <w:abstractNumId w:val="12"/>
  </w:num>
  <w:num w:numId="5">
    <w:abstractNumId w:val="16"/>
  </w:num>
  <w:num w:numId="6">
    <w:abstractNumId w:val="21"/>
  </w:num>
  <w:num w:numId="7">
    <w:abstractNumId w:val="19"/>
  </w:num>
  <w:num w:numId="8">
    <w:abstractNumId w:val="11"/>
  </w:num>
  <w:num w:numId="9">
    <w:abstractNumId w:val="15"/>
  </w:num>
  <w:num w:numId="10">
    <w:abstractNumId w:val="10"/>
  </w:num>
  <w:num w:numId="11">
    <w:abstractNumId w:val="9"/>
  </w:num>
  <w:num w:numId="12">
    <w:abstractNumId w:val="5"/>
  </w:num>
  <w:num w:numId="13">
    <w:abstractNumId w:val="18"/>
  </w:num>
  <w:num w:numId="14">
    <w:abstractNumId w:val="22"/>
  </w:num>
  <w:num w:numId="15">
    <w:abstractNumId w:val="13"/>
  </w:num>
  <w:num w:numId="16">
    <w:abstractNumId w:val="1"/>
  </w:num>
  <w:num w:numId="17">
    <w:abstractNumId w:val="6"/>
  </w:num>
  <w:num w:numId="18">
    <w:abstractNumId w:val="25"/>
  </w:num>
  <w:num w:numId="19">
    <w:abstractNumId w:val="24"/>
  </w:num>
  <w:num w:numId="20">
    <w:abstractNumId w:val="8"/>
  </w:num>
  <w:num w:numId="21">
    <w:abstractNumId w:val="27"/>
  </w:num>
  <w:num w:numId="22">
    <w:abstractNumId w:val="0"/>
  </w:num>
  <w:num w:numId="23">
    <w:abstractNumId w:val="2"/>
  </w:num>
  <w:num w:numId="24">
    <w:abstractNumId w:val="4"/>
  </w:num>
  <w:num w:numId="25">
    <w:abstractNumId w:val="17"/>
  </w:num>
  <w:num w:numId="26">
    <w:abstractNumId w:val="3"/>
  </w:num>
  <w:num w:numId="27">
    <w:abstractNumId w:val="2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zQ2YTkxZGFjM2ZjNDUxMTUyNThmNGQ5YWQ0ZjUifQ=="/>
  </w:docVars>
  <w:rsids>
    <w:rsidRoot w:val="7F4A3DB0"/>
    <w:rsid w:val="115B43CF"/>
    <w:rsid w:val="22331759"/>
    <w:rsid w:val="288B3B53"/>
    <w:rsid w:val="41115F4D"/>
    <w:rsid w:val="46B9263B"/>
    <w:rsid w:val="4F7E3A92"/>
    <w:rsid w:val="5A405CA3"/>
    <w:rsid w:val="7F4A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155"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4"/>
    <w:qFormat/>
    <w:uiPriority w:val="7"/>
    <w:pPr>
      <w:widowControl/>
      <w:wordWrap/>
      <w:autoSpaceDE/>
      <w:autoSpaceDN/>
      <w:ind w:right="91" w:firstLine="0"/>
      <w:jc w:val="center"/>
      <w:outlineLvl w:val="0"/>
    </w:pPr>
    <w:rPr>
      <w:rFonts w:ascii="Times New Roman" w:hAnsi="Times New Roman" w:eastAsia="Times New Roman" w:cs="Times New Roman"/>
      <w:w w:val="100"/>
      <w:sz w:val="40"/>
      <w:szCs w:val="40"/>
      <w:shd w:val="clear" w:color="auto" w:fill="auto"/>
    </w:rPr>
  </w:style>
  <w:style w:type="paragraph" w:styleId="5">
    <w:name w:val="heading 2"/>
    <w:next w:val="4"/>
    <w:qFormat/>
    <w:uiPriority w:val="8"/>
    <w:pPr>
      <w:widowControl/>
      <w:wordWrap/>
      <w:autoSpaceDE/>
      <w:autoSpaceDN/>
      <w:ind w:right="605" w:firstLine="0"/>
      <w:jc w:val="center"/>
      <w:outlineLvl w:val="1"/>
    </w:pPr>
    <w:rPr>
      <w:rFonts w:ascii="Times New Roman" w:hAnsi="Times New Roman" w:eastAsia="Times New Roman" w:cs="Times New Roman"/>
      <w:w w:val="100"/>
      <w:sz w:val="36"/>
      <w:szCs w:val="36"/>
      <w:shd w:val="clear" w:color="auto" w:fill="auto"/>
    </w:rPr>
  </w:style>
  <w:style w:type="paragraph" w:styleId="6">
    <w:name w:val="heading 3"/>
    <w:basedOn w:val="1"/>
    <w:next w:val="1"/>
    <w:qFormat/>
    <w:uiPriority w:val="9"/>
    <w:pPr>
      <w:widowControl/>
      <w:wordWrap/>
      <w:autoSpaceDE/>
      <w:autoSpaceDN/>
      <w:ind w:right="603" w:firstLine="0"/>
      <w:jc w:val="center"/>
      <w:outlineLvl w:val="2"/>
    </w:pPr>
    <w:rPr>
      <w:b/>
      <w:w w:val="100"/>
      <w:sz w:val="32"/>
      <w:szCs w:val="32"/>
      <w:shd w:val="clear" w:color="auto" w:fill="auto"/>
    </w:rPr>
  </w:style>
  <w:style w:type="paragraph" w:styleId="7">
    <w:name w:val="heading 4"/>
    <w:basedOn w:val="4"/>
    <w:next w:val="4"/>
    <w:qFormat/>
    <w:uiPriority w:val="10"/>
    <w:pPr>
      <w:widowControl/>
      <w:wordWrap/>
      <w:autoSpaceDE/>
      <w:autoSpaceDN/>
      <w:ind w:right="209" w:firstLine="0"/>
      <w:jc w:val="center"/>
      <w:outlineLvl w:val="3"/>
    </w:pPr>
    <w:rPr>
      <w:b/>
      <w:w w:val="100"/>
      <w:sz w:val="30"/>
      <w:szCs w:val="30"/>
      <w:shd w:val="clear" w:color="auto" w:fill="auto"/>
    </w:rPr>
  </w:style>
  <w:style w:type="paragraph" w:styleId="8">
    <w:name w:val="heading 5"/>
    <w:basedOn w:val="4"/>
    <w:next w:val="4"/>
    <w:qFormat/>
    <w:uiPriority w:val="11"/>
    <w:pPr>
      <w:widowControl/>
      <w:wordWrap/>
      <w:autoSpaceDE/>
      <w:autoSpaceDN/>
      <w:jc w:val="center"/>
      <w:outlineLvl w:val="4"/>
    </w:pPr>
    <w:rPr>
      <w:b/>
      <w:w w:val="100"/>
      <w:sz w:val="28"/>
      <w:szCs w:val="28"/>
      <w:shd w:val="clear" w:color="auto" w:fill="auto"/>
    </w:rPr>
  </w:style>
  <w:style w:type="paragraph" w:styleId="9">
    <w:name w:val="heading 6"/>
    <w:basedOn w:val="4"/>
    <w:next w:val="4"/>
    <w:qFormat/>
    <w:uiPriority w:val="12"/>
    <w:pPr>
      <w:widowControl/>
      <w:wordWrap/>
      <w:autoSpaceDE/>
      <w:autoSpaceDN/>
      <w:ind w:left="1236" w:hanging="483"/>
      <w:outlineLvl w:val="5"/>
    </w:pPr>
    <w:rPr>
      <w:b/>
      <w:w w:val="100"/>
      <w:sz w:val="24"/>
      <w:szCs w:val="24"/>
      <w:shd w:val="clear" w:color="auto" w:fill="auto"/>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155"/>
    <w:pPr>
      <w:widowControl/>
      <w:wordWrap/>
      <w:autoSpaceDE/>
      <w:autoSpaceDN/>
    </w:pPr>
    <w:rPr>
      <w:rFonts w:ascii="Cambria" w:hAnsi="Cambria" w:eastAsia="Cambria" w:cs="Times New Roman"/>
      <w:w w:val="100"/>
      <w:sz w:val="24"/>
      <w:szCs w:val="24"/>
      <w:shd w:val="clear" w:color="auto" w:fill="auto"/>
    </w:rPr>
  </w:style>
  <w:style w:type="paragraph" w:customStyle="1" w:styleId="4">
    <w:name w:val="Normal"/>
    <w:qFormat/>
    <w:uiPriority w:val="1"/>
    <w:pPr>
      <w:widowControl/>
      <w:wordWrap/>
      <w:autoSpaceDE/>
      <w:autoSpaceDN/>
      <w:ind w:firstLine="0"/>
      <w:jc w:val="both"/>
    </w:pPr>
    <w:rPr>
      <w:rFonts w:ascii="Times New Roman" w:hAnsi="Times New Roman" w:eastAsia="Times New Roman" w:cs="Times New Roman"/>
      <w:w w:val="100"/>
      <w:sz w:val="21"/>
      <w:szCs w:val="21"/>
      <w:shd w:val="clear" w:color="auto" w:fill="auto"/>
    </w:r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4">
    <w:name w:val="Body Text First Indent"/>
    <w:basedOn w:val="10"/>
    <w:next w:val="15"/>
    <w:unhideWhenUsed/>
    <w:qFormat/>
    <w:uiPriority w:val="99"/>
    <w:pPr>
      <w:spacing w:line="360" w:lineRule="auto"/>
      <w:ind w:firstLine="420" w:firstLineChars="100"/>
    </w:pPr>
    <w:rPr>
      <w:rFonts w:hint="eastAsia" w:ascii="DengXian" w:hAnsi="DengXian"/>
      <w:sz w:val="24"/>
      <w:szCs w:val="22"/>
    </w:rPr>
  </w:style>
  <w:style w:type="paragraph" w:styleId="15">
    <w:name w:val="Body Text First Indent 2"/>
    <w:basedOn w:val="11"/>
    <w:next w:val="1"/>
    <w:qFormat/>
    <w:uiPriority w:val="0"/>
    <w:pPr>
      <w:ind w:firstLine="420" w:firstLineChars="200"/>
    </w:pPr>
  </w:style>
  <w:style w:type="paragraph" w:customStyle="1" w:styleId="18">
    <w:name w:val="Table Paragraph"/>
    <w:qFormat/>
    <w:uiPriority w:val="170"/>
    <w:pPr>
      <w:widowControl/>
      <w:wordWrap/>
      <w:autoSpaceDE/>
      <w:autoSpaceDN/>
    </w:pPr>
    <w:rPr>
      <w:rFonts w:ascii="Times New Roman" w:hAnsi="Times New Roman" w:eastAsia="Times New Roman" w:cs="Times New Roman"/>
      <w:w w:val="100"/>
      <w:sz w:val="20"/>
      <w:szCs w:val="20"/>
      <w:shd w:val="clear" w:color="auto" w:fill="auto"/>
    </w:rPr>
  </w:style>
  <w:style w:type="paragraph" w:styleId="19">
    <w:name w:val="List Paragraph"/>
    <w:qFormat/>
    <w:uiPriority w:val="26"/>
    <w:pPr>
      <w:widowControl/>
      <w:wordWrap/>
      <w:autoSpaceDE/>
      <w:autoSpaceDN/>
      <w:ind w:left="273" w:firstLine="480"/>
    </w:pPr>
    <w:rPr>
      <w:rFonts w:ascii="Times New Roman" w:hAnsi="Times New Roman" w:eastAsia="Times New Roman" w:cs="Times New Roman"/>
      <w:w w:val="100"/>
      <w:sz w:val="20"/>
      <w:szCs w:val="20"/>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25832</Words>
  <Characters>26730</Characters>
  <Lines>0</Lines>
  <Paragraphs>0</Paragraphs>
  <TotalTime>62</TotalTime>
  <ScaleCrop>false</ScaleCrop>
  <LinksUpToDate>false</LinksUpToDate>
  <CharactersWithSpaces>28094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2022-06-21T02:50:00Z</dcterms:created>
  <dc:creator>WPS_1574417175</dc:creator>
  <cp:lastModifiedBy>WPS_1574417175</cp:lastModifiedBy>
  <dcterms:modified xsi:type="dcterms:W3CDTF">2022-06-21T05:18:22Z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B05D6678EA6B4A719F476613DD465C68</vt:lpwstr>
  </property>
</Properties>
</file>