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rPr>
      </w:pPr>
    </w:p>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52"/>
          <w:szCs w:val="52"/>
        </w:rPr>
      </w:pPr>
      <w:r>
        <w:rPr>
          <w:rFonts w:hint="eastAsia" w:ascii="宋体" w:hAnsi="宋体" w:cs="宋体"/>
          <w:b/>
          <w:sz w:val="52"/>
          <w:szCs w:val="52"/>
          <w:lang w:eastAsia="zh-CN"/>
        </w:rPr>
        <w:t>喀什地区文旅系统赴山东考察学习培训采购项目</w:t>
      </w:r>
      <w:r>
        <w:rPr>
          <w:rFonts w:hint="eastAsia" w:ascii="宋体" w:hAnsi="宋体" w:cs="宋体"/>
          <w:b/>
          <w:sz w:val="52"/>
          <w:szCs w:val="52"/>
        </w:rPr>
        <w:t>竞争性磋商文件</w:t>
      </w:r>
    </w:p>
    <w:p>
      <w:pPr>
        <w:pStyle w:val="13"/>
        <w:ind w:firstLine="1606" w:firstLineChars="500"/>
        <w:jc w:val="both"/>
        <w:rPr>
          <w:rFonts w:hint="default" w:eastAsia="宋体" w:cs="宋体"/>
          <w:b/>
          <w:sz w:val="48"/>
          <w:szCs w:val="48"/>
          <w:lang w:val="en-US" w:eastAsia="zh-CN"/>
        </w:rPr>
      </w:pPr>
      <w:r>
        <w:rPr>
          <w:rFonts w:hint="eastAsia" w:cs="宋体"/>
          <w:b/>
          <w:sz w:val="32"/>
          <w:szCs w:val="32"/>
        </w:rPr>
        <w:t>项目编号：</w:t>
      </w:r>
      <w:r>
        <w:rPr>
          <w:rFonts w:hint="eastAsia" w:cs="宋体"/>
          <w:b/>
          <w:bCs/>
          <w:i w:val="0"/>
          <w:iCs w:val="0"/>
          <w:color w:val="auto"/>
          <w:sz w:val="40"/>
          <w:szCs w:val="13"/>
          <w:highlight w:val="none"/>
          <w:lang w:val="en-US" w:eastAsia="zh-CN"/>
        </w:rPr>
        <w:t>ZZLHKSCG（CS）2022-001</w:t>
      </w:r>
    </w:p>
    <w:p>
      <w:pPr>
        <w:spacing w:line="240" w:lineRule="atLeast"/>
        <w:ind w:left="1080"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3" w:firstLineChars="300"/>
        <w:rPr>
          <w:rFonts w:hint="default" w:ascii="宋体" w:hAnsi="宋体" w:eastAsia="宋体" w:cs="宋体"/>
          <w:b/>
          <w:bCs/>
          <w:kern w:val="0"/>
          <w:sz w:val="28"/>
          <w:szCs w:val="28"/>
          <w:lang w:val="en-US" w:eastAsia="zh-CN"/>
        </w:rPr>
      </w:pPr>
      <w:r>
        <w:rPr>
          <w:rFonts w:hint="eastAsia" w:ascii="宋体" w:hAnsi="宋体" w:cs="宋体"/>
          <w:b/>
          <w:bCs/>
          <w:color w:val="000000"/>
          <w:kern w:val="0"/>
          <w:sz w:val="28"/>
          <w:szCs w:val="28"/>
        </w:rPr>
        <w:t>采购单位：喀什地区文化广播电视和旅游局</w:t>
      </w:r>
    </w:p>
    <w:p>
      <w:pPr>
        <w:autoSpaceDE w:val="0"/>
        <w:autoSpaceDN w:val="0"/>
        <w:spacing w:line="600" w:lineRule="exact"/>
        <w:ind w:firstLine="843" w:firstLineChars="300"/>
        <w:rPr>
          <w:rFonts w:hint="eastAsia" w:ascii="宋体" w:hAnsi="宋体" w:cs="宋体"/>
          <w:b/>
          <w:bCs/>
          <w:color w:val="000000"/>
          <w:kern w:val="0"/>
          <w:sz w:val="28"/>
          <w:szCs w:val="28"/>
        </w:rPr>
      </w:pPr>
      <w:r>
        <w:rPr>
          <w:rFonts w:hint="eastAsia" w:ascii="宋体" w:hAnsi="宋体" w:cs="宋体"/>
          <w:b/>
          <w:bCs/>
          <w:color w:val="000000"/>
          <w:kern w:val="0"/>
          <w:sz w:val="28"/>
          <w:szCs w:val="28"/>
        </w:rPr>
        <w:t>联</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系</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人：矫健</w:t>
      </w:r>
    </w:p>
    <w:p>
      <w:pPr>
        <w:autoSpaceDE w:val="0"/>
        <w:autoSpaceDN w:val="0"/>
        <w:spacing w:line="600" w:lineRule="exact"/>
        <w:ind w:firstLine="843" w:firstLineChars="300"/>
        <w:rPr>
          <w:rFonts w:ascii="宋体" w:hAnsi="宋体" w:cs="宋体"/>
          <w:b/>
          <w:bCs/>
          <w:color w:val="000000"/>
          <w:kern w:val="0"/>
          <w:sz w:val="28"/>
          <w:szCs w:val="28"/>
        </w:rPr>
      </w:pPr>
      <w:r>
        <w:rPr>
          <w:rFonts w:hint="eastAsia" w:ascii="宋体" w:hAnsi="宋体" w:cs="宋体"/>
          <w:b/>
          <w:bCs/>
          <w:kern w:val="0"/>
          <w:sz w:val="28"/>
          <w:szCs w:val="28"/>
        </w:rPr>
        <w:t>联系电话：18099563936</w:t>
      </w:r>
    </w:p>
    <w:p>
      <w:pPr>
        <w:autoSpaceDE w:val="0"/>
        <w:autoSpaceDN w:val="0"/>
        <w:spacing w:line="600" w:lineRule="exact"/>
        <w:ind w:firstLine="843" w:firstLineChars="300"/>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lang w:eastAsia="zh-CN"/>
        </w:rPr>
        <w:t>湖南中智联和工程造价管理有限公司</w:t>
      </w:r>
    </w:p>
    <w:p>
      <w:pPr>
        <w:autoSpaceDE w:val="0"/>
        <w:autoSpaceDN w:val="0"/>
        <w:spacing w:line="600" w:lineRule="exact"/>
        <w:ind w:firstLine="843" w:firstLineChars="300"/>
        <w:rPr>
          <w:rFonts w:hint="default" w:ascii="宋体" w:hAnsi="宋体" w:eastAsia="宋体" w:cs="宋体"/>
          <w:b/>
          <w:bCs/>
          <w:sz w:val="28"/>
          <w:szCs w:val="28"/>
          <w:u w:val="single"/>
          <w:lang w:val="en-US" w:eastAsia="zh-CN"/>
        </w:rPr>
      </w:pPr>
      <w:r>
        <w:rPr>
          <w:rFonts w:hint="eastAsia" w:ascii="宋体" w:hAnsi="宋体" w:cs="宋体"/>
          <w:b/>
          <w:bCs/>
          <w:color w:val="000000"/>
          <w:kern w:val="0"/>
          <w:sz w:val="28"/>
          <w:szCs w:val="28"/>
        </w:rPr>
        <w:t>联系电话：</w:t>
      </w:r>
      <w:r>
        <w:rPr>
          <w:rFonts w:hint="eastAsia" w:ascii="宋体" w:hAnsi="宋体" w:cs="宋体"/>
          <w:b/>
          <w:bCs/>
          <w:color w:val="000000"/>
          <w:kern w:val="0"/>
          <w:sz w:val="28"/>
          <w:szCs w:val="28"/>
          <w:u w:val="single"/>
          <w:lang w:val="en-US" w:eastAsia="zh-CN"/>
        </w:rPr>
        <w:t>13031345257</w:t>
      </w:r>
    </w:p>
    <w:p>
      <w:pPr>
        <w:autoSpaceDE w:val="0"/>
        <w:autoSpaceDN w:val="0"/>
        <w:adjustRightInd w:val="0"/>
        <w:spacing w:line="480" w:lineRule="auto"/>
        <w:rPr>
          <w:rFonts w:ascii="宋体" w:cs="宋体"/>
          <w:b/>
          <w:color w:val="000000"/>
          <w:kern w:val="0"/>
          <w:sz w:val="30"/>
          <w:szCs w:val="30"/>
        </w:rPr>
      </w:pPr>
    </w:p>
    <w:p>
      <w:pPr>
        <w:ind w:firstLine="904" w:firstLineChars="300"/>
        <w:rPr>
          <w:rFonts w:ascii="微软雅黑 Light" w:hAnsi="微软雅黑 Light" w:eastAsia="微软雅黑 Light" w:cs="微软雅黑 Light"/>
          <w:bCs/>
          <w:sz w:val="36"/>
          <w:szCs w:val="36"/>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ascii="宋体" w:cs="宋体"/>
          <w:b/>
          <w:color w:val="000000"/>
          <w:kern w:val="0"/>
          <w:sz w:val="30"/>
          <w:szCs w:val="30"/>
        </w:rPr>
        <w:t>日期</w:t>
      </w:r>
      <w:r>
        <w:rPr>
          <w:rFonts w:hint="eastAsia" w:ascii="宋体" w:cs="宋体"/>
          <w:b/>
          <w:color w:val="000000"/>
          <w:kern w:val="0"/>
          <w:sz w:val="30"/>
          <w:szCs w:val="30"/>
          <w:highlight w:val="none"/>
        </w:rPr>
        <w:t>：</w:t>
      </w:r>
      <w:r>
        <w:rPr>
          <w:rFonts w:hint="eastAsia" w:ascii="宋体" w:cs="宋体"/>
          <w:b/>
          <w:bCs/>
          <w:color w:val="000000"/>
          <w:kern w:val="0"/>
          <w:sz w:val="30"/>
          <w:szCs w:val="30"/>
          <w:highlight w:val="none"/>
          <w:u w:val="single"/>
        </w:rPr>
        <w:t>202</w:t>
      </w:r>
      <w:r>
        <w:rPr>
          <w:rFonts w:hint="eastAsia" w:ascii="宋体" w:cs="宋体"/>
          <w:b/>
          <w:bCs/>
          <w:color w:val="000000"/>
          <w:kern w:val="0"/>
          <w:sz w:val="30"/>
          <w:szCs w:val="30"/>
          <w:highlight w:val="none"/>
          <w:u w:val="single"/>
          <w:lang w:val="en-US" w:eastAsia="zh-CN"/>
        </w:rPr>
        <w:t>2</w:t>
      </w:r>
      <w:r>
        <w:rPr>
          <w:rFonts w:hint="eastAsia" w:ascii="宋体" w:cs="宋体"/>
          <w:b/>
          <w:bCs/>
          <w:color w:val="000000"/>
          <w:kern w:val="0"/>
          <w:sz w:val="30"/>
          <w:szCs w:val="30"/>
          <w:highlight w:val="none"/>
          <w:u w:val="single"/>
        </w:rPr>
        <w:t>年</w:t>
      </w:r>
      <w:r>
        <w:rPr>
          <w:rFonts w:hint="eastAsia" w:ascii="宋体" w:cs="宋体"/>
          <w:b/>
          <w:bCs/>
          <w:color w:val="000000"/>
          <w:kern w:val="0"/>
          <w:sz w:val="30"/>
          <w:szCs w:val="30"/>
          <w:highlight w:val="none"/>
          <w:u w:val="single"/>
          <w:lang w:val="en-US" w:eastAsia="zh-CN"/>
        </w:rPr>
        <w:t>6</w:t>
      </w:r>
      <w:r>
        <w:rPr>
          <w:rFonts w:hint="eastAsia" w:ascii="宋体" w:cs="宋体"/>
          <w:b/>
          <w:bCs/>
          <w:color w:val="000000"/>
          <w:kern w:val="0"/>
          <w:sz w:val="30"/>
          <w:szCs w:val="30"/>
          <w:highlight w:val="none"/>
          <w:u w:val="single"/>
        </w:rPr>
        <w:t>月</w:t>
      </w:r>
    </w:p>
    <w:p>
      <w:pPr>
        <w:pStyle w:val="24"/>
        <w:tabs>
          <w:tab w:val="right" w:leader="dot" w:pos="8312"/>
        </w:tabs>
        <w:spacing w:line="400" w:lineRule="exact"/>
        <w:rPr>
          <w:rFonts w:cs="宋体" w:asciiTheme="minorEastAsia" w:hAnsiTheme="minorEastAsia" w:eastAsiaTheme="minorEastAsia"/>
          <w:sz w:val="24"/>
        </w:rPr>
      </w:pPr>
      <w:bookmarkStart w:id="0" w:name="_Toc9228"/>
      <w:bookmarkStart w:id="1" w:name="_Toc216582804"/>
    </w:p>
    <w:p>
      <w:pPr>
        <w:jc w:val="center"/>
        <w:outlineLvl w:val="1"/>
        <w:rPr>
          <w:rFonts w:cs="宋体" w:asciiTheme="minorEastAsia" w:hAnsiTheme="minorEastAsia" w:eastAsiaTheme="minorEastAsia"/>
          <w:sz w:val="24"/>
        </w:rPr>
      </w:pPr>
      <w:bookmarkStart w:id="2" w:name="_Toc9903"/>
      <w:bookmarkStart w:id="3" w:name="_Toc22234"/>
      <w:r>
        <w:rPr>
          <w:rFonts w:hint="eastAsia" w:cs="宋体" w:asciiTheme="minorEastAsia" w:hAnsiTheme="minorEastAsia" w:eastAsiaTheme="minorEastAsia"/>
          <w:sz w:val="24"/>
        </w:rPr>
        <w:t>目录</w:t>
      </w:r>
      <w:bookmarkEnd w:id="2"/>
      <w:bookmarkEnd w:id="3"/>
    </w:p>
    <w:p>
      <w:pPr>
        <w:pStyle w:val="29"/>
        <w:tabs>
          <w:tab w:val="right" w:leader="dot" w:pos="8312"/>
        </w:tabs>
      </w:pPr>
      <w:r>
        <w:rPr>
          <w:rFonts w:cs="宋体" w:asciiTheme="minorEastAsia" w:hAnsiTheme="minorEastAsia" w:eastAsiaTheme="minorEastAsia"/>
          <w:sz w:val="24"/>
        </w:rPr>
        <w:fldChar w:fldCharType="begin"/>
      </w:r>
      <w:r>
        <w:rPr>
          <w:rFonts w:cs="宋体" w:asciiTheme="minorEastAsia" w:hAnsiTheme="minorEastAsia" w:eastAsiaTheme="minorEastAsia"/>
          <w:sz w:val="24"/>
        </w:rPr>
        <w:instrText xml:space="preserve">TOC \o "1-2" \h \u </w:instrText>
      </w:r>
      <w:r>
        <w:rPr>
          <w:rFonts w:cs="宋体" w:asciiTheme="minorEastAsia" w:hAnsiTheme="minorEastAsia" w:eastAsiaTheme="minorEastAsia"/>
          <w:sz w:val="24"/>
        </w:rPr>
        <w:fldChar w:fldCharType="separate"/>
      </w: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_Toc9903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目录</w:t>
      </w:r>
      <w:r>
        <w:tab/>
      </w:r>
      <w:r>
        <w:fldChar w:fldCharType="begin"/>
      </w:r>
      <w:r>
        <w:instrText xml:space="preserve"> PAGEREF _Toc9903 \h </w:instrText>
      </w:r>
      <w:r>
        <w:fldChar w:fldCharType="separate"/>
      </w:r>
      <w:r>
        <w:t>2</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_Toc1127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一总则</w:t>
      </w:r>
      <w:r>
        <w:tab/>
      </w:r>
      <w:r>
        <w:fldChar w:fldCharType="begin"/>
      </w:r>
      <w:r>
        <w:instrText xml:space="preserve"> PAGEREF _Toc1127 \h </w:instrText>
      </w:r>
      <w:r>
        <w:fldChar w:fldCharType="separate"/>
      </w:r>
      <w:r>
        <w:t>5</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_Toc31400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二磋商文件</w:t>
      </w:r>
      <w:r>
        <w:tab/>
      </w:r>
      <w:r>
        <w:fldChar w:fldCharType="begin"/>
      </w:r>
      <w:r>
        <w:instrText xml:space="preserve"> PAGEREF _Toc31400 \h </w:instrText>
      </w:r>
      <w:r>
        <w:fldChar w:fldCharType="separate"/>
      </w:r>
      <w:r>
        <w:t>6</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_Toc19224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三响应文件的编制</w:t>
      </w:r>
      <w:r>
        <w:tab/>
      </w:r>
      <w:r>
        <w:fldChar w:fldCharType="begin"/>
      </w:r>
      <w:r>
        <w:instrText xml:space="preserve"> PAGEREF _Toc19224 \h </w:instrText>
      </w:r>
      <w:r>
        <w:fldChar w:fldCharType="separate"/>
      </w:r>
      <w:r>
        <w:t>7</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_Toc23518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四响应文件的递交</w:t>
      </w:r>
      <w:r>
        <w:tab/>
      </w:r>
      <w:r>
        <w:fldChar w:fldCharType="begin"/>
      </w:r>
      <w:r>
        <w:instrText xml:space="preserve"> PAGEREF _Toc23518 \h </w:instrText>
      </w:r>
      <w:r>
        <w:fldChar w:fldCharType="separate"/>
      </w:r>
      <w:r>
        <w:t>10</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_Toc4153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五磋商开启及评审</w:t>
      </w:r>
      <w:r>
        <w:tab/>
      </w:r>
      <w:r>
        <w:fldChar w:fldCharType="begin"/>
      </w:r>
      <w:r>
        <w:instrText xml:space="preserve"> PAGEREF _Toc4153 \h </w:instrText>
      </w:r>
      <w:r>
        <w:fldChar w:fldCharType="separate"/>
      </w:r>
      <w:r>
        <w:t>11</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_Toc14418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六确定成交</w:t>
      </w:r>
      <w:r>
        <w:tab/>
      </w:r>
      <w:r>
        <w:fldChar w:fldCharType="begin"/>
      </w:r>
      <w:r>
        <w:instrText xml:space="preserve"> PAGEREF _Toc14418 \h </w:instrText>
      </w:r>
      <w:r>
        <w:fldChar w:fldCharType="separate"/>
      </w:r>
      <w:r>
        <w:t>15</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_Toc17656 </w:instrText>
      </w:r>
      <w:r>
        <w:rPr>
          <w:rFonts w:cs="宋体" w:asciiTheme="minorEastAsia" w:hAnsiTheme="minorEastAsia" w:eastAsiaTheme="minorEastAsia"/>
        </w:rPr>
        <w:fldChar w:fldCharType="separate"/>
      </w:r>
      <w:r>
        <w:rPr>
          <w:rFonts w:hint="eastAsia" w:cs="宋体" w:asciiTheme="minorEastAsia" w:hAnsiTheme="minorEastAsia" w:eastAsiaTheme="minorEastAsia"/>
          <w:bCs/>
        </w:rPr>
        <w:t>质疑函范本</w:t>
      </w:r>
      <w:r>
        <w:tab/>
      </w:r>
      <w:r>
        <w:fldChar w:fldCharType="begin"/>
      </w:r>
      <w:r>
        <w:instrText xml:space="preserve"> PAGEREF _Toc17656 \h </w:instrText>
      </w:r>
      <w:r>
        <w:fldChar w:fldCharType="separate"/>
      </w:r>
      <w:r>
        <w:t>18</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_Toc21218 </w:instrText>
      </w:r>
      <w:r>
        <w:rPr>
          <w:rFonts w:cs="宋体" w:asciiTheme="minorEastAsia" w:hAnsiTheme="minorEastAsia" w:eastAsiaTheme="minorEastAsia"/>
        </w:rPr>
        <w:fldChar w:fldCharType="separate"/>
      </w:r>
      <w:r>
        <w:rPr>
          <w:rFonts w:hint="eastAsia" w:cs="宋体" w:asciiTheme="minorEastAsia" w:hAnsiTheme="minorEastAsia" w:eastAsiaTheme="minorEastAsia"/>
          <w:bCs/>
        </w:rPr>
        <w:t>一、质疑供应商基本信息</w:t>
      </w:r>
      <w:r>
        <w:tab/>
      </w:r>
      <w:r>
        <w:fldChar w:fldCharType="begin"/>
      </w:r>
      <w:r>
        <w:instrText xml:space="preserve"> PAGEREF _Toc21218 \h </w:instrText>
      </w:r>
      <w:r>
        <w:fldChar w:fldCharType="separate"/>
      </w:r>
      <w:r>
        <w:t>18</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_Toc1405 </w:instrText>
      </w:r>
      <w:r>
        <w:rPr>
          <w:rFonts w:cs="宋体" w:asciiTheme="minorEastAsia" w:hAnsiTheme="minorEastAsia" w:eastAsiaTheme="minorEastAsia"/>
        </w:rPr>
        <w:fldChar w:fldCharType="separate"/>
      </w:r>
      <w:r>
        <w:rPr>
          <w:rFonts w:hint="eastAsia" w:cs="宋体" w:asciiTheme="minorEastAsia" w:hAnsiTheme="minorEastAsia" w:eastAsiaTheme="minorEastAsia"/>
          <w:bCs/>
        </w:rPr>
        <w:t>二、质疑项目基本情况</w:t>
      </w:r>
      <w:r>
        <w:tab/>
      </w:r>
      <w:r>
        <w:fldChar w:fldCharType="begin"/>
      </w:r>
      <w:r>
        <w:instrText xml:space="preserve"> PAGEREF _Toc1405 \h </w:instrText>
      </w:r>
      <w:r>
        <w:fldChar w:fldCharType="separate"/>
      </w:r>
      <w:r>
        <w:t>18</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_Toc12499 </w:instrText>
      </w:r>
      <w:r>
        <w:rPr>
          <w:rFonts w:cs="宋体" w:asciiTheme="minorEastAsia" w:hAnsiTheme="minorEastAsia" w:eastAsiaTheme="minorEastAsia"/>
        </w:rPr>
        <w:fldChar w:fldCharType="separate"/>
      </w:r>
      <w:r>
        <w:rPr>
          <w:rFonts w:hint="eastAsia" w:cs="宋体" w:asciiTheme="minorEastAsia" w:hAnsiTheme="minorEastAsia" w:eastAsiaTheme="minorEastAsia"/>
          <w:bCs/>
        </w:rPr>
        <w:t>三、质疑事项具体内容</w:t>
      </w:r>
      <w:r>
        <w:tab/>
      </w:r>
      <w:r>
        <w:fldChar w:fldCharType="begin"/>
      </w:r>
      <w:r>
        <w:instrText xml:space="preserve"> PAGEREF _Toc12499 \h </w:instrText>
      </w:r>
      <w:r>
        <w:fldChar w:fldCharType="separate"/>
      </w:r>
      <w:r>
        <w:t>19</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_Toc7372 </w:instrText>
      </w:r>
      <w:r>
        <w:rPr>
          <w:rFonts w:cs="宋体" w:asciiTheme="minorEastAsia" w:hAnsiTheme="minorEastAsia" w:eastAsiaTheme="minorEastAsia"/>
        </w:rPr>
        <w:fldChar w:fldCharType="separate"/>
      </w:r>
      <w:r>
        <w:rPr>
          <w:rFonts w:hint="eastAsia" w:cs="宋体" w:asciiTheme="minorEastAsia" w:hAnsiTheme="minorEastAsia" w:eastAsiaTheme="minorEastAsia"/>
          <w:bCs/>
        </w:rPr>
        <w:t>四、与质疑事项相关的质疑请求</w:t>
      </w:r>
      <w:r>
        <w:tab/>
      </w:r>
      <w:r>
        <w:fldChar w:fldCharType="begin"/>
      </w:r>
      <w:r>
        <w:instrText xml:space="preserve"> PAGEREF _Toc7372 \h </w:instrText>
      </w:r>
      <w:r>
        <w:fldChar w:fldCharType="separate"/>
      </w:r>
      <w:r>
        <w:t>19</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_Toc10402 </w:instrText>
      </w:r>
      <w:r>
        <w:rPr>
          <w:rFonts w:cs="宋体" w:asciiTheme="minorEastAsia" w:hAnsiTheme="minorEastAsia" w:eastAsiaTheme="minorEastAsia"/>
        </w:rPr>
        <w:fldChar w:fldCharType="separate"/>
      </w:r>
      <w:r>
        <w:rPr>
          <w:rFonts w:hint="eastAsia" w:cs="宋体" w:asciiTheme="minorEastAsia" w:hAnsiTheme="minorEastAsia" w:eastAsiaTheme="minorEastAsia"/>
          <w:szCs w:val="24"/>
        </w:rPr>
        <w:t>附件1：履约保证金保函（格式）</w:t>
      </w:r>
      <w:r>
        <w:tab/>
      </w:r>
      <w:r>
        <w:fldChar w:fldCharType="begin"/>
      </w:r>
      <w:r>
        <w:instrText xml:space="preserve"> PAGEREF _Toc10402 \h </w:instrText>
      </w:r>
      <w:r>
        <w:fldChar w:fldCharType="separate"/>
      </w:r>
      <w:r>
        <w:t>20</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_Toc2256 </w:instrText>
      </w:r>
      <w:r>
        <w:rPr>
          <w:rFonts w:cs="宋体" w:asciiTheme="minorEastAsia" w:hAnsiTheme="minorEastAsia" w:eastAsiaTheme="minorEastAsia"/>
        </w:rPr>
        <w:fldChar w:fldCharType="separate"/>
      </w:r>
      <w:r>
        <w:rPr>
          <w:rFonts w:hint="eastAsia" w:cs="宋体" w:asciiTheme="minorEastAsia" w:hAnsiTheme="minorEastAsia" w:eastAsiaTheme="minorEastAsia"/>
          <w:szCs w:val="24"/>
        </w:rPr>
        <w:t>附件2：履约担保函格式</w:t>
      </w:r>
      <w:r>
        <w:tab/>
      </w:r>
      <w:r>
        <w:fldChar w:fldCharType="begin"/>
      </w:r>
      <w:r>
        <w:instrText xml:space="preserve"> PAGEREF _Toc2256 \h </w:instrText>
      </w:r>
      <w:r>
        <w:fldChar w:fldCharType="separate"/>
      </w:r>
      <w:r>
        <w:t>21</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_Toc31826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一、保证责任的情形及保证金额</w:t>
      </w:r>
      <w:r>
        <w:tab/>
      </w:r>
      <w:r>
        <w:fldChar w:fldCharType="begin"/>
      </w:r>
      <w:r>
        <w:instrText xml:space="preserve"> PAGEREF _Toc31826 \h </w:instrText>
      </w:r>
      <w:r>
        <w:fldChar w:fldCharType="separate"/>
      </w:r>
      <w:r>
        <w:t>21</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_Toc16609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二、保证的方式及保证期间</w:t>
      </w:r>
      <w:r>
        <w:tab/>
      </w:r>
      <w:r>
        <w:fldChar w:fldCharType="begin"/>
      </w:r>
      <w:r>
        <w:instrText xml:space="preserve"> PAGEREF _Toc16609 \h </w:instrText>
      </w:r>
      <w:r>
        <w:fldChar w:fldCharType="separate"/>
      </w:r>
      <w:r>
        <w:t>21</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_Toc12809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三、承担保证责任的程序</w:t>
      </w:r>
      <w:r>
        <w:tab/>
      </w:r>
      <w:r>
        <w:fldChar w:fldCharType="begin"/>
      </w:r>
      <w:r>
        <w:instrText xml:space="preserve"> PAGEREF _Toc12809 \h </w:instrText>
      </w:r>
      <w:r>
        <w:fldChar w:fldCharType="separate"/>
      </w:r>
      <w:r>
        <w:t>21</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_Toc28549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四、保证责任的终止</w:t>
      </w:r>
      <w:r>
        <w:tab/>
      </w:r>
      <w:r>
        <w:fldChar w:fldCharType="begin"/>
      </w:r>
      <w:r>
        <w:instrText xml:space="preserve"> PAGEREF _Toc28549 \h </w:instrText>
      </w:r>
      <w:r>
        <w:fldChar w:fldCharType="separate"/>
      </w:r>
      <w:r>
        <w:t>21</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_Toc23530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五、免责条款</w:t>
      </w:r>
      <w:r>
        <w:tab/>
      </w:r>
      <w:r>
        <w:fldChar w:fldCharType="begin"/>
      </w:r>
      <w:r>
        <w:instrText xml:space="preserve"> PAGEREF _Toc23530 \h </w:instrText>
      </w:r>
      <w:r>
        <w:fldChar w:fldCharType="separate"/>
      </w:r>
      <w:r>
        <w:t>22</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_Toc24862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六、争议的解决</w:t>
      </w:r>
      <w:r>
        <w:tab/>
      </w:r>
      <w:r>
        <w:fldChar w:fldCharType="begin"/>
      </w:r>
      <w:r>
        <w:instrText xml:space="preserve"> PAGEREF _Toc24862 \h </w:instrText>
      </w:r>
      <w:r>
        <w:fldChar w:fldCharType="separate"/>
      </w:r>
      <w:r>
        <w:t>22</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_Toc1928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七、保函的生效</w:t>
      </w:r>
      <w:r>
        <w:tab/>
      </w:r>
      <w:r>
        <w:fldChar w:fldCharType="begin"/>
      </w:r>
      <w:r>
        <w:instrText xml:space="preserve"> PAGEREF _Toc1928 \h </w:instrText>
      </w:r>
      <w:r>
        <w:fldChar w:fldCharType="separate"/>
      </w:r>
      <w:r>
        <w:t>22</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_Toc29353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第二章响应文件格式</w:t>
      </w:r>
      <w:r>
        <w:tab/>
      </w:r>
      <w:r>
        <w:fldChar w:fldCharType="begin"/>
      </w:r>
      <w:r>
        <w:instrText xml:space="preserve"> PAGEREF _Toc29353 \h </w:instrText>
      </w:r>
      <w:r>
        <w:fldChar w:fldCharType="separate"/>
      </w:r>
      <w:r>
        <w:t>23</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_Toc21719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第一部分报价一览表及资格证明文件</w:t>
      </w:r>
      <w:r>
        <w:tab/>
      </w:r>
      <w:r>
        <w:fldChar w:fldCharType="begin"/>
      </w:r>
      <w:r>
        <w:instrText xml:space="preserve"> PAGEREF _Toc21719 \h </w:instrText>
      </w:r>
      <w:r>
        <w:fldChar w:fldCharType="separate"/>
      </w:r>
      <w:r>
        <w:t>23</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_Toc18317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1  报价一览表（响应文件格式一）</w:t>
      </w:r>
      <w:r>
        <w:tab/>
      </w:r>
      <w:r>
        <w:fldChar w:fldCharType="begin"/>
      </w:r>
      <w:r>
        <w:instrText xml:space="preserve"> PAGEREF _Toc18317 \h </w:instrText>
      </w:r>
      <w:r>
        <w:fldChar w:fldCharType="separate"/>
      </w:r>
      <w:r>
        <w:t>24</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_Toc22493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首轮报价一览表</w:t>
      </w:r>
      <w:r>
        <w:tab/>
      </w:r>
      <w:r>
        <w:fldChar w:fldCharType="begin"/>
      </w:r>
      <w:r>
        <w:instrText xml:space="preserve"> PAGEREF _Toc22493 \h </w:instrText>
      </w:r>
      <w:r>
        <w:fldChar w:fldCharType="separate"/>
      </w:r>
      <w:r>
        <w:t>24</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_Toc31984 </w:instrText>
      </w:r>
      <w:r>
        <w:rPr>
          <w:rFonts w:cs="宋体" w:asciiTheme="minorEastAsia" w:hAnsiTheme="minorEastAsia" w:eastAsiaTheme="minorEastAsia"/>
        </w:rPr>
        <w:fldChar w:fldCharType="separate"/>
      </w:r>
      <w:r>
        <w:rPr>
          <w:rFonts w:hint="eastAsia" w:hAnsi="宋体"/>
          <w:bCs/>
          <w:szCs w:val="24"/>
        </w:rPr>
        <w:t>二轮报价一览表</w:t>
      </w:r>
      <w:r>
        <w:tab/>
      </w:r>
      <w:r>
        <w:fldChar w:fldCharType="begin"/>
      </w:r>
      <w:r>
        <w:instrText xml:space="preserve"> PAGEREF _Toc31984 \h </w:instrText>
      </w:r>
      <w:r>
        <w:fldChar w:fldCharType="separate"/>
      </w:r>
      <w:r>
        <w:t>25</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_Toc10829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 xml:space="preserve">2 </w:t>
      </w:r>
      <w:r>
        <w:rPr>
          <w:rFonts w:hint="eastAsia" w:ascii="宋体" w:hAnsi="宋体" w:eastAsia="宋体" w:cs="宋体"/>
        </w:rPr>
        <w:t>法人或者非法人组织的营业执照等证明文件或自然人的身份证明</w:t>
      </w:r>
      <w:r>
        <w:tab/>
      </w:r>
      <w:r>
        <w:fldChar w:fldCharType="begin"/>
      </w:r>
      <w:r>
        <w:instrText xml:space="preserve"> PAGEREF _Toc10829 \h </w:instrText>
      </w:r>
      <w:r>
        <w:fldChar w:fldCharType="separate"/>
      </w:r>
      <w:r>
        <w:t>26</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_Toc1963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3  法定代表人身份证明</w:t>
      </w:r>
      <w:r>
        <w:tab/>
      </w:r>
      <w:r>
        <w:fldChar w:fldCharType="begin"/>
      </w:r>
      <w:r>
        <w:instrText xml:space="preserve"> PAGEREF _Toc1963 \h </w:instrText>
      </w:r>
      <w:r>
        <w:fldChar w:fldCharType="separate"/>
      </w:r>
      <w:r>
        <w:t>27</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_Toc20044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3 .1 法定代表人授权委托书(响应文件格式二，自然人投标的无需提供)</w:t>
      </w:r>
      <w:r>
        <w:tab/>
      </w:r>
      <w:r>
        <w:fldChar w:fldCharType="begin"/>
      </w:r>
      <w:r>
        <w:instrText xml:space="preserve"> PAGEREF _Toc20044 \h </w:instrText>
      </w:r>
      <w:r>
        <w:fldChar w:fldCharType="separate"/>
      </w:r>
      <w:r>
        <w:t>28</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_Toc24681 </w:instrText>
      </w:r>
      <w:r>
        <w:rPr>
          <w:rFonts w:cs="宋体" w:asciiTheme="minorEastAsia" w:hAnsiTheme="minorEastAsia" w:eastAsiaTheme="minorEastAsia"/>
        </w:rPr>
        <w:fldChar w:fldCharType="separate"/>
      </w:r>
      <w:r>
        <w:rPr>
          <w:rFonts w:cs="宋体" w:asciiTheme="minorEastAsia" w:hAnsiTheme="minorEastAsia" w:eastAsiaTheme="minorEastAsia"/>
        </w:rPr>
        <w:t xml:space="preserve">2、 </w:t>
      </w:r>
      <w:r>
        <w:rPr>
          <w:rFonts w:hint="eastAsia" w:cs="宋体" w:asciiTheme="minorEastAsia" w:hAnsiTheme="minorEastAsia" w:eastAsiaTheme="minorEastAsia"/>
        </w:rPr>
        <w:t>磋商保证金收据</w:t>
      </w:r>
      <w:r>
        <w:tab/>
      </w:r>
      <w:r>
        <w:fldChar w:fldCharType="begin"/>
      </w:r>
      <w:r>
        <w:instrText xml:space="preserve"> PAGEREF _Toc24681 \h </w:instrText>
      </w:r>
      <w:r>
        <w:fldChar w:fldCharType="separate"/>
      </w:r>
      <w:r>
        <w:t>29</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_Toc12675 </w:instrText>
      </w:r>
      <w:r>
        <w:rPr>
          <w:rFonts w:cs="宋体" w:asciiTheme="minorEastAsia" w:hAnsiTheme="minorEastAsia" w:eastAsiaTheme="minorEastAsia"/>
        </w:rPr>
        <w:fldChar w:fldCharType="separate"/>
      </w:r>
      <w:r>
        <w:rPr>
          <w:rFonts w:hint="eastAsia" w:cs="宋体" w:asciiTheme="minorEastAsia" w:hAnsiTheme="minorEastAsia" w:eastAsiaTheme="minorEastAsia"/>
          <w:szCs w:val="28"/>
        </w:rPr>
        <w:t>政府采购磋商担保函（响应文件格式三）</w:t>
      </w:r>
      <w:r>
        <w:tab/>
      </w:r>
      <w:r>
        <w:fldChar w:fldCharType="begin"/>
      </w:r>
      <w:r>
        <w:instrText xml:space="preserve"> PAGEREF _Toc12675 \h </w:instrText>
      </w:r>
      <w:r>
        <w:fldChar w:fldCharType="separate"/>
      </w:r>
      <w:r>
        <w:t>30</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_Toc15249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一、保证责任的情形及保证金额</w:t>
      </w:r>
      <w:r>
        <w:tab/>
      </w:r>
      <w:r>
        <w:fldChar w:fldCharType="begin"/>
      </w:r>
      <w:r>
        <w:instrText xml:space="preserve"> PAGEREF _Toc15249 \h </w:instrText>
      </w:r>
      <w:r>
        <w:fldChar w:fldCharType="separate"/>
      </w:r>
      <w:r>
        <w:t>30</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_Toc10819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二、保证的方式及保证期间</w:t>
      </w:r>
      <w:r>
        <w:tab/>
      </w:r>
      <w:r>
        <w:fldChar w:fldCharType="begin"/>
      </w:r>
      <w:r>
        <w:instrText xml:space="preserve"> PAGEREF _Toc10819 \h </w:instrText>
      </w:r>
      <w:r>
        <w:fldChar w:fldCharType="separate"/>
      </w:r>
      <w:r>
        <w:t>30</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_Toc26829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三、承担保证责任的程序</w:t>
      </w:r>
      <w:r>
        <w:tab/>
      </w:r>
      <w:r>
        <w:fldChar w:fldCharType="begin"/>
      </w:r>
      <w:r>
        <w:instrText xml:space="preserve"> PAGEREF _Toc26829 \h </w:instrText>
      </w:r>
      <w:r>
        <w:fldChar w:fldCharType="separate"/>
      </w:r>
      <w:r>
        <w:t>30</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_Toc14782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四、保证责任的终止</w:t>
      </w:r>
      <w:r>
        <w:tab/>
      </w:r>
      <w:r>
        <w:fldChar w:fldCharType="begin"/>
      </w:r>
      <w:r>
        <w:instrText xml:space="preserve"> PAGEREF _Toc14782 \h </w:instrText>
      </w:r>
      <w:r>
        <w:fldChar w:fldCharType="separate"/>
      </w:r>
      <w:r>
        <w:t>30</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_Toc23535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五、免责条款</w:t>
      </w:r>
      <w:r>
        <w:tab/>
      </w:r>
      <w:r>
        <w:fldChar w:fldCharType="begin"/>
      </w:r>
      <w:r>
        <w:instrText xml:space="preserve"> PAGEREF _Toc23535 \h </w:instrText>
      </w:r>
      <w:r>
        <w:fldChar w:fldCharType="separate"/>
      </w:r>
      <w:r>
        <w:t>30</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_Toc17985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六、争议的解决</w:t>
      </w:r>
      <w:r>
        <w:tab/>
      </w:r>
      <w:r>
        <w:fldChar w:fldCharType="begin"/>
      </w:r>
      <w:r>
        <w:instrText xml:space="preserve"> PAGEREF _Toc17985 \h </w:instrText>
      </w:r>
      <w:r>
        <w:fldChar w:fldCharType="separate"/>
      </w:r>
      <w:r>
        <w:t>31</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_Toc9417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七、保函的生效</w:t>
      </w:r>
      <w:r>
        <w:tab/>
      </w:r>
      <w:r>
        <w:fldChar w:fldCharType="begin"/>
      </w:r>
      <w:r>
        <w:instrText xml:space="preserve"> PAGEREF _Toc9417 \h </w:instrText>
      </w:r>
      <w:r>
        <w:fldChar w:fldCharType="separate"/>
      </w:r>
      <w:r>
        <w:t>31</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_Toc16425 </w:instrText>
      </w:r>
      <w:r>
        <w:rPr>
          <w:rFonts w:cs="宋体" w:asciiTheme="minorEastAsia" w:hAnsiTheme="minorEastAsia" w:eastAsiaTheme="minorEastAsia"/>
        </w:rPr>
        <w:fldChar w:fldCharType="separate"/>
      </w:r>
      <w:r>
        <w:rPr>
          <w:rFonts w:hint="eastAsia" w:ascii="宋体" w:hAnsi="宋体" w:eastAsia="宋体" w:cs="宋体"/>
        </w:rPr>
        <w:t xml:space="preserve">5  </w:t>
      </w:r>
      <w:r>
        <w:rPr>
          <w:rFonts w:hint="eastAsia" w:ascii="宋体" w:hAnsi="宋体" w:eastAsia="宋体" w:cs="宋体"/>
          <w:lang w:val="en-US" w:eastAsia="zh-CN"/>
        </w:rPr>
        <w:t>税收、</w:t>
      </w:r>
      <w:r>
        <w:rPr>
          <w:rFonts w:hint="eastAsia" w:ascii="宋体" w:hAnsi="宋体" w:eastAsia="宋体" w:cs="宋体"/>
        </w:rPr>
        <w:t>社会保障资金的缴纳记录</w:t>
      </w:r>
      <w:r>
        <w:tab/>
      </w:r>
      <w:r>
        <w:fldChar w:fldCharType="begin"/>
      </w:r>
      <w:r>
        <w:instrText xml:space="preserve"> PAGEREF _Toc16425 \h </w:instrText>
      </w:r>
      <w:r>
        <w:fldChar w:fldCharType="separate"/>
      </w:r>
      <w:r>
        <w:t>32</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_Toc23247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6、参加政府采购活动前3年内在经营活动中没有重大违法记录的书面声明及反商业贿赂承诺书</w:t>
      </w:r>
      <w:r>
        <w:tab/>
      </w:r>
      <w:r>
        <w:fldChar w:fldCharType="begin"/>
      </w:r>
      <w:r>
        <w:instrText xml:space="preserve"> PAGEREF _Toc23247 \h </w:instrText>
      </w:r>
      <w:r>
        <w:fldChar w:fldCharType="separate"/>
      </w:r>
      <w:r>
        <w:t>33</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_Toc20348 </w:instrText>
      </w:r>
      <w:r>
        <w:rPr>
          <w:rFonts w:cs="宋体" w:asciiTheme="minorEastAsia" w:hAnsiTheme="minorEastAsia" w:eastAsiaTheme="minorEastAsia"/>
        </w:rPr>
        <w:fldChar w:fldCharType="separate"/>
      </w:r>
      <w:r>
        <w:rPr>
          <w:rFonts w:hint="eastAsia" w:asciiTheme="minorEastAsia" w:hAnsiTheme="minorEastAsia" w:eastAsiaTheme="minorEastAsia" w:cstheme="minorEastAsia"/>
        </w:rPr>
        <w:t>7、具有良好的商业信誉和健全的财务会计制度的证明文件</w:t>
      </w:r>
      <w:r>
        <w:tab/>
      </w:r>
      <w:r>
        <w:fldChar w:fldCharType="begin"/>
      </w:r>
      <w:r>
        <w:instrText xml:space="preserve"> PAGEREF _Toc20348 \h </w:instrText>
      </w:r>
      <w:r>
        <w:fldChar w:fldCharType="separate"/>
      </w:r>
      <w:r>
        <w:t>34</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_Toc17098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9、供应商须知资料表要求的其他资格证明文件</w:t>
      </w:r>
      <w:r>
        <w:tab/>
      </w:r>
      <w:r>
        <w:fldChar w:fldCharType="begin"/>
      </w:r>
      <w:r>
        <w:instrText xml:space="preserve"> PAGEREF _Toc17098 \h </w:instrText>
      </w:r>
      <w:r>
        <w:fldChar w:fldCharType="separate"/>
      </w:r>
      <w:r>
        <w:t>36</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_Toc22350 </w:instrText>
      </w:r>
      <w:r>
        <w:rPr>
          <w:rFonts w:cs="宋体" w:asciiTheme="minorEastAsia" w:hAnsiTheme="minorEastAsia" w:eastAsiaTheme="minorEastAsia"/>
        </w:rPr>
        <w:fldChar w:fldCharType="separate"/>
      </w:r>
      <w:r>
        <w:rPr>
          <w:rFonts w:hint="eastAsia" w:cs="宋体" w:asciiTheme="minorEastAsia" w:hAnsiTheme="minorEastAsia" w:eastAsiaTheme="minorEastAsia"/>
          <w:kern w:val="0"/>
        </w:rPr>
        <w:t>第二部分商务及技术文件</w:t>
      </w:r>
      <w:r>
        <w:tab/>
      </w:r>
      <w:r>
        <w:fldChar w:fldCharType="begin"/>
      </w:r>
      <w:r>
        <w:instrText xml:space="preserve"> PAGEREF _Toc22350 \h </w:instrText>
      </w:r>
      <w:r>
        <w:fldChar w:fldCharType="separate"/>
      </w:r>
      <w:r>
        <w:t>37</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_Toc26406 </w:instrText>
      </w:r>
      <w:r>
        <w:rPr>
          <w:rFonts w:cs="宋体" w:asciiTheme="minorEastAsia" w:hAnsiTheme="minorEastAsia" w:eastAsiaTheme="minorEastAsia"/>
        </w:rPr>
        <w:fldChar w:fldCharType="separate"/>
      </w:r>
      <w:r>
        <w:rPr>
          <w:rFonts w:hint="eastAsia" w:cs="宋体" w:asciiTheme="minorEastAsia" w:hAnsiTheme="minorEastAsia" w:eastAsiaTheme="minorEastAsia"/>
          <w:kern w:val="2"/>
          <w:szCs w:val="22"/>
          <w:lang w:val="en-US" w:eastAsia="zh-CN" w:bidi="ar-SA"/>
        </w:rPr>
        <w:t>2、投标保证金缴纳凭证复印件或投标担保函</w:t>
      </w:r>
      <w:r>
        <w:tab/>
      </w:r>
      <w:r>
        <w:fldChar w:fldCharType="begin"/>
      </w:r>
      <w:r>
        <w:instrText xml:space="preserve"> PAGEREF _Toc26406 \h </w:instrText>
      </w:r>
      <w:r>
        <w:fldChar w:fldCharType="separate"/>
      </w:r>
      <w:r>
        <w:t>37</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_Toc17760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5-1《供应商企业（单位）类型声明函》（响应文件格式十一）</w:t>
      </w:r>
      <w:r>
        <w:tab/>
      </w:r>
      <w:r>
        <w:fldChar w:fldCharType="begin"/>
      </w:r>
      <w:r>
        <w:instrText xml:space="preserve"> PAGEREF _Toc17760 \h </w:instrText>
      </w:r>
      <w:r>
        <w:fldChar w:fldCharType="separate"/>
      </w:r>
      <w:r>
        <w:t>37</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_Toc24478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5-2《制造商供应商企业（单位）类型声明函》（响应文件格式十二）</w:t>
      </w:r>
      <w:r>
        <w:tab/>
      </w:r>
      <w:r>
        <w:fldChar w:fldCharType="begin"/>
      </w:r>
      <w:r>
        <w:instrText xml:space="preserve"> PAGEREF _Toc24478 \h </w:instrText>
      </w:r>
      <w:r>
        <w:fldChar w:fldCharType="separate"/>
      </w:r>
      <w:r>
        <w:t>37</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_Toc6037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5-3《残疾人福利性单位声明函》（响应文件格式十三）</w:t>
      </w:r>
      <w:r>
        <w:tab/>
      </w:r>
      <w:r>
        <w:fldChar w:fldCharType="begin"/>
      </w:r>
      <w:r>
        <w:instrText xml:space="preserve"> PAGEREF _Toc6037 \h </w:instrText>
      </w:r>
      <w:r>
        <w:fldChar w:fldCharType="separate"/>
      </w:r>
      <w:r>
        <w:t>37</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_Toc11087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1   磋商响应函（响应文件格式五）</w:t>
      </w:r>
      <w:r>
        <w:tab/>
      </w:r>
      <w:r>
        <w:fldChar w:fldCharType="begin"/>
      </w:r>
      <w:r>
        <w:instrText xml:space="preserve"> PAGEREF _Toc11087 \h </w:instrText>
      </w:r>
      <w:r>
        <w:fldChar w:fldCharType="separate"/>
      </w:r>
      <w:r>
        <w:t>38</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_Toc3634 </w:instrText>
      </w:r>
      <w:r>
        <w:rPr>
          <w:rFonts w:cs="宋体" w:asciiTheme="minorEastAsia" w:hAnsiTheme="minorEastAsia" w:eastAsiaTheme="minorEastAsia"/>
        </w:rPr>
        <w:fldChar w:fldCharType="separate"/>
      </w:r>
      <w:r>
        <w:rPr>
          <w:rFonts w:hint="eastAsia" w:ascii="宋体" w:hAnsi="宋体" w:eastAsia="宋体" w:cs="宋体"/>
        </w:rPr>
        <w:t>2   投标保证金缴纳凭证复印件或投标担保函</w:t>
      </w:r>
      <w:r>
        <w:tab/>
      </w:r>
      <w:r>
        <w:fldChar w:fldCharType="begin"/>
      </w:r>
      <w:r>
        <w:instrText xml:space="preserve"> PAGEREF _Toc3634 \h </w:instrText>
      </w:r>
      <w:r>
        <w:fldChar w:fldCharType="separate"/>
      </w:r>
      <w:r>
        <w:t>39</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_Toc22662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3   技术规格偏离表（响应文件格式九）</w:t>
      </w:r>
      <w:r>
        <w:rPr>
          <w:rFonts w:hint="eastAsia" w:ascii="宋体" w:hAnsi="宋体" w:eastAsia="宋体" w:cs="宋体"/>
          <w:szCs w:val="24"/>
        </w:rPr>
        <w:t>(本项目不适用）</w:t>
      </w:r>
      <w:r>
        <w:tab/>
      </w:r>
      <w:r>
        <w:fldChar w:fldCharType="begin"/>
      </w:r>
      <w:r>
        <w:instrText xml:space="preserve"> PAGEREF _Toc22662 \h </w:instrText>
      </w:r>
      <w:r>
        <w:fldChar w:fldCharType="separate"/>
      </w:r>
      <w:r>
        <w:t>41</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_Toc30983 </w:instrText>
      </w:r>
      <w:r>
        <w:rPr>
          <w:rFonts w:cs="宋体" w:asciiTheme="minorEastAsia" w:hAnsiTheme="minorEastAsia" w:eastAsiaTheme="minorEastAsia"/>
        </w:rPr>
        <w:fldChar w:fldCharType="separate"/>
      </w:r>
      <w:r>
        <w:rPr>
          <w:rFonts w:hint="eastAsia" w:cs="宋体" w:asciiTheme="minorEastAsia" w:hAnsiTheme="minorEastAsia" w:eastAsiaTheme="minorEastAsia"/>
          <w:lang w:val="en-US" w:eastAsia="zh-CN"/>
        </w:rPr>
        <w:t>4</w:t>
      </w:r>
      <w:r>
        <w:rPr>
          <w:rFonts w:hint="eastAsia" w:cs="宋体" w:asciiTheme="minorEastAsia" w:hAnsiTheme="minorEastAsia" w:eastAsiaTheme="minorEastAsia"/>
        </w:rPr>
        <w:t xml:space="preserve">  商务条款偏离表（响应文件格式十）</w:t>
      </w:r>
      <w:r>
        <w:tab/>
      </w:r>
      <w:r>
        <w:fldChar w:fldCharType="begin"/>
      </w:r>
      <w:r>
        <w:instrText xml:space="preserve"> PAGEREF _Toc30983 \h </w:instrText>
      </w:r>
      <w:r>
        <w:fldChar w:fldCharType="separate"/>
      </w:r>
      <w:r>
        <w:t>42</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_Toc20408 </w:instrText>
      </w:r>
      <w:r>
        <w:rPr>
          <w:rFonts w:cs="宋体" w:asciiTheme="minorEastAsia" w:hAnsiTheme="minorEastAsia" w:eastAsiaTheme="minorEastAsia"/>
        </w:rPr>
        <w:fldChar w:fldCharType="separate"/>
      </w:r>
      <w:r>
        <w:rPr>
          <w:rFonts w:hint="eastAsia" w:cs="宋体" w:asciiTheme="minorEastAsia" w:hAnsiTheme="minorEastAsia" w:eastAsiaTheme="minorEastAsia"/>
          <w:lang w:val="en-US" w:eastAsia="zh-CN"/>
        </w:rPr>
        <w:t>5</w:t>
      </w:r>
      <w:r>
        <w:rPr>
          <w:rFonts w:hint="eastAsia" w:cs="宋体" w:asciiTheme="minorEastAsia" w:hAnsiTheme="minorEastAsia" w:eastAsiaTheme="minorEastAsia"/>
        </w:rPr>
        <w:t>-1 供应商企业（单位）类型声明函（响应文件格式十一）</w:t>
      </w:r>
      <w:r>
        <w:tab/>
      </w:r>
      <w:r>
        <w:fldChar w:fldCharType="begin"/>
      </w:r>
      <w:r>
        <w:instrText xml:space="preserve"> PAGEREF _Toc20408 \h </w:instrText>
      </w:r>
      <w:r>
        <w:fldChar w:fldCharType="separate"/>
      </w:r>
      <w:r>
        <w:t>43</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_Toc16115 </w:instrText>
      </w:r>
      <w:r>
        <w:rPr>
          <w:rFonts w:cs="宋体" w:asciiTheme="minorEastAsia" w:hAnsiTheme="minorEastAsia" w:eastAsiaTheme="minorEastAsia"/>
        </w:rPr>
        <w:fldChar w:fldCharType="separate"/>
      </w:r>
      <w:r>
        <w:rPr>
          <w:rFonts w:hint="eastAsia" w:cs="宋体" w:asciiTheme="minorEastAsia" w:hAnsiTheme="minorEastAsia" w:eastAsiaTheme="minorEastAsia"/>
          <w:lang w:val="en-US" w:eastAsia="zh-CN"/>
        </w:rPr>
        <w:t>5</w:t>
      </w:r>
      <w:r>
        <w:rPr>
          <w:rFonts w:hint="eastAsia" w:cs="宋体" w:asciiTheme="minorEastAsia" w:hAnsiTheme="minorEastAsia" w:eastAsiaTheme="minorEastAsia"/>
        </w:rPr>
        <w:t>-2   制造商企业（单位）类型声明函（响应文件格式十二）</w:t>
      </w:r>
      <w:r>
        <w:tab/>
      </w:r>
      <w:r>
        <w:fldChar w:fldCharType="begin"/>
      </w:r>
      <w:r>
        <w:instrText xml:space="preserve"> PAGEREF _Toc16115 \h </w:instrText>
      </w:r>
      <w:r>
        <w:fldChar w:fldCharType="separate"/>
      </w:r>
      <w:r>
        <w:t>44</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_Toc908 </w:instrText>
      </w:r>
      <w:r>
        <w:rPr>
          <w:rFonts w:cs="宋体" w:asciiTheme="minorEastAsia" w:hAnsiTheme="minorEastAsia" w:eastAsiaTheme="minorEastAsia"/>
        </w:rPr>
        <w:fldChar w:fldCharType="separate"/>
      </w:r>
      <w:r>
        <w:rPr>
          <w:rFonts w:hint="eastAsia" w:cs="宋体" w:asciiTheme="minorEastAsia" w:hAnsiTheme="minorEastAsia" w:eastAsiaTheme="minorEastAsia"/>
          <w:lang w:val="en-US" w:eastAsia="zh-CN"/>
        </w:rPr>
        <w:t>5</w:t>
      </w:r>
      <w:r>
        <w:rPr>
          <w:rFonts w:hint="eastAsia" w:cs="宋体" w:asciiTheme="minorEastAsia" w:hAnsiTheme="minorEastAsia" w:eastAsiaTheme="minorEastAsia"/>
        </w:rPr>
        <w:t>-3   残疾人福利性单位声明函（本项目不适用）（响应文件格式十三）</w:t>
      </w:r>
      <w:r>
        <w:tab/>
      </w:r>
      <w:r>
        <w:fldChar w:fldCharType="begin"/>
      </w:r>
      <w:r>
        <w:instrText xml:space="preserve"> PAGEREF _Toc908 \h </w:instrText>
      </w:r>
      <w:r>
        <w:fldChar w:fldCharType="separate"/>
      </w:r>
      <w:r>
        <w:t>45</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_Toc31320 </w:instrText>
      </w:r>
      <w:r>
        <w:rPr>
          <w:rFonts w:cs="宋体" w:asciiTheme="minorEastAsia" w:hAnsiTheme="minorEastAsia" w:eastAsiaTheme="minorEastAsia"/>
        </w:rPr>
        <w:fldChar w:fldCharType="separate"/>
      </w:r>
      <w:r>
        <w:rPr>
          <w:rFonts w:hint="eastAsia" w:cs="宋体" w:asciiTheme="minorEastAsia" w:hAnsiTheme="minorEastAsia" w:eastAsiaTheme="minorEastAsia"/>
          <w:lang w:val="en-US" w:eastAsia="zh-CN"/>
        </w:rPr>
        <w:t>6</w:t>
      </w:r>
      <w:r>
        <w:rPr>
          <w:rFonts w:hint="eastAsia" w:cs="宋体" w:asciiTheme="minorEastAsia" w:hAnsiTheme="minorEastAsia" w:eastAsiaTheme="minorEastAsia"/>
        </w:rPr>
        <w:t xml:space="preserve">   供应商关联单位的说明</w:t>
      </w:r>
      <w:r>
        <w:tab/>
      </w:r>
      <w:r>
        <w:fldChar w:fldCharType="begin"/>
      </w:r>
      <w:r>
        <w:instrText xml:space="preserve"> PAGEREF _Toc31320 \h </w:instrText>
      </w:r>
      <w:r>
        <w:fldChar w:fldCharType="separate"/>
      </w:r>
      <w:r>
        <w:t>46</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_Toc5596 </w:instrText>
      </w:r>
      <w:r>
        <w:rPr>
          <w:rFonts w:cs="宋体" w:asciiTheme="minorEastAsia" w:hAnsiTheme="minorEastAsia" w:eastAsiaTheme="minorEastAsia"/>
        </w:rPr>
        <w:fldChar w:fldCharType="separate"/>
      </w:r>
      <w:r>
        <w:rPr>
          <w:rFonts w:hint="eastAsia" w:cs="宋体" w:asciiTheme="minorEastAsia" w:hAnsiTheme="minorEastAsia" w:eastAsiaTheme="minorEastAsia"/>
          <w:lang w:val="en-US" w:eastAsia="zh-CN"/>
        </w:rPr>
        <w:t>7</w:t>
      </w:r>
      <w:r>
        <w:rPr>
          <w:rFonts w:hint="eastAsia" w:cs="宋体" w:asciiTheme="minorEastAsia" w:hAnsiTheme="minorEastAsia" w:eastAsiaTheme="minorEastAsia"/>
        </w:rPr>
        <w:t xml:space="preserve">  响应文件还应包括供应商须知第10条的所有技术文件</w:t>
      </w:r>
      <w:r>
        <w:tab/>
      </w:r>
      <w:r>
        <w:fldChar w:fldCharType="begin"/>
      </w:r>
      <w:r>
        <w:instrText xml:space="preserve"> PAGEREF _Toc5596 \h </w:instrText>
      </w:r>
      <w:r>
        <w:fldChar w:fldCharType="separate"/>
      </w:r>
      <w:r>
        <w:t>46</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_Toc6791 </w:instrText>
      </w:r>
      <w:r>
        <w:rPr>
          <w:rFonts w:cs="宋体" w:asciiTheme="minorEastAsia" w:hAnsiTheme="minorEastAsia" w:eastAsiaTheme="minorEastAsia"/>
        </w:rPr>
        <w:fldChar w:fldCharType="separate"/>
      </w:r>
      <w:r>
        <w:rPr>
          <w:rFonts w:hint="eastAsia" w:cs="宋体" w:asciiTheme="minorEastAsia" w:hAnsiTheme="minorEastAsia" w:eastAsiaTheme="minorEastAsia"/>
          <w:lang w:val="en-US" w:eastAsia="zh-CN"/>
        </w:rPr>
        <w:t>8</w:t>
      </w:r>
      <w:r>
        <w:rPr>
          <w:rFonts w:hint="eastAsia" w:cs="宋体" w:asciiTheme="minorEastAsia" w:hAnsiTheme="minorEastAsia" w:eastAsiaTheme="minorEastAsia"/>
        </w:rPr>
        <w:t xml:space="preserve"> 其他有利于磋商的技术条件</w:t>
      </w:r>
      <w:r>
        <w:tab/>
      </w:r>
      <w:r>
        <w:fldChar w:fldCharType="begin"/>
      </w:r>
      <w:r>
        <w:instrText xml:space="preserve"> PAGEREF _Toc6791 \h </w:instrText>
      </w:r>
      <w:r>
        <w:fldChar w:fldCharType="separate"/>
      </w:r>
      <w:r>
        <w:t>46</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_Toc16918 </w:instrText>
      </w:r>
      <w:r>
        <w:rPr>
          <w:rFonts w:cs="宋体" w:asciiTheme="minorEastAsia" w:hAnsiTheme="minorEastAsia" w:eastAsiaTheme="minorEastAsia"/>
        </w:rPr>
        <w:fldChar w:fldCharType="separate"/>
      </w:r>
      <w:r>
        <w:rPr>
          <w:rFonts w:hint="eastAsia" w:cs="宋体" w:asciiTheme="minorEastAsia" w:hAnsiTheme="minorEastAsia" w:eastAsiaTheme="minorEastAsia"/>
        </w:rPr>
        <w:t>第3章</w:t>
      </w:r>
      <w:r>
        <w:rPr>
          <w:rFonts w:hint="eastAsia" w:cs="宋体" w:asciiTheme="minorEastAsia" w:hAnsiTheme="minorEastAsia" w:eastAsiaTheme="minorEastAsia"/>
          <w:lang w:val="en-US" w:eastAsia="zh-CN"/>
        </w:rPr>
        <w:t>投标邀请</w:t>
      </w:r>
      <w:r>
        <w:tab/>
      </w:r>
      <w:r>
        <w:fldChar w:fldCharType="begin"/>
      </w:r>
      <w:r>
        <w:instrText xml:space="preserve"> PAGEREF _Toc16918 \h </w:instrText>
      </w:r>
      <w:r>
        <w:fldChar w:fldCharType="separate"/>
      </w:r>
      <w:r>
        <w:t>48</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_Toc14629 </w:instrText>
      </w:r>
      <w:r>
        <w:rPr>
          <w:rFonts w:cs="宋体" w:asciiTheme="minorEastAsia" w:hAnsiTheme="minorEastAsia" w:eastAsiaTheme="minorEastAsia"/>
        </w:rPr>
        <w:fldChar w:fldCharType="separate"/>
      </w:r>
      <w:r>
        <w:rPr>
          <w:rFonts w:hint="eastAsia" w:ascii="黑体" w:hAnsi="黑体" w:cs="宋体"/>
          <w:szCs w:val="28"/>
        </w:rPr>
        <w:t>一、项目基本情况</w:t>
      </w:r>
      <w:r>
        <w:tab/>
      </w:r>
      <w:r>
        <w:fldChar w:fldCharType="begin"/>
      </w:r>
      <w:r>
        <w:instrText xml:space="preserve"> PAGEREF _Toc14629 \h </w:instrText>
      </w:r>
      <w:r>
        <w:fldChar w:fldCharType="separate"/>
      </w:r>
      <w:r>
        <w:t>48</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_Toc8049 </w:instrText>
      </w:r>
      <w:r>
        <w:rPr>
          <w:rFonts w:cs="宋体" w:asciiTheme="minorEastAsia" w:hAnsiTheme="minorEastAsia" w:eastAsiaTheme="minorEastAsia"/>
        </w:rPr>
        <w:fldChar w:fldCharType="separate"/>
      </w:r>
      <w:r>
        <w:rPr>
          <w:rFonts w:hint="eastAsia" w:ascii="黑体" w:hAnsi="黑体" w:cs="宋体"/>
          <w:szCs w:val="28"/>
        </w:rPr>
        <w:t>二、 申请人的资格要求：</w:t>
      </w:r>
      <w:r>
        <w:tab/>
      </w:r>
      <w:r>
        <w:fldChar w:fldCharType="begin"/>
      </w:r>
      <w:r>
        <w:instrText xml:space="preserve"> PAGEREF _Toc8049 \h </w:instrText>
      </w:r>
      <w:r>
        <w:fldChar w:fldCharType="separate"/>
      </w:r>
      <w:r>
        <w:t>48</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_Toc3094 </w:instrText>
      </w:r>
      <w:r>
        <w:rPr>
          <w:rFonts w:cs="宋体" w:asciiTheme="minorEastAsia" w:hAnsiTheme="minorEastAsia" w:eastAsiaTheme="minorEastAsia"/>
        </w:rPr>
        <w:fldChar w:fldCharType="separate"/>
      </w:r>
      <w:r>
        <w:rPr>
          <w:rFonts w:hint="eastAsia" w:ascii="仿宋" w:hAnsi="仿宋" w:eastAsia="仿宋" w:cs="Times New Roman"/>
          <w:bCs/>
          <w:kern w:val="2"/>
          <w:szCs w:val="28"/>
          <w:lang w:val="en-US" w:eastAsia="zh-CN" w:bidi="ar-SA"/>
        </w:rPr>
        <w:t>三、获取采购文件</w:t>
      </w:r>
      <w:r>
        <w:tab/>
      </w:r>
      <w:r>
        <w:fldChar w:fldCharType="begin"/>
      </w:r>
      <w:r>
        <w:instrText xml:space="preserve"> PAGEREF _Toc3094 \h </w:instrText>
      </w:r>
      <w:r>
        <w:fldChar w:fldCharType="separate"/>
      </w:r>
      <w:r>
        <w:t>49</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_Toc8636 </w:instrText>
      </w:r>
      <w:r>
        <w:rPr>
          <w:rFonts w:cs="宋体" w:asciiTheme="minorEastAsia" w:hAnsiTheme="minorEastAsia" w:eastAsiaTheme="minorEastAsia"/>
        </w:rPr>
        <w:fldChar w:fldCharType="separate"/>
      </w:r>
      <w:r>
        <w:rPr>
          <w:rFonts w:hint="eastAsia" w:ascii="黑体" w:hAnsi="黑体" w:cs="宋体"/>
          <w:szCs w:val="28"/>
          <w:highlight w:val="none"/>
        </w:rPr>
        <w:t>四、响应文件提交</w:t>
      </w:r>
      <w:r>
        <w:tab/>
      </w:r>
      <w:r>
        <w:fldChar w:fldCharType="begin"/>
      </w:r>
      <w:r>
        <w:instrText xml:space="preserve"> PAGEREF _Toc8636 \h </w:instrText>
      </w:r>
      <w:r>
        <w:fldChar w:fldCharType="separate"/>
      </w:r>
      <w:r>
        <w:t>49</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_Toc24442 </w:instrText>
      </w:r>
      <w:r>
        <w:rPr>
          <w:rFonts w:cs="宋体" w:asciiTheme="minorEastAsia" w:hAnsiTheme="minorEastAsia" w:eastAsiaTheme="minorEastAsia"/>
        </w:rPr>
        <w:fldChar w:fldCharType="separate"/>
      </w:r>
      <w:r>
        <w:rPr>
          <w:rFonts w:hint="eastAsia" w:ascii="黑体" w:hAnsi="黑体" w:cs="宋体"/>
          <w:szCs w:val="28"/>
          <w:highlight w:val="none"/>
        </w:rPr>
        <w:t>五、开</w:t>
      </w:r>
      <w:r>
        <w:rPr>
          <w:rFonts w:hint="eastAsia" w:ascii="黑体" w:hAnsi="黑体" w:cs="宋体"/>
          <w:szCs w:val="28"/>
          <w:highlight w:val="none"/>
          <w:lang w:val="en-US" w:eastAsia="zh-CN"/>
        </w:rPr>
        <w:t>标</w:t>
      </w:r>
      <w:r>
        <w:tab/>
      </w:r>
      <w:r>
        <w:fldChar w:fldCharType="begin"/>
      </w:r>
      <w:r>
        <w:instrText xml:space="preserve"> PAGEREF _Toc24442 \h </w:instrText>
      </w:r>
      <w:r>
        <w:fldChar w:fldCharType="separate"/>
      </w:r>
      <w:r>
        <w:t>49</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_Toc8371 </w:instrText>
      </w:r>
      <w:r>
        <w:rPr>
          <w:rFonts w:cs="宋体" w:asciiTheme="minorEastAsia" w:hAnsiTheme="minorEastAsia" w:eastAsiaTheme="minorEastAsia"/>
        </w:rPr>
        <w:fldChar w:fldCharType="separate"/>
      </w:r>
      <w:r>
        <w:rPr>
          <w:rFonts w:hint="eastAsia" w:ascii="黑体" w:hAnsi="黑体" w:cs="宋体"/>
          <w:szCs w:val="28"/>
          <w:lang w:val="en-US" w:eastAsia="zh-CN"/>
        </w:rPr>
        <w:t>六</w:t>
      </w:r>
      <w:r>
        <w:rPr>
          <w:rFonts w:hint="eastAsia" w:ascii="黑体" w:hAnsi="黑体" w:cs="宋体"/>
          <w:szCs w:val="28"/>
        </w:rPr>
        <w:t>、其他补充事宜</w:t>
      </w:r>
      <w:r>
        <w:tab/>
      </w:r>
      <w:r>
        <w:fldChar w:fldCharType="begin"/>
      </w:r>
      <w:r>
        <w:instrText xml:space="preserve"> PAGEREF _Toc8371 \h </w:instrText>
      </w:r>
      <w:r>
        <w:fldChar w:fldCharType="separate"/>
      </w:r>
      <w:r>
        <w:t>49</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_Toc32599 </w:instrText>
      </w:r>
      <w:r>
        <w:rPr>
          <w:rFonts w:cs="宋体" w:asciiTheme="minorEastAsia" w:hAnsiTheme="minorEastAsia" w:eastAsiaTheme="minorEastAsia"/>
        </w:rPr>
        <w:fldChar w:fldCharType="separate"/>
      </w:r>
      <w:r>
        <w:rPr>
          <w:rFonts w:hint="eastAsia" w:ascii="黑体" w:hAnsi="黑体" w:cs="宋体"/>
          <w:szCs w:val="28"/>
          <w:lang w:val="en-US" w:eastAsia="zh-CN"/>
        </w:rPr>
        <w:t>七</w:t>
      </w:r>
      <w:r>
        <w:rPr>
          <w:rFonts w:hint="eastAsia" w:ascii="黑体" w:hAnsi="黑体" w:cs="宋体"/>
          <w:szCs w:val="28"/>
        </w:rPr>
        <w:t>、凡对本次采购提出询问，请按</w:t>
      </w:r>
      <w:r>
        <w:rPr>
          <w:rFonts w:ascii="黑体" w:hAnsi="黑体" w:cs="宋体"/>
          <w:szCs w:val="28"/>
        </w:rPr>
        <w:t>以下方式</w:t>
      </w:r>
      <w:r>
        <w:rPr>
          <w:rFonts w:hint="eastAsia" w:ascii="黑体" w:hAnsi="黑体" w:cs="宋体"/>
          <w:szCs w:val="28"/>
        </w:rPr>
        <w:t>联系。</w:t>
      </w:r>
      <w:r>
        <w:tab/>
      </w:r>
      <w:r>
        <w:fldChar w:fldCharType="begin"/>
      </w:r>
      <w:r>
        <w:instrText xml:space="preserve"> PAGEREF _Toc32599 \h </w:instrText>
      </w:r>
      <w:r>
        <w:fldChar w:fldCharType="separate"/>
      </w:r>
      <w:r>
        <w:t>50</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_Toc2711 </w:instrText>
      </w:r>
      <w:r>
        <w:rPr>
          <w:rFonts w:cs="宋体" w:asciiTheme="minorEastAsia" w:hAnsiTheme="minorEastAsia" w:eastAsiaTheme="minorEastAsia"/>
        </w:rPr>
        <w:fldChar w:fldCharType="separate"/>
      </w:r>
      <w:r>
        <w:rPr>
          <w:rFonts w:hint="eastAsia" w:cs="宋体" w:asciiTheme="minorEastAsia" w:hAnsiTheme="minorEastAsia" w:eastAsiaTheme="minorEastAsia"/>
          <w:bCs/>
          <w:szCs w:val="30"/>
        </w:rPr>
        <w:t>第三章供应商须知资料表</w:t>
      </w:r>
      <w:r>
        <w:tab/>
      </w:r>
      <w:r>
        <w:fldChar w:fldCharType="begin"/>
      </w:r>
      <w:r>
        <w:instrText xml:space="preserve"> PAGEREF _Toc2711 \h </w:instrText>
      </w:r>
      <w:r>
        <w:fldChar w:fldCharType="separate"/>
      </w:r>
      <w:r>
        <w:t>51</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_Toc9727 </w:instrText>
      </w:r>
      <w:r>
        <w:rPr>
          <w:rFonts w:cs="宋体" w:asciiTheme="minorEastAsia" w:hAnsiTheme="minorEastAsia" w:eastAsiaTheme="minorEastAsia"/>
        </w:rPr>
        <w:fldChar w:fldCharType="separate"/>
      </w:r>
      <w:r>
        <w:rPr>
          <w:rFonts w:hint="eastAsia" w:hAnsi="宋体"/>
          <w:kern w:val="0"/>
          <w:szCs w:val="24"/>
        </w:rPr>
        <w:t>第5章</w:t>
      </w:r>
      <w:r>
        <w:tab/>
      </w:r>
      <w:r>
        <w:fldChar w:fldCharType="begin"/>
      </w:r>
      <w:r>
        <w:instrText xml:space="preserve"> PAGEREF _Toc9727 \h </w:instrText>
      </w:r>
      <w:r>
        <w:fldChar w:fldCharType="separate"/>
      </w:r>
      <w:r>
        <w:t>55</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_Toc17467 </w:instrText>
      </w:r>
      <w:r>
        <w:rPr>
          <w:rFonts w:cs="宋体" w:asciiTheme="minorEastAsia" w:hAnsiTheme="minorEastAsia" w:eastAsiaTheme="minorEastAsia"/>
        </w:rPr>
        <w:fldChar w:fldCharType="separate"/>
      </w:r>
      <w:r>
        <w:rPr>
          <w:rFonts w:hint="eastAsia"/>
          <w:szCs w:val="24"/>
        </w:rPr>
        <w:t>六</w:t>
      </w:r>
      <w:r>
        <w:rPr>
          <w:szCs w:val="24"/>
        </w:rPr>
        <w:t>、</w:t>
      </w:r>
      <w:r>
        <w:rPr>
          <w:rFonts w:hint="eastAsia"/>
          <w:szCs w:val="24"/>
        </w:rPr>
        <w:t>开标</w:t>
      </w:r>
      <w:r>
        <w:rPr>
          <w:szCs w:val="24"/>
        </w:rPr>
        <w:t>及</w:t>
      </w:r>
      <w:r>
        <w:rPr>
          <w:rFonts w:hint="eastAsia"/>
          <w:szCs w:val="24"/>
        </w:rPr>
        <w:t>评标</w:t>
      </w:r>
      <w:r>
        <w:tab/>
      </w:r>
      <w:r>
        <w:fldChar w:fldCharType="begin"/>
      </w:r>
      <w:r>
        <w:instrText xml:space="preserve"> PAGEREF _Toc17467 \h </w:instrText>
      </w:r>
      <w:r>
        <w:fldChar w:fldCharType="separate"/>
      </w:r>
      <w:r>
        <w:t>57</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_Toc24666 </w:instrText>
      </w:r>
      <w:r>
        <w:rPr>
          <w:rFonts w:cs="宋体" w:asciiTheme="minorEastAsia" w:hAnsiTheme="minorEastAsia" w:eastAsiaTheme="minorEastAsia"/>
        </w:rPr>
        <w:fldChar w:fldCharType="separate"/>
      </w:r>
      <w:r>
        <w:rPr>
          <w:rFonts w:hint="eastAsia" w:ascii="仿宋" w:hAnsi="仿宋" w:eastAsia="仿宋"/>
        </w:rPr>
        <w:t>一、 资格审查</w:t>
      </w:r>
      <w:r>
        <w:tab/>
      </w:r>
      <w:r>
        <w:fldChar w:fldCharType="begin"/>
      </w:r>
      <w:r>
        <w:instrText xml:space="preserve"> PAGEREF _Toc24666 \h </w:instrText>
      </w:r>
      <w:r>
        <w:fldChar w:fldCharType="separate"/>
      </w:r>
      <w:r>
        <w:t>60</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_Toc3828 </w:instrText>
      </w:r>
      <w:r>
        <w:rPr>
          <w:rFonts w:cs="宋体" w:asciiTheme="minorEastAsia" w:hAnsiTheme="minorEastAsia" w:eastAsiaTheme="minorEastAsia"/>
        </w:rPr>
        <w:fldChar w:fldCharType="separate"/>
      </w:r>
      <w:r>
        <w:rPr>
          <w:rFonts w:hint="eastAsia" w:ascii="仿宋" w:hAnsi="仿宋" w:eastAsia="仿宋"/>
        </w:rPr>
        <w:t>二、符合性评审标准（有一项不通过，否决投标文件）：</w:t>
      </w:r>
      <w:r>
        <w:tab/>
      </w:r>
      <w:r>
        <w:fldChar w:fldCharType="begin"/>
      </w:r>
      <w:r>
        <w:instrText xml:space="preserve"> PAGEREF _Toc3828 \h </w:instrText>
      </w:r>
      <w:r>
        <w:fldChar w:fldCharType="separate"/>
      </w:r>
      <w:r>
        <w:t>61</w:t>
      </w:r>
      <w:r>
        <w:fldChar w:fldCharType="end"/>
      </w:r>
      <w:r>
        <w:rPr>
          <w:rFonts w:cs="宋体" w:asciiTheme="minorEastAsia" w:hAnsiTheme="minorEastAsia" w:eastAsiaTheme="minorEastAsia"/>
        </w:rPr>
        <w:fldChar w:fldCharType="end"/>
      </w:r>
    </w:p>
    <w:p>
      <w:pPr>
        <w:pStyle w:val="29"/>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_Toc1012 </w:instrText>
      </w:r>
      <w:r>
        <w:rPr>
          <w:rFonts w:cs="宋体" w:asciiTheme="minorEastAsia" w:hAnsiTheme="minorEastAsia" w:eastAsiaTheme="minorEastAsia"/>
        </w:rPr>
        <w:fldChar w:fldCharType="separate"/>
      </w:r>
      <w:r>
        <w:rPr>
          <w:rFonts w:hint="eastAsia" w:ascii="仿宋" w:hAnsi="仿宋" w:eastAsia="仿宋" w:cs="宋体"/>
          <w:bCs/>
          <w:caps/>
          <w:szCs w:val="28"/>
        </w:rPr>
        <w:t>三、详细评分标准</w:t>
      </w:r>
      <w:r>
        <w:tab/>
      </w:r>
      <w:r>
        <w:fldChar w:fldCharType="begin"/>
      </w:r>
      <w:r>
        <w:instrText xml:space="preserve"> PAGEREF _Toc1012 \h </w:instrText>
      </w:r>
      <w:r>
        <w:fldChar w:fldCharType="separate"/>
      </w:r>
      <w:r>
        <w:t>62</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_Toc17792 </w:instrText>
      </w:r>
      <w:r>
        <w:rPr>
          <w:rFonts w:cs="宋体" w:asciiTheme="minorEastAsia" w:hAnsiTheme="minorEastAsia" w:eastAsiaTheme="minorEastAsia"/>
        </w:rPr>
        <w:fldChar w:fldCharType="separate"/>
      </w:r>
      <w:r>
        <w:rPr>
          <w:rFonts w:ascii="楷体" w:hAnsi="楷体" w:eastAsia="楷体"/>
          <w:highlight w:val="none"/>
        </w:rPr>
        <w:t xml:space="preserve">1.1 </w:t>
      </w:r>
      <w:r>
        <w:rPr>
          <w:rFonts w:hint="eastAsia" w:ascii="楷体" w:hAnsi="楷体" w:eastAsia="楷体"/>
          <w:highlight w:val="none"/>
        </w:rPr>
        <w:t>合同组成部分</w:t>
      </w:r>
      <w:r>
        <w:tab/>
      </w:r>
      <w:r>
        <w:fldChar w:fldCharType="begin"/>
      </w:r>
      <w:r>
        <w:instrText xml:space="preserve"> PAGEREF _Toc17792 \h </w:instrText>
      </w:r>
      <w:r>
        <w:fldChar w:fldCharType="separate"/>
      </w:r>
      <w:r>
        <w:t>65</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_Toc30310 </w:instrText>
      </w:r>
      <w:r>
        <w:rPr>
          <w:rFonts w:cs="宋体" w:asciiTheme="minorEastAsia" w:hAnsiTheme="minorEastAsia" w:eastAsiaTheme="minorEastAsia"/>
        </w:rPr>
        <w:fldChar w:fldCharType="separate"/>
      </w:r>
      <w:r>
        <w:rPr>
          <w:rFonts w:ascii="楷体" w:hAnsi="楷体" w:eastAsia="楷体"/>
          <w:highlight w:val="none"/>
        </w:rPr>
        <w:t xml:space="preserve">1.2 </w:t>
      </w:r>
      <w:r>
        <w:rPr>
          <w:rFonts w:hint="eastAsia" w:ascii="楷体" w:hAnsi="楷体" w:eastAsia="楷体"/>
          <w:highlight w:val="none"/>
        </w:rPr>
        <w:t>标的</w:t>
      </w:r>
      <w:r>
        <w:tab/>
      </w:r>
      <w:r>
        <w:fldChar w:fldCharType="begin"/>
      </w:r>
      <w:r>
        <w:instrText xml:space="preserve"> PAGEREF _Toc30310 \h </w:instrText>
      </w:r>
      <w:r>
        <w:fldChar w:fldCharType="separate"/>
      </w:r>
      <w:r>
        <w:t>65</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_Toc15746 </w:instrText>
      </w:r>
      <w:r>
        <w:rPr>
          <w:rFonts w:cs="宋体" w:asciiTheme="minorEastAsia" w:hAnsiTheme="minorEastAsia" w:eastAsiaTheme="minorEastAsia"/>
        </w:rPr>
        <w:fldChar w:fldCharType="separate"/>
      </w:r>
      <w:r>
        <w:rPr>
          <w:rFonts w:ascii="楷体" w:hAnsi="楷体" w:eastAsia="楷体"/>
          <w:highlight w:val="none"/>
        </w:rPr>
        <w:t xml:space="preserve">1.3 </w:t>
      </w:r>
      <w:r>
        <w:rPr>
          <w:rFonts w:hint="eastAsia" w:ascii="楷体" w:hAnsi="楷体" w:eastAsia="楷体"/>
          <w:highlight w:val="none"/>
        </w:rPr>
        <w:t>价款</w:t>
      </w:r>
      <w:r>
        <w:tab/>
      </w:r>
      <w:r>
        <w:fldChar w:fldCharType="begin"/>
      </w:r>
      <w:r>
        <w:instrText xml:space="preserve"> PAGEREF _Toc15746 \h </w:instrText>
      </w:r>
      <w:r>
        <w:fldChar w:fldCharType="separate"/>
      </w:r>
      <w:r>
        <w:t>65</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_Toc27511 </w:instrText>
      </w:r>
      <w:r>
        <w:rPr>
          <w:rFonts w:cs="宋体" w:asciiTheme="minorEastAsia" w:hAnsiTheme="minorEastAsia" w:eastAsiaTheme="minorEastAsia"/>
        </w:rPr>
        <w:fldChar w:fldCharType="separate"/>
      </w:r>
      <w:r>
        <w:rPr>
          <w:rFonts w:ascii="楷体" w:hAnsi="楷体" w:eastAsia="楷体"/>
          <w:highlight w:val="none"/>
        </w:rPr>
        <w:t xml:space="preserve">1.4 </w:t>
      </w:r>
      <w:r>
        <w:rPr>
          <w:rFonts w:hint="eastAsia" w:ascii="楷体" w:hAnsi="楷体" w:eastAsia="楷体"/>
          <w:highlight w:val="none"/>
        </w:rPr>
        <w:t>付款方式和发票开具方式</w:t>
      </w:r>
      <w:r>
        <w:tab/>
      </w:r>
      <w:r>
        <w:fldChar w:fldCharType="begin"/>
      </w:r>
      <w:r>
        <w:instrText xml:space="preserve"> PAGEREF _Toc27511 \h </w:instrText>
      </w:r>
      <w:r>
        <w:fldChar w:fldCharType="separate"/>
      </w:r>
      <w:r>
        <w:t>66</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_Toc26023 </w:instrText>
      </w:r>
      <w:r>
        <w:rPr>
          <w:rFonts w:cs="宋体" w:asciiTheme="minorEastAsia" w:hAnsiTheme="minorEastAsia" w:eastAsiaTheme="minorEastAsia"/>
        </w:rPr>
        <w:fldChar w:fldCharType="separate"/>
      </w:r>
      <w:r>
        <w:rPr>
          <w:rFonts w:ascii="楷体" w:hAnsi="楷体" w:eastAsia="楷体"/>
          <w:highlight w:val="none"/>
        </w:rPr>
        <w:t xml:space="preserve">1.5 </w:t>
      </w:r>
      <w:r>
        <w:rPr>
          <w:rFonts w:hint="eastAsia" w:ascii="楷体" w:hAnsi="楷体" w:eastAsia="楷体"/>
          <w:highlight w:val="none"/>
        </w:rPr>
        <w:t>履行期限、地点和方式</w:t>
      </w:r>
      <w:r>
        <w:tab/>
      </w:r>
      <w:r>
        <w:fldChar w:fldCharType="begin"/>
      </w:r>
      <w:r>
        <w:instrText xml:space="preserve"> PAGEREF _Toc26023 \h </w:instrText>
      </w:r>
      <w:r>
        <w:fldChar w:fldCharType="separate"/>
      </w:r>
      <w:r>
        <w:t>66</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_Toc280 </w:instrText>
      </w:r>
      <w:r>
        <w:rPr>
          <w:rFonts w:cs="宋体" w:asciiTheme="minorEastAsia" w:hAnsiTheme="minorEastAsia" w:eastAsiaTheme="minorEastAsia"/>
        </w:rPr>
        <w:fldChar w:fldCharType="separate"/>
      </w:r>
      <w:r>
        <w:rPr>
          <w:rFonts w:ascii="楷体" w:hAnsi="楷体" w:eastAsia="楷体"/>
          <w:highlight w:val="none"/>
        </w:rPr>
        <w:t xml:space="preserve">1.6 </w:t>
      </w:r>
      <w:r>
        <w:rPr>
          <w:rFonts w:hint="eastAsia" w:ascii="楷体" w:hAnsi="楷体" w:eastAsia="楷体"/>
          <w:highlight w:val="none"/>
        </w:rPr>
        <w:t>违约责任</w:t>
      </w:r>
      <w:r>
        <w:tab/>
      </w:r>
      <w:r>
        <w:fldChar w:fldCharType="begin"/>
      </w:r>
      <w:r>
        <w:instrText xml:space="preserve"> PAGEREF _Toc280 \h </w:instrText>
      </w:r>
      <w:r>
        <w:fldChar w:fldCharType="separate"/>
      </w:r>
      <w:r>
        <w:t>66</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_Toc3636 </w:instrText>
      </w:r>
      <w:r>
        <w:rPr>
          <w:rFonts w:cs="宋体" w:asciiTheme="minorEastAsia" w:hAnsiTheme="minorEastAsia" w:eastAsiaTheme="minorEastAsia"/>
        </w:rPr>
        <w:fldChar w:fldCharType="separate"/>
      </w:r>
      <w:r>
        <w:rPr>
          <w:rFonts w:ascii="楷体" w:hAnsi="楷体" w:eastAsia="楷体"/>
          <w:highlight w:val="none"/>
        </w:rPr>
        <w:t xml:space="preserve">1.7 </w:t>
      </w:r>
      <w:r>
        <w:rPr>
          <w:rFonts w:hint="eastAsia" w:ascii="楷体" w:hAnsi="楷体" w:eastAsia="楷体"/>
          <w:highlight w:val="none"/>
        </w:rPr>
        <w:t>合同争议的解决</w:t>
      </w:r>
      <w:r>
        <w:tab/>
      </w:r>
      <w:r>
        <w:fldChar w:fldCharType="begin"/>
      </w:r>
      <w:r>
        <w:instrText xml:space="preserve"> PAGEREF _Toc3636 \h </w:instrText>
      </w:r>
      <w:r>
        <w:fldChar w:fldCharType="separate"/>
      </w:r>
      <w:r>
        <w:t>67</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_Toc4166 </w:instrText>
      </w:r>
      <w:r>
        <w:rPr>
          <w:rFonts w:cs="宋体" w:asciiTheme="minorEastAsia" w:hAnsiTheme="minorEastAsia" w:eastAsiaTheme="minorEastAsia"/>
        </w:rPr>
        <w:fldChar w:fldCharType="separate"/>
      </w:r>
      <w:r>
        <w:rPr>
          <w:rFonts w:ascii="楷体" w:hAnsi="楷体" w:eastAsia="楷体"/>
          <w:highlight w:val="none"/>
        </w:rPr>
        <w:t xml:space="preserve">1.8 </w:t>
      </w:r>
      <w:r>
        <w:rPr>
          <w:rFonts w:hint="eastAsia" w:ascii="楷体" w:hAnsi="楷体" w:eastAsia="楷体"/>
          <w:highlight w:val="none"/>
        </w:rPr>
        <w:t>合同生效</w:t>
      </w:r>
      <w:r>
        <w:tab/>
      </w:r>
      <w:r>
        <w:fldChar w:fldCharType="begin"/>
      </w:r>
      <w:r>
        <w:instrText xml:space="preserve"> PAGEREF _Toc4166 \h </w:instrText>
      </w:r>
      <w:r>
        <w:fldChar w:fldCharType="separate"/>
      </w:r>
      <w:r>
        <w:t>68</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_Toc30415 </w:instrText>
      </w:r>
      <w:r>
        <w:rPr>
          <w:rFonts w:cs="宋体" w:asciiTheme="minorEastAsia" w:hAnsiTheme="minorEastAsia" w:eastAsiaTheme="minorEastAsia"/>
        </w:rPr>
        <w:fldChar w:fldCharType="separate"/>
      </w:r>
      <w:r>
        <w:rPr>
          <w:rFonts w:ascii="楷体" w:hAnsi="楷体" w:eastAsia="楷体"/>
          <w:highlight w:val="none"/>
        </w:rPr>
        <w:t xml:space="preserve">2.1 </w:t>
      </w:r>
      <w:r>
        <w:rPr>
          <w:rFonts w:hint="eastAsia" w:ascii="楷体" w:hAnsi="楷体" w:eastAsia="楷体"/>
          <w:highlight w:val="none"/>
        </w:rPr>
        <w:t>定义</w:t>
      </w:r>
      <w:r>
        <w:tab/>
      </w:r>
      <w:r>
        <w:fldChar w:fldCharType="begin"/>
      </w:r>
      <w:r>
        <w:instrText xml:space="preserve"> PAGEREF _Toc30415 \h </w:instrText>
      </w:r>
      <w:r>
        <w:fldChar w:fldCharType="separate"/>
      </w:r>
      <w:r>
        <w:t>69</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_Toc550 </w:instrText>
      </w:r>
      <w:r>
        <w:rPr>
          <w:rFonts w:cs="宋体" w:asciiTheme="minorEastAsia" w:hAnsiTheme="minorEastAsia" w:eastAsiaTheme="minorEastAsia"/>
        </w:rPr>
        <w:fldChar w:fldCharType="separate"/>
      </w:r>
      <w:r>
        <w:rPr>
          <w:rFonts w:ascii="楷体" w:hAnsi="楷体" w:eastAsia="楷体"/>
          <w:highlight w:val="none"/>
        </w:rPr>
        <w:t xml:space="preserve">2.2 </w:t>
      </w:r>
      <w:r>
        <w:rPr>
          <w:rFonts w:hint="eastAsia" w:ascii="楷体" w:hAnsi="楷体" w:eastAsia="楷体"/>
          <w:highlight w:val="none"/>
        </w:rPr>
        <w:t>技术规范</w:t>
      </w:r>
      <w:r>
        <w:tab/>
      </w:r>
      <w:r>
        <w:fldChar w:fldCharType="begin"/>
      </w:r>
      <w:r>
        <w:instrText xml:space="preserve"> PAGEREF _Toc550 \h </w:instrText>
      </w:r>
      <w:r>
        <w:fldChar w:fldCharType="separate"/>
      </w:r>
      <w:r>
        <w:t>69</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_Toc21438 </w:instrText>
      </w:r>
      <w:r>
        <w:rPr>
          <w:rFonts w:cs="宋体" w:asciiTheme="minorEastAsia" w:hAnsiTheme="minorEastAsia" w:eastAsiaTheme="minorEastAsia"/>
        </w:rPr>
        <w:fldChar w:fldCharType="separate"/>
      </w:r>
      <w:r>
        <w:rPr>
          <w:rFonts w:ascii="楷体" w:hAnsi="楷体" w:eastAsia="楷体"/>
          <w:highlight w:val="none"/>
        </w:rPr>
        <w:t xml:space="preserve">2.3 </w:t>
      </w:r>
      <w:r>
        <w:rPr>
          <w:rFonts w:hint="eastAsia" w:ascii="楷体" w:hAnsi="楷体" w:eastAsia="楷体"/>
          <w:highlight w:val="none"/>
        </w:rPr>
        <w:t>知识产权</w:t>
      </w:r>
      <w:r>
        <w:tab/>
      </w:r>
      <w:r>
        <w:fldChar w:fldCharType="begin"/>
      </w:r>
      <w:r>
        <w:instrText xml:space="preserve"> PAGEREF _Toc21438 \h </w:instrText>
      </w:r>
      <w:r>
        <w:fldChar w:fldCharType="separate"/>
      </w:r>
      <w:r>
        <w:t>69</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_Toc13009 </w:instrText>
      </w:r>
      <w:r>
        <w:rPr>
          <w:rFonts w:cs="宋体" w:asciiTheme="minorEastAsia" w:hAnsiTheme="minorEastAsia" w:eastAsiaTheme="minorEastAsia"/>
        </w:rPr>
        <w:fldChar w:fldCharType="separate"/>
      </w:r>
      <w:r>
        <w:rPr>
          <w:rFonts w:ascii="楷体" w:hAnsi="楷体" w:eastAsia="楷体"/>
          <w:highlight w:val="none"/>
        </w:rPr>
        <w:t xml:space="preserve">2.5 </w:t>
      </w:r>
      <w:r>
        <w:rPr>
          <w:rFonts w:hint="eastAsia" w:ascii="楷体" w:hAnsi="楷体" w:eastAsia="楷体"/>
          <w:highlight w:val="none"/>
        </w:rPr>
        <w:t>结算方式和付款条件</w:t>
      </w:r>
      <w:r>
        <w:tab/>
      </w:r>
      <w:r>
        <w:fldChar w:fldCharType="begin"/>
      </w:r>
      <w:r>
        <w:instrText xml:space="preserve"> PAGEREF _Toc13009 \h </w:instrText>
      </w:r>
      <w:r>
        <w:fldChar w:fldCharType="separate"/>
      </w:r>
      <w:r>
        <w:t>70</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_Toc19956 </w:instrText>
      </w:r>
      <w:r>
        <w:rPr>
          <w:rFonts w:cs="宋体" w:asciiTheme="minorEastAsia" w:hAnsiTheme="minorEastAsia" w:eastAsiaTheme="minorEastAsia"/>
        </w:rPr>
        <w:fldChar w:fldCharType="separate"/>
      </w:r>
      <w:r>
        <w:rPr>
          <w:rFonts w:ascii="楷体" w:hAnsi="楷体" w:eastAsia="楷体"/>
          <w:highlight w:val="none"/>
        </w:rPr>
        <w:t xml:space="preserve">2.6 </w:t>
      </w:r>
      <w:r>
        <w:rPr>
          <w:rFonts w:hint="eastAsia" w:ascii="楷体" w:hAnsi="楷体" w:eastAsia="楷体"/>
          <w:highlight w:val="none"/>
        </w:rPr>
        <w:t>技术资料和保密义务</w:t>
      </w:r>
      <w:r>
        <w:tab/>
      </w:r>
      <w:r>
        <w:fldChar w:fldCharType="begin"/>
      </w:r>
      <w:r>
        <w:instrText xml:space="preserve"> PAGEREF _Toc19956 \h </w:instrText>
      </w:r>
      <w:r>
        <w:fldChar w:fldCharType="separate"/>
      </w:r>
      <w:r>
        <w:t>70</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_Toc30634 </w:instrText>
      </w:r>
      <w:r>
        <w:rPr>
          <w:rFonts w:cs="宋体" w:asciiTheme="minorEastAsia" w:hAnsiTheme="minorEastAsia" w:eastAsiaTheme="minorEastAsia"/>
        </w:rPr>
        <w:fldChar w:fldCharType="separate"/>
      </w:r>
      <w:r>
        <w:rPr>
          <w:rFonts w:ascii="楷体" w:hAnsi="楷体" w:eastAsia="楷体"/>
          <w:highlight w:val="none"/>
        </w:rPr>
        <w:t xml:space="preserve">2.7 </w:t>
      </w:r>
      <w:r>
        <w:rPr>
          <w:rFonts w:hint="eastAsia" w:ascii="楷体" w:hAnsi="楷体" w:eastAsia="楷体"/>
          <w:highlight w:val="none"/>
        </w:rPr>
        <w:t>质量保证</w:t>
      </w:r>
      <w:r>
        <w:tab/>
      </w:r>
      <w:r>
        <w:fldChar w:fldCharType="begin"/>
      </w:r>
      <w:r>
        <w:instrText xml:space="preserve"> PAGEREF _Toc30634 \h </w:instrText>
      </w:r>
      <w:r>
        <w:fldChar w:fldCharType="separate"/>
      </w:r>
      <w:r>
        <w:t>70</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_Toc23709 </w:instrText>
      </w:r>
      <w:r>
        <w:rPr>
          <w:rFonts w:cs="宋体" w:asciiTheme="minorEastAsia" w:hAnsiTheme="minorEastAsia" w:eastAsiaTheme="minorEastAsia"/>
        </w:rPr>
        <w:fldChar w:fldCharType="separate"/>
      </w:r>
      <w:r>
        <w:rPr>
          <w:rFonts w:ascii="楷体" w:hAnsi="楷体" w:eastAsia="楷体"/>
          <w:highlight w:val="none"/>
        </w:rPr>
        <w:t xml:space="preserve">2.8 </w:t>
      </w:r>
      <w:r>
        <w:rPr>
          <w:rFonts w:hint="eastAsia" w:ascii="楷体" w:hAnsi="楷体" w:eastAsia="楷体"/>
          <w:highlight w:val="none"/>
        </w:rPr>
        <w:t>延迟履行</w:t>
      </w:r>
      <w:r>
        <w:tab/>
      </w:r>
      <w:r>
        <w:fldChar w:fldCharType="begin"/>
      </w:r>
      <w:r>
        <w:instrText xml:space="preserve"> PAGEREF _Toc23709 \h </w:instrText>
      </w:r>
      <w:r>
        <w:fldChar w:fldCharType="separate"/>
      </w:r>
      <w:r>
        <w:t>71</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_Toc19763 </w:instrText>
      </w:r>
      <w:r>
        <w:rPr>
          <w:rFonts w:cs="宋体" w:asciiTheme="minorEastAsia" w:hAnsiTheme="minorEastAsia" w:eastAsiaTheme="minorEastAsia"/>
        </w:rPr>
        <w:fldChar w:fldCharType="separate"/>
      </w:r>
      <w:r>
        <w:rPr>
          <w:rFonts w:ascii="楷体" w:hAnsi="楷体" w:eastAsia="楷体"/>
          <w:highlight w:val="none"/>
        </w:rPr>
        <w:t xml:space="preserve">2.9 </w:t>
      </w:r>
      <w:r>
        <w:rPr>
          <w:rFonts w:hint="eastAsia" w:ascii="楷体" w:hAnsi="楷体" w:eastAsia="楷体"/>
          <w:highlight w:val="none"/>
        </w:rPr>
        <w:t>合同变更</w:t>
      </w:r>
      <w:r>
        <w:tab/>
      </w:r>
      <w:r>
        <w:fldChar w:fldCharType="begin"/>
      </w:r>
      <w:r>
        <w:instrText xml:space="preserve"> PAGEREF _Toc19763 \h </w:instrText>
      </w:r>
      <w:r>
        <w:fldChar w:fldCharType="separate"/>
      </w:r>
      <w:r>
        <w:t>71</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_Toc3090 </w:instrText>
      </w:r>
      <w:r>
        <w:rPr>
          <w:rFonts w:cs="宋体" w:asciiTheme="minorEastAsia" w:hAnsiTheme="minorEastAsia" w:eastAsiaTheme="minorEastAsia"/>
        </w:rPr>
        <w:fldChar w:fldCharType="separate"/>
      </w:r>
      <w:r>
        <w:rPr>
          <w:rFonts w:ascii="楷体" w:hAnsi="楷体" w:eastAsia="楷体"/>
          <w:highlight w:val="none"/>
        </w:rPr>
        <w:t xml:space="preserve">2.10 </w:t>
      </w:r>
      <w:r>
        <w:rPr>
          <w:rFonts w:hint="eastAsia" w:ascii="楷体" w:hAnsi="楷体" w:eastAsia="楷体"/>
          <w:highlight w:val="none"/>
        </w:rPr>
        <w:t>合同转让和分包</w:t>
      </w:r>
      <w:r>
        <w:tab/>
      </w:r>
      <w:r>
        <w:fldChar w:fldCharType="begin"/>
      </w:r>
      <w:r>
        <w:instrText xml:space="preserve"> PAGEREF _Toc3090 \h </w:instrText>
      </w:r>
      <w:r>
        <w:fldChar w:fldCharType="separate"/>
      </w:r>
      <w:r>
        <w:t>71</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_Toc4285 </w:instrText>
      </w:r>
      <w:r>
        <w:rPr>
          <w:rFonts w:cs="宋体" w:asciiTheme="minorEastAsia" w:hAnsiTheme="minorEastAsia" w:eastAsiaTheme="minorEastAsia"/>
        </w:rPr>
        <w:fldChar w:fldCharType="separate"/>
      </w:r>
      <w:r>
        <w:rPr>
          <w:rFonts w:ascii="楷体" w:hAnsi="楷体" w:eastAsia="楷体"/>
          <w:highlight w:val="none"/>
        </w:rPr>
        <w:t xml:space="preserve">2.11 </w:t>
      </w:r>
      <w:r>
        <w:rPr>
          <w:rFonts w:hint="eastAsia" w:ascii="楷体" w:hAnsi="楷体" w:eastAsia="楷体"/>
          <w:highlight w:val="none"/>
        </w:rPr>
        <w:t>不可抗力</w:t>
      </w:r>
      <w:r>
        <w:tab/>
      </w:r>
      <w:r>
        <w:fldChar w:fldCharType="begin"/>
      </w:r>
      <w:r>
        <w:instrText xml:space="preserve"> PAGEREF _Toc4285 \h </w:instrText>
      </w:r>
      <w:r>
        <w:fldChar w:fldCharType="separate"/>
      </w:r>
      <w:r>
        <w:t>71</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_Toc9559 </w:instrText>
      </w:r>
      <w:r>
        <w:rPr>
          <w:rFonts w:cs="宋体" w:asciiTheme="minorEastAsia" w:hAnsiTheme="minorEastAsia" w:eastAsiaTheme="minorEastAsia"/>
        </w:rPr>
        <w:fldChar w:fldCharType="separate"/>
      </w:r>
      <w:r>
        <w:rPr>
          <w:rFonts w:ascii="楷体" w:hAnsi="楷体" w:eastAsia="楷体"/>
          <w:highlight w:val="none"/>
        </w:rPr>
        <w:t xml:space="preserve">2.12 </w:t>
      </w:r>
      <w:r>
        <w:rPr>
          <w:rFonts w:hint="eastAsia" w:ascii="楷体" w:hAnsi="楷体" w:eastAsia="楷体"/>
          <w:highlight w:val="none"/>
        </w:rPr>
        <w:t>税费</w:t>
      </w:r>
      <w:r>
        <w:tab/>
      </w:r>
      <w:r>
        <w:fldChar w:fldCharType="begin"/>
      </w:r>
      <w:r>
        <w:instrText xml:space="preserve"> PAGEREF _Toc9559 \h </w:instrText>
      </w:r>
      <w:r>
        <w:fldChar w:fldCharType="separate"/>
      </w:r>
      <w:r>
        <w:t>72</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_Toc3175 </w:instrText>
      </w:r>
      <w:r>
        <w:rPr>
          <w:rFonts w:cs="宋体" w:asciiTheme="minorEastAsia" w:hAnsiTheme="minorEastAsia" w:eastAsiaTheme="minorEastAsia"/>
        </w:rPr>
        <w:fldChar w:fldCharType="separate"/>
      </w:r>
      <w:r>
        <w:rPr>
          <w:rFonts w:ascii="楷体" w:hAnsi="楷体" w:eastAsia="楷体"/>
          <w:highlight w:val="none"/>
        </w:rPr>
        <w:t xml:space="preserve">2.13 </w:t>
      </w:r>
      <w:r>
        <w:rPr>
          <w:rFonts w:hint="eastAsia" w:ascii="楷体" w:hAnsi="楷体" w:eastAsia="楷体"/>
          <w:highlight w:val="none"/>
        </w:rPr>
        <w:t>乙方破产</w:t>
      </w:r>
      <w:r>
        <w:tab/>
      </w:r>
      <w:r>
        <w:fldChar w:fldCharType="begin"/>
      </w:r>
      <w:r>
        <w:instrText xml:space="preserve"> PAGEREF _Toc3175 \h </w:instrText>
      </w:r>
      <w:r>
        <w:fldChar w:fldCharType="separate"/>
      </w:r>
      <w:r>
        <w:t>72</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_Toc653 </w:instrText>
      </w:r>
      <w:r>
        <w:rPr>
          <w:rFonts w:cs="宋体" w:asciiTheme="minorEastAsia" w:hAnsiTheme="minorEastAsia" w:eastAsiaTheme="minorEastAsia"/>
        </w:rPr>
        <w:fldChar w:fldCharType="separate"/>
      </w:r>
      <w:r>
        <w:rPr>
          <w:rFonts w:ascii="楷体" w:hAnsi="楷体" w:eastAsia="楷体"/>
          <w:highlight w:val="none"/>
        </w:rPr>
        <w:t xml:space="preserve">2.14 </w:t>
      </w:r>
      <w:r>
        <w:rPr>
          <w:rFonts w:hint="eastAsia" w:ascii="楷体" w:hAnsi="楷体" w:eastAsia="楷体"/>
          <w:highlight w:val="none"/>
        </w:rPr>
        <w:t>合同中止、终止</w:t>
      </w:r>
      <w:r>
        <w:tab/>
      </w:r>
      <w:r>
        <w:fldChar w:fldCharType="begin"/>
      </w:r>
      <w:r>
        <w:instrText xml:space="preserve"> PAGEREF _Toc653 \h </w:instrText>
      </w:r>
      <w:r>
        <w:fldChar w:fldCharType="separate"/>
      </w:r>
      <w:r>
        <w:t>72</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_Toc4168 </w:instrText>
      </w:r>
      <w:r>
        <w:rPr>
          <w:rFonts w:cs="宋体" w:asciiTheme="minorEastAsia" w:hAnsiTheme="minorEastAsia" w:eastAsiaTheme="minorEastAsia"/>
        </w:rPr>
        <w:fldChar w:fldCharType="separate"/>
      </w:r>
      <w:r>
        <w:rPr>
          <w:rFonts w:ascii="楷体" w:hAnsi="楷体" w:eastAsia="楷体"/>
          <w:highlight w:val="none"/>
        </w:rPr>
        <w:t xml:space="preserve">2.15 </w:t>
      </w:r>
      <w:r>
        <w:rPr>
          <w:rFonts w:hint="eastAsia" w:ascii="楷体" w:hAnsi="楷体" w:eastAsia="楷体"/>
          <w:highlight w:val="none"/>
        </w:rPr>
        <w:t>检验和验收</w:t>
      </w:r>
      <w:r>
        <w:tab/>
      </w:r>
      <w:r>
        <w:fldChar w:fldCharType="begin"/>
      </w:r>
      <w:r>
        <w:instrText xml:space="preserve"> PAGEREF _Toc4168 \h </w:instrText>
      </w:r>
      <w:r>
        <w:fldChar w:fldCharType="separate"/>
      </w:r>
      <w:r>
        <w:t>72</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_Toc4 </w:instrText>
      </w:r>
      <w:r>
        <w:rPr>
          <w:rFonts w:cs="宋体" w:asciiTheme="minorEastAsia" w:hAnsiTheme="minorEastAsia" w:eastAsiaTheme="minorEastAsia"/>
        </w:rPr>
        <w:fldChar w:fldCharType="separate"/>
      </w:r>
      <w:r>
        <w:rPr>
          <w:rFonts w:ascii="楷体" w:hAnsi="楷体" w:eastAsia="楷体"/>
          <w:highlight w:val="none"/>
        </w:rPr>
        <w:t xml:space="preserve">2.16 </w:t>
      </w:r>
      <w:r>
        <w:rPr>
          <w:rFonts w:hint="eastAsia" w:ascii="楷体" w:hAnsi="楷体" w:eastAsia="楷体"/>
          <w:highlight w:val="none"/>
        </w:rPr>
        <w:t>通知和送达</w:t>
      </w:r>
      <w:r>
        <w:tab/>
      </w:r>
      <w:r>
        <w:fldChar w:fldCharType="begin"/>
      </w:r>
      <w:r>
        <w:instrText xml:space="preserve"> PAGEREF _Toc4 \h </w:instrText>
      </w:r>
      <w:r>
        <w:fldChar w:fldCharType="separate"/>
      </w:r>
      <w:r>
        <w:t>72</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_Toc27065 </w:instrText>
      </w:r>
      <w:r>
        <w:rPr>
          <w:rFonts w:cs="宋体" w:asciiTheme="minorEastAsia" w:hAnsiTheme="minorEastAsia" w:eastAsiaTheme="minorEastAsia"/>
        </w:rPr>
        <w:fldChar w:fldCharType="separate"/>
      </w:r>
      <w:r>
        <w:rPr>
          <w:rFonts w:ascii="楷体" w:hAnsi="楷体" w:eastAsia="楷体"/>
          <w:highlight w:val="none"/>
        </w:rPr>
        <w:t xml:space="preserve">2.17 </w:t>
      </w:r>
      <w:r>
        <w:rPr>
          <w:rFonts w:hint="eastAsia" w:ascii="楷体" w:hAnsi="楷体" w:eastAsia="楷体"/>
          <w:highlight w:val="none"/>
        </w:rPr>
        <w:t>合同使用的文字和适用的法律</w:t>
      </w:r>
      <w:r>
        <w:tab/>
      </w:r>
      <w:r>
        <w:fldChar w:fldCharType="begin"/>
      </w:r>
      <w:r>
        <w:instrText xml:space="preserve"> PAGEREF _Toc27065 \h </w:instrText>
      </w:r>
      <w:r>
        <w:fldChar w:fldCharType="separate"/>
      </w:r>
      <w:r>
        <w:t>73</w:t>
      </w:r>
      <w:r>
        <w:fldChar w:fldCharType="end"/>
      </w:r>
      <w:r>
        <w:rPr>
          <w:rFonts w:cs="宋体" w:asciiTheme="minorEastAsia" w:hAnsiTheme="minorEastAsia" w:eastAsiaTheme="minorEastAsia"/>
        </w:rPr>
        <w:fldChar w:fldCharType="end"/>
      </w:r>
    </w:p>
    <w:p>
      <w:pPr>
        <w:pStyle w:val="24"/>
        <w:tabs>
          <w:tab w:val="right" w:leader="dot" w:pos="8312"/>
        </w:tabs>
      </w:pPr>
      <w:r>
        <w:rPr>
          <w:rFonts w:cs="宋体" w:asciiTheme="minorEastAsia" w:hAnsiTheme="minorEastAsia" w:eastAsiaTheme="minorEastAsia"/>
        </w:rPr>
        <w:fldChar w:fldCharType="begin"/>
      </w:r>
      <w:r>
        <w:rPr>
          <w:rFonts w:cs="宋体" w:asciiTheme="minorEastAsia" w:hAnsiTheme="minorEastAsia" w:eastAsiaTheme="minorEastAsia"/>
        </w:rPr>
        <w:instrText xml:space="preserve"> HYPERLINK \l _Toc14032 </w:instrText>
      </w:r>
      <w:r>
        <w:rPr>
          <w:rFonts w:cs="宋体" w:asciiTheme="minorEastAsia" w:hAnsiTheme="minorEastAsia" w:eastAsiaTheme="minorEastAsia"/>
        </w:rPr>
        <w:fldChar w:fldCharType="separate"/>
      </w:r>
      <w:r>
        <w:rPr>
          <w:rFonts w:ascii="楷体" w:hAnsi="楷体" w:eastAsia="楷体"/>
          <w:highlight w:val="none"/>
        </w:rPr>
        <w:t xml:space="preserve">2.18 </w:t>
      </w:r>
      <w:r>
        <w:rPr>
          <w:rFonts w:hint="eastAsia" w:ascii="楷体" w:hAnsi="楷体" w:eastAsia="楷体"/>
          <w:highlight w:val="none"/>
        </w:rPr>
        <w:t>履约保证金</w:t>
      </w:r>
      <w:r>
        <w:tab/>
      </w:r>
      <w:r>
        <w:fldChar w:fldCharType="begin"/>
      </w:r>
      <w:r>
        <w:instrText xml:space="preserve"> PAGEREF _Toc14032 \h </w:instrText>
      </w:r>
      <w:r>
        <w:fldChar w:fldCharType="separate"/>
      </w:r>
      <w:r>
        <w:t>73</w:t>
      </w:r>
      <w:r>
        <w:fldChar w:fldCharType="end"/>
      </w:r>
      <w:r>
        <w:rPr>
          <w:rFonts w:cs="宋体" w:asciiTheme="minorEastAsia" w:hAnsiTheme="minorEastAsia" w:eastAsiaTheme="minorEastAsia"/>
        </w:rPr>
        <w:fldChar w:fldCharType="end"/>
      </w:r>
    </w:p>
    <w:p>
      <w:pPr>
        <w:spacing w:line="400" w:lineRule="exact"/>
        <w:jc w:val="center"/>
        <w:rPr>
          <w:rFonts w:cs="宋体" w:asciiTheme="minorEastAsia" w:hAnsiTheme="minorEastAsia" w:eastAsiaTheme="minorEastAsia"/>
          <w:sz w:val="24"/>
        </w:rPr>
      </w:pPr>
      <w:r>
        <w:rPr>
          <w:rFonts w:cs="宋体" w:asciiTheme="minorEastAsia" w:hAnsiTheme="minorEastAsia" w:eastAsiaTheme="minorEastAsia"/>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rPr>
          <w:rFonts w:hint="eastAsia" w:cs="宋体" w:asciiTheme="minorEastAsia" w:hAnsiTheme="minorEastAsia" w:eastAsiaTheme="minorEastAsia"/>
          <w:b/>
          <w:sz w:val="30"/>
          <w:szCs w:val="30"/>
        </w:rPr>
      </w:pPr>
      <w:r>
        <w:rPr>
          <w:rFonts w:hint="eastAsia" w:cs="宋体" w:asciiTheme="minorEastAsia" w:hAnsiTheme="minorEastAsia" w:eastAsiaTheme="minorEastAsia"/>
          <w:b/>
          <w:sz w:val="30"/>
          <w:szCs w:val="30"/>
        </w:rPr>
        <w:br w:type="page"/>
      </w: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4" w:name="_Toc518923059"/>
      <w:r>
        <w:rPr>
          <w:rFonts w:hint="eastAsia" w:cs="宋体" w:asciiTheme="minorEastAsia" w:hAnsiTheme="minorEastAsia" w:eastAsiaTheme="minorEastAsia"/>
          <w:b/>
          <w:sz w:val="30"/>
          <w:szCs w:val="30"/>
        </w:rPr>
        <w:t>供应商须知</w:t>
      </w:r>
      <w:bookmarkEnd w:id="0"/>
      <w:bookmarkEnd w:id="1"/>
      <w:bookmarkEnd w:id="4"/>
    </w:p>
    <w:p>
      <w:pPr>
        <w:pStyle w:val="4"/>
        <w:spacing w:before="0" w:line="240" w:lineRule="auto"/>
        <w:ind w:left="1079" w:leftChars="257" w:hanging="540"/>
        <w:rPr>
          <w:rFonts w:cs="宋体" w:asciiTheme="minorEastAsia" w:hAnsiTheme="minorEastAsia" w:eastAsiaTheme="minorEastAsia"/>
        </w:rPr>
      </w:pPr>
      <w:bookmarkStart w:id="5" w:name="_Toc520356143"/>
      <w:bookmarkStart w:id="6" w:name="_Toc216582805"/>
      <w:bookmarkStart w:id="7" w:name="_Toc1127"/>
      <w:bookmarkStart w:id="8" w:name="_Toc9485"/>
      <w:bookmarkStart w:id="9" w:name="_Toc518923060"/>
      <w:bookmarkStart w:id="10" w:name="_Toc25430_WPSOffice_Level1"/>
      <w:bookmarkStart w:id="11" w:name="_Toc23809"/>
      <w:r>
        <w:rPr>
          <w:rFonts w:hint="eastAsia" w:cs="宋体" w:asciiTheme="minorEastAsia" w:hAnsiTheme="minorEastAsia" w:eastAsiaTheme="minorEastAsia"/>
          <w:sz w:val="28"/>
        </w:rPr>
        <w:t>一</w:t>
      </w:r>
      <w:bookmarkEnd w:id="5"/>
      <w:bookmarkEnd w:id="6"/>
      <w:r>
        <w:rPr>
          <w:rFonts w:hint="eastAsia" w:cs="宋体" w:asciiTheme="minorEastAsia" w:hAnsiTheme="minorEastAsia" w:eastAsiaTheme="minorEastAsia"/>
          <w:sz w:val="28"/>
        </w:rPr>
        <w:t>总则</w:t>
      </w:r>
      <w:bookmarkEnd w:id="7"/>
      <w:bookmarkEnd w:id="8"/>
      <w:bookmarkEnd w:id="9"/>
      <w:bookmarkEnd w:id="10"/>
      <w:bookmarkEnd w:id="11"/>
    </w:p>
    <w:p>
      <w:pPr>
        <w:pStyle w:val="5"/>
        <w:spacing w:before="0" w:after="0" w:line="400" w:lineRule="exact"/>
        <w:rPr>
          <w:rFonts w:cs="宋体" w:asciiTheme="minorEastAsia" w:hAnsiTheme="minorEastAsia" w:eastAsiaTheme="minorEastAsia"/>
          <w:b/>
          <w:bCs/>
          <w:u w:val="none"/>
        </w:rPr>
      </w:pPr>
      <w:bookmarkStart w:id="12" w:name="_Toc4676_WPSOffice_Level2"/>
      <w:bookmarkStart w:id="13" w:name="_Toc518923061"/>
      <w:bookmarkStart w:id="14" w:name="_Toc520356144"/>
      <w:bookmarkStart w:id="15" w:name="_Toc16905_WPSOffice_Level2"/>
      <w:bookmarkStart w:id="16" w:name="_Toc12013"/>
      <w:r>
        <w:rPr>
          <w:rFonts w:hint="eastAsia" w:cs="宋体" w:asciiTheme="minorEastAsia" w:hAnsiTheme="minorEastAsia" w:eastAsiaTheme="minorEastAsia"/>
          <w:b/>
          <w:bCs/>
          <w:u w:val="none"/>
        </w:rPr>
        <w:t>1.采购人、采购代理机构及</w:t>
      </w:r>
      <w:bookmarkEnd w:id="12"/>
      <w:bookmarkEnd w:id="13"/>
      <w:bookmarkEnd w:id="14"/>
      <w:bookmarkEnd w:id="15"/>
      <w:bookmarkEnd w:id="16"/>
      <w:r>
        <w:rPr>
          <w:rFonts w:hint="eastAsia" w:cs="宋体" w:asciiTheme="minorEastAsia" w:hAnsiTheme="minorEastAsia" w:eastAsiaTheme="minorEastAsia"/>
          <w:b/>
          <w:bCs/>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5"/>
        <w:spacing w:before="0" w:after="0" w:line="400" w:lineRule="exact"/>
        <w:rPr>
          <w:rFonts w:cs="宋体" w:asciiTheme="minorEastAsia" w:hAnsiTheme="minorEastAsia" w:eastAsiaTheme="minorEastAsia"/>
          <w:b/>
          <w:bCs/>
          <w:u w:val="none"/>
        </w:rPr>
      </w:pPr>
      <w:bookmarkStart w:id="17" w:name="_Toc11482_WPSOffice_Level2"/>
      <w:bookmarkStart w:id="18" w:name="_Toc518923062"/>
      <w:bookmarkStart w:id="19" w:name="_Toc2643"/>
      <w:bookmarkStart w:id="20" w:name="_Toc11813_WPSOffice_Level2"/>
      <w:r>
        <w:rPr>
          <w:rFonts w:hint="eastAsia" w:cs="宋体" w:asciiTheme="minorEastAsia" w:hAnsiTheme="minorEastAsia" w:eastAsiaTheme="minorEastAsia"/>
          <w:b/>
          <w:bCs/>
          <w:u w:val="none"/>
        </w:rPr>
        <w:t>2.资金来源</w:t>
      </w:r>
      <w:bookmarkEnd w:id="17"/>
      <w:bookmarkEnd w:id="18"/>
      <w:bookmarkEnd w:id="19"/>
      <w:bookmarkEnd w:id="20"/>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5"/>
        <w:spacing w:before="0" w:after="0" w:line="400" w:lineRule="exact"/>
        <w:rPr>
          <w:rFonts w:cs="宋体" w:asciiTheme="minorEastAsia" w:hAnsiTheme="minorEastAsia" w:eastAsiaTheme="minorEastAsia"/>
          <w:b/>
          <w:bCs/>
          <w:u w:val="none"/>
        </w:rPr>
      </w:pPr>
      <w:bookmarkStart w:id="21" w:name="_Toc518923063"/>
      <w:bookmarkStart w:id="22" w:name="_Toc28166"/>
      <w:bookmarkStart w:id="23" w:name="_Toc8601_WPSOffice_Level2"/>
      <w:bookmarkStart w:id="24" w:name="_Toc8946_WPSOffice_Level2"/>
      <w:bookmarkStart w:id="25" w:name="_Toc520356145"/>
      <w:r>
        <w:rPr>
          <w:rFonts w:hint="eastAsia" w:cs="宋体" w:asciiTheme="minorEastAsia" w:hAnsiTheme="minorEastAsia" w:eastAsiaTheme="minorEastAsia"/>
          <w:b/>
          <w:bCs/>
          <w:u w:val="none"/>
        </w:rPr>
        <w:t>3.磋商费用</w:t>
      </w:r>
      <w:bookmarkEnd w:id="21"/>
      <w:bookmarkEnd w:id="22"/>
      <w:bookmarkEnd w:id="23"/>
      <w:bookmarkEnd w:id="24"/>
      <w:bookmarkEnd w:id="2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5"/>
        <w:spacing w:before="0" w:after="0" w:line="400" w:lineRule="exact"/>
        <w:rPr>
          <w:rFonts w:cs="宋体" w:asciiTheme="minorEastAsia" w:hAnsiTheme="minorEastAsia" w:eastAsiaTheme="minorEastAsia"/>
          <w:b/>
          <w:bCs/>
          <w:u w:val="none"/>
        </w:rPr>
      </w:pPr>
      <w:bookmarkStart w:id="26" w:name="_Toc8368_WPSOffice_Level2"/>
      <w:bookmarkStart w:id="27" w:name="_Toc32365"/>
      <w:bookmarkStart w:id="28" w:name="_Toc1523_WPSOffice_Level2"/>
      <w:bookmarkStart w:id="29" w:name="_Toc518923064"/>
      <w:r>
        <w:rPr>
          <w:rFonts w:hint="eastAsia" w:cs="宋体" w:asciiTheme="minorEastAsia" w:hAnsiTheme="minorEastAsia" w:eastAsiaTheme="minorEastAsia"/>
          <w:b/>
          <w:bCs/>
          <w:u w:val="none"/>
        </w:rPr>
        <w:t>4.适用法律</w:t>
      </w:r>
      <w:bookmarkEnd w:id="26"/>
      <w:bookmarkEnd w:id="27"/>
      <w:bookmarkEnd w:id="28"/>
      <w:bookmarkEnd w:id="2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《政府采购竞争性磋商采购方式管理暂行办法》及本项目本级和上级财政部门政府采购有关规定的约束，其权利受到上述法律法规的保护。</w:t>
      </w:r>
    </w:p>
    <w:p>
      <w:pPr>
        <w:pStyle w:val="4"/>
        <w:spacing w:before="0" w:line="400" w:lineRule="exact"/>
        <w:ind w:left="1079" w:leftChars="257" w:hanging="540"/>
        <w:rPr>
          <w:rFonts w:cs="宋体" w:asciiTheme="minorEastAsia" w:hAnsiTheme="minorEastAsia" w:eastAsiaTheme="minorEastAsia"/>
        </w:rPr>
      </w:pPr>
      <w:bookmarkStart w:id="30" w:name="_Toc518923065"/>
      <w:bookmarkStart w:id="31" w:name="_Toc216582806"/>
      <w:bookmarkStart w:id="32" w:name="_Toc520356146"/>
      <w:bookmarkStart w:id="33" w:name="_Toc809"/>
      <w:bookmarkStart w:id="34" w:name="_Toc10894_WPSOffice_Level1"/>
      <w:bookmarkStart w:id="35" w:name="_Toc26971"/>
      <w:bookmarkStart w:id="36" w:name="_Toc31400"/>
      <w:r>
        <w:rPr>
          <w:rFonts w:hint="eastAsia" w:cs="宋体" w:asciiTheme="minorEastAsia" w:hAnsiTheme="minorEastAsia" w:eastAsiaTheme="minorEastAsia"/>
          <w:sz w:val="28"/>
        </w:rPr>
        <w:t>二</w:t>
      </w:r>
      <w:bookmarkEnd w:id="30"/>
      <w:bookmarkEnd w:id="31"/>
      <w:bookmarkEnd w:id="32"/>
      <w:bookmarkEnd w:id="33"/>
      <w:r>
        <w:rPr>
          <w:rFonts w:hint="eastAsia" w:cs="宋体" w:asciiTheme="minorEastAsia" w:hAnsiTheme="minorEastAsia" w:eastAsiaTheme="minorEastAsia"/>
          <w:sz w:val="28"/>
        </w:rPr>
        <w:t>磋商文件</w:t>
      </w:r>
      <w:bookmarkEnd w:id="34"/>
      <w:bookmarkEnd w:id="35"/>
      <w:bookmarkEnd w:id="36"/>
    </w:p>
    <w:p>
      <w:pPr>
        <w:pStyle w:val="5"/>
        <w:spacing w:before="0" w:after="0" w:line="400" w:lineRule="exact"/>
        <w:rPr>
          <w:rFonts w:cs="宋体" w:asciiTheme="minorEastAsia" w:hAnsiTheme="minorEastAsia" w:eastAsiaTheme="minorEastAsia"/>
          <w:b/>
          <w:bCs/>
          <w:u w:val="none"/>
        </w:rPr>
      </w:pPr>
      <w:bookmarkStart w:id="37" w:name="_Toc22990"/>
      <w:bookmarkStart w:id="38" w:name="_Toc518923066"/>
      <w:bookmarkStart w:id="39" w:name="_Toc520356147"/>
      <w:bookmarkStart w:id="40" w:name="_Toc15303_WPSOffice_Level2"/>
      <w:bookmarkStart w:id="41" w:name="_Toc15218_WPSOffice_Level2"/>
      <w:r>
        <w:rPr>
          <w:rFonts w:hint="eastAsia" w:cs="宋体" w:asciiTheme="minorEastAsia" w:hAnsiTheme="minorEastAsia" w:eastAsiaTheme="minorEastAsia"/>
          <w:b/>
          <w:bCs/>
          <w:u w:val="none"/>
        </w:rPr>
        <w:t>5.磋商文件构成</w:t>
      </w:r>
      <w:bookmarkEnd w:id="37"/>
      <w:bookmarkEnd w:id="38"/>
      <w:bookmarkEnd w:id="39"/>
      <w:bookmarkEnd w:id="40"/>
      <w:bookmarkEnd w:id="41"/>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5"/>
        <w:spacing w:before="0" w:after="0" w:line="400" w:lineRule="exact"/>
        <w:rPr>
          <w:rFonts w:cs="宋体" w:asciiTheme="minorEastAsia" w:hAnsiTheme="minorEastAsia" w:eastAsiaTheme="minorEastAsia"/>
          <w:b/>
          <w:bCs/>
          <w:u w:val="none"/>
        </w:rPr>
      </w:pPr>
      <w:bookmarkStart w:id="42" w:name="_Toc520356148"/>
      <w:bookmarkStart w:id="43" w:name="_Toc518923067"/>
      <w:bookmarkStart w:id="44" w:name="_Toc90_WPSOffice_Level2"/>
      <w:bookmarkStart w:id="45" w:name="_Toc29081_WPSOffice_Level2"/>
      <w:bookmarkStart w:id="46" w:name="_Toc21314"/>
      <w:r>
        <w:rPr>
          <w:rFonts w:hint="eastAsia" w:cs="宋体" w:asciiTheme="minorEastAsia" w:hAnsiTheme="minorEastAsia" w:eastAsiaTheme="minorEastAsia"/>
          <w:b/>
          <w:bCs/>
          <w:u w:val="none"/>
        </w:rPr>
        <w:t>6.磋商文件的澄清</w:t>
      </w:r>
      <w:bookmarkEnd w:id="42"/>
      <w:r>
        <w:rPr>
          <w:rFonts w:hint="eastAsia" w:cs="宋体" w:asciiTheme="minorEastAsia" w:hAnsiTheme="minorEastAsia" w:eastAsiaTheme="minorEastAsia"/>
          <w:b/>
          <w:bCs/>
          <w:u w:val="none"/>
        </w:rPr>
        <w:t>与修改</w:t>
      </w:r>
      <w:bookmarkEnd w:id="43"/>
      <w:bookmarkEnd w:id="44"/>
      <w:bookmarkEnd w:id="45"/>
      <w:bookmarkEnd w:id="46"/>
    </w:p>
    <w:p>
      <w:pPr>
        <w:pStyle w:val="9"/>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7" w:name="_Toc520356149"/>
      <w:bookmarkStart w:id="48"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9"/>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9"/>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5"/>
        <w:tabs>
          <w:tab w:val="left" w:pos="900"/>
        </w:tabs>
        <w:spacing w:before="0" w:after="0" w:line="400" w:lineRule="exact"/>
        <w:rPr>
          <w:rFonts w:cs="宋体" w:asciiTheme="minorEastAsia" w:hAnsiTheme="minorEastAsia" w:eastAsiaTheme="minorEastAsia"/>
          <w:b/>
          <w:bCs/>
          <w:u w:val="none"/>
        </w:rPr>
      </w:pPr>
      <w:bookmarkStart w:id="49" w:name="_Toc31699_WPSOffice_Level2"/>
      <w:bookmarkStart w:id="50" w:name="_Toc10994"/>
      <w:bookmarkStart w:id="51" w:name="_Toc9694_WPSOffice_Level2"/>
      <w:bookmarkStart w:id="52" w:name="_Toc518923068"/>
      <w:r>
        <w:rPr>
          <w:rFonts w:hint="eastAsia" w:cs="宋体" w:asciiTheme="minorEastAsia" w:hAnsiTheme="minorEastAsia" w:eastAsiaTheme="minorEastAsia"/>
          <w:b/>
          <w:bCs/>
          <w:u w:val="none"/>
        </w:rPr>
        <w:t>7</w:t>
      </w:r>
      <w:bookmarkEnd w:id="47"/>
      <w:bookmarkEnd w:id="48"/>
      <w:r>
        <w:rPr>
          <w:rFonts w:hint="eastAsia" w:cs="宋体" w:asciiTheme="minorEastAsia" w:hAnsiTheme="minorEastAsia" w:eastAsiaTheme="minorEastAsia"/>
          <w:b/>
          <w:bCs/>
          <w:u w:val="none"/>
        </w:rPr>
        <w:t>.响应文件递交截止时间的顺延</w:t>
      </w:r>
      <w:bookmarkEnd w:id="49"/>
      <w:bookmarkEnd w:id="50"/>
      <w:bookmarkEnd w:id="51"/>
      <w:bookmarkEnd w:id="5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cs="宋体" w:asciiTheme="minorEastAsia" w:hAnsiTheme="minorEastAsia" w:eastAsiaTheme="minorEastAsia"/>
        </w:rPr>
      </w:pPr>
      <w:bookmarkStart w:id="53" w:name="_Toc516367020"/>
      <w:bookmarkStart w:id="54" w:name="_Toc4436_WPSOffice_Level1"/>
      <w:bookmarkStart w:id="55" w:name="_Toc14864"/>
      <w:bookmarkStart w:id="56" w:name="_Toc25389"/>
      <w:bookmarkStart w:id="57" w:name="_Toc216582807"/>
      <w:bookmarkStart w:id="58" w:name="_Toc518923069"/>
      <w:bookmarkStart w:id="59" w:name="_Toc520356150"/>
      <w:bookmarkStart w:id="60" w:name="_Toc19224"/>
      <w:r>
        <w:rPr>
          <w:rFonts w:hint="eastAsia" w:cs="宋体" w:asciiTheme="minorEastAsia" w:hAnsiTheme="minorEastAsia" w:eastAsiaTheme="minorEastAsia"/>
          <w:sz w:val="28"/>
        </w:rPr>
        <w:t>三</w:t>
      </w:r>
      <w:bookmarkEnd w:id="53"/>
      <w:r>
        <w:rPr>
          <w:rFonts w:hint="eastAsia" w:cs="宋体" w:asciiTheme="minorEastAsia" w:hAnsiTheme="minorEastAsia" w:eastAsiaTheme="minorEastAsia"/>
          <w:sz w:val="28"/>
        </w:rPr>
        <w:t>响应文件的编制</w:t>
      </w:r>
      <w:bookmarkEnd w:id="54"/>
      <w:bookmarkEnd w:id="55"/>
      <w:bookmarkEnd w:id="56"/>
      <w:bookmarkEnd w:id="57"/>
      <w:bookmarkEnd w:id="58"/>
      <w:bookmarkEnd w:id="59"/>
      <w:bookmarkEnd w:id="60"/>
    </w:p>
    <w:p>
      <w:pPr>
        <w:pStyle w:val="5"/>
        <w:tabs>
          <w:tab w:val="left" w:pos="900"/>
        </w:tabs>
        <w:spacing w:before="0" w:after="0" w:line="400" w:lineRule="exact"/>
        <w:rPr>
          <w:rFonts w:cs="宋体" w:asciiTheme="minorEastAsia" w:hAnsiTheme="minorEastAsia" w:eastAsiaTheme="minorEastAsia"/>
          <w:b/>
          <w:bCs/>
          <w:u w:val="none"/>
        </w:rPr>
      </w:pPr>
      <w:bookmarkStart w:id="61" w:name="_Toc20686_WPSOffice_Level2"/>
      <w:bookmarkStart w:id="62" w:name="_Toc516367021"/>
      <w:bookmarkStart w:id="63" w:name="_Toc6728"/>
      <w:bookmarkStart w:id="64" w:name="_Toc13590_WPSOffice_Level2"/>
      <w:bookmarkStart w:id="65" w:name="_Toc520356151"/>
      <w:bookmarkStart w:id="66" w:name="_Toc518923070"/>
      <w:r>
        <w:rPr>
          <w:rFonts w:hint="eastAsia" w:cs="宋体" w:asciiTheme="minorEastAsia" w:hAnsiTheme="minorEastAsia" w:eastAsiaTheme="minorEastAsia"/>
          <w:b/>
          <w:bCs/>
          <w:u w:val="none"/>
        </w:rPr>
        <w:t>8.</w:t>
      </w:r>
      <w:r>
        <w:rPr>
          <w:rFonts w:hint="eastAsia" w:cs="宋体" w:asciiTheme="minorEastAsia" w:hAnsiTheme="minorEastAsia" w:eastAsiaTheme="minorEastAsia"/>
          <w:b/>
          <w:bCs/>
          <w:u w:val="none"/>
        </w:rPr>
        <w:tab/>
      </w:r>
      <w:r>
        <w:rPr>
          <w:rFonts w:hint="eastAsia" w:cs="宋体" w:asciiTheme="minorEastAsia" w:hAnsiTheme="minorEastAsia" w:eastAsiaTheme="minorEastAsia"/>
          <w:b/>
          <w:bCs/>
          <w:u w:val="none"/>
        </w:rPr>
        <w:t>磋商范围及响应文件成交准和计量单位的使用</w:t>
      </w:r>
      <w:bookmarkEnd w:id="61"/>
      <w:bookmarkEnd w:id="62"/>
      <w:bookmarkEnd w:id="63"/>
      <w:bookmarkEnd w:id="64"/>
      <w:bookmarkEnd w:id="65"/>
      <w:bookmarkEnd w:id="66"/>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5"/>
        <w:tabs>
          <w:tab w:val="left" w:pos="900"/>
        </w:tabs>
        <w:spacing w:before="0" w:after="0" w:line="400" w:lineRule="exact"/>
        <w:rPr>
          <w:rFonts w:cs="宋体" w:asciiTheme="minorEastAsia" w:hAnsiTheme="minorEastAsia" w:eastAsiaTheme="minorEastAsia"/>
          <w:b/>
          <w:bCs/>
          <w:u w:val="none"/>
        </w:rPr>
      </w:pPr>
      <w:bookmarkStart w:id="67" w:name="_Ref467306195"/>
      <w:bookmarkStart w:id="68" w:name="_Toc516367022"/>
      <w:bookmarkStart w:id="69" w:name="_Ref467306676"/>
      <w:bookmarkStart w:id="70" w:name="_Toc15487"/>
      <w:bookmarkStart w:id="71" w:name="_Toc28579_WPSOffice_Level2"/>
      <w:bookmarkStart w:id="72" w:name="_Toc518923071"/>
      <w:bookmarkStart w:id="73" w:name="_Toc520356152"/>
      <w:bookmarkStart w:id="74" w:name="_Toc31935_WPSOffice_Level2"/>
      <w:r>
        <w:rPr>
          <w:rFonts w:hint="eastAsia" w:cs="宋体" w:asciiTheme="minorEastAsia" w:hAnsiTheme="minorEastAsia" w:eastAsiaTheme="minorEastAsia"/>
          <w:b/>
          <w:bCs/>
          <w:u w:val="none"/>
        </w:rPr>
        <w:t>9.</w:t>
      </w:r>
      <w:bookmarkEnd w:id="67"/>
      <w:bookmarkEnd w:id="68"/>
      <w:bookmarkEnd w:id="69"/>
      <w:r>
        <w:rPr>
          <w:rFonts w:hint="eastAsia" w:cs="宋体" w:asciiTheme="minorEastAsia" w:hAnsiTheme="minorEastAsia" w:eastAsiaTheme="minorEastAsia"/>
          <w:b/>
          <w:bCs/>
          <w:u w:val="none"/>
        </w:rPr>
        <w:t>响应文件构成</w:t>
      </w:r>
      <w:bookmarkEnd w:id="70"/>
      <w:bookmarkEnd w:id="71"/>
      <w:bookmarkEnd w:id="72"/>
      <w:bookmarkEnd w:id="73"/>
      <w:bookmarkEnd w:id="74"/>
    </w:p>
    <w:p>
      <w:pPr>
        <w:tabs>
          <w:tab w:val="left" w:pos="900"/>
          <w:tab w:val="left" w:pos="5580"/>
        </w:tabs>
        <w:spacing w:line="360" w:lineRule="exact"/>
        <w:ind w:left="960" w:hanging="960" w:hangingChars="400"/>
        <w:jc w:val="left"/>
        <w:rPr>
          <w:rFonts w:eastAsiaTheme="minorEastAsia"/>
        </w:rPr>
      </w:pPr>
      <w:bookmarkStart w:id="75" w:name="_Ref467052588"/>
      <w:r>
        <w:rPr>
          <w:rFonts w:hint="eastAsia" w:cs="宋体" w:asciiTheme="minorEastAsia" w:hAnsiTheme="minorEastAsia" w:eastAsiaTheme="minorEastAsia"/>
          <w:sz w:val="24"/>
        </w:rPr>
        <w:t xml:space="preserve">9.1    </w:t>
      </w:r>
      <w:bookmarkEnd w:id="75"/>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5"/>
        <w:tabs>
          <w:tab w:val="left" w:pos="900"/>
        </w:tabs>
        <w:spacing w:before="0" w:after="0" w:line="400" w:lineRule="exact"/>
        <w:rPr>
          <w:rFonts w:cs="宋体" w:asciiTheme="minorEastAsia" w:hAnsiTheme="minorEastAsia" w:eastAsiaTheme="minorEastAsia"/>
          <w:b/>
          <w:bCs/>
          <w:u w:val="none"/>
        </w:rPr>
      </w:pPr>
      <w:bookmarkStart w:id="76" w:name="_Toc10751_WPSOffice_Level2"/>
      <w:bookmarkStart w:id="77" w:name="_Toc520356153"/>
      <w:bookmarkStart w:id="78" w:name="_Toc518923072"/>
      <w:bookmarkStart w:id="79" w:name="_Toc2671"/>
      <w:bookmarkStart w:id="80" w:name="_Toc5768_WPSOffice_Level2"/>
      <w:bookmarkStart w:id="81" w:name="_Toc516367023"/>
      <w:bookmarkStart w:id="82" w:name="_Toc508185920"/>
      <w:bookmarkStart w:id="83" w:name="_Toc520356155"/>
      <w:r>
        <w:rPr>
          <w:rFonts w:hint="eastAsia" w:cs="宋体" w:asciiTheme="minorEastAsia" w:hAnsiTheme="minorEastAsia" w:eastAsiaTheme="minorEastAsia"/>
          <w:b/>
          <w:bCs/>
          <w:u w:val="none"/>
        </w:rPr>
        <w:t>10.</w:t>
      </w:r>
      <w:r>
        <w:rPr>
          <w:rFonts w:hint="eastAsia" w:cs="宋体" w:asciiTheme="minorEastAsia" w:hAnsiTheme="minorEastAsia" w:eastAsiaTheme="minorEastAsia"/>
          <w:b/>
          <w:bCs/>
          <w:u w:val="none"/>
        </w:rPr>
        <w:tab/>
      </w:r>
      <w:r>
        <w:rPr>
          <w:rFonts w:hint="eastAsia" w:cs="宋体" w:asciiTheme="minorEastAsia" w:hAnsiTheme="minorEastAsia" w:eastAsiaTheme="minorEastAsia"/>
          <w:b/>
          <w:bCs/>
          <w:u w:val="none"/>
        </w:rPr>
        <w:t>证明标的的合格性和符合磋商文件规定的响应文件</w:t>
      </w:r>
      <w:bookmarkEnd w:id="76"/>
      <w:bookmarkEnd w:id="77"/>
      <w:bookmarkEnd w:id="78"/>
      <w:bookmarkEnd w:id="79"/>
      <w:bookmarkEnd w:id="80"/>
      <w:bookmarkEnd w:id="81"/>
      <w:bookmarkEnd w:id="8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4"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4"/>
      <w:r>
        <w:rPr>
          <w:rFonts w:hint="eastAsia" w:cs="宋体" w:asciiTheme="minorEastAsia" w:hAnsiTheme="minorEastAsia" w:eastAsiaTheme="minorEastAsia"/>
          <w:sz w:val="24"/>
        </w:rPr>
        <w:t>。</w:t>
      </w:r>
    </w:p>
    <w:p>
      <w:pPr>
        <w:pStyle w:val="5"/>
        <w:spacing w:before="0" w:after="0" w:line="400" w:lineRule="exact"/>
        <w:rPr>
          <w:rFonts w:cs="宋体" w:asciiTheme="minorEastAsia" w:hAnsiTheme="minorEastAsia" w:eastAsiaTheme="minorEastAsia"/>
          <w:b/>
          <w:bCs/>
          <w:u w:val="none"/>
        </w:rPr>
      </w:pPr>
      <w:bookmarkStart w:id="85" w:name="_Toc518923073"/>
      <w:bookmarkStart w:id="86" w:name="_Toc8529"/>
      <w:bookmarkStart w:id="87" w:name="_Toc15335_WPSOffice_Level2"/>
      <w:bookmarkStart w:id="88" w:name="_Toc32368_WPSOffice_Level2"/>
      <w:r>
        <w:rPr>
          <w:rFonts w:hint="eastAsia" w:cs="宋体" w:asciiTheme="minorEastAsia" w:hAnsiTheme="minorEastAsia" w:eastAsiaTheme="minorEastAsia"/>
          <w:b/>
          <w:bCs/>
          <w:u w:val="none"/>
        </w:rPr>
        <w:t>11.</w:t>
      </w:r>
      <w:bookmarkEnd w:id="83"/>
      <w:bookmarkEnd w:id="85"/>
      <w:bookmarkEnd w:id="86"/>
      <w:r>
        <w:rPr>
          <w:rFonts w:hint="eastAsia" w:cs="宋体" w:asciiTheme="minorEastAsia" w:hAnsiTheme="minorEastAsia" w:eastAsiaTheme="minorEastAsia"/>
          <w:b/>
          <w:bCs/>
          <w:u w:val="none"/>
        </w:rPr>
        <w:t>磋商报价</w:t>
      </w:r>
      <w:bookmarkEnd w:id="87"/>
      <w:bookmarkEnd w:id="8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6"/>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5"/>
        <w:spacing w:before="0" w:after="0" w:line="400" w:lineRule="exact"/>
        <w:rPr>
          <w:rFonts w:cs="宋体" w:asciiTheme="minorEastAsia" w:hAnsiTheme="minorEastAsia" w:eastAsiaTheme="minorEastAsia"/>
          <w:b/>
          <w:bCs/>
          <w:u w:val="none"/>
        </w:rPr>
      </w:pPr>
      <w:bookmarkStart w:id="89" w:name="_Toc520356156"/>
      <w:bookmarkStart w:id="90" w:name="_Toc16199"/>
      <w:bookmarkStart w:id="91" w:name="_Toc518923074"/>
      <w:bookmarkStart w:id="92" w:name="_Ref467306513"/>
      <w:bookmarkStart w:id="93" w:name="_Toc24125_WPSOffice_Level2"/>
      <w:bookmarkStart w:id="94" w:name="_Toc25748_WPSOffice_Level2"/>
      <w:r>
        <w:rPr>
          <w:rFonts w:hint="eastAsia" w:cs="宋体" w:asciiTheme="minorEastAsia" w:hAnsiTheme="minorEastAsia" w:eastAsiaTheme="minorEastAsia"/>
          <w:b/>
          <w:bCs/>
          <w:u w:val="none"/>
        </w:rPr>
        <w:t>12.</w:t>
      </w:r>
      <w:bookmarkEnd w:id="89"/>
      <w:bookmarkEnd w:id="90"/>
      <w:bookmarkEnd w:id="91"/>
      <w:bookmarkEnd w:id="92"/>
      <w:r>
        <w:rPr>
          <w:rFonts w:hint="eastAsia" w:cs="宋体" w:asciiTheme="minorEastAsia" w:hAnsiTheme="minorEastAsia" w:eastAsiaTheme="minorEastAsia"/>
          <w:b/>
          <w:bCs/>
          <w:u w:val="none"/>
        </w:rPr>
        <w:t>磋商保证金</w:t>
      </w:r>
      <w:bookmarkEnd w:id="93"/>
      <w:bookmarkEnd w:id="94"/>
    </w:p>
    <w:p>
      <w:pPr>
        <w:spacing w:line="400" w:lineRule="exact"/>
        <w:ind w:left="900" w:hanging="900" w:hangingChars="375"/>
        <w:rPr>
          <w:rFonts w:cs="宋体" w:asciiTheme="minorEastAsia" w:hAnsiTheme="minorEastAsia" w:eastAsiaTheme="minorEastAsia"/>
          <w:sz w:val="24"/>
        </w:rPr>
      </w:pPr>
      <w:bookmarkStart w:id="95"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5"/>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7"/>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7"/>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7"/>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7"/>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6"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6"/>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b/>
          <w:bCs/>
          <w:sz w:val="24"/>
        </w:rPr>
      </w:pPr>
      <w:r>
        <w:rPr>
          <w:rFonts w:hint="eastAsia" w:cs="宋体" w:asciiTheme="minorEastAsia" w:hAnsiTheme="minorEastAsia" w:eastAsiaTheme="minorEastAsia"/>
          <w:b/>
          <w:bCs/>
          <w:sz w:val="24"/>
        </w:rPr>
        <w:t>12.6</w:t>
      </w:r>
      <w:r>
        <w:rPr>
          <w:rFonts w:hint="eastAsia" w:cs="宋体" w:asciiTheme="minorEastAsia" w:hAnsiTheme="minorEastAsia" w:eastAsiaTheme="minorEastAsia"/>
          <w:b/>
          <w:bCs/>
          <w:sz w:val="24"/>
        </w:rPr>
        <w:tab/>
      </w:r>
      <w:r>
        <w:rPr>
          <w:rFonts w:hint="eastAsia" w:cs="宋体" w:asciiTheme="minorEastAsia" w:hAnsiTheme="minorEastAsia" w:eastAsiaTheme="minorEastAsia"/>
          <w:b/>
          <w:bCs/>
          <w:sz w:val="24"/>
        </w:rPr>
        <w:t>磋商保证金的退还</w:t>
      </w:r>
    </w:p>
    <w:p>
      <w:pPr>
        <w:spacing w:line="400" w:lineRule="exact"/>
        <w:ind w:left="1020" w:hanging="1020" w:hangingChars="425"/>
        <w:rPr>
          <w:rFonts w:cs="宋体" w:asciiTheme="minorEastAsia" w:hAnsiTheme="minorEastAsia" w:eastAsiaTheme="minorEastAsia"/>
          <w:b/>
          <w:bCs/>
          <w:sz w:val="24"/>
        </w:rPr>
      </w:pPr>
      <w:r>
        <w:rPr>
          <w:rFonts w:hint="eastAsia" w:cs="宋体" w:asciiTheme="minorEastAsia" w:hAnsiTheme="minorEastAsia" w:eastAsiaTheme="minorEastAsia"/>
          <w:b/>
          <w:bCs/>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7"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7"/>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5"/>
        <w:spacing w:before="0" w:after="0" w:line="400" w:lineRule="exact"/>
        <w:rPr>
          <w:rFonts w:cs="宋体" w:asciiTheme="minorEastAsia" w:hAnsiTheme="minorEastAsia" w:eastAsiaTheme="minorEastAsia"/>
          <w:b/>
          <w:bCs/>
          <w:u w:val="none"/>
        </w:rPr>
      </w:pPr>
      <w:bookmarkStart w:id="98" w:name="_Toc518923076"/>
      <w:bookmarkStart w:id="99" w:name="_Toc20355"/>
      <w:bookmarkStart w:id="100" w:name="_Toc520356157"/>
      <w:bookmarkStart w:id="101" w:name="_Toc4716_WPSOffice_Level2"/>
      <w:bookmarkStart w:id="102" w:name="_Toc11106_WPSOffice_Level2"/>
      <w:r>
        <w:rPr>
          <w:rFonts w:hint="eastAsia" w:cs="宋体" w:asciiTheme="minorEastAsia" w:hAnsiTheme="minorEastAsia" w:eastAsiaTheme="minorEastAsia"/>
          <w:b/>
          <w:bCs/>
          <w:u w:val="none"/>
        </w:rPr>
        <w:t>13.</w:t>
      </w:r>
      <w:bookmarkEnd w:id="98"/>
      <w:bookmarkEnd w:id="99"/>
      <w:bookmarkEnd w:id="100"/>
      <w:r>
        <w:rPr>
          <w:rFonts w:hint="eastAsia" w:cs="宋体" w:asciiTheme="minorEastAsia" w:hAnsiTheme="minorEastAsia" w:eastAsiaTheme="minorEastAsia"/>
          <w:b/>
          <w:bCs/>
          <w:u w:val="none"/>
        </w:rPr>
        <w:t>磋商有效期</w:t>
      </w:r>
      <w:bookmarkEnd w:id="101"/>
      <w:bookmarkEnd w:id="10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5"/>
        <w:spacing w:before="0" w:after="0" w:line="400" w:lineRule="exact"/>
        <w:rPr>
          <w:rFonts w:cs="宋体" w:asciiTheme="minorEastAsia" w:hAnsiTheme="minorEastAsia" w:eastAsiaTheme="minorEastAsia"/>
          <w:b/>
          <w:bCs/>
          <w:u w:val="none"/>
        </w:rPr>
      </w:pPr>
      <w:bookmarkStart w:id="103" w:name="_Toc520356158"/>
      <w:bookmarkStart w:id="104" w:name="_Toc31308_WPSOffice_Level2"/>
      <w:bookmarkStart w:id="105" w:name="_Toc518923077"/>
      <w:bookmarkStart w:id="106" w:name="_Toc27303"/>
      <w:bookmarkStart w:id="107" w:name="_Toc13034_WPSOffice_Level2"/>
      <w:r>
        <w:rPr>
          <w:rFonts w:hint="eastAsia" w:cs="宋体" w:asciiTheme="minorEastAsia" w:hAnsiTheme="minorEastAsia" w:eastAsiaTheme="minorEastAsia"/>
          <w:b/>
          <w:bCs/>
          <w:u w:val="none"/>
        </w:rPr>
        <w:t>14.响应文件的签署</w:t>
      </w:r>
      <w:bookmarkEnd w:id="103"/>
      <w:r>
        <w:rPr>
          <w:rFonts w:hint="eastAsia" w:cs="宋体" w:asciiTheme="minorEastAsia" w:hAnsiTheme="minorEastAsia" w:eastAsiaTheme="minorEastAsia"/>
          <w:b/>
          <w:bCs/>
          <w:u w:val="none"/>
        </w:rPr>
        <w:t>及规定</w:t>
      </w:r>
      <w:bookmarkEnd w:id="104"/>
      <w:bookmarkEnd w:id="105"/>
      <w:bookmarkEnd w:id="106"/>
      <w:bookmarkEnd w:id="10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highlight w:val="none"/>
        </w:rPr>
        <w:t>并由供应商的法定代表人或其委托代理人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1079" w:leftChars="257" w:hanging="540"/>
        <w:rPr>
          <w:rFonts w:cs="宋体" w:asciiTheme="minorEastAsia" w:hAnsiTheme="minorEastAsia" w:eastAsiaTheme="minorEastAsia"/>
          <w:color w:val="000000"/>
        </w:rPr>
      </w:pPr>
      <w:bookmarkStart w:id="108" w:name="_Toc520356159"/>
      <w:bookmarkStart w:id="109" w:name="_Toc23518"/>
      <w:bookmarkStart w:id="110" w:name="_Toc518923078"/>
      <w:bookmarkStart w:id="111" w:name="_Toc216582808"/>
      <w:bookmarkStart w:id="112" w:name="_Toc12309"/>
      <w:bookmarkStart w:id="113" w:name="_Toc30674_WPSOffice_Level1"/>
      <w:bookmarkStart w:id="114" w:name="_Toc22303"/>
      <w:r>
        <w:rPr>
          <w:rFonts w:hint="eastAsia" w:cs="宋体" w:asciiTheme="minorEastAsia" w:hAnsiTheme="minorEastAsia" w:eastAsiaTheme="minorEastAsia"/>
          <w:color w:val="000000"/>
          <w:sz w:val="24"/>
        </w:rPr>
        <w:t>四响应文件的递交</w:t>
      </w:r>
      <w:bookmarkEnd w:id="108"/>
      <w:bookmarkEnd w:id="109"/>
      <w:bookmarkEnd w:id="110"/>
      <w:bookmarkEnd w:id="111"/>
      <w:bookmarkEnd w:id="112"/>
      <w:bookmarkEnd w:id="113"/>
      <w:bookmarkEnd w:id="114"/>
    </w:p>
    <w:p>
      <w:pPr>
        <w:pStyle w:val="5"/>
        <w:spacing w:before="0" w:after="0" w:line="400" w:lineRule="exact"/>
        <w:rPr>
          <w:rFonts w:cs="宋体" w:asciiTheme="minorEastAsia" w:hAnsiTheme="minorEastAsia" w:eastAsiaTheme="minorEastAsia"/>
          <w:b/>
          <w:bCs/>
          <w:color w:val="000000"/>
          <w:u w:val="none"/>
        </w:rPr>
      </w:pPr>
      <w:bookmarkStart w:id="115" w:name="_Toc520356160"/>
      <w:bookmarkStart w:id="116" w:name="_Toc518923079"/>
      <w:bookmarkStart w:id="117" w:name="_Toc13247"/>
      <w:bookmarkStart w:id="118" w:name="_Toc22654_WPSOffice_Level2"/>
      <w:bookmarkStart w:id="119" w:name="_Toc24004_WPSOffice_Level2"/>
      <w:r>
        <w:rPr>
          <w:rFonts w:hint="eastAsia" w:cs="宋体" w:asciiTheme="minorEastAsia" w:hAnsiTheme="minorEastAsia" w:eastAsiaTheme="minorEastAsia"/>
          <w:b/>
          <w:bCs/>
          <w:color w:val="000000"/>
          <w:u w:val="none"/>
        </w:rPr>
        <w:t>15.响应文件的密封和标记</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5"/>
        <w:spacing w:before="0" w:after="0" w:line="400" w:lineRule="exact"/>
        <w:rPr>
          <w:rFonts w:cs="宋体" w:asciiTheme="minorEastAsia" w:hAnsiTheme="minorEastAsia" w:eastAsiaTheme="minorEastAsia"/>
          <w:b/>
          <w:bCs/>
          <w:u w:val="none"/>
        </w:rPr>
      </w:pPr>
      <w:bookmarkStart w:id="120" w:name="_Toc178_WPSOffice_Level2"/>
      <w:bookmarkStart w:id="121" w:name="_Toc518923080"/>
      <w:bookmarkStart w:id="122" w:name="_Toc25787"/>
      <w:bookmarkStart w:id="123" w:name="_Toc14358_WPSOffice_Level2"/>
      <w:bookmarkStart w:id="124" w:name="_Toc520356161"/>
      <w:r>
        <w:rPr>
          <w:rFonts w:hint="eastAsia" w:cs="宋体" w:asciiTheme="minorEastAsia" w:hAnsiTheme="minorEastAsia" w:eastAsiaTheme="minorEastAsia"/>
          <w:b/>
          <w:bCs/>
          <w:u w:val="none"/>
        </w:rPr>
        <w:t>16.磋商截止</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5"/>
        <w:spacing w:before="0" w:after="0" w:line="400" w:lineRule="exact"/>
        <w:rPr>
          <w:rFonts w:cs="宋体" w:asciiTheme="minorEastAsia" w:hAnsiTheme="minorEastAsia" w:eastAsiaTheme="minorEastAsia"/>
          <w:b/>
          <w:bCs/>
          <w:u w:val="none"/>
        </w:rPr>
      </w:pPr>
      <w:bookmarkStart w:id="125" w:name="_Toc26522_WPSOffice_Level2"/>
      <w:bookmarkStart w:id="126" w:name="_Toc518923081"/>
      <w:bookmarkStart w:id="127" w:name="_Toc17985_WPSOffice_Level2"/>
      <w:bookmarkStart w:id="128" w:name="_Toc520356162"/>
      <w:bookmarkStart w:id="129" w:name="_Toc13921"/>
      <w:r>
        <w:rPr>
          <w:rFonts w:hint="eastAsia" w:cs="宋体" w:asciiTheme="minorEastAsia" w:hAnsiTheme="minorEastAsia" w:eastAsiaTheme="minorEastAsia"/>
          <w:b/>
          <w:bCs/>
          <w:u w:val="none"/>
        </w:rPr>
        <w:t>17.响应文件的接收、修改与撤回</w:t>
      </w:r>
      <w:bookmarkEnd w:id="125"/>
      <w:bookmarkEnd w:id="126"/>
      <w:bookmarkEnd w:id="127"/>
      <w:bookmarkEnd w:id="128"/>
      <w:bookmarkEnd w:id="129"/>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30" w:name="_Toc518923082"/>
      <w:bookmarkStart w:id="131" w:name="_Toc10257"/>
      <w:bookmarkStart w:id="132" w:name="_Toc520356163"/>
      <w:bookmarkStart w:id="133" w:name="_Toc216582809"/>
    </w:p>
    <w:p>
      <w:pPr>
        <w:pStyle w:val="4"/>
        <w:spacing w:before="0" w:line="400" w:lineRule="exact"/>
        <w:ind w:left="1079" w:leftChars="257" w:hanging="540"/>
        <w:rPr>
          <w:rFonts w:cs="宋体" w:asciiTheme="minorEastAsia" w:hAnsiTheme="minorEastAsia" w:eastAsiaTheme="minorEastAsia"/>
        </w:rPr>
      </w:pPr>
      <w:bookmarkStart w:id="134" w:name="_Toc6601_WPSOffice_Level1"/>
      <w:bookmarkStart w:id="135" w:name="_Toc4153"/>
      <w:bookmarkStart w:id="136" w:name="_Toc31048"/>
      <w:r>
        <w:rPr>
          <w:rFonts w:hint="eastAsia" w:cs="宋体" w:asciiTheme="minorEastAsia" w:hAnsiTheme="minorEastAsia" w:eastAsiaTheme="minorEastAsia"/>
          <w:sz w:val="24"/>
        </w:rPr>
        <w:t>五磋商开启及</w:t>
      </w:r>
      <w:bookmarkEnd w:id="130"/>
      <w:bookmarkEnd w:id="131"/>
      <w:bookmarkEnd w:id="132"/>
      <w:bookmarkEnd w:id="133"/>
      <w:r>
        <w:rPr>
          <w:rFonts w:hint="eastAsia" w:cs="宋体" w:asciiTheme="minorEastAsia" w:hAnsiTheme="minorEastAsia" w:eastAsiaTheme="minorEastAsia"/>
          <w:sz w:val="24"/>
        </w:rPr>
        <w:t>评审</w:t>
      </w:r>
      <w:bookmarkEnd w:id="134"/>
      <w:bookmarkEnd w:id="135"/>
      <w:bookmarkEnd w:id="136"/>
    </w:p>
    <w:p>
      <w:pPr>
        <w:pStyle w:val="5"/>
        <w:spacing w:before="0" w:after="0" w:line="400" w:lineRule="exact"/>
        <w:rPr>
          <w:rFonts w:cs="宋体" w:asciiTheme="minorEastAsia" w:hAnsiTheme="minorEastAsia" w:eastAsiaTheme="minorEastAsia"/>
          <w:b/>
          <w:bCs/>
          <w:u w:val="none"/>
        </w:rPr>
      </w:pPr>
      <w:bookmarkStart w:id="137" w:name="_Toc8653"/>
      <w:bookmarkStart w:id="138" w:name="_Toc518923083"/>
      <w:bookmarkStart w:id="139" w:name="_Toc520356164"/>
      <w:bookmarkStart w:id="140" w:name="_Toc13011_WPSOffice_Level2"/>
      <w:bookmarkStart w:id="141" w:name="_Toc32308_WPSOffice_Level2"/>
      <w:r>
        <w:rPr>
          <w:rFonts w:hint="eastAsia" w:cs="宋体" w:asciiTheme="minorEastAsia" w:hAnsiTheme="minorEastAsia" w:eastAsiaTheme="minorEastAsia"/>
          <w:b/>
          <w:bCs/>
          <w:u w:val="none"/>
        </w:rPr>
        <w:t>18.</w:t>
      </w:r>
      <w:bookmarkEnd w:id="137"/>
      <w:bookmarkEnd w:id="138"/>
      <w:bookmarkEnd w:id="139"/>
      <w:r>
        <w:rPr>
          <w:rFonts w:hint="eastAsia" w:cs="宋体" w:asciiTheme="minorEastAsia" w:hAnsiTheme="minorEastAsia" w:eastAsiaTheme="minorEastAsia"/>
          <w:b/>
          <w:bCs/>
          <w:u w:val="none"/>
        </w:rPr>
        <w:t>磋商开启</w:t>
      </w:r>
      <w:bookmarkEnd w:id="140"/>
      <w:bookmarkEnd w:id="141"/>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42"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5"/>
        <w:spacing w:before="0" w:after="0" w:line="400" w:lineRule="exact"/>
        <w:rPr>
          <w:rFonts w:cs="宋体" w:asciiTheme="minorEastAsia" w:hAnsiTheme="minorEastAsia" w:eastAsiaTheme="minorEastAsia"/>
          <w:b/>
          <w:bCs/>
          <w:u w:val="none"/>
        </w:rPr>
      </w:pPr>
      <w:bookmarkStart w:id="143" w:name="_Toc21320_WPSOffice_Level2"/>
      <w:bookmarkStart w:id="144" w:name="_Toc518923084"/>
      <w:bookmarkStart w:id="145" w:name="_Toc4350_WPSOffice_Level2"/>
      <w:bookmarkStart w:id="146" w:name="_Toc34"/>
      <w:r>
        <w:rPr>
          <w:rFonts w:hint="eastAsia" w:cs="宋体" w:asciiTheme="minorEastAsia" w:hAnsiTheme="minorEastAsia" w:eastAsiaTheme="minorEastAsia"/>
          <w:b/>
          <w:bCs/>
          <w:u w:val="none"/>
        </w:rPr>
        <w:t>19</w:t>
      </w:r>
      <w:bookmarkEnd w:id="142"/>
      <w:r>
        <w:rPr>
          <w:rFonts w:hint="eastAsia" w:cs="宋体" w:asciiTheme="minorEastAsia" w:hAnsiTheme="minorEastAsia" w:eastAsiaTheme="minorEastAsia"/>
          <w:b/>
          <w:bCs/>
          <w:u w:val="none"/>
        </w:rPr>
        <w:t>.资格审查及组建评审委员会</w:t>
      </w:r>
      <w:bookmarkEnd w:id="143"/>
      <w:bookmarkEnd w:id="144"/>
      <w:bookmarkEnd w:id="145"/>
      <w:bookmarkEnd w:id="146"/>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w:t>
      </w:r>
    </w:p>
    <w:p>
      <w:pPr>
        <w:widowControl/>
        <w:spacing w:line="400" w:lineRule="exact"/>
        <w:jc w:val="left"/>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①合格有效的企业法人营业执照（三证合一）副本（原件、复印件、影印件均可）或电子营业执照打印件（需加盖公章）或同等法律效力的证明文件（发证机关或公证机关出具的证明材料原件）</w:t>
      </w:r>
    </w:p>
    <w:p>
      <w:pPr>
        <w:widowControl/>
        <w:spacing w:line="400" w:lineRule="exact"/>
        <w:jc w:val="left"/>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lang w:val="en-US" w:eastAsia="zh-CN"/>
        </w:rPr>
        <w:t>②法人代表资格证明书或法人授权委托书原件及其人员有效证件（如身份证原件），开标现场授权委托人需与投标文件中保持一致</w:t>
      </w:r>
      <w:r>
        <w:rPr>
          <w:rFonts w:hint="eastAsia" w:cs="宋体" w:asciiTheme="minorEastAsia" w:hAnsiTheme="minorEastAsia" w:eastAsiaTheme="minorEastAsia"/>
          <w:b/>
          <w:bCs/>
          <w:sz w:val="24"/>
        </w:rPr>
        <w:t>。</w:t>
      </w:r>
    </w:p>
    <w:p>
      <w:pPr>
        <w:pStyle w:val="2"/>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③提供针对本次项目《反商业贿赂承诺书》</w:t>
      </w:r>
    </w:p>
    <w:p>
      <w:pPr>
        <w:pStyle w:val="2"/>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④投标保证金有效凭证</w:t>
      </w:r>
    </w:p>
    <w:p>
      <w:pPr>
        <w:pStyle w:val="2"/>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⑤提供由会计师事务所出具的2021年财务审计报告（新成立公司提供有效银行资信证明）；</w:t>
      </w:r>
    </w:p>
    <w:p>
      <w:pPr>
        <w:pStyle w:val="2"/>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⑥提供2022年税务机关出具近三个月的完税证明或缴税资料（完税证明或税务部门出具的其他证明，非社会保险类）的原件或盖章的复印件（新成立不足三个月的提供资信证明）；</w:t>
      </w:r>
    </w:p>
    <w:p>
      <w:pPr>
        <w:pStyle w:val="2"/>
        <w:rPr>
          <w:rFonts w:hint="default" w:cs="宋体" w:asciiTheme="minorEastAsia" w:hAnsiTheme="minorEastAsia" w:eastAsiaTheme="minorEastAsia"/>
          <w:b/>
          <w:bCs/>
          <w:sz w:val="24"/>
          <w:lang w:val="en-US" w:eastAsia="zh-CN"/>
        </w:rPr>
      </w:pPr>
      <w:r>
        <w:rPr>
          <w:rFonts w:hint="default" w:cs="宋体" w:asciiTheme="minorEastAsia" w:hAnsiTheme="minorEastAsia" w:eastAsiaTheme="minorEastAsia"/>
          <w:b/>
          <w:bCs/>
          <w:sz w:val="24"/>
          <w:lang w:val="en-US" w:eastAsia="zh-CN"/>
        </w:rPr>
        <w:t>⑦参加政府采购活动前三年内，在经营活动中没有重大违法记录（提供声明函）；</w:t>
      </w:r>
    </w:p>
    <w:p>
      <w:pPr>
        <w:pStyle w:val="2"/>
        <w:rPr>
          <w:rFonts w:hint="default" w:cs="宋体" w:asciiTheme="minorEastAsia" w:hAnsiTheme="minorEastAsia" w:eastAsiaTheme="minorEastAsia"/>
          <w:b/>
          <w:bCs/>
          <w:sz w:val="24"/>
          <w:lang w:val="en-US" w:eastAsia="zh-CN"/>
        </w:rPr>
      </w:pPr>
      <w:r>
        <w:rPr>
          <w:rFonts w:hint="default" w:cs="宋体" w:asciiTheme="minorEastAsia" w:hAnsiTheme="minorEastAsia" w:eastAsiaTheme="minorEastAsia"/>
          <w:b/>
          <w:bCs/>
          <w:sz w:val="24"/>
          <w:lang w:val="en-US" w:eastAsia="zh-CN"/>
        </w:rPr>
        <w:t>⑧供应商在“信用中国”（www.creditchina.gov.cn）和中国政府采购网（www.ccgp.gov.cn）网站上未列入失信被执行人、重大税收违法案件当事人名单、政府采购严重违法失信行为记录名单（财库[2016]125号）（需提供网上截图加盖公章）</w:t>
      </w:r>
    </w:p>
    <w:p>
      <w:pPr>
        <w:pStyle w:val="2"/>
        <w:rPr>
          <w:rFonts w:hint="default" w:cs="宋体" w:asciiTheme="minorEastAsia" w:hAnsiTheme="minorEastAsia" w:eastAsiaTheme="minorEastAsia"/>
          <w:b/>
          <w:bCs/>
          <w:sz w:val="24"/>
          <w:lang w:val="en-US" w:eastAsia="zh-CN"/>
        </w:rPr>
      </w:pPr>
      <w:r>
        <w:rPr>
          <w:rFonts w:hint="default" w:cs="宋体" w:asciiTheme="minorEastAsia" w:hAnsiTheme="minorEastAsia" w:eastAsiaTheme="minorEastAsia"/>
          <w:b/>
          <w:bCs/>
          <w:sz w:val="24"/>
          <w:lang w:val="en-US" w:eastAsia="zh-CN"/>
        </w:rPr>
        <w:t>⑨投标人提供针对本次项目《反商业贿赂承诺书》</w:t>
      </w:r>
    </w:p>
    <w:p>
      <w:pPr>
        <w:pStyle w:val="2"/>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上述资质开标证明文件能通过官网查询的，均视为合格供应商。</w:t>
      </w:r>
    </w:p>
    <w:p>
      <w:pPr>
        <w:pStyle w:val="2"/>
        <w:rPr>
          <w:rFonts w:hint="default"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在资格审查过程中，潜在投标企业提供的资质不全时，可打开投标文件正本进一步核实，符合条件的均视为合格供应商。</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以采购人或采购代理机构查询结果为准。</w:t>
      </w:r>
    </w:p>
    <w:p>
      <w:pPr>
        <w:pStyle w:val="9"/>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9"/>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19.3   按照《中华人民共和国政府采购法》、《中华人民共和国政府采购法实施条例》</w:t>
      </w:r>
      <w:r>
        <w:rPr>
          <w:rFonts w:hint="eastAsia" w:cs="宋体" w:asciiTheme="minorEastAsia" w:hAnsiTheme="minorEastAsia" w:eastAsiaTheme="minorEastAsia"/>
          <w:sz w:val="24"/>
          <w:lang w:eastAsia="zh-CN"/>
        </w:rPr>
        <w:t>《政府采购竞争性磋商采购方式管理暂行办法》</w:t>
      </w:r>
      <w:r>
        <w:rPr>
          <w:rFonts w:hint="eastAsia" w:cs="宋体" w:asciiTheme="minorEastAsia" w:hAnsiTheme="minorEastAsia" w:eastAsiaTheme="minorEastAsia"/>
          <w:sz w:val="24"/>
        </w:rPr>
        <w:t>及本项目本级和上级财政部门的有关规定依法组建的评审委员会，负责本项目评审工作。</w:t>
      </w:r>
      <w:bookmarkStart w:id="147" w:name="_Toc520356166"/>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评标委员会在开标时间前36小时，在政采云中由代理机构随机抽取相关评审专业的评标专家，抽取评标专家3人，业主专家0人</w:t>
      </w:r>
      <w:r>
        <w:rPr>
          <w:rFonts w:hint="eastAsia" w:cs="宋体" w:asciiTheme="minorEastAsia" w:hAnsiTheme="minorEastAsia" w:eastAsiaTheme="minorEastAsia"/>
          <w:sz w:val="24"/>
          <w:lang w:eastAsia="zh-CN"/>
        </w:rPr>
        <w:t>）</w:t>
      </w:r>
    </w:p>
    <w:p>
      <w:pPr>
        <w:pStyle w:val="5"/>
        <w:spacing w:before="0" w:after="0" w:line="400" w:lineRule="exact"/>
        <w:rPr>
          <w:rFonts w:cs="宋体" w:asciiTheme="minorEastAsia" w:hAnsiTheme="minorEastAsia" w:eastAsiaTheme="minorEastAsia"/>
          <w:b/>
          <w:bCs/>
          <w:bdr w:val="single" w:color="auto" w:sz="4" w:space="0"/>
        </w:rPr>
      </w:pPr>
      <w:bookmarkStart w:id="148" w:name="_Toc518923085"/>
      <w:bookmarkStart w:id="149" w:name="_Toc17843_WPSOffice_Level2"/>
      <w:bookmarkStart w:id="150" w:name="_Toc6842"/>
      <w:bookmarkStart w:id="151" w:name="_Toc31689_WPSOffice_Level2"/>
      <w:r>
        <w:rPr>
          <w:rFonts w:hint="eastAsia" w:cs="宋体" w:asciiTheme="minorEastAsia" w:hAnsiTheme="minorEastAsia" w:eastAsiaTheme="minorEastAsia"/>
          <w:b/>
          <w:bCs/>
          <w:u w:val="none"/>
        </w:rPr>
        <w:t>20.响应文件的</w:t>
      </w:r>
      <w:bookmarkEnd w:id="147"/>
      <w:r>
        <w:rPr>
          <w:rFonts w:hint="eastAsia" w:cs="宋体" w:asciiTheme="minorEastAsia" w:hAnsiTheme="minorEastAsia" w:eastAsiaTheme="minorEastAsia"/>
          <w:b/>
          <w:bCs/>
          <w:u w:val="none"/>
        </w:rPr>
        <w:t>符合性审查与澄清</w:t>
      </w:r>
      <w:bookmarkEnd w:id="148"/>
      <w:bookmarkEnd w:id="149"/>
      <w:bookmarkEnd w:id="150"/>
      <w:bookmarkEnd w:id="151"/>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52" w:name="_Hlt522424701"/>
      <w:bookmarkEnd w:id="152"/>
      <w:bookmarkStart w:id="153"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5"/>
        <w:spacing w:before="0" w:after="0" w:line="400" w:lineRule="exact"/>
        <w:rPr>
          <w:rFonts w:cs="宋体" w:asciiTheme="minorEastAsia" w:hAnsiTheme="minorEastAsia" w:eastAsiaTheme="minorEastAsia"/>
          <w:b/>
          <w:bCs/>
          <w:u w:val="none"/>
        </w:rPr>
      </w:pPr>
      <w:bookmarkStart w:id="154" w:name="_Toc6346_WPSOffice_Level2"/>
      <w:bookmarkStart w:id="155" w:name="_Toc8603"/>
      <w:bookmarkStart w:id="156" w:name="_Toc518923086"/>
      <w:bookmarkStart w:id="157" w:name="_Toc26452_WPSOffice_Level2"/>
      <w:r>
        <w:rPr>
          <w:rFonts w:hint="eastAsia" w:cs="宋体" w:asciiTheme="minorEastAsia" w:hAnsiTheme="minorEastAsia" w:eastAsiaTheme="minorEastAsia"/>
          <w:b/>
          <w:bCs/>
          <w:u w:val="none"/>
        </w:rPr>
        <w:t>21.响应偏离</w:t>
      </w:r>
      <w:bookmarkEnd w:id="154"/>
      <w:bookmarkEnd w:id="155"/>
      <w:bookmarkEnd w:id="156"/>
      <w:bookmarkEnd w:id="157"/>
    </w:p>
    <w:p>
      <w:pPr>
        <w:spacing w:line="400" w:lineRule="exact"/>
        <w:ind w:left="926" w:leftChars="441" w:firstLine="79" w:firstLineChars="33"/>
        <w:rPr>
          <w:rFonts w:cs="宋体" w:asciiTheme="minorEastAsia" w:hAnsiTheme="minorEastAsia" w:eastAsiaTheme="minorEastAsia"/>
          <w:sz w:val="24"/>
        </w:rPr>
      </w:pPr>
      <w:r>
        <w:rPr>
          <w:rFonts w:hint="eastAsia" w:cs="宋体" w:asciiTheme="minorEastAsia" w:hAnsiTheme="minorEastAsia" w:eastAsiaTheme="minorEastAsia"/>
          <w:sz w:val="24"/>
        </w:rPr>
        <w:t>评标委员会可以接受投标文件</w:t>
      </w:r>
      <w:r>
        <w:rPr>
          <w:rFonts w:hint="eastAsia" w:cs="宋体" w:asciiTheme="minorEastAsia" w:hAnsiTheme="minorEastAsia" w:eastAsiaTheme="minorEastAsia"/>
          <w:sz w:val="24"/>
          <w:lang w:val="en-US" w:eastAsia="zh-CN"/>
        </w:rPr>
        <w:t>商务条款</w:t>
      </w:r>
      <w:r>
        <w:rPr>
          <w:rFonts w:hint="eastAsia" w:cs="宋体" w:asciiTheme="minorEastAsia" w:hAnsiTheme="minorEastAsia" w:eastAsiaTheme="minorEastAsia"/>
          <w:sz w:val="24"/>
        </w:rPr>
        <w:t>中不构成实质性偏离的不正规或不一致。</w:t>
      </w:r>
    </w:p>
    <w:p>
      <w:pPr>
        <w:pStyle w:val="5"/>
        <w:spacing w:before="0" w:after="0" w:line="400" w:lineRule="exact"/>
        <w:rPr>
          <w:rFonts w:cs="宋体" w:asciiTheme="minorEastAsia" w:hAnsiTheme="minorEastAsia" w:eastAsiaTheme="minorEastAsia"/>
          <w:b/>
          <w:bCs/>
          <w:u w:val="none"/>
        </w:rPr>
      </w:pPr>
      <w:bookmarkStart w:id="158" w:name="_Toc25236_WPSOffice_Level2"/>
      <w:bookmarkStart w:id="159" w:name="_Toc518923087"/>
      <w:bookmarkStart w:id="160" w:name="_Toc25255"/>
      <w:bookmarkStart w:id="161" w:name="_Toc11645_WPSOffice_Level2"/>
      <w:r>
        <w:rPr>
          <w:rFonts w:hint="eastAsia" w:cs="宋体" w:asciiTheme="minorEastAsia" w:hAnsiTheme="minorEastAsia" w:eastAsiaTheme="minorEastAsia"/>
          <w:b/>
          <w:bCs/>
          <w:u w:val="none"/>
        </w:rPr>
        <w:t>22.响应无效</w:t>
      </w:r>
      <w:bookmarkEnd w:id="158"/>
      <w:bookmarkEnd w:id="159"/>
      <w:bookmarkEnd w:id="160"/>
      <w:bookmarkEnd w:id="161"/>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62" w:name="_Toc22743_WPSOffice_Level2"/>
      <w:bookmarkStart w:id="163" w:name="_Toc518923088"/>
      <w:bookmarkStart w:id="164" w:name="_Toc20835"/>
      <w:bookmarkStart w:id="165" w:name="_Toc14330_WPSOffice_Level2"/>
      <w:r>
        <w:rPr>
          <w:rFonts w:hint="eastAsia" w:cs="宋体" w:asciiTheme="minorEastAsia" w:hAnsiTheme="minorEastAsia" w:eastAsiaTheme="minorEastAsia"/>
          <w:b/>
          <w:bCs/>
          <w:sz w:val="24"/>
        </w:rPr>
        <w:t>23</w:t>
      </w:r>
      <w:bookmarkEnd w:id="153"/>
      <w:r>
        <w:rPr>
          <w:rFonts w:hint="eastAsia" w:cs="宋体" w:asciiTheme="minorEastAsia" w:hAnsiTheme="minorEastAsia" w:eastAsiaTheme="minorEastAsia"/>
          <w:b/>
          <w:bCs/>
          <w:sz w:val="24"/>
        </w:rPr>
        <w:t>.比较与评价</w:t>
      </w:r>
      <w:bookmarkEnd w:id="162"/>
      <w:bookmarkEnd w:id="163"/>
      <w:bookmarkEnd w:id="164"/>
      <w:bookmarkEnd w:id="165"/>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6"/>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7"/>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7"/>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7"/>
        <w:spacing w:line="400" w:lineRule="exact"/>
        <w:ind w:left="957" w:leftChars="456" w:firstLine="33" w:firstLineChars="14"/>
        <w:rPr>
          <w:rFonts w:hint="eastAsia" w:cs="宋体" w:asciiTheme="minorEastAsia" w:hAnsiTheme="minorEastAsia" w:eastAsiaTheme="minorEastAsia"/>
          <w:b/>
          <w:bCs/>
          <w:color w:val="0000FF"/>
          <w:sz w:val="24"/>
          <w:szCs w:val="24"/>
          <w:lang w:eastAsia="zh-CN"/>
        </w:rPr>
      </w:pPr>
      <w:r>
        <w:rPr>
          <w:rFonts w:hint="eastAsia" w:cs="宋体" w:asciiTheme="minorEastAsia" w:hAnsiTheme="minorEastAsia" w:eastAsiaTheme="minorEastAsia"/>
          <w:b/>
          <w:bCs/>
          <w:sz w:val="24"/>
          <w:szCs w:val="24"/>
        </w:rPr>
        <w:t>评分方法：综合评分法</w:t>
      </w:r>
      <w:r>
        <w:rPr>
          <w:rFonts w:hint="eastAsia" w:cs="宋体" w:asciiTheme="minorEastAsia" w:hAnsiTheme="minorEastAsia" w:eastAsiaTheme="minorEastAsia"/>
          <w:b/>
          <w:bCs/>
          <w:sz w:val="24"/>
          <w:szCs w:val="24"/>
          <w:lang w:eastAsia="zh-CN"/>
        </w:rPr>
        <w:t>（</w:t>
      </w:r>
      <w:r>
        <w:rPr>
          <w:rFonts w:hint="eastAsia" w:cs="宋体" w:asciiTheme="minorEastAsia" w:hAnsiTheme="minorEastAsia" w:eastAsiaTheme="minorEastAsia"/>
          <w:b/>
          <w:bCs/>
          <w:sz w:val="24"/>
          <w:szCs w:val="24"/>
          <w:lang w:val="en-US" w:eastAsia="zh-CN"/>
        </w:rPr>
        <w:t>满分100分，其中</w:t>
      </w:r>
      <w:r>
        <w:rPr>
          <w:rFonts w:hint="eastAsia" w:cs="宋体" w:asciiTheme="minorEastAsia" w:hAnsiTheme="minorEastAsia" w:eastAsiaTheme="minorEastAsia"/>
          <w:b/>
          <w:bCs/>
          <w:sz w:val="24"/>
          <w:szCs w:val="24"/>
          <w:lang w:eastAsia="zh-CN"/>
        </w:rPr>
        <w:t>价格分占10%，</w:t>
      </w:r>
      <w:r>
        <w:rPr>
          <w:rFonts w:hint="eastAsia" w:cs="宋体" w:asciiTheme="minorEastAsia" w:hAnsiTheme="minorEastAsia" w:eastAsiaTheme="minorEastAsia"/>
          <w:b/>
          <w:bCs/>
          <w:sz w:val="24"/>
          <w:szCs w:val="24"/>
          <w:lang w:val="en-US" w:eastAsia="zh-CN"/>
        </w:rPr>
        <w:t>技术、</w:t>
      </w:r>
      <w:r>
        <w:rPr>
          <w:rFonts w:hint="eastAsia" w:cs="宋体" w:asciiTheme="minorEastAsia" w:hAnsiTheme="minorEastAsia" w:eastAsiaTheme="minorEastAsia"/>
          <w:b/>
          <w:bCs/>
          <w:sz w:val="24"/>
          <w:szCs w:val="24"/>
          <w:lang w:eastAsia="zh-CN"/>
        </w:rPr>
        <w:t>商务占</w:t>
      </w:r>
      <w:r>
        <w:rPr>
          <w:rFonts w:hint="eastAsia" w:cs="宋体" w:asciiTheme="minorEastAsia" w:hAnsiTheme="minorEastAsia" w:eastAsiaTheme="minorEastAsia"/>
          <w:b/>
          <w:bCs/>
          <w:sz w:val="24"/>
          <w:szCs w:val="24"/>
          <w:lang w:val="en-US" w:eastAsia="zh-CN"/>
        </w:rPr>
        <w:t>90</w:t>
      </w:r>
      <w:r>
        <w:rPr>
          <w:rFonts w:hint="eastAsia" w:cs="宋体" w:asciiTheme="minorEastAsia" w:hAnsiTheme="minorEastAsia" w:eastAsiaTheme="minorEastAsia"/>
          <w:b/>
          <w:bCs/>
          <w:sz w:val="24"/>
          <w:szCs w:val="24"/>
          <w:lang w:eastAsia="zh-CN"/>
        </w:rPr>
        <w:t>%）</w:t>
      </w:r>
    </w:p>
    <w:p>
      <w:pPr>
        <w:spacing w:line="400" w:lineRule="exact"/>
        <w:ind w:left="958" w:leftChars="342" w:hanging="240" w:hangingChars="100"/>
        <w:jc w:val="left"/>
        <w:rPr>
          <w:rFonts w:cs="宋体" w:asciiTheme="minorEastAsia" w:hAnsiTheme="minorEastAsia" w:eastAsiaTheme="minorEastAsia"/>
          <w:color w:val="0000FF"/>
          <w:sz w:val="24"/>
          <w:highlight w:val="none"/>
        </w:rPr>
      </w:pPr>
      <w:r>
        <w:rPr>
          <w:rFonts w:hint="eastAsia" w:cs="宋体" w:asciiTheme="minorEastAsia" w:hAnsiTheme="minorEastAsia" w:eastAsiaTheme="minorEastAsia"/>
          <w:color w:val="0000FF"/>
          <w:sz w:val="24"/>
          <w:highlight w:val="none"/>
        </w:rPr>
        <w:t>1、价格因素：</w:t>
      </w:r>
      <w:r>
        <w:rPr>
          <w:rFonts w:hint="eastAsia" w:cs="宋体" w:asciiTheme="minorEastAsia" w:hAnsiTheme="minorEastAsia" w:eastAsiaTheme="minorEastAsia"/>
          <w:color w:val="0000FF"/>
          <w:sz w:val="24"/>
          <w:highlight w:val="none"/>
          <w:lang w:val="en-US" w:eastAsia="zh-CN"/>
        </w:rPr>
        <w:t>10</w:t>
      </w:r>
      <w:r>
        <w:rPr>
          <w:rFonts w:hint="eastAsia" w:cs="宋体" w:asciiTheme="minorEastAsia" w:hAnsiTheme="minorEastAsia" w:eastAsiaTheme="minorEastAsia"/>
          <w:color w:val="0000FF"/>
          <w:sz w:val="24"/>
          <w:highlight w:val="none"/>
        </w:rPr>
        <w:t>分（</w:t>
      </w:r>
      <w:r>
        <w:rPr>
          <w:rFonts w:hint="eastAsia" w:ascii="宋体" w:hAnsi="宋体" w:cs="宋体"/>
          <w:color w:val="0000FF"/>
          <w:kern w:val="0"/>
          <w:sz w:val="24"/>
          <w:szCs w:val="20"/>
          <w:highlight w:val="none"/>
        </w:rPr>
        <w:t>综合评分法中的价格分统一采用低价优先法计算，即满足招标文件要求且投标价格最低的投标报价为评标基准价，</w:t>
      </w:r>
      <w:r>
        <w:rPr>
          <w:rFonts w:hint="eastAsia"/>
          <w:color w:val="0000FF"/>
          <w:sz w:val="22"/>
          <w:szCs w:val="22"/>
          <w:highlight w:val="none"/>
        </w:rPr>
        <w:t>其价格分为满分</w:t>
      </w:r>
      <w:r>
        <w:rPr>
          <w:rFonts w:hint="eastAsia"/>
          <w:color w:val="0000FF"/>
          <w:sz w:val="22"/>
          <w:szCs w:val="22"/>
          <w:highlight w:val="none"/>
          <w:lang w:val="en-US" w:eastAsia="zh-CN"/>
        </w:rPr>
        <w:t>10</w:t>
      </w:r>
      <w:r>
        <w:rPr>
          <w:rFonts w:hint="eastAsia"/>
          <w:color w:val="0000FF"/>
          <w:sz w:val="22"/>
          <w:szCs w:val="22"/>
          <w:highlight w:val="none"/>
        </w:rPr>
        <w:t>分，其投标报价得分=(评标基准价／投标报价)×价格权值×100</w:t>
      </w:r>
      <w:r>
        <w:rPr>
          <w:rFonts w:hint="eastAsia" w:cs="宋体" w:asciiTheme="minorEastAsia" w:hAnsiTheme="minorEastAsia" w:eastAsiaTheme="minorEastAsia"/>
          <w:color w:val="0000FF"/>
          <w:sz w:val="24"/>
          <w:highlight w:val="none"/>
        </w:rPr>
        <w:t>）</w:t>
      </w:r>
    </w:p>
    <w:p>
      <w:pPr>
        <w:pStyle w:val="17"/>
        <w:spacing w:line="400" w:lineRule="exact"/>
        <w:ind w:left="718" w:leftChars="342" w:firstLine="240" w:firstLineChars="100"/>
        <w:rPr>
          <w:rFonts w:hint="eastAsia" w:cs="宋体" w:asciiTheme="minorEastAsia" w:hAnsiTheme="minorEastAsia" w:eastAsiaTheme="minorEastAsia"/>
          <w:color w:val="0000FF"/>
          <w:sz w:val="24"/>
          <w:szCs w:val="24"/>
          <w:highlight w:val="none"/>
          <w:lang w:eastAsia="zh-CN"/>
        </w:rPr>
      </w:pPr>
      <w:r>
        <w:rPr>
          <w:rFonts w:hint="eastAsia" w:cs="宋体" w:asciiTheme="minorEastAsia" w:hAnsiTheme="minorEastAsia" w:eastAsiaTheme="minorEastAsia"/>
          <w:color w:val="0000FF"/>
          <w:sz w:val="24"/>
          <w:szCs w:val="24"/>
          <w:highlight w:val="none"/>
        </w:rPr>
        <w:t>2、商务因素及技术因素：</w:t>
      </w:r>
      <w:r>
        <w:rPr>
          <w:rFonts w:hint="eastAsia" w:cs="宋体" w:asciiTheme="minorEastAsia" w:hAnsiTheme="minorEastAsia" w:eastAsiaTheme="minorEastAsia"/>
          <w:color w:val="0000FF"/>
          <w:sz w:val="24"/>
          <w:szCs w:val="24"/>
          <w:highlight w:val="none"/>
          <w:lang w:val="en-US" w:eastAsia="zh-CN"/>
        </w:rPr>
        <w:t>90</w:t>
      </w:r>
      <w:r>
        <w:rPr>
          <w:rFonts w:hint="eastAsia" w:cs="宋体" w:asciiTheme="minorEastAsia" w:hAnsiTheme="minorEastAsia" w:eastAsiaTheme="minorEastAsia"/>
          <w:color w:val="0000FF"/>
          <w:sz w:val="24"/>
          <w:szCs w:val="24"/>
          <w:highlight w:val="none"/>
        </w:rPr>
        <w:t>分</w:t>
      </w:r>
      <w:r>
        <w:rPr>
          <w:rFonts w:hint="eastAsia" w:cs="宋体" w:asciiTheme="minorEastAsia" w:hAnsiTheme="minorEastAsia" w:eastAsiaTheme="minorEastAsia"/>
          <w:color w:val="0000FF"/>
          <w:sz w:val="24"/>
          <w:szCs w:val="24"/>
          <w:highlight w:val="none"/>
          <w:lang w:eastAsia="zh-CN"/>
        </w:rPr>
        <w:t>（</w:t>
      </w:r>
      <w:r>
        <w:rPr>
          <w:rFonts w:hint="eastAsia" w:cs="宋体" w:asciiTheme="minorEastAsia" w:hAnsiTheme="minorEastAsia" w:eastAsiaTheme="minorEastAsia"/>
          <w:color w:val="0000FF"/>
          <w:sz w:val="24"/>
          <w:szCs w:val="24"/>
          <w:highlight w:val="none"/>
          <w:lang w:val="en-US" w:eastAsia="zh-CN"/>
        </w:rPr>
        <w:t>详见磋商文件第六章</w:t>
      </w:r>
      <w:r>
        <w:rPr>
          <w:rFonts w:hint="eastAsia" w:cs="宋体" w:asciiTheme="minorEastAsia" w:hAnsiTheme="minorEastAsia" w:eastAsiaTheme="minorEastAsia"/>
          <w:color w:val="0000FF"/>
          <w:sz w:val="24"/>
          <w:szCs w:val="24"/>
          <w:highlight w:val="none"/>
          <w:lang w:eastAsia="zh-CN"/>
        </w:rPr>
        <w:t>）</w:t>
      </w:r>
    </w:p>
    <w:p>
      <w:pPr>
        <w:pStyle w:val="17"/>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根据《政府采购促进中小企业发展暂行办法》（财库〔2020〕46号）</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《关于进一步加大政府采购支持中小企业力度的通知》（财库〔202</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19</w:t>
      </w:r>
      <w:r>
        <w:rPr>
          <w:rFonts w:hint="eastAsia" w:cs="宋体" w:asciiTheme="minorEastAsia" w:hAnsiTheme="minorEastAsia" w:eastAsiaTheme="minorEastAsia"/>
          <w:sz w:val="24"/>
          <w:szCs w:val="24"/>
        </w:rPr>
        <w:t>号）、《财政部司法部关于政府采购支持监狱企业发展有关问题的通知》（财库〔2014〕68号）和《三部门联合发布关于促进残疾人就业政府采购政策的通知》（</w:t>
      </w:r>
      <w:bookmarkStart w:id="166" w:name="sendNo"/>
      <w:r>
        <w:rPr>
          <w:rFonts w:hint="eastAsia" w:cs="宋体" w:asciiTheme="minorEastAsia" w:hAnsiTheme="minorEastAsia" w:eastAsiaTheme="minorEastAsia"/>
          <w:sz w:val="24"/>
          <w:szCs w:val="24"/>
        </w:rPr>
        <w:t>财库〔</w:t>
      </w:r>
      <w:bookmarkEnd w:id="166"/>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0%后参与评审。具体办法详见磋商文件第6章。</w:t>
      </w:r>
    </w:p>
    <w:p>
      <w:pPr>
        <w:pStyle w:val="17"/>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7"/>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5"/>
        <w:spacing w:before="0" w:after="0" w:line="300" w:lineRule="exact"/>
        <w:rPr>
          <w:rFonts w:cs="宋体" w:asciiTheme="minorEastAsia" w:hAnsiTheme="minorEastAsia" w:eastAsiaTheme="minorEastAsia"/>
          <w:b/>
          <w:bCs/>
          <w:kern w:val="2"/>
          <w:szCs w:val="24"/>
          <w:u w:val="none"/>
        </w:rPr>
      </w:pPr>
      <w:bookmarkStart w:id="167" w:name="_Toc520356168"/>
      <w:bookmarkStart w:id="168" w:name="_Toc5823"/>
      <w:bookmarkStart w:id="169" w:name="_Toc21686_WPSOffice_Level2"/>
      <w:bookmarkStart w:id="170" w:name="_Toc27560_WPSOffice_Level2"/>
      <w:bookmarkStart w:id="171" w:name="_Toc518923089"/>
      <w:r>
        <w:rPr>
          <w:rFonts w:hint="eastAsia" w:cs="宋体" w:asciiTheme="minorEastAsia" w:hAnsiTheme="minorEastAsia" w:eastAsiaTheme="minorEastAsia"/>
          <w:b/>
          <w:bCs/>
          <w:kern w:val="2"/>
          <w:szCs w:val="24"/>
          <w:u w:val="none"/>
        </w:rPr>
        <w:t>24</w:t>
      </w:r>
      <w:bookmarkEnd w:id="167"/>
      <w:r>
        <w:rPr>
          <w:rFonts w:hint="eastAsia" w:cs="宋体" w:asciiTheme="minorEastAsia" w:hAnsiTheme="minorEastAsia" w:eastAsiaTheme="minorEastAsia"/>
          <w:b/>
          <w:bCs/>
          <w:kern w:val="2"/>
          <w:szCs w:val="24"/>
          <w:u w:val="none"/>
        </w:rPr>
        <w:t>.废标</w:t>
      </w:r>
      <w:bookmarkEnd w:id="168"/>
      <w:bookmarkEnd w:id="169"/>
      <w:bookmarkEnd w:id="170"/>
      <w:bookmarkEnd w:id="171"/>
    </w:p>
    <w:p>
      <w:pPr>
        <w:spacing w:line="300" w:lineRule="exact"/>
        <w:ind w:left="897" w:leftChars="399" w:hanging="60" w:hangingChars="25"/>
        <w:rPr>
          <w:rFonts w:cs="宋体" w:asciiTheme="minorEastAsia" w:hAnsiTheme="minorEastAsia" w:eastAsiaTheme="minorEastAsia"/>
          <w:b/>
          <w:bCs/>
          <w:sz w:val="24"/>
        </w:rPr>
      </w:pPr>
      <w:r>
        <w:rPr>
          <w:rFonts w:hint="eastAsia" w:cs="宋体" w:asciiTheme="minorEastAsia" w:hAnsiTheme="minorEastAsia" w:eastAsiaTheme="minorEastAsia"/>
          <w:b/>
          <w:bCs/>
          <w:sz w:val="24"/>
        </w:rPr>
        <w:t>出现下列情形之一，将导致项目废标：</w:t>
      </w:r>
    </w:p>
    <w:p>
      <w:pPr>
        <w:spacing w:line="300" w:lineRule="exact"/>
        <w:ind w:left="900" w:hanging="900" w:hangingChars="375"/>
        <w:rPr>
          <w:rFonts w:cs="宋体" w:asciiTheme="minorEastAsia" w:hAnsiTheme="minorEastAsia" w:eastAsiaTheme="minorEastAsia"/>
          <w:b/>
          <w:bCs/>
          <w:sz w:val="24"/>
        </w:rPr>
      </w:pPr>
      <w:r>
        <w:rPr>
          <w:rFonts w:hint="eastAsia" w:cs="宋体" w:asciiTheme="minorEastAsia" w:hAnsiTheme="minorEastAsia" w:eastAsiaTheme="minorEastAsia"/>
          <w:b/>
          <w:bCs/>
          <w:sz w:val="24"/>
        </w:rPr>
        <w:tab/>
      </w:r>
      <w:r>
        <w:rPr>
          <w:rFonts w:hint="eastAsia" w:cs="宋体" w:asciiTheme="minorEastAsia" w:hAnsiTheme="minorEastAsia" w:eastAsiaTheme="minorEastAsia"/>
          <w:b/>
          <w:bCs/>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b/>
          <w:bCs/>
          <w:sz w:val="24"/>
        </w:rPr>
      </w:pPr>
      <w:r>
        <w:rPr>
          <w:rFonts w:hint="eastAsia" w:cs="宋体" w:asciiTheme="minorEastAsia" w:hAnsiTheme="minorEastAsia" w:eastAsiaTheme="minorEastAsia"/>
          <w:b/>
          <w:bCs/>
          <w:sz w:val="24"/>
        </w:rPr>
        <w:tab/>
      </w:r>
      <w:r>
        <w:rPr>
          <w:rFonts w:hint="eastAsia" w:cs="宋体" w:asciiTheme="minorEastAsia" w:hAnsiTheme="minorEastAsia" w:eastAsiaTheme="minorEastAsia"/>
          <w:b/>
          <w:bCs/>
          <w:sz w:val="24"/>
        </w:rPr>
        <w:t>（2）出现影响采购公正的违法、违规行为的；</w:t>
      </w:r>
    </w:p>
    <w:p>
      <w:pPr>
        <w:spacing w:line="300" w:lineRule="exact"/>
        <w:ind w:firstLine="840" w:firstLineChars="350"/>
        <w:rPr>
          <w:rFonts w:cs="宋体" w:asciiTheme="minorEastAsia" w:hAnsiTheme="minorEastAsia" w:eastAsiaTheme="minorEastAsia"/>
          <w:b/>
          <w:bCs/>
          <w:sz w:val="24"/>
        </w:rPr>
      </w:pPr>
      <w:r>
        <w:rPr>
          <w:rFonts w:hint="eastAsia" w:cs="宋体" w:asciiTheme="minorEastAsia" w:hAnsiTheme="minorEastAsia" w:eastAsiaTheme="minorEastAsia"/>
          <w:b/>
          <w:bCs/>
          <w:sz w:val="24"/>
        </w:rPr>
        <w:t>（3）供应商的报价均超过了采购预算，采购人不能支付的；</w:t>
      </w:r>
    </w:p>
    <w:p>
      <w:pPr>
        <w:spacing w:line="300" w:lineRule="exact"/>
        <w:ind w:firstLine="840" w:firstLineChars="350"/>
        <w:rPr>
          <w:rFonts w:cs="宋体" w:asciiTheme="minorEastAsia" w:hAnsiTheme="minorEastAsia" w:eastAsiaTheme="minorEastAsia"/>
          <w:b/>
          <w:bCs/>
          <w:sz w:val="24"/>
        </w:rPr>
      </w:pPr>
      <w:r>
        <w:rPr>
          <w:rFonts w:hint="eastAsia" w:cs="宋体" w:asciiTheme="minorEastAsia" w:hAnsiTheme="minorEastAsia" w:eastAsiaTheme="minorEastAsia"/>
          <w:b/>
          <w:bCs/>
          <w:sz w:val="24"/>
        </w:rPr>
        <w:t>（4）因重大变故，采购任务取消的。</w:t>
      </w:r>
    </w:p>
    <w:p>
      <w:pPr>
        <w:pStyle w:val="5"/>
        <w:spacing w:before="0" w:after="0" w:line="300" w:lineRule="exact"/>
        <w:rPr>
          <w:rFonts w:cs="宋体" w:asciiTheme="minorEastAsia" w:hAnsiTheme="minorEastAsia" w:eastAsiaTheme="minorEastAsia"/>
          <w:b/>
          <w:bCs/>
          <w:u w:val="none"/>
        </w:rPr>
      </w:pPr>
      <w:bookmarkStart w:id="172" w:name="_Toc4205_WPSOffice_Level2"/>
      <w:bookmarkStart w:id="173" w:name="_Toc518923090"/>
      <w:bookmarkStart w:id="174" w:name="_Toc16649_WPSOffice_Level2"/>
      <w:bookmarkStart w:id="175" w:name="_Toc23660"/>
      <w:bookmarkStart w:id="176" w:name="_Toc520356169"/>
      <w:r>
        <w:rPr>
          <w:rFonts w:hint="eastAsia" w:cs="宋体" w:asciiTheme="minorEastAsia" w:hAnsiTheme="minorEastAsia" w:eastAsiaTheme="minorEastAsia"/>
          <w:b/>
          <w:bCs/>
          <w:u w:val="none"/>
        </w:rPr>
        <w:t>25.保密原则</w:t>
      </w:r>
      <w:bookmarkEnd w:id="172"/>
      <w:bookmarkEnd w:id="173"/>
      <w:bookmarkEnd w:id="174"/>
      <w:bookmarkEnd w:id="17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7" w:name="_Toc216582810"/>
      <w:bookmarkStart w:id="178" w:name="_Toc518923091"/>
      <w:bookmarkStart w:id="179" w:name="_Toc10964"/>
      <w:bookmarkStart w:id="180" w:name="_Toc4193_WPSOffice_Level1"/>
    </w:p>
    <w:p>
      <w:pPr>
        <w:pStyle w:val="26"/>
        <w:rPr>
          <w:rFonts w:asciiTheme="minorEastAsia" w:hAnsiTheme="minorEastAsia" w:eastAsiaTheme="minorEastAsia"/>
        </w:rPr>
      </w:pPr>
    </w:p>
    <w:p>
      <w:pPr>
        <w:pStyle w:val="4"/>
        <w:spacing w:before="0" w:line="300" w:lineRule="exact"/>
        <w:ind w:left="1079" w:leftChars="257" w:hanging="540"/>
        <w:rPr>
          <w:rFonts w:cs="宋体" w:asciiTheme="minorEastAsia" w:hAnsiTheme="minorEastAsia" w:eastAsiaTheme="minorEastAsia"/>
          <w:sz w:val="24"/>
        </w:rPr>
      </w:pPr>
      <w:bookmarkStart w:id="181" w:name="_Toc12509"/>
      <w:bookmarkStart w:id="182" w:name="_Toc14418"/>
      <w:r>
        <w:rPr>
          <w:rFonts w:hint="eastAsia" w:cs="宋体" w:asciiTheme="minorEastAsia" w:hAnsiTheme="minorEastAsia" w:eastAsiaTheme="minorEastAsia"/>
          <w:sz w:val="24"/>
        </w:rPr>
        <w:t>六</w:t>
      </w:r>
      <w:bookmarkEnd w:id="176"/>
      <w:r>
        <w:rPr>
          <w:rFonts w:hint="eastAsia" w:cs="宋体" w:asciiTheme="minorEastAsia" w:hAnsiTheme="minorEastAsia" w:eastAsiaTheme="minorEastAsia"/>
          <w:sz w:val="24"/>
        </w:rPr>
        <w:t>确定</w:t>
      </w:r>
      <w:bookmarkEnd w:id="177"/>
      <w:bookmarkEnd w:id="178"/>
      <w:bookmarkEnd w:id="179"/>
      <w:r>
        <w:rPr>
          <w:rFonts w:hint="eastAsia" w:cs="宋体" w:asciiTheme="minorEastAsia" w:hAnsiTheme="minorEastAsia" w:eastAsiaTheme="minorEastAsia"/>
          <w:sz w:val="24"/>
        </w:rPr>
        <w:t>成交</w:t>
      </w:r>
      <w:bookmarkEnd w:id="180"/>
      <w:bookmarkEnd w:id="181"/>
      <w:bookmarkEnd w:id="182"/>
    </w:p>
    <w:p>
      <w:pPr>
        <w:pStyle w:val="9"/>
        <w:spacing w:line="300" w:lineRule="exact"/>
        <w:rPr>
          <w:rFonts w:cs="宋体" w:asciiTheme="minorEastAsia" w:hAnsiTheme="minorEastAsia" w:eastAsiaTheme="minorEastAsia"/>
        </w:rPr>
      </w:pPr>
    </w:p>
    <w:p>
      <w:pPr>
        <w:pStyle w:val="5"/>
        <w:spacing w:before="0" w:after="0" w:line="300" w:lineRule="exact"/>
        <w:rPr>
          <w:rFonts w:cs="宋体" w:asciiTheme="minorEastAsia" w:hAnsiTheme="minorEastAsia" w:eastAsiaTheme="minorEastAsia"/>
          <w:b/>
          <w:bCs/>
          <w:color w:val="000000"/>
          <w:u w:val="none"/>
        </w:rPr>
      </w:pPr>
      <w:bookmarkStart w:id="183" w:name="_Toc518923092"/>
      <w:bookmarkStart w:id="184" w:name="_Toc4749_WPSOffice_Level2"/>
      <w:bookmarkStart w:id="185" w:name="_Ref467307010"/>
      <w:bookmarkStart w:id="186" w:name="_Toc520356170"/>
      <w:bookmarkStart w:id="187" w:name="_Toc32578"/>
      <w:bookmarkStart w:id="188" w:name="_Toc31921_WPSOffice_Level2"/>
      <w:r>
        <w:rPr>
          <w:rFonts w:hint="eastAsia" w:cs="宋体" w:asciiTheme="minorEastAsia" w:hAnsiTheme="minorEastAsia" w:eastAsiaTheme="minorEastAsia"/>
          <w:b/>
          <w:bCs/>
          <w:color w:val="000000"/>
          <w:u w:val="none"/>
        </w:rPr>
        <w:t>26.成交候选人的确定原则及标准</w:t>
      </w:r>
      <w:bookmarkEnd w:id="183"/>
      <w:bookmarkEnd w:id="184"/>
      <w:bookmarkEnd w:id="185"/>
      <w:bookmarkEnd w:id="186"/>
      <w:bookmarkEnd w:id="187"/>
      <w:bookmarkEnd w:id="188"/>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lang w:val="en-US" w:eastAsia="zh-CN"/>
        </w:rPr>
        <w:t>本项目</w:t>
      </w:r>
      <w:r>
        <w:rPr>
          <w:rFonts w:hint="eastAsia" w:cs="宋体" w:asciiTheme="minorEastAsia" w:hAnsiTheme="minorEastAsia" w:eastAsiaTheme="minorEastAsia"/>
          <w:b/>
          <w:bCs/>
          <w:color w:val="000000"/>
          <w:sz w:val="24"/>
          <w:u w:val="single"/>
        </w:rPr>
        <w:t>采用综合评分法，评审结果按评审后得分由高到低顺序排列。得分相同的，按修正和扣除后的磋商报价由低到高顺序排列。得分与磋商报价均相同的处理方式详见磋商文件</w:t>
      </w:r>
      <w:r>
        <w:rPr>
          <w:rFonts w:hint="eastAsia" w:cs="宋体" w:asciiTheme="minorEastAsia" w:hAnsiTheme="minorEastAsia" w:eastAsiaTheme="minorEastAsia"/>
          <w:b/>
          <w:bCs/>
          <w:color w:val="000000"/>
          <w:sz w:val="24"/>
          <w:u w:val="single"/>
          <w:lang w:val="en-US" w:eastAsia="zh-CN"/>
        </w:rPr>
        <w:t>第6章</w:t>
      </w:r>
      <w:r>
        <w:rPr>
          <w:rFonts w:hint="eastAsia" w:cs="宋体" w:asciiTheme="minorEastAsia" w:hAnsiTheme="minorEastAsia" w:eastAsiaTheme="minorEastAsia"/>
          <w:b/>
          <w:bCs/>
          <w:color w:val="000000"/>
          <w:sz w:val="24"/>
          <w:u w:val="single"/>
        </w:rPr>
        <w:t>。</w:t>
      </w:r>
    </w:p>
    <w:p>
      <w:pPr>
        <w:pStyle w:val="5"/>
        <w:spacing w:before="0" w:after="0" w:line="300" w:lineRule="exact"/>
        <w:rPr>
          <w:rFonts w:cs="宋体" w:asciiTheme="minorEastAsia" w:hAnsiTheme="minorEastAsia" w:eastAsiaTheme="minorEastAsia"/>
          <w:b/>
          <w:bCs/>
          <w:color w:val="000000"/>
          <w:u w:val="none"/>
        </w:rPr>
      </w:pPr>
      <w:bookmarkStart w:id="189" w:name="_Toc520356171"/>
      <w:bookmarkStart w:id="190" w:name="_Toc2420_WPSOffice_Level2"/>
      <w:bookmarkStart w:id="191" w:name="_Toc518923093"/>
      <w:bookmarkStart w:id="192" w:name="_Toc10555"/>
      <w:bookmarkStart w:id="193" w:name="_Toc3689_WPSOffice_Level2"/>
      <w:r>
        <w:rPr>
          <w:rFonts w:hint="eastAsia" w:cs="宋体" w:asciiTheme="minorEastAsia" w:hAnsiTheme="minorEastAsia" w:eastAsiaTheme="minorEastAsia"/>
          <w:b/>
          <w:bCs/>
          <w:color w:val="000000"/>
          <w:u w:val="none"/>
        </w:rPr>
        <w:t>27</w:t>
      </w:r>
      <w:bookmarkEnd w:id="189"/>
      <w:r>
        <w:rPr>
          <w:rFonts w:hint="eastAsia" w:cs="宋体" w:asciiTheme="minorEastAsia" w:hAnsiTheme="minorEastAsia" w:eastAsiaTheme="minorEastAsia"/>
          <w:b/>
          <w:bCs/>
          <w:color w:val="000000"/>
          <w:u w:val="none"/>
        </w:rPr>
        <w:t>.确定成交候选人和成交人</w:t>
      </w:r>
      <w:bookmarkEnd w:id="190"/>
      <w:bookmarkEnd w:id="191"/>
      <w:bookmarkEnd w:id="192"/>
      <w:bookmarkEnd w:id="193"/>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5"/>
        <w:tabs>
          <w:tab w:val="left" w:pos="900"/>
        </w:tabs>
        <w:spacing w:before="0" w:after="0" w:line="300" w:lineRule="exact"/>
        <w:rPr>
          <w:rFonts w:cs="宋体" w:asciiTheme="minorEastAsia" w:hAnsiTheme="minorEastAsia" w:eastAsiaTheme="minorEastAsia"/>
          <w:b/>
          <w:bCs/>
          <w:color w:val="000000"/>
          <w:u w:val="none"/>
        </w:rPr>
      </w:pPr>
      <w:bookmarkStart w:id="194" w:name="_Ref467306874"/>
      <w:bookmarkStart w:id="195" w:name="_Toc520356173"/>
      <w:bookmarkStart w:id="196" w:name="_Toc518923094"/>
      <w:bookmarkStart w:id="197" w:name="_Toc620_WPSOffice_Level2"/>
      <w:bookmarkStart w:id="198" w:name="_Toc17336_WPSOffice_Level2"/>
      <w:bookmarkStart w:id="199" w:name="_Toc17138"/>
      <w:r>
        <w:rPr>
          <w:rFonts w:hint="eastAsia" w:cs="宋体" w:asciiTheme="minorEastAsia" w:hAnsiTheme="minorEastAsia" w:eastAsiaTheme="minorEastAsia"/>
          <w:b/>
          <w:bCs/>
          <w:color w:val="000000"/>
          <w:u w:val="none"/>
        </w:rPr>
        <w:t>28</w:t>
      </w:r>
      <w:bookmarkEnd w:id="194"/>
      <w:bookmarkEnd w:id="195"/>
      <w:r>
        <w:rPr>
          <w:rFonts w:hint="eastAsia" w:cs="宋体" w:asciiTheme="minorEastAsia" w:hAnsiTheme="minorEastAsia" w:eastAsiaTheme="minorEastAsia"/>
          <w:b/>
          <w:bCs/>
          <w:color w:val="000000"/>
          <w:u w:val="none"/>
        </w:rPr>
        <w:t>.采购任务取消</w:t>
      </w:r>
      <w:bookmarkEnd w:id="196"/>
      <w:bookmarkEnd w:id="197"/>
      <w:bookmarkEnd w:id="198"/>
      <w:bookmarkEnd w:id="199"/>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200" w:name="_Toc520356174"/>
    </w:p>
    <w:p>
      <w:pPr>
        <w:pStyle w:val="5"/>
        <w:spacing w:before="0" w:after="0" w:line="300" w:lineRule="exact"/>
        <w:rPr>
          <w:rFonts w:cs="宋体" w:asciiTheme="minorEastAsia" w:hAnsiTheme="minorEastAsia" w:eastAsiaTheme="minorEastAsia"/>
          <w:b/>
          <w:bCs/>
          <w:color w:val="000000"/>
          <w:u w:val="none"/>
        </w:rPr>
      </w:pPr>
      <w:bookmarkStart w:id="201" w:name="_Toc7273_WPSOffice_Level2"/>
      <w:bookmarkStart w:id="202" w:name="_Toc22810_WPSOffice_Level2"/>
      <w:bookmarkStart w:id="203" w:name="_Toc518923095"/>
      <w:bookmarkStart w:id="204" w:name="_Toc18072"/>
      <w:r>
        <w:rPr>
          <w:rFonts w:hint="eastAsia" w:cs="宋体" w:asciiTheme="minorEastAsia" w:hAnsiTheme="minorEastAsia" w:eastAsiaTheme="minorEastAsia"/>
          <w:b/>
          <w:bCs/>
          <w:color w:val="000000"/>
          <w:u w:val="none"/>
        </w:rPr>
        <w:t>29.成交通知书</w:t>
      </w:r>
      <w:bookmarkEnd w:id="200"/>
      <w:r>
        <w:rPr>
          <w:rFonts w:hint="eastAsia" w:cs="宋体" w:asciiTheme="minorEastAsia" w:hAnsiTheme="minorEastAsia" w:eastAsiaTheme="minorEastAsia"/>
          <w:b/>
          <w:bCs/>
          <w:color w:val="000000"/>
          <w:u w:val="none"/>
        </w:rPr>
        <w:t>和采购结果通知书</w:t>
      </w:r>
      <w:bookmarkEnd w:id="201"/>
      <w:bookmarkEnd w:id="202"/>
      <w:bookmarkEnd w:id="203"/>
      <w:bookmarkEnd w:id="204"/>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5"/>
        <w:spacing w:before="0" w:after="0" w:line="300" w:lineRule="exact"/>
        <w:rPr>
          <w:rFonts w:cs="宋体" w:asciiTheme="minorEastAsia" w:hAnsiTheme="minorEastAsia" w:eastAsiaTheme="minorEastAsia"/>
          <w:b/>
          <w:bCs/>
          <w:u w:val="none"/>
        </w:rPr>
      </w:pPr>
      <w:bookmarkStart w:id="205" w:name="_Ref467307204"/>
      <w:bookmarkStart w:id="206" w:name="_Toc23285_WPSOffice_Level2"/>
      <w:bookmarkStart w:id="207" w:name="_Toc518923096"/>
      <w:bookmarkStart w:id="208" w:name="_Toc9717_WPSOffice_Level2"/>
      <w:bookmarkStart w:id="209" w:name="_Ref467306377"/>
      <w:bookmarkStart w:id="210" w:name="_Ref467306978"/>
      <w:bookmarkStart w:id="211" w:name="_Ref467307062"/>
      <w:bookmarkStart w:id="212" w:name="_Toc16952"/>
      <w:bookmarkStart w:id="213" w:name="_Toc520356175"/>
      <w:r>
        <w:rPr>
          <w:rFonts w:hint="eastAsia" w:cs="宋体" w:asciiTheme="minorEastAsia" w:hAnsiTheme="minorEastAsia" w:eastAsiaTheme="minorEastAsia"/>
          <w:b/>
          <w:bCs/>
          <w:u w:val="none"/>
        </w:rPr>
        <w:t>30.签订合同</w:t>
      </w:r>
      <w:bookmarkEnd w:id="205"/>
      <w:bookmarkEnd w:id="206"/>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14" w:name="_Ref467307090"/>
      <w:bookmarkStart w:id="215" w:name="_Ref467306425"/>
      <w:bookmarkStart w:id="216" w:name="_Toc520356176"/>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5"/>
        <w:spacing w:before="0" w:after="0" w:line="300" w:lineRule="exact"/>
        <w:rPr>
          <w:rFonts w:cs="宋体" w:asciiTheme="minorEastAsia" w:hAnsiTheme="minorEastAsia" w:eastAsiaTheme="minorEastAsia"/>
          <w:b/>
          <w:bCs/>
          <w:u w:val="none"/>
        </w:rPr>
      </w:pPr>
      <w:bookmarkStart w:id="217" w:name="_Toc4302"/>
      <w:bookmarkStart w:id="218" w:name="_Toc10642_WPSOffice_Level2"/>
      <w:bookmarkStart w:id="219" w:name="_Toc4147_WPSOffice_Level2"/>
      <w:bookmarkStart w:id="220" w:name="_Toc518923097"/>
      <w:r>
        <w:rPr>
          <w:rFonts w:hint="eastAsia" w:cs="宋体" w:asciiTheme="minorEastAsia" w:hAnsiTheme="minorEastAsia" w:eastAsiaTheme="minorEastAsia"/>
          <w:b/>
          <w:bCs/>
          <w:u w:val="none"/>
        </w:rPr>
        <w:t>31.履约保证金</w:t>
      </w:r>
      <w:bookmarkEnd w:id="214"/>
      <w:bookmarkEnd w:id="215"/>
      <w:bookmarkEnd w:id="216"/>
      <w:bookmarkEnd w:id="217"/>
      <w:bookmarkEnd w:id="218"/>
      <w:bookmarkEnd w:id="219"/>
      <w:bookmarkEnd w:id="220"/>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5"/>
        <w:spacing w:before="0" w:after="0" w:line="300" w:lineRule="exact"/>
        <w:rPr>
          <w:rFonts w:cs="宋体" w:asciiTheme="minorEastAsia" w:hAnsiTheme="minorEastAsia" w:eastAsiaTheme="minorEastAsia"/>
          <w:b/>
          <w:bCs/>
          <w:u w:val="none"/>
        </w:rPr>
      </w:pPr>
      <w:bookmarkStart w:id="221" w:name="_Toc12960_WPSOffice_Level2"/>
      <w:bookmarkStart w:id="222" w:name="_Toc8476"/>
      <w:bookmarkStart w:id="223" w:name="_Toc518923098"/>
      <w:bookmarkStart w:id="224" w:name="_Toc21635_WPSOffice_Level2"/>
      <w:r>
        <w:rPr>
          <w:rFonts w:hint="eastAsia" w:cs="宋体" w:asciiTheme="minorEastAsia" w:hAnsiTheme="minorEastAsia" w:eastAsiaTheme="minorEastAsia"/>
          <w:b/>
          <w:bCs/>
          <w:u w:val="none"/>
        </w:rPr>
        <w:t>32.成交服务费</w:t>
      </w:r>
      <w:bookmarkEnd w:id="221"/>
      <w:bookmarkEnd w:id="222"/>
      <w:bookmarkEnd w:id="223"/>
      <w:bookmarkEnd w:id="224"/>
    </w:p>
    <w:p>
      <w:pPr>
        <w:spacing w:line="300" w:lineRule="exact"/>
        <w:ind w:left="840" w:leftChars="200" w:hanging="420" w:hangingChars="175"/>
        <w:rPr>
          <w:rFonts w:hint="eastAsia" w:cs="宋体" w:asciiTheme="minorEastAsia" w:hAnsiTheme="minorEastAsia" w:eastAsiaTheme="minorEastAsia"/>
          <w:sz w:val="24"/>
        </w:rPr>
      </w:pPr>
      <w:r>
        <w:rPr>
          <w:rFonts w:hint="eastAsia" w:cs="宋体" w:asciiTheme="minorEastAsia" w:hAnsiTheme="minorEastAsia" w:eastAsiaTheme="minorEastAsia"/>
          <w:sz w:val="24"/>
        </w:rPr>
        <w:t>1.招标代理服务费由中标方向湖南中智联和工程造价管理有限公司支付。</w:t>
      </w:r>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收费比例为国家计委计价格[2015]299号文件规定标准。</w:t>
      </w:r>
    </w:p>
    <w:p>
      <w:pPr>
        <w:pStyle w:val="5"/>
        <w:spacing w:before="0" w:after="0" w:line="300" w:lineRule="exact"/>
        <w:rPr>
          <w:rFonts w:cs="宋体" w:asciiTheme="minorEastAsia" w:hAnsiTheme="minorEastAsia" w:eastAsiaTheme="minorEastAsia"/>
          <w:b/>
          <w:bCs/>
          <w:u w:val="none"/>
        </w:rPr>
      </w:pPr>
      <w:bookmarkStart w:id="225" w:name="_Toc9330_WPSOffice_Level2"/>
      <w:bookmarkStart w:id="226" w:name="_Toc518923099"/>
      <w:bookmarkStart w:id="227" w:name="_Toc30567_WPSOffice_Level2"/>
      <w:bookmarkStart w:id="228" w:name="_Toc31411"/>
      <w:r>
        <w:rPr>
          <w:rFonts w:hint="eastAsia" w:cs="宋体" w:asciiTheme="minorEastAsia" w:hAnsiTheme="minorEastAsia" w:eastAsiaTheme="minorEastAsia"/>
          <w:b/>
          <w:bCs/>
          <w:u w:val="none"/>
        </w:rPr>
        <w:t>33.政府采购信用担保</w:t>
      </w:r>
      <w:bookmarkEnd w:id="225"/>
      <w:bookmarkEnd w:id="226"/>
      <w:bookmarkEnd w:id="227"/>
      <w:bookmarkEnd w:id="228"/>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5"/>
        <w:spacing w:before="0" w:after="0" w:line="300" w:lineRule="exact"/>
        <w:rPr>
          <w:rFonts w:cs="宋体" w:asciiTheme="minorEastAsia" w:hAnsiTheme="minorEastAsia" w:eastAsiaTheme="minorEastAsia"/>
          <w:b/>
          <w:bCs/>
          <w:u w:val="none"/>
        </w:rPr>
      </w:pPr>
      <w:bookmarkStart w:id="229" w:name="_Toc9469_WPSOffice_Level2"/>
      <w:bookmarkStart w:id="230" w:name="_Toc518923100"/>
      <w:bookmarkStart w:id="231" w:name="_Toc5233_WPSOffice_Level2"/>
      <w:bookmarkStart w:id="232" w:name="_Toc4701"/>
      <w:r>
        <w:rPr>
          <w:rFonts w:hint="eastAsia" w:cs="宋体" w:asciiTheme="minorEastAsia" w:hAnsiTheme="minorEastAsia" w:eastAsiaTheme="minorEastAsia"/>
          <w:b/>
          <w:bCs/>
          <w:u w:val="none"/>
        </w:rPr>
        <w:t>34.廉洁自律规定</w:t>
      </w:r>
      <w:bookmarkEnd w:id="229"/>
      <w:bookmarkEnd w:id="230"/>
      <w:bookmarkEnd w:id="231"/>
      <w:bookmarkEnd w:id="232"/>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5"/>
        <w:spacing w:before="0" w:after="0" w:line="300" w:lineRule="exact"/>
        <w:rPr>
          <w:rFonts w:cs="宋体" w:asciiTheme="minorEastAsia" w:hAnsiTheme="minorEastAsia" w:eastAsiaTheme="minorEastAsia"/>
          <w:b/>
          <w:bCs/>
          <w:u w:val="none"/>
        </w:rPr>
      </w:pPr>
      <w:bookmarkStart w:id="233" w:name="_Toc21055"/>
      <w:bookmarkStart w:id="234" w:name="_Toc27272_WPSOffice_Level2"/>
      <w:bookmarkStart w:id="235" w:name="_Toc27811_WPSOffice_Level2"/>
      <w:bookmarkStart w:id="236" w:name="_Toc518923101"/>
      <w:r>
        <w:rPr>
          <w:rFonts w:hint="eastAsia" w:cs="宋体" w:asciiTheme="minorEastAsia" w:hAnsiTheme="minorEastAsia" w:eastAsiaTheme="minorEastAsia"/>
          <w:b/>
          <w:bCs/>
          <w:u w:val="none"/>
        </w:rPr>
        <w:t>35.人员回避</w:t>
      </w:r>
      <w:bookmarkEnd w:id="233"/>
      <w:bookmarkEnd w:id="234"/>
      <w:bookmarkEnd w:id="235"/>
      <w:bookmarkEnd w:id="23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36</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10</w:t>
      </w:r>
      <w:r>
        <w:rPr>
          <w:rFonts w:hint="eastAsia" w:cs="宋体" w:asciiTheme="minorEastAsia" w:hAnsiTheme="minorEastAsia" w:eastAsiaTheme="minorEastAsia"/>
          <w:sz w:val="24"/>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lang w:val="en-US" w:eastAsia="zh-CN"/>
        </w:rPr>
        <w:t>36</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 xml:space="preserve">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36</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val="en-US" w:eastAsia="zh-CN"/>
        </w:rPr>
        <w:t>1</w:t>
      </w:r>
      <w:r>
        <w:rPr>
          <w:rFonts w:hint="eastAsia" w:cs="宋体" w:asciiTheme="minorEastAsia" w:hAnsiTheme="minorEastAsia" w:eastAsiaTheme="minorEastAsia"/>
          <w:color w:val="000000"/>
          <w:sz w:val="24"/>
        </w:rPr>
        <w:t>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36</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36</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4、质疑的审查和受理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36</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sz w:val="24"/>
          <w:lang w:val="en-US" w:eastAsia="zh-CN"/>
        </w:rPr>
        <w:t>37</w:t>
      </w:r>
      <w:r>
        <w:rPr>
          <w:rFonts w:hint="eastAsia" w:cs="宋体" w:asciiTheme="minorEastAsia" w:hAnsiTheme="minorEastAsia" w:eastAsiaTheme="minorEastAsia"/>
          <w:b/>
          <w:bCs/>
          <w:sz w:val="24"/>
        </w:rPr>
        <w:t>、</w:t>
      </w:r>
      <w:r>
        <w:rPr>
          <w:rFonts w:hint="eastAsia" w:cs="宋体" w:asciiTheme="minorEastAsia" w:hAnsiTheme="minorEastAsia" w:eastAsiaTheme="minorEastAsia"/>
          <w:b/>
          <w:bCs/>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37</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val="en-US" w:eastAsia="zh-CN"/>
        </w:rPr>
        <w:t>1</w:t>
      </w:r>
      <w:r>
        <w:rPr>
          <w:rFonts w:hint="eastAsia" w:cs="宋体" w:asciiTheme="minorEastAsia" w:hAnsiTheme="minorEastAsia" w:eastAsiaTheme="minorEastAsia"/>
          <w:color w:val="000000"/>
          <w:sz w:val="24"/>
        </w:rPr>
        <w:t xml:space="preserve">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37</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val="en-US" w:eastAsia="zh-CN"/>
        </w:rPr>
        <w:t>2</w:t>
      </w:r>
      <w:r>
        <w:rPr>
          <w:rFonts w:hint="eastAsia" w:cs="宋体" w:asciiTheme="minorEastAsia" w:hAnsiTheme="minorEastAsia" w:eastAsiaTheme="minorEastAsia"/>
          <w:color w:val="000000"/>
          <w:sz w:val="24"/>
        </w:rPr>
        <w:t>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37</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val="en-US" w:eastAsia="zh-CN"/>
        </w:rPr>
        <w:t>3</w:t>
      </w:r>
      <w:r>
        <w:rPr>
          <w:rFonts w:hint="eastAsia" w:cs="宋体" w:asciiTheme="minorEastAsia" w:hAnsiTheme="minorEastAsia" w:eastAsiaTheme="minorEastAsia"/>
          <w:color w:val="000000"/>
          <w:sz w:val="24"/>
        </w:rPr>
        <w:t>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val="en-US" w:eastAsia="zh-CN"/>
        </w:rPr>
        <w:t>37</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val="en-US" w:eastAsia="zh-CN"/>
        </w:rPr>
        <w:t>4</w:t>
      </w:r>
      <w:r>
        <w:rPr>
          <w:rFonts w:hint="eastAsia" w:cs="宋体" w:asciiTheme="minorEastAsia" w:hAnsiTheme="minorEastAsia" w:eastAsiaTheme="minorEastAsia"/>
          <w:color w:val="000000"/>
          <w:sz w:val="24"/>
        </w:rPr>
        <w:t>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lang w:val="en-US" w:eastAsia="zh-CN"/>
        </w:rPr>
        <w:t>37</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val="en-US" w:eastAsia="zh-CN"/>
        </w:rPr>
        <w:t>5</w:t>
      </w:r>
      <w:r>
        <w:rPr>
          <w:rFonts w:hint="eastAsia" w:cs="宋体" w:asciiTheme="minorEastAsia" w:hAnsiTheme="minorEastAsia" w:eastAsiaTheme="minorEastAsia"/>
          <w:color w:val="000000"/>
          <w:sz w:val="24"/>
        </w:rPr>
        <w:t xml:space="preserve">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37</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37</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采购方将在正式受理质疑后7个工作日内作出答复。</w:t>
      </w:r>
    </w:p>
    <w:p>
      <w:pPr>
        <w:pStyle w:val="2"/>
        <w:rPr>
          <w:rFonts w:asciiTheme="minorEastAsia" w:hAnsiTheme="minorEastAsia" w:eastAsiaTheme="minorEastAsia"/>
        </w:rPr>
      </w:pPr>
      <w:r>
        <w:rPr>
          <w:rFonts w:hint="eastAsia" w:asciiTheme="minorEastAsia" w:hAnsiTheme="minorEastAsia" w:eastAsiaTheme="minorEastAsia"/>
          <w:lang w:val="en-US" w:eastAsia="zh-CN"/>
        </w:rPr>
        <w:t>37</w:t>
      </w:r>
      <w:r>
        <w:rPr>
          <w:rFonts w:hint="eastAsia" w:asciiTheme="minorEastAsia" w:hAnsiTheme="minorEastAsia" w:eastAsiaTheme="minorEastAsia"/>
        </w:rPr>
        <w:t>.</w:t>
      </w:r>
      <w:r>
        <w:rPr>
          <w:rFonts w:hint="eastAsia" w:asciiTheme="minorEastAsia" w:hAnsiTheme="minorEastAsia" w:eastAsiaTheme="minorEastAsia"/>
          <w:lang w:val="en-US" w:eastAsia="zh-CN"/>
        </w:rPr>
        <w:t>8</w:t>
      </w:r>
      <w:r>
        <w:rPr>
          <w:rFonts w:hint="eastAsia" w:asciiTheme="minorEastAsia" w:hAnsiTheme="minorEastAsia" w:eastAsiaTheme="minorEastAsia"/>
        </w:rPr>
        <w:t xml:space="preserve">   质疑答复应当包括下列内容：</w:t>
      </w:r>
    </w:p>
    <w:p>
      <w:pPr>
        <w:pStyle w:val="2"/>
        <w:rPr>
          <w:rFonts w:asciiTheme="minorEastAsia" w:hAnsiTheme="minorEastAsia" w:eastAsiaTheme="minorEastAsia"/>
        </w:rPr>
      </w:pPr>
      <w:r>
        <w:rPr>
          <w:rFonts w:hint="eastAsia" w:asciiTheme="minorEastAsia" w:hAnsiTheme="minorEastAsia" w:eastAsiaTheme="minorEastAsia"/>
        </w:rPr>
        <w:t>（一）质疑人的姓名或者名称；</w:t>
      </w:r>
    </w:p>
    <w:p>
      <w:pPr>
        <w:pStyle w:val="2"/>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2"/>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2"/>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2"/>
        <w:rPr>
          <w:rFonts w:asciiTheme="minorEastAsia" w:hAnsiTheme="minorEastAsia" w:eastAsiaTheme="minorEastAsia"/>
        </w:rPr>
      </w:pPr>
      <w:r>
        <w:rPr>
          <w:rFonts w:hint="eastAsia" w:asciiTheme="minorEastAsia" w:hAnsiTheme="minorEastAsia" w:eastAsiaTheme="minorEastAsia"/>
        </w:rPr>
        <w:t>（五）质疑答复人名称；</w:t>
      </w:r>
    </w:p>
    <w:p>
      <w:pPr>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bookmarkStart w:id="237" w:name="_Toc20929"/>
      <w:bookmarkStart w:id="238" w:name="_Toc17656"/>
      <w:r>
        <w:rPr>
          <w:rFonts w:hint="eastAsia" w:cs="宋体" w:asciiTheme="minorEastAsia" w:hAnsiTheme="minorEastAsia" w:eastAsiaTheme="minorEastAsia"/>
          <w:b/>
          <w:bCs/>
          <w:sz w:val="24"/>
        </w:rPr>
        <w:t>质疑函范本</w:t>
      </w:r>
      <w:bookmarkEnd w:id="237"/>
      <w:bookmarkEnd w:id="238"/>
    </w:p>
    <w:p>
      <w:pPr>
        <w:adjustRightInd w:val="0"/>
        <w:snapToGrid w:val="0"/>
        <w:spacing w:beforeLines="100" w:line="360" w:lineRule="auto"/>
        <w:outlineLvl w:val="1"/>
        <w:rPr>
          <w:rFonts w:cs="宋体" w:asciiTheme="minorEastAsia" w:hAnsiTheme="minorEastAsia" w:eastAsiaTheme="minorEastAsia"/>
          <w:bCs/>
          <w:sz w:val="24"/>
        </w:rPr>
      </w:pPr>
      <w:bookmarkStart w:id="239" w:name="_Toc21218"/>
      <w:bookmarkStart w:id="240" w:name="_Toc21657"/>
      <w:r>
        <w:rPr>
          <w:rFonts w:hint="eastAsia" w:cs="宋体" w:asciiTheme="minorEastAsia" w:hAnsiTheme="minorEastAsia" w:eastAsiaTheme="minorEastAsia"/>
          <w:bCs/>
          <w:sz w:val="24"/>
        </w:rPr>
        <w:t>一、质疑供应商基本信息</w:t>
      </w:r>
      <w:bookmarkEnd w:id="239"/>
      <w:bookmarkEnd w:id="240"/>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bookmarkStart w:id="241" w:name="_Toc9785"/>
      <w:bookmarkStart w:id="242" w:name="_Toc1405"/>
      <w:r>
        <w:rPr>
          <w:rFonts w:hint="eastAsia" w:cs="宋体" w:asciiTheme="minorEastAsia" w:hAnsiTheme="minorEastAsia" w:eastAsiaTheme="minorEastAsia"/>
          <w:bCs/>
          <w:sz w:val="24"/>
        </w:rPr>
        <w:t>二、质疑项目基本情况</w:t>
      </w:r>
      <w:bookmarkEnd w:id="241"/>
      <w:bookmarkEnd w:id="242"/>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bookmarkStart w:id="243" w:name="_Toc12499"/>
      <w:bookmarkStart w:id="244" w:name="_Toc17106"/>
      <w:r>
        <w:rPr>
          <w:rFonts w:hint="eastAsia" w:cs="宋体" w:asciiTheme="minorEastAsia" w:hAnsiTheme="minorEastAsia" w:eastAsiaTheme="minorEastAsia"/>
          <w:bCs/>
          <w:sz w:val="24"/>
        </w:rPr>
        <w:t>三、质疑事项具体内容</w:t>
      </w:r>
      <w:bookmarkEnd w:id="243"/>
      <w:bookmarkEnd w:id="244"/>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bookmarkStart w:id="245" w:name="_Toc6346"/>
      <w:bookmarkStart w:id="246" w:name="_Toc7372"/>
      <w:r>
        <w:rPr>
          <w:rFonts w:hint="eastAsia" w:cs="宋体" w:asciiTheme="minorEastAsia" w:hAnsiTheme="minorEastAsia" w:eastAsiaTheme="minorEastAsia"/>
          <w:bCs/>
          <w:sz w:val="24"/>
        </w:rPr>
        <w:t>四、与质疑事项相关的质疑请求</w:t>
      </w:r>
      <w:bookmarkEnd w:id="245"/>
      <w:bookmarkEnd w:id="246"/>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47" w:name="_Toc18483"/>
      <w:bookmarkStart w:id="248" w:name="_Toc10402"/>
      <w:bookmarkStart w:id="249" w:name="_Toc3584_WPSOffice_Level1"/>
      <w:bookmarkStart w:id="250" w:name="_Toc518923103"/>
      <w:bookmarkStart w:id="251" w:name="_Toc22084_WPSOffice_Level1"/>
      <w:bookmarkStart w:id="252" w:name="_Toc23883"/>
      <w:bookmarkStart w:id="253" w:name="_Toc13071"/>
      <w:bookmarkStart w:id="254" w:name="_Toc21504_WPSOffice_Level1"/>
      <w:r>
        <w:rPr>
          <w:rFonts w:hint="eastAsia" w:cs="宋体" w:asciiTheme="minorEastAsia" w:hAnsiTheme="minorEastAsia" w:eastAsiaTheme="minorEastAsia"/>
          <w:szCs w:val="24"/>
        </w:rPr>
        <w:t>附件1：履约保证金保函（格式）</w:t>
      </w:r>
      <w:bookmarkEnd w:id="247"/>
      <w:bookmarkEnd w:id="248"/>
      <w:bookmarkEnd w:id="249"/>
      <w:bookmarkEnd w:id="250"/>
      <w:bookmarkEnd w:id="251"/>
      <w:bookmarkEnd w:id="252"/>
      <w:bookmarkEnd w:id="253"/>
      <w:bookmarkEnd w:id="254"/>
    </w:p>
    <w:p>
      <w:pPr>
        <w:pStyle w:val="17"/>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7"/>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7"/>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7"/>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7"/>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7"/>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7"/>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7"/>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7"/>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7"/>
        <w:spacing w:line="240" w:lineRule="atLeast"/>
        <w:ind w:left="1079" w:leftChars="257" w:hanging="540"/>
        <w:rPr>
          <w:rFonts w:cs="宋体" w:asciiTheme="minorEastAsia" w:hAnsiTheme="minorEastAsia" w:eastAsiaTheme="minorEastAsia"/>
          <w:sz w:val="24"/>
        </w:rPr>
      </w:pPr>
    </w:p>
    <w:p>
      <w:pPr>
        <w:pStyle w:val="17"/>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7"/>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7"/>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7"/>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7"/>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55" w:name="_Toc10323_WPSOffice_Level1"/>
      <w:bookmarkStart w:id="256" w:name="_Toc9904"/>
      <w:bookmarkStart w:id="257" w:name="_Toc518923104"/>
      <w:bookmarkStart w:id="258" w:name="_Toc27788"/>
      <w:bookmarkStart w:id="259" w:name="_Toc25500_WPSOffice_Level1"/>
      <w:bookmarkStart w:id="260" w:name="_Toc29034"/>
      <w:bookmarkStart w:id="261" w:name="_Toc391_WPSOffice_Level1"/>
      <w:bookmarkStart w:id="262" w:name="_Toc2256"/>
      <w:r>
        <w:rPr>
          <w:rFonts w:hint="eastAsia" w:cs="宋体" w:asciiTheme="minorEastAsia" w:hAnsiTheme="minorEastAsia" w:eastAsiaTheme="minorEastAsia"/>
          <w:szCs w:val="24"/>
        </w:rPr>
        <w:t>附件2：履约担保函格式</w:t>
      </w:r>
      <w:bookmarkEnd w:id="255"/>
      <w:bookmarkEnd w:id="256"/>
      <w:bookmarkEnd w:id="257"/>
      <w:bookmarkEnd w:id="258"/>
      <w:bookmarkEnd w:id="259"/>
      <w:bookmarkEnd w:id="260"/>
      <w:bookmarkEnd w:id="261"/>
      <w:bookmarkEnd w:id="262"/>
    </w:p>
    <w:p>
      <w:pPr>
        <w:pStyle w:val="4"/>
        <w:spacing w:before="0" w:line="240" w:lineRule="atLeast"/>
        <w:ind w:left="1079" w:leftChars="257" w:hanging="540"/>
        <w:rPr>
          <w:rFonts w:cs="宋体" w:asciiTheme="minorEastAsia" w:hAnsiTheme="minorEastAsia" w:eastAsiaTheme="minorEastAsia"/>
          <w:b w:val="0"/>
        </w:rPr>
      </w:pPr>
      <w:bookmarkStart w:id="263" w:name="_Toc518923105"/>
      <w:bookmarkStart w:id="264" w:name="_Toc11516_WPSOffice_Level1"/>
      <w:bookmarkStart w:id="265" w:name="_Toc27405_WPSOffice_Level1"/>
      <w:bookmarkStart w:id="266" w:name="_Toc515904842"/>
      <w:bookmarkStart w:id="267" w:name="_Toc13630"/>
      <w:bookmarkStart w:id="268" w:name="_Toc30995"/>
      <w:bookmarkStart w:id="269" w:name="_Toc10698"/>
      <w:bookmarkStart w:id="270" w:name="_Toc20933_WPSOffice_Level1"/>
      <w:bookmarkStart w:id="271" w:name="_Toc17511"/>
      <w:r>
        <w:rPr>
          <w:rFonts w:hint="eastAsia" w:cs="宋体" w:asciiTheme="minorEastAsia" w:hAnsiTheme="minorEastAsia" w:eastAsiaTheme="minorEastAsia"/>
          <w:szCs w:val="24"/>
        </w:rPr>
        <w:t>（采用政府采购信用担保形式时使用）</w:t>
      </w:r>
      <w:bookmarkEnd w:id="263"/>
      <w:bookmarkEnd w:id="264"/>
      <w:bookmarkEnd w:id="265"/>
      <w:bookmarkEnd w:id="266"/>
      <w:bookmarkEnd w:id="267"/>
      <w:bookmarkEnd w:id="268"/>
      <w:bookmarkEnd w:id="269"/>
      <w:bookmarkEnd w:id="270"/>
      <w:bookmarkEnd w:id="271"/>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72" w:name="_Toc11823_WPSOffice_Level1"/>
      <w:bookmarkStart w:id="273" w:name="_Toc10654_WPSOffice_Level1"/>
      <w:bookmarkStart w:id="274" w:name="_Toc5507"/>
      <w:bookmarkStart w:id="275" w:name="_Toc31826"/>
      <w:r>
        <w:rPr>
          <w:rFonts w:hint="eastAsia" w:cs="宋体" w:asciiTheme="minorEastAsia" w:hAnsiTheme="minorEastAsia" w:eastAsiaTheme="minorEastAsia"/>
          <w:sz w:val="24"/>
        </w:rPr>
        <w:t>一、保证责任的情形及保证金额</w:t>
      </w:r>
      <w:bookmarkEnd w:id="272"/>
      <w:bookmarkEnd w:id="273"/>
      <w:bookmarkEnd w:id="274"/>
      <w:bookmarkEnd w:id="275"/>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76" w:name="_Toc16609"/>
      <w:bookmarkStart w:id="277" w:name="_Toc3896_WPSOffice_Level1"/>
      <w:bookmarkStart w:id="278" w:name="_Toc1595"/>
      <w:bookmarkStart w:id="279" w:name="_Toc7886_WPSOffice_Level1"/>
      <w:r>
        <w:rPr>
          <w:rFonts w:hint="eastAsia" w:cs="宋体" w:asciiTheme="minorEastAsia" w:hAnsiTheme="minorEastAsia" w:eastAsiaTheme="minorEastAsia"/>
          <w:sz w:val="24"/>
        </w:rPr>
        <w:t>二、保证的方式及保证期间</w:t>
      </w:r>
      <w:bookmarkEnd w:id="276"/>
      <w:bookmarkEnd w:id="277"/>
      <w:bookmarkEnd w:id="278"/>
      <w:bookmarkEnd w:id="279"/>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80" w:name="_Toc12809"/>
      <w:bookmarkStart w:id="281" w:name="_Toc13180_WPSOffice_Level1"/>
      <w:bookmarkStart w:id="282" w:name="_Toc6638_WPSOffice_Level1"/>
      <w:bookmarkStart w:id="283" w:name="_Toc284"/>
      <w:r>
        <w:rPr>
          <w:rFonts w:hint="eastAsia" w:cs="宋体" w:asciiTheme="minorEastAsia" w:hAnsiTheme="minorEastAsia" w:eastAsiaTheme="minorEastAsia"/>
          <w:sz w:val="24"/>
        </w:rPr>
        <w:t>三、承担保证责任的程序</w:t>
      </w:r>
      <w:bookmarkEnd w:id="280"/>
      <w:bookmarkEnd w:id="281"/>
      <w:bookmarkEnd w:id="282"/>
      <w:bookmarkEnd w:id="283"/>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84" w:name="_Toc32368_WPSOffice_Level1"/>
      <w:bookmarkStart w:id="285" w:name="_Toc12110"/>
      <w:bookmarkStart w:id="286" w:name="_Toc14402_WPSOffice_Level1"/>
      <w:bookmarkStart w:id="287" w:name="_Toc28549"/>
      <w:r>
        <w:rPr>
          <w:rFonts w:hint="eastAsia" w:cs="宋体" w:asciiTheme="minorEastAsia" w:hAnsiTheme="minorEastAsia" w:eastAsiaTheme="minorEastAsia"/>
          <w:sz w:val="24"/>
        </w:rPr>
        <w:t>四、保证责任的终止</w:t>
      </w:r>
      <w:bookmarkEnd w:id="284"/>
      <w:bookmarkEnd w:id="285"/>
      <w:bookmarkEnd w:id="286"/>
      <w:bookmarkEnd w:id="287"/>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88" w:name="_Toc23917_WPSOffice_Level1"/>
      <w:bookmarkStart w:id="289" w:name="_Toc23530"/>
      <w:bookmarkStart w:id="290" w:name="_Toc15921_WPSOffice_Level1"/>
      <w:bookmarkStart w:id="291" w:name="_Toc30311"/>
      <w:r>
        <w:rPr>
          <w:rFonts w:hint="eastAsia" w:cs="宋体" w:asciiTheme="minorEastAsia" w:hAnsiTheme="minorEastAsia" w:eastAsiaTheme="minorEastAsia"/>
          <w:sz w:val="24"/>
        </w:rPr>
        <w:t>五、免责条款</w:t>
      </w:r>
      <w:bookmarkEnd w:id="288"/>
      <w:bookmarkEnd w:id="289"/>
      <w:bookmarkEnd w:id="290"/>
      <w:bookmarkEnd w:id="291"/>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92" w:name="_Toc24961"/>
      <w:bookmarkStart w:id="293" w:name="_Toc6543_WPSOffice_Level1"/>
      <w:bookmarkStart w:id="294" w:name="_Toc24862"/>
      <w:bookmarkStart w:id="295" w:name="_Toc2970_WPSOffice_Level1"/>
      <w:r>
        <w:rPr>
          <w:rFonts w:hint="eastAsia" w:cs="宋体" w:asciiTheme="minorEastAsia" w:hAnsiTheme="minorEastAsia" w:eastAsiaTheme="minorEastAsia"/>
          <w:sz w:val="24"/>
        </w:rPr>
        <w:t>六、争议的解决</w:t>
      </w:r>
      <w:bookmarkEnd w:id="292"/>
      <w:bookmarkEnd w:id="293"/>
      <w:bookmarkEnd w:id="294"/>
      <w:bookmarkEnd w:id="295"/>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96" w:name="_Toc548_WPSOffice_Level1"/>
      <w:bookmarkStart w:id="297" w:name="_Toc1928"/>
      <w:bookmarkStart w:id="298" w:name="_Toc3482_WPSOffice_Level1"/>
      <w:bookmarkStart w:id="299" w:name="_Toc32437"/>
      <w:r>
        <w:rPr>
          <w:rFonts w:hint="eastAsia" w:cs="宋体" w:asciiTheme="minorEastAsia" w:hAnsiTheme="minorEastAsia" w:eastAsiaTheme="minorEastAsia"/>
          <w:sz w:val="24"/>
        </w:rPr>
        <w:t>七、保函的生效</w:t>
      </w:r>
      <w:bookmarkEnd w:id="296"/>
      <w:bookmarkEnd w:id="297"/>
      <w:bookmarkEnd w:id="298"/>
      <w:bookmarkEnd w:id="299"/>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9"/>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300" w:name="_Toc216582812"/>
      <w:bookmarkStart w:id="301" w:name="_Toc518923106"/>
      <w:bookmarkStart w:id="302" w:name="_Toc29353"/>
      <w:bookmarkStart w:id="303" w:name="_Toc19443"/>
      <w:bookmarkStart w:id="304" w:name="_Toc22577_WPSOffice_Level1"/>
      <w:bookmarkStart w:id="305" w:name="_Toc27774"/>
      <w:bookmarkStart w:id="306" w:name="_Toc6923"/>
      <w:r>
        <w:rPr>
          <w:rFonts w:hint="eastAsia" w:cs="宋体" w:asciiTheme="minorEastAsia" w:hAnsiTheme="minorEastAsia" w:eastAsiaTheme="minorEastAsia"/>
        </w:rPr>
        <w:t>第二章响应文件格式</w:t>
      </w:r>
      <w:bookmarkEnd w:id="300"/>
      <w:bookmarkEnd w:id="301"/>
      <w:bookmarkEnd w:id="302"/>
      <w:bookmarkEnd w:id="303"/>
      <w:bookmarkEnd w:id="304"/>
      <w:bookmarkEnd w:id="305"/>
      <w:bookmarkEnd w:id="306"/>
    </w:p>
    <w:p>
      <w:pPr>
        <w:spacing w:line="240" w:lineRule="atLeast"/>
        <w:ind w:left="735" w:leftChars="350" w:firstLine="120" w:firstLineChars="50"/>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307" w:name="_Toc975"/>
      <w:bookmarkStart w:id="308" w:name="_Toc515647803"/>
      <w:bookmarkStart w:id="309" w:name="_Toc21719"/>
      <w:bookmarkStart w:id="310" w:name="_Toc18694"/>
      <w:bookmarkStart w:id="311" w:name="_Toc28706"/>
      <w:bookmarkStart w:id="312" w:name="_Toc25620_WPSOffice_Level2"/>
      <w:bookmarkStart w:id="313" w:name="_Toc27612"/>
      <w:bookmarkStart w:id="314" w:name="_Toc18974"/>
      <w:bookmarkStart w:id="315" w:name="_Toc6762_WPSOffice_Level2"/>
      <w:r>
        <w:rPr>
          <w:rFonts w:hint="eastAsia" w:cs="宋体" w:asciiTheme="minorEastAsia" w:hAnsiTheme="minorEastAsia" w:eastAsiaTheme="minorEastAsia"/>
          <w:sz w:val="24"/>
        </w:rPr>
        <w:t>第一部分报价一览表及资格证明文件</w:t>
      </w:r>
      <w:bookmarkEnd w:id="307"/>
      <w:bookmarkEnd w:id="308"/>
      <w:bookmarkEnd w:id="309"/>
      <w:bookmarkEnd w:id="310"/>
      <w:bookmarkEnd w:id="311"/>
      <w:bookmarkEnd w:id="312"/>
      <w:bookmarkEnd w:id="313"/>
      <w:bookmarkEnd w:id="314"/>
      <w:bookmarkEnd w:id="31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316" w:name="_Toc515647816"/>
      <w:bookmarkStart w:id="317" w:name="_Toc11180"/>
      <w:bookmarkStart w:id="318" w:name="_Toc480942349"/>
      <w:bookmarkStart w:id="319" w:name="_Ref467988698"/>
      <w:bookmarkStart w:id="320" w:name="_Toc520356217"/>
      <w:bookmarkStart w:id="321"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en-US" w:eastAsia="zh-CN"/>
        </w:rPr>
        <w:t>税收、</w:t>
      </w:r>
      <w:r>
        <w:rPr>
          <w:rFonts w:hint="eastAsia" w:cs="宋体" w:asciiTheme="minorEastAsia" w:hAnsiTheme="minorEastAsia" w:eastAsiaTheme="minorEastAsia"/>
          <w:sz w:val="24"/>
        </w:rPr>
        <w:t>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9"/>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9"/>
        <w:ind w:firstLine="0"/>
        <w:rPr>
          <w:rFonts w:cs="宋体" w:asciiTheme="minorEastAsia" w:hAnsiTheme="minorEastAsia" w:eastAsiaTheme="minorEastAsia"/>
        </w:rPr>
      </w:pPr>
    </w:p>
    <w:p>
      <w:pPr>
        <w:pStyle w:val="9"/>
        <w:rPr>
          <w:rFonts w:cs="宋体" w:asciiTheme="minorEastAsia" w:hAnsiTheme="minorEastAsia" w:eastAsiaTheme="minorEastAsia"/>
        </w:rPr>
      </w:pPr>
    </w:p>
    <w:p>
      <w:pPr>
        <w:pStyle w:val="9"/>
        <w:ind w:firstLine="0"/>
        <w:rPr>
          <w:rFonts w:cs="宋体" w:asciiTheme="minorEastAsia" w:hAnsiTheme="minorEastAsia" w:eastAsiaTheme="minorEastAsia"/>
        </w:rPr>
      </w:pPr>
    </w:p>
    <w:p>
      <w:pPr>
        <w:pStyle w:val="4"/>
        <w:spacing w:before="0" w:line="240" w:lineRule="atLeast"/>
        <w:ind w:left="1079" w:leftChars="257" w:hanging="540"/>
        <w:rPr>
          <w:rFonts w:cs="宋体" w:asciiTheme="minorEastAsia" w:hAnsiTheme="minorEastAsia" w:eastAsiaTheme="minorEastAsia"/>
          <w:sz w:val="24"/>
        </w:rPr>
      </w:pPr>
      <w:bookmarkStart w:id="322" w:name="_Toc16568"/>
      <w:bookmarkStart w:id="323" w:name="_Toc14118"/>
      <w:bookmarkStart w:id="324" w:name="_Toc3620"/>
      <w:bookmarkStart w:id="325" w:name="_Toc515647804"/>
      <w:bookmarkStart w:id="326" w:name="_Toc16750"/>
      <w:bookmarkStart w:id="327" w:name="_Toc21614"/>
      <w:bookmarkStart w:id="328" w:name="_Toc30524"/>
      <w:bookmarkStart w:id="329" w:name="_Toc30630"/>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bookmarkEnd w:id="322"/>
    <w:bookmarkEnd w:id="323"/>
    <w:bookmarkEnd w:id="324"/>
    <w:bookmarkEnd w:id="325"/>
    <w:bookmarkEnd w:id="326"/>
    <w:bookmarkEnd w:id="327"/>
    <w:bookmarkEnd w:id="328"/>
    <w:bookmarkEnd w:id="329"/>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bookmarkStart w:id="330" w:name="_Toc18317"/>
      <w:bookmarkStart w:id="331" w:name="_Toc26280"/>
      <w:r>
        <w:rPr>
          <w:rFonts w:hint="eastAsia" w:cs="宋体" w:asciiTheme="minorEastAsia" w:hAnsiTheme="minorEastAsia" w:eastAsiaTheme="minorEastAsia"/>
          <w:sz w:val="24"/>
        </w:rPr>
        <w:t>1  报价一览表（响应文件格式一）</w:t>
      </w:r>
      <w:bookmarkEnd w:id="330"/>
      <w:bookmarkEnd w:id="331"/>
    </w:p>
    <w:p>
      <w:pPr>
        <w:pStyle w:val="17"/>
        <w:tabs>
          <w:tab w:val="left" w:pos="5580"/>
        </w:tabs>
        <w:spacing w:line="240" w:lineRule="atLeast"/>
        <w:rPr>
          <w:rFonts w:cs="宋体" w:asciiTheme="minorEastAsia" w:hAnsiTheme="minorEastAsia" w:eastAsiaTheme="minorEastAsia"/>
          <w:sz w:val="24"/>
          <w:szCs w:val="24"/>
        </w:rPr>
      </w:pPr>
    </w:p>
    <w:p>
      <w:pPr>
        <w:pStyle w:val="9"/>
        <w:tabs>
          <w:tab w:val="left" w:pos="5580"/>
        </w:tabs>
        <w:spacing w:line="240" w:lineRule="atLeast"/>
        <w:ind w:left="1079" w:leftChars="257" w:hanging="540"/>
        <w:jc w:val="center"/>
        <w:outlineLvl w:val="1"/>
        <w:rPr>
          <w:rFonts w:cs="宋体" w:asciiTheme="minorEastAsia" w:hAnsiTheme="minorEastAsia" w:eastAsiaTheme="minorEastAsia"/>
        </w:rPr>
      </w:pPr>
      <w:bookmarkStart w:id="332" w:name="_Hlt520356241"/>
      <w:bookmarkEnd w:id="332"/>
      <w:bookmarkStart w:id="333" w:name="_Toc1393"/>
      <w:bookmarkStart w:id="334" w:name="_Toc22493"/>
      <w:bookmarkStart w:id="335" w:name="_Toc494296984"/>
      <w:r>
        <w:rPr>
          <w:rFonts w:hint="eastAsia" w:cs="宋体" w:asciiTheme="minorEastAsia" w:hAnsiTheme="minorEastAsia" w:eastAsiaTheme="minorEastAsia"/>
          <w:b/>
        </w:rPr>
        <w:t>首轮报价一览表</w:t>
      </w:r>
      <w:bookmarkEnd w:id="333"/>
      <w:bookmarkEnd w:id="334"/>
      <w:bookmarkEnd w:id="335"/>
    </w:p>
    <w:p>
      <w:pPr>
        <w:tabs>
          <w:tab w:val="left" w:pos="1800"/>
          <w:tab w:val="left" w:pos="5580"/>
        </w:tabs>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喀什地区文旅系统赴山东考察学习培训</w:t>
      </w:r>
      <w:r>
        <w:rPr>
          <w:rFonts w:hint="eastAsia" w:ascii="仿宋" w:hAnsi="仿宋" w:eastAsia="仿宋" w:cs="仿宋"/>
          <w:sz w:val="28"/>
          <w:szCs w:val="28"/>
          <w:lang w:val="en-US" w:eastAsia="zh-CN"/>
        </w:rPr>
        <w:t xml:space="preserve">采购项目              </w:t>
      </w:r>
    </w:p>
    <w:tbl>
      <w:tblPr>
        <w:tblStyle w:val="38"/>
        <w:tblpPr w:leftFromText="180" w:rightFromText="180" w:vertAnchor="text" w:horzAnchor="page" w:tblpX="1592" w:tblpY="546"/>
        <w:tblOverlap w:val="never"/>
        <w:tblW w:w="8737" w:type="dxa"/>
        <w:tblInd w:w="0" w:type="dxa"/>
        <w:tblLayout w:type="fixed"/>
        <w:tblCellMar>
          <w:top w:w="0" w:type="dxa"/>
          <w:left w:w="0" w:type="dxa"/>
          <w:bottom w:w="0" w:type="dxa"/>
          <w:right w:w="0" w:type="dxa"/>
        </w:tblCellMar>
      </w:tblPr>
      <w:tblGrid>
        <w:gridCol w:w="2059"/>
        <w:gridCol w:w="1479"/>
        <w:gridCol w:w="1525"/>
        <w:gridCol w:w="1132"/>
        <w:gridCol w:w="1038"/>
        <w:gridCol w:w="1504"/>
      </w:tblGrid>
      <w:tr>
        <w:tblPrEx>
          <w:tblCellMar>
            <w:top w:w="0" w:type="dxa"/>
            <w:left w:w="0" w:type="dxa"/>
            <w:bottom w:w="0" w:type="dxa"/>
            <w:right w:w="0" w:type="dxa"/>
          </w:tblCellMar>
        </w:tblPrEx>
        <w:trPr>
          <w:trHeight w:val="1287" w:hRule="atLeast"/>
        </w:trPr>
        <w:tc>
          <w:tcPr>
            <w:tcW w:w="205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479"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52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32"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03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504"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92" w:hRule="atLeast"/>
        </w:trPr>
        <w:tc>
          <w:tcPr>
            <w:tcW w:w="205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喀什地区文旅系统赴山东考察学习培训</w:t>
            </w:r>
            <w:r>
              <w:rPr>
                <w:rFonts w:hint="eastAsia" w:cs="宋体" w:asciiTheme="minorEastAsia" w:hAnsiTheme="minorEastAsia" w:eastAsiaTheme="minorEastAsia"/>
                <w:sz w:val="24"/>
              </w:rPr>
              <w:t xml:space="preserve">采购项目      </w:t>
            </w:r>
          </w:p>
        </w:tc>
        <w:tc>
          <w:tcPr>
            <w:tcW w:w="1479"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6"/>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52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32"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03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504"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u w:val="single"/>
        </w:rPr>
      </w:pPr>
    </w:p>
    <w:p>
      <w:pPr>
        <w:pStyle w:val="17"/>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7"/>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1、此表应按供应商须知的规定装订密封。</w:t>
      </w:r>
    </w:p>
    <w:p>
      <w:pPr>
        <w:pStyle w:val="17"/>
        <w:tabs>
          <w:tab w:val="left" w:pos="5580"/>
        </w:tabs>
        <w:spacing w:line="240" w:lineRule="atLeast"/>
        <w:ind w:firstLine="960" w:firstLineChars="400"/>
        <w:outlineLvl w:val="1"/>
        <w:rPr>
          <w:rFonts w:cs="宋体" w:asciiTheme="minorEastAsia" w:hAnsiTheme="minorEastAsia" w:eastAsiaTheme="minorEastAsia"/>
          <w:b/>
          <w:bCs/>
          <w:sz w:val="24"/>
        </w:rPr>
      </w:pPr>
      <w:bookmarkStart w:id="336" w:name="_Toc4357"/>
      <w:bookmarkStart w:id="337" w:name="_Toc19961"/>
      <w:r>
        <w:rPr>
          <w:rFonts w:hint="eastAsia" w:cs="宋体" w:asciiTheme="minorEastAsia" w:hAnsiTheme="minorEastAsia" w:eastAsiaTheme="minorEastAsia"/>
          <w:sz w:val="24"/>
        </w:rPr>
        <w:t>2、此表中，单位为元。</w:t>
      </w:r>
      <w:bookmarkEnd w:id="336"/>
      <w:bookmarkEnd w:id="337"/>
    </w:p>
    <w:p>
      <w:pPr>
        <w:pStyle w:val="17"/>
        <w:tabs>
          <w:tab w:val="left" w:pos="5580"/>
        </w:tabs>
        <w:spacing w:line="240" w:lineRule="atLeast"/>
        <w:outlineLvl w:val="1"/>
        <w:rPr>
          <w:rFonts w:cs="宋体" w:asciiTheme="minorEastAsia" w:hAnsiTheme="minorEastAsia" w:eastAsiaTheme="minorEastAsia"/>
          <w:b/>
          <w:bCs/>
          <w:sz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
      <w:pPr>
        <w:pStyle w:val="2"/>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rPr>
          <w:rFonts w:hAnsi="宋体"/>
          <w:b/>
          <w:bCs/>
          <w:color w:val="000000"/>
          <w:sz w:val="28"/>
          <w:szCs w:val="24"/>
        </w:rPr>
      </w:pPr>
    </w:p>
    <w:p>
      <w:pPr>
        <w:pStyle w:val="9"/>
        <w:tabs>
          <w:tab w:val="left" w:pos="5580"/>
        </w:tabs>
        <w:spacing w:line="240" w:lineRule="atLeast"/>
        <w:ind w:firstLine="0"/>
        <w:jc w:val="center"/>
        <w:outlineLvl w:val="1"/>
      </w:pPr>
      <w:bookmarkStart w:id="338" w:name="_Toc16876"/>
      <w:bookmarkStart w:id="339" w:name="_Toc31984"/>
      <w:r>
        <w:rPr>
          <w:rFonts w:hint="eastAsia" w:hAnsi="宋体"/>
          <w:b/>
          <w:bCs/>
          <w:color w:val="000000"/>
          <w:sz w:val="28"/>
          <w:szCs w:val="24"/>
        </w:rPr>
        <w:t>二轮报价一览表</w:t>
      </w:r>
      <w:bookmarkEnd w:id="338"/>
      <w:bookmarkEnd w:id="339"/>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喀什地区文旅系统赴山东考察学习培训</w:t>
      </w:r>
      <w:r>
        <w:rPr>
          <w:rFonts w:hint="eastAsia" w:ascii="仿宋" w:hAnsi="仿宋" w:eastAsia="仿宋" w:cs="仿宋"/>
          <w:sz w:val="28"/>
          <w:szCs w:val="28"/>
        </w:rPr>
        <w:t>采购项目报价单位：元</w:t>
      </w:r>
    </w:p>
    <w:p>
      <w:pPr>
        <w:pStyle w:val="26"/>
        <w:rPr>
          <w:rFonts w:ascii="仿宋" w:hAnsi="仿宋" w:eastAsia="仿宋" w:cs="仿宋"/>
          <w:sz w:val="28"/>
          <w:szCs w:val="28"/>
        </w:rPr>
      </w:pPr>
    </w:p>
    <w:tbl>
      <w:tblPr>
        <w:tblStyle w:val="38"/>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hint="eastAsia"/>
                <w:lang w:eastAsia="zh-CN"/>
              </w:rPr>
            </w:pPr>
            <w:r>
              <w:rPr>
                <w:rFonts w:hint="eastAsia"/>
                <w:lang w:eastAsia="zh-CN"/>
              </w:rPr>
              <w:t xml:space="preserve">喀什地区文旅系统赴山东考察学习培训采购项目      </w:t>
            </w:r>
          </w:p>
          <w:p>
            <w:pPr>
              <w:pStyle w:val="36"/>
            </w:pP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6"/>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7"/>
        <w:tabs>
          <w:tab w:val="left" w:pos="5580"/>
        </w:tabs>
        <w:spacing w:line="240" w:lineRule="atLeast"/>
        <w:ind w:left="1079" w:leftChars="257" w:hanging="540"/>
        <w:rPr>
          <w:rFonts w:cs="宋体" w:asciiTheme="minorEastAsia" w:hAnsiTheme="minorEastAsia" w:eastAsiaTheme="minorEastAsia"/>
          <w:sz w:val="24"/>
          <w:u w:val="single"/>
        </w:rPr>
      </w:pPr>
    </w:p>
    <w:p>
      <w:pPr>
        <w:pStyle w:val="17"/>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7"/>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7"/>
        <w:tabs>
          <w:tab w:val="left" w:pos="5580"/>
        </w:tabs>
        <w:spacing w:line="240" w:lineRule="atLeast"/>
        <w:ind w:firstLine="720" w:firstLineChars="300"/>
        <w:outlineLvl w:val="1"/>
        <w:rPr>
          <w:rFonts w:cs="宋体" w:asciiTheme="minorEastAsia" w:hAnsiTheme="minorEastAsia" w:eastAsiaTheme="minorEastAsia"/>
          <w:sz w:val="24"/>
        </w:rPr>
      </w:pPr>
      <w:bookmarkStart w:id="340" w:name="_Toc12791"/>
      <w:bookmarkStart w:id="341" w:name="_Toc2271"/>
      <w:r>
        <w:rPr>
          <w:rFonts w:hint="eastAsia" w:cs="宋体" w:asciiTheme="minorEastAsia" w:hAnsiTheme="minorEastAsia" w:eastAsiaTheme="minorEastAsia"/>
          <w:sz w:val="24"/>
        </w:rPr>
        <w:t>2、此表中，单位为元。</w:t>
      </w:r>
      <w:bookmarkEnd w:id="340"/>
      <w:bookmarkEnd w:id="341"/>
    </w:p>
    <w:p>
      <w:pPr>
        <w:pStyle w:val="17"/>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bookmarkStart w:id="342" w:name="_Toc11196"/>
      <w:bookmarkStart w:id="343" w:name="_Toc26964"/>
      <w:r>
        <w:rPr>
          <w:rFonts w:hint="eastAsia" w:cs="宋体" w:asciiTheme="minorEastAsia" w:hAnsiTheme="minorEastAsia" w:eastAsiaTheme="minorEastAsia"/>
          <w:b/>
          <w:bCs/>
          <w:sz w:val="24"/>
        </w:rPr>
        <w:t>3.此表无需填写、无需装订在投标文件中，此表为现场填写。</w:t>
      </w:r>
      <w:bookmarkEnd w:id="342"/>
      <w:bookmarkEnd w:id="343"/>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9"/>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
      <w:pPr>
        <w:rPr>
          <w:rFonts w:cs="宋体" w:asciiTheme="minorEastAsia" w:hAnsiTheme="minorEastAsia" w:eastAsiaTheme="minorEastAsia"/>
          <w:sz w:val="24"/>
        </w:rPr>
      </w:pPr>
    </w:p>
    <w:p>
      <w:pPr>
        <w:pStyle w:val="4"/>
        <w:spacing w:before="0" w:line="240" w:lineRule="atLeast"/>
        <w:jc w:val="both"/>
        <w:rPr>
          <w:rFonts w:hint="eastAsia" w:cs="宋体" w:asciiTheme="minorEastAsia" w:hAnsiTheme="minorEastAsia" w:eastAsiaTheme="minorEastAsia"/>
          <w:sz w:val="24"/>
        </w:rPr>
      </w:pPr>
    </w:p>
    <w:p>
      <w:pPr>
        <w:rPr>
          <w:rFonts w:hint="eastAsia" w:cs="宋体" w:asciiTheme="minorEastAsia" w:hAnsiTheme="minorEastAsia" w:eastAsiaTheme="minorEastAsia"/>
          <w:sz w:val="24"/>
        </w:rPr>
      </w:pPr>
    </w:p>
    <w:p>
      <w:pPr>
        <w:pStyle w:val="2"/>
        <w:rPr>
          <w:rFonts w:hint="eastAsia" w:cs="宋体" w:asciiTheme="minorEastAsia" w:hAnsiTheme="minorEastAsia" w:eastAsiaTheme="minorEastAsia"/>
          <w:sz w:val="24"/>
        </w:rPr>
      </w:pPr>
    </w:p>
    <w:p>
      <w:pPr>
        <w:pStyle w:val="2"/>
        <w:rPr>
          <w:rFonts w:hint="eastAsia" w:cs="宋体" w:asciiTheme="minorEastAsia" w:hAnsiTheme="minorEastAsia" w:eastAsiaTheme="minorEastAsia"/>
          <w:sz w:val="24"/>
        </w:rPr>
      </w:pPr>
    </w:p>
    <w:p>
      <w:pPr>
        <w:pStyle w:val="4"/>
        <w:spacing w:before="0" w:line="240" w:lineRule="atLeast"/>
        <w:jc w:val="both"/>
        <w:rPr>
          <w:rFonts w:ascii="宋体" w:hAnsi="宋体" w:eastAsia="宋体" w:cs="宋体"/>
          <w:sz w:val="24"/>
        </w:rPr>
      </w:pPr>
      <w:bookmarkStart w:id="344" w:name="_Toc3837"/>
      <w:bookmarkStart w:id="345" w:name="_Toc10829"/>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bookmarkEnd w:id="344"/>
      <w:bookmarkEnd w:id="345"/>
    </w:p>
    <w:p>
      <w:pPr>
        <w:pStyle w:val="17"/>
        <w:tabs>
          <w:tab w:val="left" w:pos="5580"/>
        </w:tabs>
        <w:spacing w:line="240" w:lineRule="atLeast"/>
        <w:ind w:left="1079" w:leftChars="257" w:hanging="540"/>
        <w:jc w:val="center"/>
        <w:rPr>
          <w:rFonts w:hAnsi="宋体" w:cs="宋体"/>
          <w:b/>
          <w:sz w:val="24"/>
        </w:rPr>
      </w:pPr>
    </w:p>
    <w:p>
      <w:pPr>
        <w:pStyle w:val="17"/>
        <w:tabs>
          <w:tab w:val="left" w:pos="5580"/>
        </w:tabs>
        <w:spacing w:line="240" w:lineRule="atLeast"/>
        <w:ind w:left="1079" w:leftChars="257" w:hanging="540"/>
        <w:rPr>
          <w:rFonts w:hAnsi="宋体" w:cs="宋体"/>
          <w:b/>
          <w:sz w:val="24"/>
        </w:rPr>
      </w:pPr>
    </w:p>
    <w:p>
      <w:pPr>
        <w:pStyle w:val="17"/>
        <w:tabs>
          <w:tab w:val="left" w:pos="5580"/>
        </w:tabs>
        <w:spacing w:line="240" w:lineRule="atLeast"/>
        <w:ind w:left="1079" w:leftChars="257" w:hanging="540"/>
        <w:rPr>
          <w:rFonts w:hAnsi="宋体" w:cs="宋体"/>
          <w:b/>
          <w:sz w:val="24"/>
        </w:rPr>
      </w:pPr>
    </w:p>
    <w:p>
      <w:pPr>
        <w:pStyle w:val="17"/>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7"/>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7"/>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346" w:name="_Toc29899"/>
      <w:bookmarkStart w:id="347" w:name="_Toc515647805"/>
      <w:bookmarkStart w:id="348" w:name="_Toc1957"/>
      <w:bookmarkStart w:id="349" w:name="_Toc32302"/>
      <w:bookmarkStart w:id="350" w:name="_Toc17577"/>
      <w:bookmarkStart w:id="351" w:name="_Toc3087"/>
      <w:bookmarkStart w:id="352" w:name="_Toc28979"/>
      <w:bookmarkStart w:id="353" w:name="_Toc6475"/>
    </w:p>
    <w:p>
      <w:pPr>
        <w:pStyle w:val="9"/>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4"/>
        <w:spacing w:before="0" w:line="240" w:lineRule="atLeast"/>
        <w:rPr>
          <w:rFonts w:hint="eastAsia"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bookmarkStart w:id="354" w:name="_Toc1963"/>
      <w:bookmarkStart w:id="355" w:name="_Toc21526"/>
      <w:r>
        <w:rPr>
          <w:rFonts w:hint="eastAsia" w:cs="宋体" w:asciiTheme="minorEastAsia" w:hAnsiTheme="minorEastAsia" w:eastAsiaTheme="minorEastAsia"/>
          <w:sz w:val="24"/>
        </w:rPr>
        <w:t xml:space="preserve">3  </w:t>
      </w:r>
      <w:bookmarkEnd w:id="346"/>
      <w:bookmarkEnd w:id="347"/>
      <w:bookmarkEnd w:id="348"/>
      <w:bookmarkEnd w:id="349"/>
      <w:bookmarkEnd w:id="350"/>
      <w:bookmarkEnd w:id="351"/>
      <w:bookmarkEnd w:id="352"/>
      <w:bookmarkEnd w:id="353"/>
      <w:r>
        <w:rPr>
          <w:rFonts w:hint="eastAsia" w:cs="宋体" w:asciiTheme="minorEastAsia" w:hAnsiTheme="minorEastAsia" w:eastAsiaTheme="minorEastAsia"/>
          <w:sz w:val="24"/>
        </w:rPr>
        <w:t>法定代表人身份证明</w:t>
      </w:r>
      <w:bookmarkEnd w:id="354"/>
      <w:bookmarkEnd w:id="355"/>
    </w:p>
    <w:p>
      <w:pPr>
        <w:rPr>
          <w:rFonts w:cs="宋体" w:asciiTheme="minorEastAsia" w:hAnsiTheme="minorEastAsia" w:eastAsiaTheme="minorEastAsia"/>
          <w:sz w:val="24"/>
          <w:szCs w:val="20"/>
        </w:rPr>
      </w:pP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5"/>
                            </w:pPr>
                          </w:p>
                          <w:p>
                            <w:pPr>
                              <w:pStyle w:val="15"/>
                            </w:pPr>
                          </w:p>
                          <w:p>
                            <w:pPr>
                              <w:pStyle w:val="15"/>
                            </w:pPr>
                          </w:p>
                          <w:p>
                            <w:pPr>
                              <w:pStyle w:val="15"/>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5"/>
                      </w:pPr>
                    </w:p>
                    <w:p>
                      <w:pPr>
                        <w:pStyle w:val="15"/>
                      </w:pPr>
                    </w:p>
                    <w:p>
                      <w:pPr>
                        <w:pStyle w:val="15"/>
                      </w:pPr>
                    </w:p>
                    <w:p>
                      <w:pPr>
                        <w:pStyle w:val="15"/>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7"/>
        <w:tabs>
          <w:tab w:val="left" w:pos="5580"/>
        </w:tabs>
        <w:rPr>
          <w:rFonts w:cs="宋体" w:asciiTheme="minorEastAsia" w:hAnsiTheme="minorEastAsia" w:eastAsiaTheme="minorEastAsia"/>
          <w:sz w:val="24"/>
        </w:rPr>
      </w:pPr>
    </w:p>
    <w:p>
      <w:pPr>
        <w:pStyle w:val="17"/>
        <w:tabs>
          <w:tab w:val="left" w:pos="5580"/>
        </w:tabs>
        <w:rPr>
          <w:rFonts w:cs="宋体" w:asciiTheme="minorEastAsia" w:hAnsiTheme="minorEastAsia" w:eastAsiaTheme="minorEastAsia"/>
          <w:sz w:val="24"/>
        </w:rPr>
      </w:pPr>
    </w:p>
    <w:p>
      <w:pPr>
        <w:pStyle w:val="17"/>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7"/>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7"/>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7"/>
        <w:tabs>
          <w:tab w:val="left" w:pos="5580"/>
        </w:tabs>
        <w:spacing w:line="240" w:lineRule="atLeast"/>
        <w:rPr>
          <w:rFonts w:cs="宋体" w:asciiTheme="minorEastAsia" w:hAnsiTheme="minorEastAsia" w:eastAsiaTheme="minorEastAsia"/>
          <w:sz w:val="24"/>
        </w:rPr>
      </w:pPr>
      <w:bookmarkStart w:id="356" w:name="_Toc7039"/>
      <w:bookmarkStart w:id="357" w:name="_Toc32520"/>
      <w:bookmarkStart w:id="358" w:name="_Toc515647808"/>
    </w:p>
    <w:p>
      <w:pPr>
        <w:pStyle w:val="17"/>
        <w:tabs>
          <w:tab w:val="left" w:pos="5580"/>
        </w:tabs>
        <w:spacing w:line="240" w:lineRule="atLeast"/>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bookmarkStart w:id="359" w:name="_Toc16640"/>
      <w:bookmarkStart w:id="360" w:name="_Toc6829"/>
      <w:bookmarkStart w:id="361" w:name="_Toc515647807"/>
      <w:bookmarkStart w:id="362" w:name="_Toc21867"/>
      <w:bookmarkStart w:id="363" w:name="_Toc22472"/>
      <w:bookmarkStart w:id="364" w:name="_Toc5436"/>
      <w:bookmarkStart w:id="365" w:name="_Toc1083"/>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9"/>
        <w:ind w:firstLine="0"/>
      </w:pPr>
    </w:p>
    <w:p>
      <w:pPr>
        <w:pStyle w:val="4"/>
        <w:spacing w:before="0" w:line="240" w:lineRule="atLeast"/>
        <w:jc w:val="both"/>
        <w:rPr>
          <w:rFonts w:cs="宋体" w:asciiTheme="minorEastAsia" w:hAnsiTheme="minorEastAsia" w:eastAsiaTheme="minorEastAsia"/>
          <w:sz w:val="24"/>
        </w:rPr>
      </w:pPr>
    </w:p>
    <w:p/>
    <w:p>
      <w:pPr>
        <w:pStyle w:val="4"/>
        <w:spacing w:before="0" w:line="240" w:lineRule="atLeast"/>
        <w:jc w:val="both"/>
        <w:rPr>
          <w:rFonts w:cs="宋体" w:asciiTheme="minorEastAsia" w:hAnsiTheme="minorEastAsia" w:eastAsiaTheme="minorEastAsia"/>
          <w:b w:val="0"/>
          <w:sz w:val="24"/>
          <w:u w:val="single"/>
        </w:rPr>
      </w:pPr>
      <w:bookmarkStart w:id="366" w:name="_Toc253"/>
      <w:bookmarkStart w:id="367" w:name="_Toc20044"/>
      <w:r>
        <w:rPr>
          <w:rFonts w:hint="eastAsia" w:cs="宋体" w:asciiTheme="minorEastAsia" w:hAnsiTheme="minorEastAsia" w:eastAsiaTheme="minorEastAsia"/>
          <w:sz w:val="24"/>
        </w:rPr>
        <w:t>3 .1 法定代表人授权委托书(响应文件格式二，自然人投标的无需提供)</w:t>
      </w:r>
      <w:bookmarkEnd w:id="359"/>
      <w:bookmarkEnd w:id="360"/>
      <w:bookmarkEnd w:id="361"/>
      <w:bookmarkEnd w:id="362"/>
      <w:bookmarkEnd w:id="363"/>
      <w:bookmarkEnd w:id="364"/>
      <w:bookmarkEnd w:id="365"/>
      <w:bookmarkEnd w:id="366"/>
      <w:bookmarkEnd w:id="367"/>
    </w:p>
    <w:p>
      <w:pPr>
        <w:pStyle w:val="17"/>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7"/>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7"/>
        <w:tabs>
          <w:tab w:val="left" w:pos="5580"/>
        </w:tabs>
        <w:spacing w:line="240" w:lineRule="atLeast"/>
        <w:rPr>
          <w:rFonts w:cs="宋体" w:asciiTheme="minorEastAsia" w:hAnsiTheme="minorEastAsia" w:eastAsiaTheme="minorEastAsia"/>
          <w:sz w:val="24"/>
        </w:rPr>
      </w:pPr>
    </w:p>
    <w:p>
      <w:pPr>
        <w:pStyle w:val="17"/>
        <w:tabs>
          <w:tab w:val="left" w:pos="5580"/>
        </w:tabs>
        <w:spacing w:line="240" w:lineRule="atLeast"/>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7"/>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rPr>
      </w:pPr>
    </w:p>
    <w:p>
      <w:pPr>
        <w:pStyle w:val="17"/>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7"/>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7"/>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7"/>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7"/>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7"/>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7"/>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7"/>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56"/>
      <w:bookmarkEnd w:id="357"/>
      <w:bookmarkEnd w:id="358"/>
      <w:bookmarkStart w:id="368" w:name="_Toc28445"/>
      <w:bookmarkStart w:id="369" w:name="_Toc10290"/>
      <w:bookmarkStart w:id="370" w:name="_Toc15480"/>
      <w:bookmarkStart w:id="371" w:name="_Toc4923"/>
      <w:bookmarkStart w:id="372" w:name="_Toc11047"/>
      <w:bookmarkStart w:id="373" w:name="_Toc515647809"/>
      <w:bookmarkStart w:id="374" w:name="_Toc22138"/>
      <w:bookmarkStart w:id="375" w:name="_Toc8410"/>
    </w:p>
    <w:p>
      <w:pPr>
        <w:spacing w:line="460" w:lineRule="exact"/>
        <w:ind w:firstLine="480" w:firstLineChars="200"/>
        <w:rPr>
          <w:rFonts w:cs="宋体" w:asciiTheme="minorEastAsia" w:hAnsiTheme="minorEastAsia" w:eastAsiaTheme="minorEastAsia"/>
          <w:b/>
          <w:kern w:val="0"/>
          <w:sz w:val="24"/>
          <w:szCs w:val="20"/>
        </w:rPr>
      </w:pPr>
    </w:p>
    <w:p>
      <w:pPr>
        <w:pStyle w:val="17"/>
        <w:tabs>
          <w:tab w:val="left" w:pos="5580"/>
        </w:tabs>
        <w:spacing w:line="240" w:lineRule="atLeast"/>
        <w:ind w:left="539" w:leftChars="257"/>
        <w:rPr>
          <w:rFonts w:cs="宋体" w:asciiTheme="minorEastAsia" w:hAnsiTheme="minorEastAsia" w:eastAsiaTheme="minorEastAsia"/>
          <w:b/>
          <w:kern w:val="0"/>
          <w:sz w:val="24"/>
        </w:rPr>
      </w:pPr>
    </w:p>
    <w:p>
      <w:pPr>
        <w:pStyle w:val="17"/>
        <w:tabs>
          <w:tab w:val="left" w:pos="5580"/>
        </w:tabs>
        <w:spacing w:line="240" w:lineRule="atLeast"/>
        <w:ind w:left="539" w:leftChars="257"/>
        <w:rPr>
          <w:rFonts w:cs="宋体" w:asciiTheme="minorEastAsia" w:hAnsiTheme="minorEastAsia" w:eastAsiaTheme="minorEastAsia"/>
          <w:b/>
          <w:kern w:val="0"/>
          <w:sz w:val="24"/>
        </w:rPr>
      </w:pPr>
    </w:p>
    <w:p>
      <w:pPr>
        <w:pStyle w:val="17"/>
        <w:tabs>
          <w:tab w:val="left" w:pos="5580"/>
        </w:tabs>
        <w:spacing w:line="240" w:lineRule="atLeast"/>
        <w:rPr>
          <w:rFonts w:cs="宋体" w:asciiTheme="minorEastAsia" w:hAnsiTheme="minorEastAsia" w:eastAsiaTheme="minorEastAsia"/>
          <w:b/>
          <w:kern w:val="0"/>
          <w:sz w:val="24"/>
        </w:rPr>
      </w:pPr>
    </w:p>
    <w:bookmarkEnd w:id="368"/>
    <w:bookmarkEnd w:id="369"/>
    <w:bookmarkEnd w:id="370"/>
    <w:bookmarkEnd w:id="371"/>
    <w:bookmarkEnd w:id="372"/>
    <w:bookmarkEnd w:id="373"/>
    <w:bookmarkEnd w:id="374"/>
    <w:bookmarkEnd w:id="375"/>
    <w:p>
      <w:pPr>
        <w:spacing w:line="360" w:lineRule="exact"/>
        <w:outlineLvl w:val="1"/>
        <w:rPr>
          <w:rFonts w:cs="宋体" w:asciiTheme="minorEastAsia" w:hAnsiTheme="minorEastAsia" w:eastAsiaTheme="minorEastAsia"/>
          <w:sz w:val="28"/>
          <w:szCs w:val="28"/>
        </w:rPr>
      </w:pPr>
    </w:p>
    <w:p>
      <w:pPr>
        <w:pStyle w:val="9"/>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9"/>
        <w:rPr>
          <w:rFonts w:cs="宋体" w:asciiTheme="minorEastAsia" w:hAnsiTheme="minorEastAsia" w:eastAsiaTheme="minorEastAsia"/>
          <w:sz w:val="28"/>
          <w:szCs w:val="28"/>
        </w:rPr>
      </w:pPr>
    </w:p>
    <w:p/>
    <w:p>
      <w:pPr>
        <w:pStyle w:val="4"/>
        <w:numPr>
          <w:ilvl w:val="0"/>
          <w:numId w:val="5"/>
        </w:numPr>
        <w:spacing w:before="0" w:line="240" w:lineRule="atLeast"/>
        <w:ind w:left="600" w:hanging="180"/>
        <w:rPr>
          <w:rFonts w:cs="宋体" w:asciiTheme="minorEastAsia" w:hAnsiTheme="minorEastAsia" w:eastAsiaTheme="minorEastAsia"/>
          <w:sz w:val="24"/>
        </w:rPr>
      </w:pPr>
      <w:bookmarkStart w:id="376" w:name="_Toc24681"/>
      <w:bookmarkStart w:id="377" w:name="_Toc27235"/>
      <w:r>
        <w:rPr>
          <w:rFonts w:hint="eastAsia" w:cs="宋体" w:asciiTheme="minorEastAsia" w:hAnsiTheme="minorEastAsia" w:eastAsiaTheme="minorEastAsia"/>
          <w:sz w:val="24"/>
        </w:rPr>
        <w:t>磋商保证金收据</w:t>
      </w:r>
      <w:bookmarkEnd w:id="376"/>
      <w:bookmarkEnd w:id="377"/>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8"/>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bookmarkStart w:id="378" w:name="_Toc28624"/>
      <w:bookmarkStart w:id="379" w:name="_Toc12675"/>
      <w:r>
        <w:rPr>
          <w:rFonts w:hint="eastAsia" w:cs="宋体" w:asciiTheme="minorEastAsia" w:hAnsiTheme="minorEastAsia" w:eastAsiaTheme="minorEastAsia"/>
          <w:sz w:val="28"/>
          <w:szCs w:val="28"/>
        </w:rPr>
        <w:t>政府采购磋商担保函（响应文件格式三）</w:t>
      </w:r>
      <w:bookmarkEnd w:id="378"/>
      <w:bookmarkEnd w:id="379"/>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bookmarkStart w:id="380" w:name="_Toc9442"/>
      <w:bookmarkStart w:id="381" w:name="_Toc15249"/>
      <w:r>
        <w:rPr>
          <w:rFonts w:hint="eastAsia" w:cs="宋体" w:asciiTheme="minorEastAsia" w:hAnsiTheme="minorEastAsia" w:eastAsiaTheme="minorEastAsia"/>
          <w:sz w:val="24"/>
        </w:rPr>
        <w:t>一、保证责任的情形及保证金额</w:t>
      </w:r>
      <w:bookmarkEnd w:id="380"/>
      <w:bookmarkEnd w:id="381"/>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bookmarkStart w:id="382" w:name="_Toc10819"/>
      <w:bookmarkStart w:id="383" w:name="_Toc22285"/>
      <w:r>
        <w:rPr>
          <w:rFonts w:hint="eastAsia" w:cs="宋体" w:asciiTheme="minorEastAsia" w:hAnsiTheme="minorEastAsia" w:eastAsiaTheme="minorEastAsia"/>
          <w:sz w:val="24"/>
        </w:rPr>
        <w:t>二、保证的方式及保证期间</w:t>
      </w:r>
      <w:bookmarkEnd w:id="382"/>
      <w:bookmarkEnd w:id="383"/>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bookmarkStart w:id="384" w:name="_Toc26829"/>
      <w:bookmarkStart w:id="385" w:name="_Toc10259"/>
      <w:r>
        <w:rPr>
          <w:rFonts w:hint="eastAsia" w:cs="宋体" w:asciiTheme="minorEastAsia" w:hAnsiTheme="minorEastAsia" w:eastAsiaTheme="minorEastAsia"/>
          <w:sz w:val="24"/>
        </w:rPr>
        <w:t>三、承担保证责任的程序</w:t>
      </w:r>
      <w:bookmarkEnd w:id="384"/>
      <w:bookmarkEnd w:id="385"/>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bookmarkStart w:id="386" w:name="_Toc14782"/>
      <w:bookmarkStart w:id="387" w:name="_Toc11102"/>
      <w:r>
        <w:rPr>
          <w:rFonts w:hint="eastAsia" w:cs="宋体" w:asciiTheme="minorEastAsia" w:hAnsiTheme="minorEastAsia" w:eastAsiaTheme="minorEastAsia"/>
          <w:sz w:val="24"/>
        </w:rPr>
        <w:t>四、保证责任的终止</w:t>
      </w:r>
      <w:bookmarkEnd w:id="386"/>
      <w:bookmarkEnd w:id="387"/>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bookmarkStart w:id="388" w:name="_Toc30616"/>
      <w:bookmarkStart w:id="389" w:name="_Toc23535"/>
      <w:r>
        <w:rPr>
          <w:rFonts w:hint="eastAsia" w:cs="宋体" w:asciiTheme="minorEastAsia" w:hAnsiTheme="minorEastAsia" w:eastAsiaTheme="minorEastAsia"/>
          <w:sz w:val="24"/>
        </w:rPr>
        <w:t>五、免责条款</w:t>
      </w:r>
      <w:bookmarkEnd w:id="388"/>
      <w:bookmarkEnd w:id="389"/>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bookmarkStart w:id="390" w:name="_Toc9482"/>
      <w:bookmarkStart w:id="391" w:name="_Toc17985"/>
      <w:r>
        <w:rPr>
          <w:rFonts w:hint="eastAsia" w:cs="宋体" w:asciiTheme="minorEastAsia" w:hAnsiTheme="minorEastAsia" w:eastAsiaTheme="minorEastAsia"/>
          <w:sz w:val="24"/>
        </w:rPr>
        <w:t>六、争议的解决</w:t>
      </w:r>
      <w:bookmarkEnd w:id="390"/>
      <w:bookmarkEnd w:id="391"/>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bookmarkStart w:id="392" w:name="_Toc26882"/>
      <w:bookmarkStart w:id="393" w:name="_Toc9417"/>
      <w:r>
        <w:rPr>
          <w:rFonts w:hint="eastAsia" w:cs="宋体" w:asciiTheme="minorEastAsia" w:hAnsiTheme="minorEastAsia" w:eastAsiaTheme="minorEastAsia"/>
          <w:sz w:val="24"/>
        </w:rPr>
        <w:t>七、保函的生效</w:t>
      </w:r>
      <w:bookmarkEnd w:id="392"/>
      <w:bookmarkEnd w:id="393"/>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2"/>
        <w:rPr>
          <w:rFonts w:asciiTheme="minorEastAsia" w:hAnsiTheme="minorEastAsia" w:eastAsiaTheme="minorEastAsia"/>
          <w:b/>
          <w:bCs/>
          <w:sz w:val="28"/>
          <w:szCs w:val="28"/>
        </w:rPr>
      </w:pPr>
    </w:p>
    <w:p>
      <w:pPr>
        <w:pStyle w:val="2"/>
        <w:rPr>
          <w:rFonts w:asciiTheme="minorEastAsia" w:hAnsiTheme="minorEastAsia" w:eastAsiaTheme="minorEastAsia"/>
          <w:b/>
          <w:bCs/>
          <w:sz w:val="28"/>
          <w:szCs w:val="28"/>
        </w:rPr>
      </w:pPr>
    </w:p>
    <w:p>
      <w:pPr>
        <w:pStyle w:val="2"/>
        <w:rPr>
          <w:rFonts w:asciiTheme="minorEastAsia" w:hAnsiTheme="minorEastAsia" w:eastAsiaTheme="minorEastAsia"/>
          <w:b/>
          <w:bCs/>
          <w:sz w:val="28"/>
          <w:szCs w:val="28"/>
        </w:rPr>
      </w:pPr>
    </w:p>
    <w:p>
      <w:pPr>
        <w:pStyle w:val="2"/>
        <w:rPr>
          <w:rFonts w:asciiTheme="minorEastAsia" w:hAnsiTheme="minorEastAsia" w:eastAsiaTheme="minorEastAsia"/>
          <w:b/>
          <w:bCs/>
          <w:sz w:val="28"/>
          <w:szCs w:val="28"/>
        </w:rPr>
      </w:pPr>
    </w:p>
    <w:p>
      <w:pPr>
        <w:pStyle w:val="2"/>
        <w:rPr>
          <w:rFonts w:asciiTheme="minorEastAsia" w:hAnsiTheme="minorEastAsia" w:eastAsiaTheme="minorEastAsia"/>
          <w:b/>
          <w:bCs/>
          <w:sz w:val="28"/>
          <w:szCs w:val="28"/>
        </w:rPr>
      </w:pPr>
    </w:p>
    <w:p>
      <w:pPr>
        <w:pStyle w:val="2"/>
        <w:rPr>
          <w:rFonts w:asciiTheme="minorEastAsia" w:hAnsiTheme="minorEastAsia" w:eastAsiaTheme="minorEastAsia"/>
          <w:b/>
          <w:bCs/>
          <w:sz w:val="28"/>
          <w:szCs w:val="28"/>
        </w:rPr>
      </w:pPr>
    </w:p>
    <w:p>
      <w:pPr>
        <w:pStyle w:val="4"/>
        <w:spacing w:before="0" w:line="360" w:lineRule="exact"/>
        <w:jc w:val="both"/>
        <w:rPr>
          <w:rFonts w:cs="宋体" w:asciiTheme="minorEastAsia" w:hAnsiTheme="minorEastAsia" w:eastAsiaTheme="minorEastAsia"/>
          <w:sz w:val="24"/>
        </w:rPr>
      </w:pPr>
      <w:bookmarkStart w:id="394" w:name="_Toc5167"/>
      <w:bookmarkStart w:id="395" w:name="_Toc22500"/>
      <w:bookmarkStart w:id="396" w:name="_Toc15031"/>
      <w:bookmarkStart w:id="397" w:name="_Toc8873"/>
      <w:bookmarkStart w:id="398" w:name="_Toc31179"/>
      <w:bookmarkStart w:id="399" w:name="_Toc515647814"/>
      <w:bookmarkStart w:id="400" w:name="_Toc23044"/>
      <w:bookmarkStart w:id="401" w:name="_Toc2502"/>
    </w:p>
    <w:p>
      <w:pPr>
        <w:ind w:firstLine="5775" w:firstLineChars="2750"/>
        <w:rPr>
          <w:rFonts w:ascii="宋体" w:hAnsi="宋体" w:cs="宋体"/>
        </w:rPr>
      </w:pPr>
    </w:p>
    <w:p>
      <w:pPr>
        <w:rPr>
          <w:rFonts w:hint="eastAsia" w:ascii="宋体" w:hAnsi="宋体" w:eastAsia="宋体" w:cs="宋体"/>
          <w:sz w:val="24"/>
        </w:rPr>
      </w:pPr>
      <w:bookmarkStart w:id="402" w:name="_Toc518923111"/>
      <w:bookmarkStart w:id="403" w:name="_Toc27589"/>
      <w:r>
        <w:rPr>
          <w:rFonts w:hint="eastAsia" w:ascii="宋体" w:hAnsi="宋体" w:eastAsia="宋体" w:cs="宋体"/>
          <w:sz w:val="24"/>
        </w:rPr>
        <w:br w:type="page"/>
      </w:r>
    </w:p>
    <w:p>
      <w:pPr>
        <w:pStyle w:val="4"/>
        <w:spacing w:before="0" w:line="240" w:lineRule="atLeast"/>
        <w:ind w:left="1079" w:leftChars="257" w:hanging="540"/>
        <w:rPr>
          <w:rFonts w:ascii="宋体" w:hAnsi="宋体" w:eastAsia="宋体" w:cs="宋体"/>
          <w:sz w:val="24"/>
        </w:rPr>
      </w:pPr>
      <w:bookmarkStart w:id="404" w:name="_Toc28707"/>
      <w:bookmarkStart w:id="405" w:name="_Toc16425"/>
      <w:r>
        <w:rPr>
          <w:rFonts w:hint="eastAsia" w:ascii="宋体" w:hAnsi="宋体" w:eastAsia="宋体" w:cs="宋体"/>
          <w:sz w:val="24"/>
        </w:rPr>
        <w:t xml:space="preserve">5  </w:t>
      </w:r>
      <w:r>
        <w:rPr>
          <w:rFonts w:hint="eastAsia" w:ascii="宋体" w:hAnsi="宋体" w:eastAsia="宋体" w:cs="宋体"/>
          <w:sz w:val="24"/>
          <w:lang w:val="en-US" w:eastAsia="zh-CN"/>
        </w:rPr>
        <w:t>税收、</w:t>
      </w:r>
      <w:r>
        <w:rPr>
          <w:rFonts w:hint="eastAsia" w:ascii="宋体" w:hAnsi="宋体" w:eastAsia="宋体" w:cs="宋体"/>
          <w:sz w:val="24"/>
        </w:rPr>
        <w:t>社会保障资金的缴纳记录</w:t>
      </w:r>
      <w:bookmarkEnd w:id="402"/>
      <w:bookmarkEnd w:id="403"/>
      <w:bookmarkEnd w:id="404"/>
      <w:bookmarkEnd w:id="405"/>
    </w:p>
    <w:p>
      <w:pPr>
        <w:pStyle w:val="17"/>
        <w:tabs>
          <w:tab w:val="left" w:pos="5580"/>
        </w:tabs>
        <w:spacing w:line="240" w:lineRule="atLeast"/>
        <w:ind w:left="1079" w:leftChars="257" w:hanging="540"/>
        <w:jc w:val="center"/>
        <w:rPr>
          <w:rFonts w:hAnsi="宋体" w:cs="宋体"/>
          <w:b/>
          <w:sz w:val="24"/>
        </w:rPr>
      </w:pPr>
    </w:p>
    <w:p>
      <w:pPr>
        <w:pStyle w:val="17"/>
        <w:tabs>
          <w:tab w:val="left" w:pos="5580"/>
        </w:tabs>
        <w:spacing w:line="240" w:lineRule="atLeast"/>
        <w:ind w:left="540"/>
        <w:rPr>
          <w:rFonts w:hAnsi="宋体" w:cs="宋体"/>
          <w:b/>
          <w:sz w:val="24"/>
        </w:rPr>
      </w:pPr>
    </w:p>
    <w:p>
      <w:pPr>
        <w:pStyle w:val="17"/>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7"/>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7"/>
        <w:tabs>
          <w:tab w:val="left" w:pos="5580"/>
        </w:tabs>
        <w:spacing w:line="240" w:lineRule="atLeast"/>
        <w:ind w:left="1079"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rPr>
          <w:rFonts w:cs="宋体" w:asciiTheme="minorEastAsia" w:hAnsiTheme="minorEastAsia" w:eastAsiaTheme="minorEastAsia"/>
          <w:sz w:val="24"/>
        </w:rPr>
      </w:pPr>
      <w:r>
        <w:rPr>
          <w:rFonts w:cs="宋体" w:asciiTheme="minorEastAsia" w:hAnsiTheme="minorEastAsia" w:eastAsiaTheme="minorEastAsia"/>
          <w:sz w:val="24"/>
        </w:rPr>
        <w:br w:type="page"/>
      </w:r>
    </w:p>
    <w:p>
      <w:pPr>
        <w:pStyle w:val="4"/>
        <w:spacing w:before="0" w:line="360" w:lineRule="exact"/>
        <w:ind w:left="741" w:leftChars="353"/>
        <w:jc w:val="both"/>
        <w:rPr>
          <w:rFonts w:cs="宋体" w:asciiTheme="minorEastAsia" w:hAnsiTheme="minorEastAsia" w:eastAsiaTheme="minorEastAsia"/>
          <w:sz w:val="24"/>
        </w:rPr>
      </w:pPr>
      <w:bookmarkStart w:id="406" w:name="_Toc31190"/>
      <w:bookmarkStart w:id="407" w:name="_Toc23247"/>
      <w:r>
        <w:rPr>
          <w:rFonts w:hint="eastAsia" w:cs="宋体" w:asciiTheme="minorEastAsia" w:hAnsiTheme="minorEastAsia" w:eastAsiaTheme="minorEastAsia"/>
          <w:sz w:val="24"/>
        </w:rPr>
        <w:t>6、参加政府采购活动前3年内</w:t>
      </w:r>
      <w:bookmarkStart w:id="408" w:name="_Toc515647812"/>
      <w:bookmarkStart w:id="409" w:name="_Toc6008"/>
      <w:bookmarkStart w:id="410" w:name="_Toc1137"/>
      <w:r>
        <w:rPr>
          <w:rFonts w:hint="eastAsia" w:cs="宋体" w:asciiTheme="minorEastAsia" w:hAnsiTheme="minorEastAsia" w:eastAsiaTheme="minorEastAsia"/>
          <w:sz w:val="24"/>
        </w:rPr>
        <w:t>在经营活动中没有重大违法记录的书面声明</w:t>
      </w:r>
      <w:bookmarkEnd w:id="394"/>
      <w:bookmarkEnd w:id="395"/>
      <w:bookmarkEnd w:id="396"/>
      <w:bookmarkEnd w:id="397"/>
      <w:bookmarkEnd w:id="398"/>
      <w:bookmarkEnd w:id="408"/>
      <w:bookmarkEnd w:id="409"/>
      <w:bookmarkEnd w:id="410"/>
      <w:r>
        <w:rPr>
          <w:rFonts w:hint="eastAsia" w:cs="宋体" w:asciiTheme="minorEastAsia" w:hAnsiTheme="minorEastAsia" w:eastAsiaTheme="minorEastAsia"/>
          <w:sz w:val="24"/>
        </w:rPr>
        <w:t>及反商业贿赂承诺书</w:t>
      </w:r>
      <w:bookmarkEnd w:id="406"/>
      <w:bookmarkEnd w:id="407"/>
    </w:p>
    <w:p>
      <w:pPr>
        <w:pStyle w:val="17"/>
        <w:tabs>
          <w:tab w:val="left" w:pos="5580"/>
        </w:tabs>
        <w:spacing w:line="360" w:lineRule="exact"/>
        <w:ind w:left="1079" w:leftChars="257" w:hanging="540"/>
        <w:jc w:val="center"/>
        <w:rPr>
          <w:rFonts w:cs="宋体" w:asciiTheme="minorEastAsia" w:hAnsiTheme="minorEastAsia" w:eastAsiaTheme="minorEastAsia"/>
          <w:b/>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7"/>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rPr>
          <w:rFonts w:hint="eastAsia" w:asciiTheme="minorEastAsia" w:hAnsiTheme="minorEastAsia" w:eastAsiaTheme="minorEastAsia" w:cstheme="minorEastAsia"/>
          <w:sz w:val="24"/>
        </w:rPr>
      </w:pPr>
      <w:bookmarkStart w:id="411" w:name="_Toc24488"/>
      <w:bookmarkStart w:id="412" w:name="_Toc15456"/>
      <w:bookmarkStart w:id="413" w:name="_Toc12185"/>
      <w:bookmarkStart w:id="414" w:name="_Toc17207"/>
      <w:bookmarkStart w:id="415" w:name="_Toc515647813"/>
      <w:bookmarkStart w:id="416" w:name="_Toc29703"/>
      <w:bookmarkStart w:id="417" w:name="_Toc11163"/>
      <w:bookmarkStart w:id="418" w:name="_Toc11862"/>
      <w:r>
        <w:rPr>
          <w:rFonts w:hint="eastAsia" w:asciiTheme="minorEastAsia" w:hAnsiTheme="minorEastAsia" w:eastAsiaTheme="minorEastAsia" w:cstheme="minorEastAsia"/>
          <w:sz w:val="24"/>
        </w:rPr>
        <w:br w:type="page"/>
      </w:r>
    </w:p>
    <w:p>
      <w:pPr>
        <w:pStyle w:val="4"/>
        <w:keepNext w:val="0"/>
        <w:keepLines w:val="0"/>
        <w:spacing w:before="0" w:line="240" w:lineRule="atLeast"/>
        <w:ind w:left="1079" w:leftChars="257" w:hanging="540"/>
        <w:rPr>
          <w:rFonts w:ascii="仿宋" w:hAnsi="仿宋" w:eastAsia="仿宋" w:cs="仿宋"/>
          <w:color w:val="000000"/>
          <w:sz w:val="24"/>
        </w:rPr>
      </w:pPr>
      <w:bookmarkStart w:id="419" w:name="_Toc20348"/>
      <w:bookmarkStart w:id="420" w:name="_Toc30439"/>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bookmarkEnd w:id="419"/>
      <w:bookmarkEnd w:id="420"/>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7"/>
        <w:tabs>
          <w:tab w:val="left" w:pos="5580"/>
        </w:tabs>
        <w:spacing w:line="360" w:lineRule="exact"/>
        <w:ind w:left="1079"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近一年经审计的财务报告原件；（新成立的公司须提供近一个月的银行资信证明原件）</w:t>
      </w:r>
      <w:r>
        <w:rPr>
          <w:rFonts w:cs="宋体" w:asciiTheme="minorEastAsia" w:hAnsiTheme="minorEastAsia" w:eastAsiaTheme="minorEastAsia"/>
          <w:sz w:val="24"/>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pStyle w:val="26"/>
        <w:rPr>
          <w:rFonts w:cs="宋体" w:asciiTheme="minorEastAsia" w:hAnsiTheme="minorEastAsia" w:eastAsiaTheme="minorEastAsia"/>
          <w:sz w:val="24"/>
        </w:rPr>
      </w:pPr>
    </w:p>
    <w:p>
      <w:pPr>
        <w:jc w:val="center"/>
        <w:rPr>
          <w:rFonts w:hint="eastAsia" w:asciiTheme="minorEastAsia" w:hAnsiTheme="minorEastAsia" w:eastAsiaTheme="minorEastAsia" w:cs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421" w:name="_Toc515647811"/>
      <w:bookmarkStart w:id="422" w:name="_Toc24428"/>
      <w:bookmarkStart w:id="423" w:name="_Toc12631"/>
      <w:bookmarkStart w:id="424" w:name="_Toc10692"/>
      <w:bookmarkStart w:id="425" w:name="_Toc522633283"/>
      <w:r>
        <w:rPr>
          <w:rFonts w:hint="eastAsia" w:asciiTheme="minorEastAsia" w:hAnsiTheme="minorEastAsia" w:eastAsiaTheme="minorEastAsia" w:cstheme="minorEastAsia"/>
          <w:b/>
          <w:bCs/>
          <w:color w:val="000000"/>
          <w:sz w:val="24"/>
        </w:rPr>
        <w:t>参加政府采购活动前3年内</w:t>
      </w:r>
      <w:bookmarkEnd w:id="421"/>
      <w:bookmarkEnd w:id="422"/>
      <w:r>
        <w:rPr>
          <w:rFonts w:hint="eastAsia" w:asciiTheme="minorEastAsia" w:hAnsiTheme="minorEastAsia" w:eastAsiaTheme="minorEastAsia" w:cstheme="minorEastAsia"/>
          <w:b/>
          <w:bCs/>
          <w:color w:val="000000"/>
          <w:sz w:val="24"/>
        </w:rPr>
        <w:t>在经营活动中没有重大违法记录的书面声明</w:t>
      </w:r>
      <w:bookmarkEnd w:id="423"/>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424"/>
      <w:bookmarkEnd w:id="425"/>
    </w:p>
    <w:p>
      <w:pPr>
        <w:pStyle w:val="17"/>
        <w:tabs>
          <w:tab w:val="left" w:pos="5580"/>
        </w:tabs>
        <w:spacing w:line="240" w:lineRule="atLeast"/>
        <w:ind w:left="1079" w:leftChars="257" w:hanging="540"/>
        <w:jc w:val="center"/>
        <w:rPr>
          <w:rFonts w:ascii="仿宋" w:hAnsi="仿宋" w:eastAsia="仿宋" w:cs="仿宋"/>
          <w:b/>
          <w:color w:val="000000"/>
          <w:sz w:val="24"/>
        </w:rPr>
      </w:pPr>
    </w:p>
    <w:p>
      <w:pPr>
        <w:pStyle w:val="17"/>
        <w:tabs>
          <w:tab w:val="left" w:pos="5580"/>
        </w:tabs>
        <w:spacing w:line="240" w:lineRule="atLeast"/>
        <w:ind w:left="1079" w:leftChars="257" w:hanging="540"/>
        <w:rPr>
          <w:rFonts w:ascii="仿宋" w:hAnsi="仿宋" w:eastAsia="仿宋" w:cs="仿宋"/>
          <w:color w:val="000000"/>
          <w:sz w:val="24"/>
        </w:rPr>
      </w:pPr>
    </w:p>
    <w:p>
      <w:pPr>
        <w:pStyle w:val="17"/>
        <w:tabs>
          <w:tab w:val="left" w:pos="5580"/>
        </w:tabs>
        <w:spacing w:line="240" w:lineRule="atLeast"/>
        <w:ind w:left="1079" w:leftChars="257" w:hanging="540"/>
        <w:rPr>
          <w:rFonts w:ascii="仿宋" w:hAnsi="仿宋" w:eastAsia="仿宋" w:cs="仿宋"/>
          <w:color w:val="000000"/>
          <w:sz w:val="24"/>
        </w:rPr>
      </w:pPr>
    </w:p>
    <w:p>
      <w:pPr>
        <w:pStyle w:val="17"/>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7"/>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7"/>
        <w:tabs>
          <w:tab w:val="left" w:pos="5580"/>
        </w:tabs>
        <w:spacing w:line="240" w:lineRule="atLeast"/>
        <w:ind w:left="1079" w:leftChars="257" w:hanging="540"/>
        <w:rPr>
          <w:rFonts w:ascii="仿宋" w:hAnsi="仿宋" w:eastAsia="仿宋" w:cs="仿宋"/>
          <w:color w:val="000000"/>
          <w:sz w:val="24"/>
        </w:rPr>
      </w:pPr>
    </w:p>
    <w:p>
      <w:pPr>
        <w:pStyle w:val="9"/>
        <w:rPr>
          <w:rFonts w:ascii="仿宋" w:hAnsi="仿宋" w:eastAsia="仿宋" w:cs="仿宋"/>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360" w:lineRule="exact"/>
        <w:jc w:val="center"/>
        <w:rPr>
          <w:rFonts w:cs="宋体" w:asciiTheme="minorEastAsia" w:hAnsiTheme="minorEastAsia" w:eastAsiaTheme="minorEastAsia"/>
          <w:sz w:val="24"/>
        </w:rPr>
      </w:pPr>
      <w:bookmarkStart w:id="426" w:name="_Toc17098"/>
      <w:bookmarkStart w:id="427" w:name="_Toc2789"/>
      <w:r>
        <w:rPr>
          <w:rFonts w:hint="eastAsia" w:cs="宋体" w:asciiTheme="minorEastAsia" w:hAnsiTheme="minorEastAsia" w:eastAsiaTheme="minorEastAsia"/>
          <w:sz w:val="24"/>
        </w:rPr>
        <w:t>9、供应商须知资料表要求的其他资格证明文件</w:t>
      </w:r>
      <w:bookmarkEnd w:id="411"/>
      <w:bookmarkEnd w:id="412"/>
      <w:bookmarkEnd w:id="413"/>
      <w:bookmarkEnd w:id="414"/>
      <w:bookmarkEnd w:id="415"/>
      <w:bookmarkEnd w:id="416"/>
      <w:bookmarkEnd w:id="417"/>
      <w:bookmarkEnd w:id="418"/>
      <w:bookmarkEnd w:id="426"/>
      <w:bookmarkEnd w:id="427"/>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7"/>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pStyle w:val="17"/>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316"/>
    <w:bookmarkEnd w:id="317"/>
    <w:bookmarkEnd w:id="399"/>
    <w:bookmarkEnd w:id="400"/>
    <w:bookmarkEnd w:id="401"/>
    <w:p>
      <w:pPr>
        <w:pStyle w:val="17"/>
        <w:tabs>
          <w:tab w:val="left" w:pos="5580"/>
        </w:tabs>
        <w:spacing w:line="360" w:lineRule="exact"/>
        <w:rPr>
          <w:rFonts w:cs="宋体" w:asciiTheme="minorEastAsia" w:hAnsiTheme="minorEastAsia" w:eastAsiaTheme="minorEastAsia"/>
          <w:b/>
          <w:kern w:val="0"/>
          <w:sz w:val="24"/>
        </w:rPr>
      </w:pPr>
      <w:bookmarkStart w:id="428" w:name="_Toc6295"/>
      <w:bookmarkStart w:id="429" w:name="_Toc9513_WPSOffice_Level2"/>
      <w:bookmarkStart w:id="430" w:name="_Toc24267_WPSOffice_Level2"/>
      <w:bookmarkStart w:id="431" w:name="_Toc23485"/>
      <w:bookmarkStart w:id="432" w:name="_Toc5279"/>
      <w:bookmarkStart w:id="433" w:name="_Toc5068"/>
      <w:bookmarkStart w:id="434" w:name="_Toc23960"/>
      <w:bookmarkStart w:id="435" w:name="_Toc515647817"/>
      <w:bookmarkStart w:id="436" w:name="_Toc14915"/>
      <w:bookmarkStart w:id="437" w:name="_Toc26170"/>
      <w:bookmarkStart w:id="438" w:name="_Toc2041"/>
    </w:p>
    <w:p>
      <w:pPr>
        <w:pStyle w:val="17"/>
        <w:tabs>
          <w:tab w:val="left" w:pos="5580"/>
        </w:tabs>
        <w:spacing w:line="360" w:lineRule="exact"/>
        <w:ind w:left="1079" w:leftChars="257" w:hanging="540"/>
        <w:jc w:val="center"/>
        <w:outlineLvl w:val="1"/>
        <w:rPr>
          <w:rFonts w:cs="宋体" w:asciiTheme="minorEastAsia" w:hAnsiTheme="minorEastAsia" w:eastAsiaTheme="minorEastAsia"/>
          <w:sz w:val="24"/>
        </w:rPr>
      </w:pPr>
      <w:bookmarkStart w:id="439" w:name="_Toc22350"/>
      <w:bookmarkStart w:id="440" w:name="_Toc24651"/>
      <w:r>
        <w:rPr>
          <w:rFonts w:hint="eastAsia" w:cs="宋体" w:asciiTheme="minorEastAsia" w:hAnsiTheme="minorEastAsia" w:eastAsiaTheme="minorEastAsia"/>
          <w:b/>
          <w:kern w:val="0"/>
          <w:sz w:val="24"/>
        </w:rPr>
        <w:t>第二部分商务及技术文件</w:t>
      </w:r>
      <w:bookmarkEnd w:id="428"/>
      <w:bookmarkEnd w:id="429"/>
      <w:bookmarkEnd w:id="430"/>
      <w:bookmarkEnd w:id="431"/>
      <w:bookmarkEnd w:id="432"/>
      <w:bookmarkEnd w:id="439"/>
      <w:bookmarkEnd w:id="440"/>
    </w:p>
    <w:p>
      <w:pPr>
        <w:pStyle w:val="17"/>
        <w:numPr>
          <w:ilvl w:val="0"/>
          <w:numId w:val="6"/>
        </w:numPr>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lang w:val="en-US" w:eastAsia="zh-CN" w:bidi="ar-SA"/>
        </w:rPr>
      </w:pPr>
      <w:bookmarkStart w:id="441" w:name="_Toc21288"/>
      <w:bookmarkStart w:id="442" w:name="_Toc26406"/>
      <w:r>
        <w:rPr>
          <w:rFonts w:hint="eastAsia" w:cs="宋体" w:asciiTheme="minorEastAsia" w:hAnsiTheme="minorEastAsia" w:eastAsiaTheme="minorEastAsia"/>
          <w:b w:val="0"/>
          <w:kern w:val="2"/>
          <w:sz w:val="24"/>
          <w:szCs w:val="22"/>
          <w:lang w:val="en-US" w:eastAsia="zh-CN" w:bidi="ar-SA"/>
        </w:rPr>
        <w:t>2、投标保证金缴纳凭证复印件或投标担保函</w:t>
      </w:r>
      <w:bookmarkEnd w:id="441"/>
      <w:bookmarkEnd w:id="442"/>
    </w:p>
    <w:p>
      <w:pPr>
        <w:pStyle w:val="17"/>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3、技术规格偏离表（响应文件格式九）</w:t>
      </w:r>
    </w:p>
    <w:p>
      <w:pPr>
        <w:pStyle w:val="17"/>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4、商务条款偏离表（响应文件格式十）</w:t>
      </w:r>
    </w:p>
    <w:p>
      <w:pPr>
        <w:pStyle w:val="17"/>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、符合《政府采购促进中小企业发展暂行办法》、《关于政府采购支持监狱企业发展有关问题的通知》和《三部门联合发布关于促进残疾人就业政府采购政策的通知》价格扣减条件的供应商须提交）</w:t>
      </w:r>
    </w:p>
    <w:p>
      <w:pPr>
        <w:pStyle w:val="17"/>
        <w:spacing w:line="360" w:lineRule="exact"/>
        <w:ind w:firstLine="720" w:firstLineChars="300"/>
        <w:outlineLvl w:val="1"/>
        <w:rPr>
          <w:rFonts w:cs="宋体" w:asciiTheme="minorEastAsia" w:hAnsiTheme="minorEastAsia" w:eastAsiaTheme="minorEastAsia"/>
          <w:sz w:val="24"/>
        </w:rPr>
      </w:pPr>
      <w:bookmarkStart w:id="443" w:name="_Toc27602"/>
      <w:bookmarkStart w:id="444" w:name="_Toc31905_WPSOffice_Level2"/>
      <w:bookmarkStart w:id="445" w:name="_Toc10232_WPSOffice_Level2"/>
      <w:bookmarkStart w:id="446" w:name="_Toc17760"/>
      <w:r>
        <w:rPr>
          <w:rFonts w:hint="eastAsia" w:cs="宋体" w:asciiTheme="minorEastAsia" w:hAnsiTheme="minorEastAsia" w:eastAsiaTheme="minorEastAsia"/>
          <w:sz w:val="24"/>
        </w:rPr>
        <w:t>5-1《供应商企业（单位）类型声明函》（响应文件格式十一）</w:t>
      </w:r>
      <w:bookmarkEnd w:id="443"/>
      <w:bookmarkEnd w:id="444"/>
      <w:bookmarkEnd w:id="445"/>
      <w:bookmarkEnd w:id="446"/>
    </w:p>
    <w:p>
      <w:pPr>
        <w:pStyle w:val="17"/>
        <w:spacing w:line="360" w:lineRule="exact"/>
        <w:ind w:firstLine="720" w:firstLineChars="300"/>
        <w:outlineLvl w:val="1"/>
        <w:rPr>
          <w:rFonts w:cs="宋体" w:asciiTheme="minorEastAsia" w:hAnsiTheme="minorEastAsia" w:eastAsiaTheme="minorEastAsia"/>
          <w:sz w:val="24"/>
        </w:rPr>
      </w:pPr>
      <w:bookmarkStart w:id="447" w:name="_Toc24478"/>
      <w:bookmarkStart w:id="448" w:name="_Toc11969"/>
      <w:bookmarkStart w:id="449" w:name="_Toc30193_WPSOffice_Level2"/>
      <w:bookmarkStart w:id="450" w:name="_Toc2883_WPSOffice_Level2"/>
      <w:r>
        <w:rPr>
          <w:rFonts w:hint="eastAsia" w:cs="宋体" w:asciiTheme="minorEastAsia" w:hAnsiTheme="minorEastAsia" w:eastAsiaTheme="minorEastAsia"/>
          <w:sz w:val="24"/>
        </w:rPr>
        <w:t>5-2《制造商供应商企业（单位）类型声明函》（响应文件格式十二）</w:t>
      </w:r>
      <w:bookmarkEnd w:id="447"/>
      <w:bookmarkEnd w:id="448"/>
      <w:bookmarkEnd w:id="449"/>
      <w:bookmarkEnd w:id="450"/>
    </w:p>
    <w:p>
      <w:pPr>
        <w:pStyle w:val="17"/>
        <w:spacing w:line="360" w:lineRule="exact"/>
        <w:ind w:firstLine="720" w:firstLineChars="300"/>
        <w:outlineLvl w:val="1"/>
        <w:rPr>
          <w:rFonts w:hint="eastAsia" w:cs="宋体" w:asciiTheme="minorEastAsia" w:hAnsiTheme="minorEastAsia" w:eastAsiaTheme="minorEastAsia"/>
          <w:sz w:val="24"/>
        </w:rPr>
      </w:pPr>
      <w:bookmarkStart w:id="451" w:name="_Toc6037"/>
      <w:bookmarkStart w:id="452" w:name="_Toc2617_WPSOffice_Level2"/>
      <w:bookmarkStart w:id="453" w:name="_Toc12463_WPSOffice_Level2"/>
      <w:bookmarkStart w:id="454" w:name="_Toc23832"/>
      <w:r>
        <w:rPr>
          <w:rFonts w:hint="eastAsia" w:cs="宋体" w:asciiTheme="minorEastAsia" w:hAnsiTheme="minorEastAsia" w:eastAsiaTheme="minorEastAsia"/>
          <w:sz w:val="24"/>
        </w:rPr>
        <w:t>5-3《残疾人福利性单位声明函》（响应文件格式十三）</w:t>
      </w:r>
      <w:bookmarkEnd w:id="451"/>
      <w:bookmarkEnd w:id="452"/>
      <w:bookmarkEnd w:id="453"/>
      <w:bookmarkEnd w:id="454"/>
    </w:p>
    <w:p>
      <w:pPr>
        <w:pStyle w:val="17"/>
        <w:spacing w:line="360" w:lineRule="exact"/>
        <w:ind w:firstLine="720" w:firstLineChars="300"/>
        <w:outlineLvl w:val="1"/>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5-4《中小企业声明函》</w:t>
      </w:r>
      <w:r>
        <w:rPr>
          <w:rFonts w:hint="eastAsia" w:cs="宋体" w:asciiTheme="minorEastAsia" w:hAnsiTheme="minorEastAsia" w:eastAsiaTheme="minorEastAsia"/>
          <w:sz w:val="24"/>
        </w:rPr>
        <w:t>（响应文件格式十</w:t>
      </w:r>
      <w:r>
        <w:rPr>
          <w:rFonts w:hint="eastAsia" w:cs="宋体" w:asciiTheme="minorEastAsia" w:hAnsiTheme="minorEastAsia" w:eastAsiaTheme="minorEastAsia"/>
          <w:sz w:val="24"/>
          <w:lang w:val="en-US" w:eastAsia="zh-CN"/>
        </w:rPr>
        <w:t>四</w:t>
      </w:r>
      <w:r>
        <w:rPr>
          <w:rFonts w:hint="eastAsia" w:cs="宋体" w:asciiTheme="minorEastAsia" w:hAnsiTheme="minorEastAsia" w:eastAsiaTheme="minorEastAsia"/>
          <w:sz w:val="24"/>
        </w:rPr>
        <w:t>）</w:t>
      </w:r>
    </w:p>
    <w:p>
      <w:pPr>
        <w:pStyle w:val="17"/>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7"/>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7"/>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7"/>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17"/>
        <w:tabs>
          <w:tab w:val="left" w:pos="5580"/>
        </w:tabs>
        <w:spacing w:line="360" w:lineRule="exact"/>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455" w:name="_Toc11087"/>
      <w:bookmarkStart w:id="456" w:name="_Toc21208"/>
      <w:r>
        <w:rPr>
          <w:rFonts w:hint="eastAsia" w:cs="宋体" w:asciiTheme="minorEastAsia" w:hAnsiTheme="minorEastAsia" w:eastAsiaTheme="minorEastAsia"/>
          <w:sz w:val="24"/>
        </w:rPr>
        <w:t xml:space="preserve">1   </w:t>
      </w:r>
      <w:bookmarkEnd w:id="318"/>
      <w:bookmarkEnd w:id="319"/>
      <w:bookmarkEnd w:id="320"/>
      <w:bookmarkStart w:id="457" w:name="_Hlt520355504"/>
      <w:bookmarkEnd w:id="457"/>
      <w:r>
        <w:rPr>
          <w:rFonts w:hint="eastAsia" w:cs="宋体" w:asciiTheme="minorEastAsia" w:hAnsiTheme="minorEastAsia" w:eastAsiaTheme="minorEastAsia"/>
          <w:sz w:val="24"/>
        </w:rPr>
        <w:t>磋商响应函（响应文件格式五）</w:t>
      </w:r>
      <w:bookmarkEnd w:id="321"/>
      <w:bookmarkEnd w:id="433"/>
      <w:bookmarkEnd w:id="434"/>
      <w:bookmarkEnd w:id="435"/>
      <w:bookmarkEnd w:id="436"/>
      <w:bookmarkEnd w:id="437"/>
      <w:bookmarkEnd w:id="438"/>
      <w:bookmarkEnd w:id="455"/>
      <w:bookmarkEnd w:id="456"/>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7"/>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7"/>
        <w:tabs>
          <w:tab w:val="left" w:pos="5580"/>
        </w:tabs>
        <w:spacing w:line="360" w:lineRule="exact"/>
        <w:ind w:left="1079"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7"/>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7"/>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7"/>
        <w:tabs>
          <w:tab w:val="left" w:pos="5580"/>
        </w:tabs>
        <w:spacing w:line="360" w:lineRule="exact"/>
        <w:ind w:left="1079" w:leftChars="257" w:hanging="540"/>
        <w:rPr>
          <w:rFonts w:cs="宋体" w:asciiTheme="minorEastAsia" w:hAnsiTheme="minorEastAsia" w:eastAsiaTheme="minorEastAsia"/>
          <w:sz w:val="24"/>
        </w:rPr>
      </w:pP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7"/>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079" w:leftChars="257" w:hanging="540"/>
        <w:rPr>
          <w:rFonts w:ascii="宋体" w:hAnsi="宋体" w:eastAsia="宋体" w:cs="宋体"/>
          <w:sz w:val="24"/>
        </w:rPr>
      </w:pPr>
      <w:bookmarkStart w:id="458" w:name="_Hlt520355938"/>
      <w:bookmarkEnd w:id="458"/>
      <w:bookmarkStart w:id="459" w:name="_Hlt520356243"/>
      <w:bookmarkEnd w:id="459"/>
      <w:bookmarkStart w:id="460" w:name="_Toc518923117"/>
      <w:bookmarkStart w:id="461" w:name="_Toc31930"/>
      <w:bookmarkStart w:id="462" w:name="_Toc3634"/>
      <w:bookmarkStart w:id="463" w:name="_Toc24886"/>
      <w:bookmarkStart w:id="464" w:name="_Toc216582817"/>
      <w:bookmarkStart w:id="465" w:name="_Toc515647820"/>
      <w:bookmarkStart w:id="466" w:name="_Toc28959"/>
      <w:bookmarkStart w:id="467" w:name="_Toc13833"/>
      <w:bookmarkStart w:id="468" w:name="_Toc22563"/>
      <w:bookmarkStart w:id="469" w:name="_Toc24837"/>
      <w:bookmarkStart w:id="470" w:name="_Toc23925"/>
      <w:r>
        <w:rPr>
          <w:rFonts w:hint="eastAsia" w:ascii="宋体" w:hAnsi="宋体" w:eastAsia="宋体" w:cs="宋体"/>
          <w:sz w:val="24"/>
        </w:rPr>
        <w:t>2   投标保证金缴纳凭证复印件或投标担保函</w:t>
      </w:r>
      <w:bookmarkEnd w:id="460"/>
      <w:bookmarkEnd w:id="461"/>
      <w:bookmarkEnd w:id="462"/>
      <w:bookmarkEnd w:id="463"/>
    </w:p>
    <w:p>
      <w:pPr>
        <w:ind w:firstLine="420" w:firstLineChars="200"/>
        <w:rPr>
          <w:rFonts w:ascii="宋体" w:hAnsi="宋体" w:cs="宋体"/>
          <w:sz w:val="24"/>
        </w:rPr>
      </w:pPr>
      <w:bookmarkStart w:id="471" w:name="_Toc494296665"/>
      <w:bookmarkStart w:id="472" w:name="_Toc494296991"/>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471"/>
      <w:bookmarkEnd w:id="472"/>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年月日</w:t>
      </w:r>
    </w:p>
    <w:p>
      <w:pPr>
        <w:ind w:firstLine="5775" w:firstLineChars="2750"/>
        <w:rPr>
          <w:rFonts w:ascii="宋体" w:hAnsi="宋体" w:cs="宋体"/>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cs="宋体" w:asciiTheme="minorEastAsia" w:hAnsiTheme="minorEastAsia" w:eastAsiaTheme="minorEastAsia"/>
          <w:sz w:val="24"/>
        </w:rPr>
      </w:pPr>
      <w:bookmarkStart w:id="473" w:name="_Toc30047"/>
      <w:bookmarkStart w:id="474" w:name="_Toc22662"/>
      <w:r>
        <w:rPr>
          <w:rFonts w:hint="eastAsia" w:cs="宋体" w:asciiTheme="minorEastAsia" w:hAnsiTheme="minorEastAsia" w:eastAsiaTheme="minorEastAsia"/>
          <w:sz w:val="24"/>
        </w:rPr>
        <w:t>3   技术规格偏离表</w:t>
      </w:r>
      <w:bookmarkEnd w:id="464"/>
      <w:r>
        <w:rPr>
          <w:rFonts w:hint="eastAsia" w:cs="宋体" w:asciiTheme="minorEastAsia" w:hAnsiTheme="minorEastAsia" w:eastAsiaTheme="minorEastAsia"/>
          <w:sz w:val="24"/>
        </w:rPr>
        <w:t>（响应文件格式九）</w:t>
      </w:r>
      <w:bookmarkEnd w:id="465"/>
      <w:bookmarkEnd w:id="466"/>
      <w:bookmarkEnd w:id="467"/>
      <w:bookmarkEnd w:id="468"/>
      <w:bookmarkEnd w:id="469"/>
      <w:bookmarkEnd w:id="470"/>
      <w:r>
        <w:rPr>
          <w:rFonts w:hint="eastAsia" w:ascii="宋体" w:hAnsi="宋体" w:eastAsia="宋体" w:cs="宋体"/>
          <w:sz w:val="24"/>
          <w:szCs w:val="24"/>
        </w:rPr>
        <w:t>(本项目不适用）</w:t>
      </w:r>
      <w:bookmarkEnd w:id="473"/>
      <w:bookmarkEnd w:id="474"/>
    </w:p>
    <w:p>
      <w:pPr>
        <w:pStyle w:val="17"/>
        <w:spacing w:line="360" w:lineRule="exact"/>
        <w:ind w:left="1080" w:leftChars="257" w:hanging="540"/>
        <w:rPr>
          <w:rFonts w:cs="宋体" w:asciiTheme="minorEastAsia" w:hAnsiTheme="minorEastAsia" w:eastAsiaTheme="minorEastAsia"/>
          <w:sz w:val="24"/>
        </w:rPr>
      </w:pPr>
    </w:p>
    <w:p>
      <w:pPr>
        <w:pStyle w:val="17"/>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7"/>
        <w:spacing w:line="360" w:lineRule="exact"/>
        <w:ind w:left="1080" w:leftChars="257" w:hanging="540"/>
        <w:rPr>
          <w:rFonts w:cs="宋体" w:asciiTheme="minorEastAsia" w:hAnsiTheme="minorEastAsia" w:eastAsiaTheme="minorEastAsia"/>
          <w:sz w:val="24"/>
        </w:rPr>
      </w:pPr>
    </w:p>
    <w:tbl>
      <w:tblPr>
        <w:tblStyle w:val="38"/>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7"/>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7"/>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7"/>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7"/>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7"/>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7"/>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126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bl>
    <w:p>
      <w:pPr>
        <w:pStyle w:val="17"/>
        <w:spacing w:line="360" w:lineRule="exact"/>
        <w:ind w:left="1080" w:leftChars="257" w:hanging="540"/>
        <w:rPr>
          <w:rFonts w:cs="宋体" w:asciiTheme="minorEastAsia" w:hAnsiTheme="minorEastAsia" w:eastAsiaTheme="minorEastAsia"/>
          <w:sz w:val="24"/>
        </w:rPr>
      </w:pPr>
    </w:p>
    <w:p>
      <w:pPr>
        <w:pStyle w:val="17"/>
        <w:spacing w:line="360" w:lineRule="exact"/>
        <w:ind w:left="1080" w:leftChars="257" w:hanging="540"/>
        <w:rPr>
          <w:rFonts w:cs="宋体" w:asciiTheme="minorEastAsia" w:hAnsiTheme="minorEastAsia" w:eastAsiaTheme="minorEastAsia"/>
          <w:sz w:val="24"/>
        </w:rPr>
      </w:pPr>
    </w:p>
    <w:p>
      <w:pPr>
        <w:pStyle w:val="17"/>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7"/>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7"/>
        <w:tabs>
          <w:tab w:val="left" w:pos="5580"/>
        </w:tabs>
        <w:spacing w:line="360" w:lineRule="exact"/>
        <w:rPr>
          <w:rFonts w:cs="宋体" w:asciiTheme="minorEastAsia" w:hAnsiTheme="minorEastAsia" w:eastAsiaTheme="minorEastAsia"/>
          <w:sz w:val="24"/>
          <w:u w:val="single"/>
        </w:rPr>
      </w:pPr>
    </w:p>
    <w:p>
      <w:pPr>
        <w:pStyle w:val="17"/>
        <w:tabs>
          <w:tab w:val="left" w:pos="5580"/>
        </w:tabs>
        <w:spacing w:line="360" w:lineRule="exact"/>
        <w:rPr>
          <w:rFonts w:cs="宋体" w:asciiTheme="minorEastAsia" w:hAnsiTheme="minorEastAsia" w:eastAsiaTheme="minorEastAsia"/>
          <w:sz w:val="24"/>
        </w:rPr>
      </w:pPr>
    </w:p>
    <w:p>
      <w:pPr>
        <w:pStyle w:val="4"/>
        <w:spacing w:before="0" w:line="360" w:lineRule="exact"/>
        <w:ind w:left="1080" w:leftChars="257" w:hanging="540"/>
        <w:rPr>
          <w:rFonts w:cs="宋体" w:asciiTheme="minorEastAsia" w:hAnsiTheme="minorEastAsia" w:eastAsiaTheme="minorEastAsia"/>
          <w:sz w:val="24"/>
        </w:rPr>
      </w:pPr>
      <w:bookmarkStart w:id="475" w:name="_Toc216582818"/>
      <w:bookmarkStart w:id="476" w:name="_Toc30983"/>
      <w:bookmarkStart w:id="477" w:name="_Toc23"/>
      <w:bookmarkStart w:id="478" w:name="_Toc515647821"/>
      <w:bookmarkStart w:id="479" w:name="_Toc4280"/>
      <w:bookmarkStart w:id="480" w:name="_Toc1980"/>
      <w:bookmarkStart w:id="481" w:name="_Toc8581"/>
      <w:bookmarkStart w:id="482" w:name="_Toc21009"/>
      <w:bookmarkStart w:id="483" w:name="_Toc4342"/>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w:t>
      </w:r>
      <w:bookmarkEnd w:id="475"/>
      <w:r>
        <w:rPr>
          <w:rFonts w:hint="eastAsia" w:cs="宋体" w:asciiTheme="minorEastAsia" w:hAnsiTheme="minorEastAsia" w:eastAsiaTheme="minorEastAsia"/>
          <w:sz w:val="24"/>
        </w:rPr>
        <w:t>（响应文件格式十）</w:t>
      </w:r>
      <w:bookmarkEnd w:id="476"/>
      <w:bookmarkEnd w:id="477"/>
      <w:bookmarkEnd w:id="478"/>
      <w:bookmarkEnd w:id="479"/>
      <w:bookmarkEnd w:id="480"/>
      <w:bookmarkEnd w:id="481"/>
      <w:bookmarkEnd w:id="482"/>
      <w:bookmarkEnd w:id="483"/>
    </w:p>
    <w:p>
      <w:pPr>
        <w:pStyle w:val="17"/>
        <w:spacing w:line="360" w:lineRule="exact"/>
        <w:ind w:left="1080" w:leftChars="257" w:hanging="540"/>
        <w:rPr>
          <w:rFonts w:cs="宋体" w:asciiTheme="minorEastAsia" w:hAnsiTheme="minorEastAsia" w:eastAsiaTheme="minorEastAsia"/>
          <w:sz w:val="24"/>
        </w:rPr>
      </w:pPr>
    </w:p>
    <w:p>
      <w:pPr>
        <w:pStyle w:val="17"/>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7"/>
        <w:spacing w:line="360" w:lineRule="exact"/>
        <w:ind w:left="1080" w:leftChars="257" w:hanging="540"/>
        <w:rPr>
          <w:rFonts w:cs="宋体" w:asciiTheme="minorEastAsia" w:hAnsiTheme="minorEastAsia" w:eastAsiaTheme="minorEastAsia"/>
          <w:sz w:val="24"/>
        </w:rPr>
      </w:pPr>
    </w:p>
    <w:tbl>
      <w:tblPr>
        <w:tblStyle w:val="38"/>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7"/>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7"/>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7"/>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jc w:val="center"/>
              <w:rPr>
                <w:rFonts w:cs="宋体" w:asciiTheme="minorEastAsia" w:hAnsiTheme="minorEastAsia" w:eastAsiaTheme="minorEastAsia"/>
                <w:sz w:val="24"/>
              </w:rPr>
            </w:pPr>
          </w:p>
        </w:tc>
        <w:tc>
          <w:tcPr>
            <w:tcW w:w="2520" w:type="dxa"/>
          </w:tcPr>
          <w:p>
            <w:pPr>
              <w:pStyle w:val="17"/>
              <w:spacing w:line="360" w:lineRule="exact"/>
              <w:ind w:left="1080" w:leftChars="257" w:hanging="540"/>
              <w:jc w:val="center"/>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2520" w:type="dxa"/>
          </w:tcPr>
          <w:p>
            <w:pPr>
              <w:pStyle w:val="17"/>
              <w:spacing w:line="360" w:lineRule="exact"/>
              <w:ind w:left="1080" w:leftChars="257" w:hanging="540"/>
              <w:rPr>
                <w:rFonts w:cs="宋体" w:asciiTheme="minorEastAsia" w:hAnsiTheme="minorEastAsia" w:eastAsiaTheme="minorEastAsia"/>
                <w:sz w:val="24"/>
              </w:rPr>
            </w:pPr>
          </w:p>
        </w:tc>
        <w:tc>
          <w:tcPr>
            <w:tcW w:w="900" w:type="dxa"/>
          </w:tcPr>
          <w:p>
            <w:pPr>
              <w:pStyle w:val="17"/>
              <w:spacing w:line="360" w:lineRule="exact"/>
              <w:ind w:left="1080" w:leftChars="257" w:hanging="540"/>
              <w:rPr>
                <w:rFonts w:cs="宋体" w:asciiTheme="minorEastAsia" w:hAnsiTheme="minorEastAsia" w:eastAsiaTheme="minorEastAsia"/>
                <w:sz w:val="24"/>
              </w:rPr>
            </w:pPr>
          </w:p>
        </w:tc>
      </w:tr>
    </w:tbl>
    <w:p>
      <w:pPr>
        <w:pStyle w:val="17"/>
        <w:spacing w:line="360" w:lineRule="exact"/>
        <w:ind w:left="1080" w:leftChars="257" w:hanging="540"/>
        <w:rPr>
          <w:rFonts w:cs="宋体" w:asciiTheme="minorEastAsia" w:hAnsiTheme="minorEastAsia" w:eastAsiaTheme="minorEastAsia"/>
          <w:sz w:val="24"/>
        </w:rPr>
      </w:pPr>
    </w:p>
    <w:p>
      <w:pPr>
        <w:pStyle w:val="17"/>
        <w:spacing w:line="360" w:lineRule="exact"/>
        <w:ind w:left="1080" w:leftChars="257" w:hanging="540"/>
        <w:rPr>
          <w:rFonts w:cs="宋体" w:asciiTheme="minorEastAsia" w:hAnsiTheme="minorEastAsia" w:eastAsiaTheme="minorEastAsia"/>
          <w:sz w:val="24"/>
        </w:rPr>
      </w:pPr>
    </w:p>
    <w:p>
      <w:pPr>
        <w:pStyle w:val="17"/>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7"/>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7"/>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hint="eastAsia" w:cs="宋体" w:asciiTheme="minorEastAsia" w:hAnsiTheme="minorEastAsia" w:eastAsiaTheme="minorEastAsia"/>
          <w:sz w:val="24"/>
          <w:lang w:eastAsia="zh-CN"/>
        </w:rPr>
      </w:pPr>
      <w:bookmarkStart w:id="484" w:name="_Hlt520274407"/>
      <w:bookmarkEnd w:id="484"/>
      <w:bookmarkStart w:id="485" w:name="_Hlt520343000"/>
      <w:bookmarkEnd w:id="485"/>
      <w:bookmarkStart w:id="486" w:name="_Hlt520350918"/>
      <w:bookmarkEnd w:id="486"/>
      <w:bookmarkStart w:id="487" w:name="_Hlt520274911"/>
      <w:bookmarkEnd w:id="487"/>
      <w:bookmarkStart w:id="488" w:name="_Hlt520343392"/>
      <w:bookmarkEnd w:id="488"/>
      <w:bookmarkStart w:id="489" w:name="_Hlt520274393"/>
      <w:bookmarkEnd w:id="489"/>
      <w:bookmarkStart w:id="490" w:name="_Hlt520274065"/>
      <w:bookmarkEnd w:id="490"/>
      <w:bookmarkStart w:id="491" w:name="_Hlt520273973"/>
      <w:bookmarkEnd w:id="491"/>
      <w:bookmarkStart w:id="492" w:name="_Hlt520271212"/>
      <w:bookmarkEnd w:id="492"/>
      <w:bookmarkStart w:id="493" w:name="_Hlt520350957"/>
      <w:bookmarkEnd w:id="493"/>
      <w:bookmarkStart w:id="494" w:name="_Hlt520273711"/>
      <w:bookmarkEnd w:id="494"/>
      <w:bookmarkStart w:id="495" w:name="_Toc26282"/>
      <w:bookmarkStart w:id="496" w:name="_Toc12296"/>
      <w:bookmarkStart w:id="497" w:name="_Toc281"/>
      <w:bookmarkStart w:id="498" w:name="_Toc17036"/>
      <w:bookmarkStart w:id="499" w:name="_Toc515647823"/>
      <w:bookmarkStart w:id="500" w:name="_Toc10725"/>
      <w:bookmarkStart w:id="501" w:name="_Toc21312"/>
      <w:bookmarkStart w:id="502" w:name="_Toc20408"/>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-1 供应商企业（单位）类型声明函（响应文件格式十一）</w:t>
      </w:r>
      <w:bookmarkEnd w:id="495"/>
      <w:bookmarkEnd w:id="496"/>
      <w:bookmarkEnd w:id="497"/>
      <w:bookmarkEnd w:id="498"/>
      <w:bookmarkEnd w:id="499"/>
      <w:bookmarkEnd w:id="500"/>
      <w:bookmarkEnd w:id="501"/>
      <w:bookmarkEnd w:id="502"/>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503" w:name="_Toc10977"/>
      <w:bookmarkStart w:id="504" w:name="_Toc19302"/>
      <w:bookmarkStart w:id="505" w:name="_Toc30508"/>
      <w:bookmarkStart w:id="506" w:name="_Toc16115"/>
      <w:bookmarkStart w:id="507" w:name="_Toc515647824"/>
      <w:bookmarkStart w:id="508" w:name="_Toc13461"/>
      <w:bookmarkStart w:id="509" w:name="_Toc11803"/>
      <w:bookmarkStart w:id="510" w:name="_Toc24570"/>
      <w:r>
        <w:rPr>
          <w:rFonts w:hint="eastAsia" w:cs="宋体" w:asciiTheme="minorEastAsia" w:hAnsiTheme="minorEastAsia" w:eastAsiaTheme="minorEastAsia"/>
          <w:b w:val="0"/>
          <w:sz w:val="24"/>
          <w:lang w:val="en-US" w:eastAsia="zh-CN"/>
        </w:rPr>
        <w:t>5</w:t>
      </w:r>
      <w:r>
        <w:rPr>
          <w:rFonts w:hint="eastAsia" w:cs="宋体" w:asciiTheme="minorEastAsia" w:hAnsiTheme="minorEastAsia" w:eastAsiaTheme="minorEastAsia"/>
          <w:sz w:val="24"/>
        </w:rPr>
        <w:t>-2   制造商企业（单位）类型声明函（响应文件格式十二）</w:t>
      </w:r>
      <w:bookmarkEnd w:id="503"/>
      <w:bookmarkEnd w:id="504"/>
      <w:bookmarkEnd w:id="505"/>
      <w:bookmarkEnd w:id="506"/>
      <w:bookmarkEnd w:id="507"/>
      <w:bookmarkEnd w:id="508"/>
      <w:bookmarkEnd w:id="509"/>
      <w:bookmarkEnd w:id="510"/>
    </w:p>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9"/>
        <w:rPr>
          <w:rFonts w:cs="宋体" w:asciiTheme="minorEastAsia" w:hAnsiTheme="minorEastAsia" w:eastAsiaTheme="minorEastAsia"/>
        </w:rPr>
      </w:pPr>
    </w:p>
    <w:p>
      <w:pPr>
        <w:pStyle w:val="9"/>
        <w:rPr>
          <w:rFonts w:cs="宋体" w:asciiTheme="minorEastAsia" w:hAnsiTheme="minorEastAsia" w:eastAsiaTheme="minorEastAsia"/>
        </w:rPr>
      </w:pPr>
    </w:p>
    <w:p>
      <w:pPr>
        <w:pStyle w:val="9"/>
        <w:rPr>
          <w:rFonts w:cs="宋体" w:asciiTheme="minorEastAsia" w:hAnsiTheme="minorEastAsia" w:eastAsiaTheme="minorEastAsia"/>
        </w:rPr>
      </w:pPr>
    </w:p>
    <w:p>
      <w:pPr>
        <w:pStyle w:val="9"/>
        <w:rPr>
          <w:rFonts w:cs="宋体" w:asciiTheme="minorEastAsia" w:hAnsiTheme="minorEastAsia" w:eastAsiaTheme="minorEastAsia"/>
        </w:rPr>
      </w:pPr>
    </w:p>
    <w:p>
      <w:pPr>
        <w:pStyle w:val="9"/>
        <w:rPr>
          <w:rFonts w:cs="宋体" w:asciiTheme="minorEastAsia" w:hAnsiTheme="minorEastAsia" w:eastAsiaTheme="minorEastAsia"/>
        </w:rPr>
      </w:pPr>
    </w:p>
    <w:p>
      <w:pPr>
        <w:pStyle w:val="9"/>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511" w:name="_Toc515647825"/>
      <w:bookmarkStart w:id="512" w:name="_Toc26728"/>
      <w:bookmarkStart w:id="513" w:name="_Toc8320"/>
      <w:bookmarkStart w:id="514" w:name="_Toc19284"/>
      <w:bookmarkStart w:id="515" w:name="_Toc23068"/>
      <w:bookmarkStart w:id="516" w:name="_Toc20016"/>
      <w:bookmarkStart w:id="517" w:name="OLE_LINK14"/>
      <w:bookmarkStart w:id="518" w:name="OLE_LINK13"/>
    </w:p>
    <w:p>
      <w:pPr>
        <w:pStyle w:val="4"/>
        <w:spacing w:before="0" w:line="360" w:lineRule="exact"/>
        <w:jc w:val="both"/>
        <w:rPr>
          <w:rFonts w:cs="宋体" w:asciiTheme="minorEastAsia" w:hAnsiTheme="minorEastAsia" w:eastAsiaTheme="minorEastAsia"/>
          <w:sz w:val="24"/>
        </w:rPr>
      </w:pPr>
      <w:bookmarkStart w:id="519" w:name="_Toc28713"/>
      <w:bookmarkStart w:id="520" w:name="_Toc908"/>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-3   残疾人福利性单位声明函（本项目不适用）（响应文件格式十三）</w:t>
      </w:r>
      <w:bookmarkEnd w:id="511"/>
      <w:bookmarkEnd w:id="512"/>
      <w:bookmarkEnd w:id="513"/>
      <w:bookmarkEnd w:id="514"/>
      <w:bookmarkEnd w:id="515"/>
      <w:bookmarkEnd w:id="516"/>
      <w:bookmarkEnd w:id="519"/>
      <w:bookmarkEnd w:id="520"/>
    </w:p>
    <w:p/>
    <w:bookmarkEnd w:id="517"/>
    <w:bookmarkEnd w:id="518"/>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日期：_____________________________________________</w:t>
      </w:r>
    </w:p>
    <w:p>
      <w:pPr>
        <w:rPr>
          <w:rFonts w:cs="宋体" w:asciiTheme="minorEastAsia" w:hAnsiTheme="minorEastAsia" w:eastAsiaTheme="minorEastAsia"/>
          <w:b/>
          <w:kern w:val="0"/>
          <w:sz w:val="24"/>
          <w:szCs w:val="20"/>
        </w:rPr>
      </w:pPr>
      <w:r>
        <w:rPr>
          <w:rFonts w:cs="宋体" w:asciiTheme="minorEastAsia" w:hAnsiTheme="minorEastAsia" w:eastAsiaTheme="minorEastAsia"/>
          <w:b/>
          <w:kern w:val="0"/>
          <w:sz w:val="24"/>
          <w:szCs w:val="20"/>
        </w:rPr>
        <w:br w:type="page"/>
      </w:r>
    </w:p>
    <w:p>
      <w:pPr>
        <w:pStyle w:val="4"/>
        <w:spacing w:before="0" w:line="360" w:lineRule="exact"/>
        <w:jc w:val="center"/>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5-4中小企业声明函</w:t>
      </w:r>
    </w:p>
    <w:p>
      <w:pPr>
        <w:pStyle w:val="109"/>
        <w:jc w:val="center"/>
        <w:outlineLvl w:val="9"/>
        <w:rPr>
          <w:rFonts w:hint="eastAsia" w:ascii="宋体" w:hAnsi="宋体" w:eastAsia="宋体" w:cs="宋体"/>
          <w:sz w:val="24"/>
          <w:szCs w:val="24"/>
          <w:lang w:val="en-US" w:eastAsia="zh-CN"/>
        </w:rPr>
      </w:pPr>
      <w:bookmarkStart w:id="521" w:name="_Toc25642"/>
      <w:bookmarkStart w:id="522" w:name="_Toc256000041"/>
      <w:bookmarkStart w:id="523" w:name="_Toc31547"/>
      <w:bookmarkStart w:id="524" w:name="_Toc28099"/>
      <w:bookmarkStart w:id="525" w:name="_Toc515647827"/>
      <w:bookmarkStart w:id="526" w:name="_Toc30795"/>
    </w:p>
    <w:p>
      <w:pPr>
        <w:pStyle w:val="109"/>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中小企业声明函</w:t>
      </w:r>
      <w:bookmarkEnd w:id="521"/>
      <w:bookmarkEnd w:id="522"/>
      <w:bookmarkEnd w:id="523"/>
    </w:p>
    <w:p>
      <w:pPr>
        <w:pStyle w:val="109"/>
        <w:jc w:val="center"/>
        <w:outlineLvl w:val="9"/>
        <w:rPr>
          <w:rFonts w:hint="eastAsia" w:ascii="宋体" w:hAnsi="宋体" w:eastAsia="宋体" w:cs="宋体"/>
          <w:sz w:val="24"/>
          <w:szCs w:val="24"/>
          <w:lang w:val="en-US" w:eastAsia="zh-CN"/>
        </w:rPr>
      </w:pPr>
      <w:r>
        <w:rPr>
          <w:rFonts w:hint="eastAsia" w:ascii="宋体" w:hAnsi="宋体" w:eastAsia="宋体" w:cs="宋体"/>
          <w:b/>
          <w:sz w:val="24"/>
          <w:szCs w:val="21"/>
          <w:lang w:val="en-US" w:eastAsia="zh-CN" w:bidi="ar-SA"/>
        </w:rPr>
        <w:t>（中、小、微型企业产品价格需扣除的须提供）</w:t>
      </w:r>
    </w:p>
    <w:p>
      <w:pPr>
        <w:pStyle w:val="110"/>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本公司（联合体）郑重声明，《政府采购促进中小企业发展暂行办法》（财库〔2020〕46号）、《关于进一步加大政府采购支持中小企业力度的通知》（财库〔2022〕19号）的规定，本公司（联合体）参加</w:t>
      </w:r>
      <w:r>
        <w:rPr>
          <w:rFonts w:hint="eastAsia" w:ascii="宋体" w:hAnsi="宋体" w:eastAsia="宋体" w:cs="宋体"/>
          <w:spacing w:val="-2"/>
          <w:sz w:val="24"/>
          <w:szCs w:val="24"/>
          <w:u w:val="single"/>
          <w:lang w:val="en-US" w:eastAsia="zh-CN"/>
        </w:rPr>
        <w:t>（单位名称）</w:t>
      </w:r>
      <w:r>
        <w:rPr>
          <w:rFonts w:hint="eastAsia" w:ascii="宋体" w:hAnsi="宋体" w:eastAsia="宋体" w:cs="宋体"/>
          <w:spacing w:val="-2"/>
          <w:sz w:val="24"/>
          <w:szCs w:val="24"/>
          <w:lang w:val="en-US" w:eastAsia="zh-CN"/>
        </w:rPr>
        <w:t>的</w:t>
      </w:r>
      <w:r>
        <w:rPr>
          <w:rFonts w:hint="eastAsia" w:ascii="宋体" w:hAnsi="宋体" w:eastAsia="宋体" w:cs="宋体"/>
          <w:spacing w:val="-2"/>
          <w:sz w:val="24"/>
          <w:szCs w:val="24"/>
          <w:u w:val="single"/>
          <w:lang w:val="en-US" w:eastAsia="zh-CN"/>
        </w:rPr>
        <w:t>（项目名称）</w:t>
      </w:r>
      <w:r>
        <w:rPr>
          <w:rFonts w:hint="eastAsia" w:ascii="宋体" w:hAnsi="宋体" w:eastAsia="宋体" w:cs="宋体"/>
          <w:spacing w:val="-2"/>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110"/>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u w:val="single"/>
          <w:lang w:val="en-US" w:eastAsia="zh-CN"/>
        </w:rPr>
        <w:t>（标的名称）</w:t>
      </w:r>
      <w:r>
        <w:rPr>
          <w:rFonts w:hint="eastAsia" w:ascii="宋体" w:hAnsi="宋体" w:eastAsia="宋体" w:cs="宋体"/>
          <w:spacing w:val="-2"/>
          <w:sz w:val="24"/>
          <w:szCs w:val="24"/>
          <w:lang w:val="en-US" w:eastAsia="zh-CN"/>
        </w:rPr>
        <w:t>，属于</w:t>
      </w:r>
      <w:r>
        <w:rPr>
          <w:rFonts w:hint="eastAsia" w:ascii="宋体" w:hAnsi="宋体" w:eastAsia="宋体" w:cs="宋体"/>
          <w:spacing w:val="-2"/>
          <w:sz w:val="24"/>
          <w:szCs w:val="24"/>
          <w:u w:val="single"/>
          <w:lang w:val="en-US" w:eastAsia="zh-CN"/>
        </w:rPr>
        <w:t>（采购文件中明确的所属行业）</w:t>
      </w:r>
      <w:r>
        <w:rPr>
          <w:rFonts w:hint="eastAsia" w:ascii="宋体" w:hAnsi="宋体" w:eastAsia="宋体" w:cs="宋体"/>
          <w:spacing w:val="-2"/>
          <w:sz w:val="24"/>
          <w:szCs w:val="24"/>
          <w:lang w:val="en-US" w:eastAsia="zh-CN"/>
        </w:rPr>
        <w:t>；承建（承接）企业为</w:t>
      </w:r>
      <w:r>
        <w:rPr>
          <w:rFonts w:hint="eastAsia" w:ascii="宋体" w:hAnsi="宋体" w:eastAsia="宋体" w:cs="宋体"/>
          <w:spacing w:val="-2"/>
          <w:sz w:val="24"/>
          <w:szCs w:val="24"/>
          <w:u w:val="single"/>
          <w:lang w:val="en-US" w:eastAsia="zh-CN"/>
        </w:rPr>
        <w:t>（企业名称）</w:t>
      </w:r>
      <w:r>
        <w:rPr>
          <w:rFonts w:hint="eastAsia" w:ascii="宋体" w:hAnsi="宋体" w:eastAsia="宋体" w:cs="宋体"/>
          <w:spacing w:val="-2"/>
          <w:sz w:val="24"/>
          <w:szCs w:val="24"/>
          <w:lang w:val="en-US" w:eastAsia="zh-CN"/>
        </w:rPr>
        <w:t>，从业人员</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lang w:val="en-US" w:eastAsia="zh-CN"/>
        </w:rPr>
        <w:tab/>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 xml:space="preserve">人，营业收入为 </w:t>
      </w:r>
      <w:r>
        <w:rPr>
          <w:rFonts w:hint="eastAsia" w:ascii="宋体" w:hAnsi="宋体" w:eastAsia="宋体" w:cs="宋体"/>
          <w:spacing w:val="-2"/>
          <w:sz w:val="24"/>
          <w:szCs w:val="24"/>
          <w:u w:val="single"/>
          <w:lang w:val="en-US" w:eastAsia="zh-CN"/>
        </w:rPr>
        <w:tab/>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万元，资产总额为</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lang w:val="en-US" w:eastAsia="zh-CN"/>
        </w:rPr>
        <w:tab/>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万元，属于</w:t>
      </w:r>
      <w:r>
        <w:rPr>
          <w:rFonts w:hint="eastAsia" w:ascii="宋体" w:hAnsi="宋体" w:eastAsia="宋体" w:cs="宋体"/>
          <w:spacing w:val="-2"/>
          <w:sz w:val="24"/>
          <w:szCs w:val="24"/>
          <w:u w:val="single"/>
          <w:lang w:val="en-US" w:eastAsia="zh-CN"/>
        </w:rPr>
        <w:t>（中型企业、小型企业、微型企业）</w:t>
      </w:r>
      <w:r>
        <w:rPr>
          <w:rFonts w:hint="eastAsia" w:ascii="宋体" w:hAnsi="宋体" w:eastAsia="宋体" w:cs="宋体"/>
          <w:spacing w:val="-2"/>
          <w:sz w:val="24"/>
          <w:szCs w:val="24"/>
          <w:lang w:val="en-US" w:eastAsia="zh-CN"/>
        </w:rPr>
        <w:t>；</w:t>
      </w:r>
    </w:p>
    <w:p>
      <w:pPr>
        <w:pStyle w:val="110"/>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u w:val="single"/>
          <w:lang w:val="en-US" w:eastAsia="zh-CN"/>
        </w:rPr>
        <w:t>（标的名称）</w:t>
      </w:r>
      <w:r>
        <w:rPr>
          <w:rFonts w:hint="eastAsia" w:ascii="宋体" w:hAnsi="宋体" w:eastAsia="宋体" w:cs="宋体"/>
          <w:spacing w:val="-2"/>
          <w:sz w:val="24"/>
          <w:szCs w:val="24"/>
          <w:lang w:val="en-US" w:eastAsia="zh-CN"/>
        </w:rPr>
        <w:t>，属于</w:t>
      </w:r>
      <w:r>
        <w:rPr>
          <w:rFonts w:hint="eastAsia" w:ascii="宋体" w:hAnsi="宋体" w:eastAsia="宋体" w:cs="宋体"/>
          <w:spacing w:val="-2"/>
          <w:sz w:val="24"/>
          <w:szCs w:val="24"/>
          <w:u w:val="single"/>
          <w:lang w:val="en-US" w:eastAsia="zh-CN"/>
        </w:rPr>
        <w:t>（采购文件中明确的所属行业）</w:t>
      </w:r>
      <w:r>
        <w:rPr>
          <w:rFonts w:hint="eastAsia" w:ascii="宋体" w:hAnsi="宋体" w:eastAsia="宋体" w:cs="宋体"/>
          <w:spacing w:val="-2"/>
          <w:sz w:val="24"/>
          <w:szCs w:val="24"/>
          <w:lang w:val="en-US" w:eastAsia="zh-CN"/>
        </w:rPr>
        <w:t>；承建（承接）企业为</w:t>
      </w:r>
      <w:r>
        <w:rPr>
          <w:rFonts w:hint="eastAsia" w:ascii="宋体" w:hAnsi="宋体" w:eastAsia="宋体" w:cs="宋体"/>
          <w:spacing w:val="-2"/>
          <w:sz w:val="24"/>
          <w:szCs w:val="24"/>
          <w:u w:val="single"/>
          <w:lang w:val="en-US" w:eastAsia="zh-CN"/>
        </w:rPr>
        <w:t>（企业名称）</w:t>
      </w:r>
      <w:r>
        <w:rPr>
          <w:rFonts w:hint="eastAsia" w:ascii="宋体" w:hAnsi="宋体" w:eastAsia="宋体" w:cs="宋体"/>
          <w:spacing w:val="-2"/>
          <w:sz w:val="24"/>
          <w:szCs w:val="24"/>
          <w:lang w:val="en-US" w:eastAsia="zh-CN"/>
        </w:rPr>
        <w:t>，从业人员</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lang w:val="en-US" w:eastAsia="zh-CN"/>
        </w:rPr>
        <w:tab/>
      </w:r>
      <w:r>
        <w:rPr>
          <w:rFonts w:hint="eastAsia" w:ascii="宋体" w:hAnsi="宋体" w:eastAsia="宋体" w:cs="宋体"/>
          <w:spacing w:val="-2"/>
          <w:sz w:val="24"/>
          <w:szCs w:val="24"/>
          <w:lang w:val="en-US" w:eastAsia="zh-CN"/>
        </w:rPr>
        <w:t>人，营业收入为</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lang w:val="en-US" w:eastAsia="zh-CN"/>
        </w:rPr>
        <w:tab/>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万元，资产总额为</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lang w:val="en-US" w:eastAsia="zh-CN"/>
        </w:rPr>
        <w:tab/>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lang w:val="en-US" w:eastAsia="zh-CN"/>
        </w:rPr>
        <w:t>万元，属于</w:t>
      </w:r>
      <w:r>
        <w:rPr>
          <w:rFonts w:hint="eastAsia" w:ascii="宋体" w:hAnsi="宋体" w:eastAsia="宋体" w:cs="宋体"/>
          <w:spacing w:val="-2"/>
          <w:sz w:val="24"/>
          <w:szCs w:val="24"/>
          <w:u w:val="single"/>
          <w:lang w:val="en-US" w:eastAsia="zh-CN"/>
        </w:rPr>
        <w:t>（中型企业、小型企业、微型企业）</w:t>
      </w:r>
      <w:r>
        <w:rPr>
          <w:rFonts w:hint="eastAsia" w:ascii="宋体" w:hAnsi="宋体" w:eastAsia="宋体" w:cs="宋体"/>
          <w:spacing w:val="-2"/>
          <w:sz w:val="24"/>
          <w:szCs w:val="24"/>
          <w:lang w:val="en-US" w:eastAsia="zh-CN"/>
        </w:rPr>
        <w:t>；</w:t>
      </w:r>
    </w:p>
    <w:p>
      <w:pPr>
        <w:pStyle w:val="110"/>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p>
    <w:p>
      <w:pPr>
        <w:pStyle w:val="110"/>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以上企业，不属于大企业的分支机构，不存在控股股东为大企业的情形，也不存在与大企业的负责人为同一人的情形。</w:t>
      </w:r>
    </w:p>
    <w:p>
      <w:pPr>
        <w:pStyle w:val="110"/>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本企业对上述声明内容的真实性负责。如有虚假，将依 法承担相应责任。</w:t>
      </w:r>
    </w:p>
    <w:p>
      <w:pPr>
        <w:pStyle w:val="110"/>
        <w:spacing w:line="520" w:lineRule="exact"/>
        <w:ind w:firstLine="472" w:firstLineChars="200"/>
        <w:rPr>
          <w:rFonts w:hint="eastAsia" w:ascii="宋体" w:hAnsi="宋体" w:eastAsia="宋体" w:cs="宋体"/>
          <w:spacing w:val="-2"/>
          <w:sz w:val="24"/>
          <w:szCs w:val="24"/>
          <w:lang w:val="en-US" w:eastAsia="zh-CN"/>
        </w:rPr>
      </w:pPr>
    </w:p>
    <w:p>
      <w:pPr>
        <w:pStyle w:val="111"/>
        <w:spacing w:before="35" w:line="316" w:lineRule="auto"/>
        <w:ind w:right="2166" w:firstLine="4012" w:firstLineChars="17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企业名称（盖章）：</w:t>
      </w:r>
    </w:p>
    <w:p>
      <w:pPr>
        <w:pStyle w:val="110"/>
        <w:spacing w:line="520" w:lineRule="exact"/>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日期：</w:t>
      </w: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pStyle w:val="26"/>
        <w:rPr>
          <w:rFonts w:cs="宋体" w:asciiTheme="minorEastAsia" w:hAnsiTheme="minorEastAsia" w:eastAsiaTheme="minorEastAsia"/>
          <w:sz w:val="24"/>
        </w:rPr>
      </w:pPr>
    </w:p>
    <w:bookmarkEnd w:id="524"/>
    <w:bookmarkEnd w:id="525"/>
    <w:bookmarkEnd w:id="526"/>
    <w:p>
      <w:pPr>
        <w:pStyle w:val="4"/>
        <w:spacing w:before="0" w:line="360" w:lineRule="exact"/>
        <w:jc w:val="center"/>
        <w:rPr>
          <w:rFonts w:cs="宋体" w:asciiTheme="minorEastAsia" w:hAnsiTheme="minorEastAsia" w:eastAsiaTheme="minorEastAsia"/>
          <w:sz w:val="24"/>
        </w:rPr>
      </w:pPr>
      <w:bookmarkStart w:id="527" w:name="_Toc12633"/>
      <w:bookmarkStart w:id="528" w:name="_Toc29422"/>
      <w:bookmarkStart w:id="529" w:name="_Toc14172"/>
      <w:bookmarkStart w:id="530" w:name="_Toc4093"/>
      <w:bookmarkStart w:id="531" w:name="_Toc31320"/>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w:t>
      </w:r>
      <w:bookmarkEnd w:id="527"/>
      <w:bookmarkEnd w:id="528"/>
      <w:bookmarkEnd w:id="529"/>
      <w:bookmarkEnd w:id="530"/>
      <w:bookmarkEnd w:id="531"/>
    </w:p>
    <w:p>
      <w:pPr>
        <w:pStyle w:val="9"/>
        <w:spacing w:line="360" w:lineRule="exact"/>
        <w:jc w:val="center"/>
        <w:rPr>
          <w:rFonts w:cs="宋体" w:asciiTheme="minorEastAsia" w:hAnsiTheme="minorEastAsia" w:eastAsiaTheme="minorEastAsia"/>
        </w:rPr>
      </w:pPr>
    </w:p>
    <w:p>
      <w:pPr>
        <w:pStyle w:val="9"/>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9"/>
        <w:spacing w:line="360" w:lineRule="exact"/>
        <w:ind w:left="479" w:leftChars="228" w:firstLine="0" w:firstLineChars="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9"/>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532" w:name="_Toc8905"/>
      <w:bookmarkStart w:id="533" w:name="_Toc9517"/>
      <w:bookmarkStart w:id="534" w:name="_Toc9060"/>
      <w:bookmarkStart w:id="535" w:name="_Toc28910"/>
      <w:bookmarkStart w:id="536" w:name="_Toc515647828"/>
      <w:bookmarkStart w:id="537" w:name="_Toc17333"/>
      <w:bookmarkStart w:id="538" w:name="_Toc5596"/>
      <w:bookmarkStart w:id="539" w:name="_Toc7414"/>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bookmarkEnd w:id="532"/>
      <w:bookmarkEnd w:id="533"/>
      <w:bookmarkEnd w:id="534"/>
      <w:bookmarkEnd w:id="535"/>
      <w:bookmarkEnd w:id="536"/>
      <w:bookmarkEnd w:id="537"/>
      <w:bookmarkEnd w:id="538"/>
      <w:bookmarkEnd w:id="539"/>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540" w:name="_Toc19460"/>
      <w:bookmarkStart w:id="541" w:name="_Toc21672"/>
      <w:bookmarkStart w:id="542" w:name="_Toc30129"/>
      <w:bookmarkStart w:id="543" w:name="_Toc21017"/>
      <w:bookmarkStart w:id="544" w:name="_Toc6791"/>
      <w:bookmarkStart w:id="545" w:name="_Toc10554"/>
      <w:bookmarkStart w:id="546" w:name="_Toc18089"/>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其他有利于磋商的技术条件</w:t>
      </w:r>
      <w:bookmarkEnd w:id="540"/>
      <w:bookmarkEnd w:id="541"/>
      <w:bookmarkEnd w:id="542"/>
      <w:bookmarkEnd w:id="543"/>
      <w:bookmarkEnd w:id="544"/>
      <w:bookmarkEnd w:id="545"/>
      <w:bookmarkEnd w:id="546"/>
    </w:p>
    <w:p>
      <w:pPr>
        <w:spacing w:line="240" w:lineRule="atLeast"/>
        <w:outlineLvl w:val="2"/>
        <w:rPr>
          <w:rFonts w:cs="宋体" w:asciiTheme="minorEastAsia" w:hAnsiTheme="minorEastAsia" w:eastAsiaTheme="minorEastAsia"/>
          <w:b/>
          <w:kern w:val="0"/>
          <w:sz w:val="24"/>
          <w:szCs w:val="20"/>
        </w:rPr>
      </w:pPr>
      <w:bookmarkStart w:id="547" w:name="_Toc13771"/>
      <w:bookmarkStart w:id="548" w:name="_Toc23729"/>
      <w:bookmarkStart w:id="549" w:name="_Toc30798"/>
      <w:bookmarkStart w:id="550" w:name="_Toc28994"/>
      <w:bookmarkStart w:id="551" w:name="_Toc18887"/>
    </w:p>
    <w:p>
      <w:pPr>
        <w:pStyle w:val="17"/>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lang w:val="en-US" w:eastAsia="zh-CN"/>
        </w:rPr>
        <w:t>9</w:t>
      </w:r>
      <w:r>
        <w:rPr>
          <w:rFonts w:hint="eastAsia" w:cs="宋体" w:asciiTheme="minorEastAsia" w:hAnsiTheme="minorEastAsia" w:eastAsiaTheme="minorEastAsia"/>
          <w:b/>
          <w:kern w:val="0"/>
          <w:sz w:val="24"/>
          <w:szCs w:val="20"/>
        </w:rPr>
        <w:t xml:space="preserve"> 响应文件格式范本</w:t>
      </w:r>
      <w:bookmarkEnd w:id="547"/>
      <w:bookmarkEnd w:id="548"/>
      <w:bookmarkEnd w:id="549"/>
      <w:bookmarkEnd w:id="550"/>
      <w:bookmarkEnd w:id="551"/>
    </w:p>
    <w:p>
      <w:pPr>
        <w:spacing w:line="240" w:lineRule="atLeast"/>
        <w:outlineLvl w:val="2"/>
        <w:rPr>
          <w:rFonts w:cs="宋体" w:asciiTheme="minorEastAsia" w:hAnsiTheme="minorEastAsia" w:eastAsiaTheme="minorEastAsia"/>
          <w:b/>
          <w:kern w:val="0"/>
          <w:sz w:val="24"/>
          <w:szCs w:val="20"/>
        </w:rPr>
      </w:pPr>
    </w:p>
    <w:tbl>
      <w:tblPr>
        <w:tblStyle w:val="38"/>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3"/>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3"/>
              <w:ind w:firstLine="4216" w:firstLineChars="1500"/>
              <w:rPr>
                <w:rFonts w:cs="宋体" w:asciiTheme="minorEastAsia" w:hAnsiTheme="minorEastAsia" w:eastAsiaTheme="minorEastAsia"/>
                <w:b/>
                <w:bCs/>
                <w:sz w:val="28"/>
                <w:szCs w:val="28"/>
              </w:rPr>
            </w:pPr>
          </w:p>
          <w:p>
            <w:pPr>
              <w:pStyle w:val="13"/>
              <w:ind w:firstLine="4216" w:firstLineChars="1500"/>
              <w:rPr>
                <w:rFonts w:cs="宋体" w:asciiTheme="minorEastAsia" w:hAnsiTheme="minorEastAsia" w:eastAsiaTheme="minorEastAsia"/>
                <w:b/>
                <w:bCs/>
                <w:sz w:val="28"/>
                <w:szCs w:val="28"/>
              </w:rPr>
            </w:pPr>
          </w:p>
          <w:p>
            <w:pPr>
              <w:pStyle w:val="13"/>
              <w:rPr>
                <w:rFonts w:cs="宋体" w:asciiTheme="minorEastAsia" w:hAnsiTheme="minorEastAsia" w:eastAsiaTheme="minorEastAsia"/>
                <w:b/>
                <w:bCs/>
                <w:sz w:val="28"/>
                <w:szCs w:val="28"/>
              </w:rPr>
            </w:pPr>
          </w:p>
          <w:p>
            <w:pPr>
              <w:pStyle w:val="13"/>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3"/>
              <w:jc w:val="center"/>
              <w:rPr>
                <w:rFonts w:cs="宋体" w:asciiTheme="minorEastAsia" w:hAnsiTheme="minorEastAsia" w:eastAsiaTheme="minorEastAsia"/>
                <w:b/>
                <w:bCs/>
                <w:sz w:val="21"/>
                <w:szCs w:val="21"/>
              </w:rPr>
            </w:pPr>
          </w:p>
          <w:p>
            <w:pPr>
              <w:pStyle w:val="13"/>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3"/>
              <w:jc w:val="center"/>
              <w:rPr>
                <w:rFonts w:cs="宋体" w:asciiTheme="minorEastAsia" w:hAnsiTheme="minorEastAsia" w:eastAsiaTheme="minorEastAsia"/>
                <w:b/>
                <w:bCs/>
                <w:sz w:val="48"/>
              </w:rPr>
            </w:pPr>
          </w:p>
          <w:p>
            <w:pPr>
              <w:pStyle w:val="13"/>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9"/>
              <w:rPr>
                <w:rFonts w:cs="宋体" w:asciiTheme="minorEastAsia" w:hAnsiTheme="minorEastAsia" w:eastAsiaTheme="minorEastAsia"/>
                <w:b/>
                <w:sz w:val="32"/>
              </w:rPr>
            </w:pPr>
          </w:p>
          <w:p>
            <w:pPr>
              <w:pStyle w:val="9"/>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pStyle w:val="3"/>
        <w:tabs>
          <w:tab w:val="left" w:pos="0"/>
        </w:tabs>
        <w:spacing w:before="0" w:after="471" w:afterLines="150" w:afterAutospacing="0" w:line="240" w:lineRule="atLeast"/>
        <w:rPr>
          <w:rFonts w:hint="default" w:cs="宋体" w:asciiTheme="minorEastAsia" w:hAnsiTheme="minorEastAsia" w:eastAsiaTheme="minorEastAsia"/>
          <w:color w:val="000000"/>
          <w:lang w:val="en-US" w:eastAsia="zh-CN"/>
        </w:rPr>
      </w:pPr>
      <w:bookmarkStart w:id="552" w:name="_Toc218935350"/>
      <w:bookmarkStart w:id="553" w:name="_Toc9913"/>
      <w:bookmarkStart w:id="554" w:name="_Toc507399902"/>
      <w:bookmarkStart w:id="555" w:name="_Toc518923124"/>
      <w:bookmarkStart w:id="556" w:name="_Toc219175634"/>
      <w:bookmarkStart w:id="557" w:name="_Toc21156_WPSOffice_Level1"/>
      <w:bookmarkStart w:id="558" w:name="_Toc216582822"/>
      <w:bookmarkStart w:id="559" w:name="_Toc16918"/>
      <w:bookmarkStart w:id="560" w:name="_Toc24228"/>
      <w:bookmarkStart w:id="561" w:name="_Toc22621"/>
      <w:r>
        <w:rPr>
          <w:rFonts w:hint="eastAsia" w:cs="宋体" w:asciiTheme="minorEastAsia" w:hAnsiTheme="minorEastAsia" w:eastAsiaTheme="minorEastAsia"/>
          <w:color w:val="000000"/>
        </w:rPr>
        <w:t>第3章</w:t>
      </w:r>
      <w:bookmarkEnd w:id="552"/>
      <w:bookmarkEnd w:id="553"/>
      <w:bookmarkEnd w:id="554"/>
      <w:bookmarkEnd w:id="555"/>
      <w:bookmarkEnd w:id="556"/>
      <w:bookmarkEnd w:id="557"/>
      <w:bookmarkEnd w:id="558"/>
      <w:r>
        <w:rPr>
          <w:rFonts w:hint="eastAsia" w:cs="宋体" w:asciiTheme="minorEastAsia" w:hAnsiTheme="minorEastAsia" w:eastAsiaTheme="minorEastAsia"/>
          <w:color w:val="000000"/>
          <w:lang w:val="en-US" w:eastAsia="zh-CN"/>
        </w:rPr>
        <w:t>投标邀请</w:t>
      </w:r>
      <w:bookmarkEnd w:id="559"/>
      <w:bookmarkEnd w:id="560"/>
      <w:bookmarkEnd w:id="561"/>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562" w:name="_Toc28359089"/>
      <w:bookmarkStart w:id="563" w:name="_Toc18110"/>
      <w:bookmarkStart w:id="564" w:name="_Toc35393798"/>
      <w:bookmarkStart w:id="565" w:name="_Toc28359012"/>
      <w:bookmarkStart w:id="566" w:name="_Toc14629"/>
      <w:bookmarkStart w:id="567" w:name="_Toc35393629"/>
      <w:bookmarkStart w:id="568" w:name="_Toc507399903"/>
      <w:bookmarkStart w:id="569" w:name="_Toc28647"/>
      <w:bookmarkStart w:id="570" w:name="_Toc518923125"/>
      <w:bookmarkStart w:id="571" w:name="_Toc512937850"/>
      <w:bookmarkStart w:id="572" w:name="_Toc216582823"/>
      <w:r>
        <w:rPr>
          <w:rFonts w:hint="eastAsia" w:ascii="黑体" w:hAnsi="黑体" w:cs="宋体"/>
          <w:b w:val="0"/>
          <w:sz w:val="28"/>
          <w:szCs w:val="28"/>
        </w:rPr>
        <w:t>一、项目基本情况</w:t>
      </w:r>
      <w:bookmarkEnd w:id="562"/>
      <w:bookmarkEnd w:id="563"/>
      <w:bookmarkEnd w:id="564"/>
      <w:bookmarkEnd w:id="565"/>
      <w:bookmarkEnd w:id="566"/>
      <w:bookmarkEnd w:id="567"/>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b/>
          <w:bCs/>
          <w:sz w:val="28"/>
          <w:szCs w:val="28"/>
          <w:lang w:eastAsia="zh-CN"/>
        </w:rPr>
      </w:pPr>
      <w:r>
        <w:rPr>
          <w:rFonts w:hint="eastAsia" w:ascii="仿宋" w:hAnsi="仿宋" w:eastAsia="仿宋"/>
          <w:b/>
          <w:bCs/>
          <w:sz w:val="28"/>
          <w:szCs w:val="28"/>
        </w:rPr>
        <w:t>项目编号：</w:t>
      </w:r>
      <w:r>
        <w:rPr>
          <w:rFonts w:hint="eastAsia" w:ascii="仿宋" w:hAnsi="仿宋" w:eastAsia="仿宋"/>
          <w:b w:val="0"/>
          <w:bCs w:val="0"/>
          <w:sz w:val="28"/>
          <w:szCs w:val="28"/>
          <w:lang w:val="en-US" w:eastAsia="zh-CN"/>
        </w:rPr>
        <w:t>ZZLHKSCG（CS）2022-001</w:t>
      </w:r>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sz w:val="28"/>
          <w:szCs w:val="28"/>
          <w:u w:val="single"/>
          <w:lang w:val="en-US"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sz w:val="28"/>
          <w:szCs w:val="28"/>
          <w:u w:val="single"/>
          <w:lang w:eastAsia="zh-CN"/>
        </w:rPr>
        <w:t>喀什地区文旅系统赴山东考察学习培训</w:t>
      </w:r>
      <w:r>
        <w:rPr>
          <w:rFonts w:hint="eastAsia" w:ascii="仿宋" w:hAnsi="仿宋" w:eastAsia="仿宋"/>
          <w:sz w:val="28"/>
          <w:szCs w:val="28"/>
          <w:u w:val="single"/>
          <w:lang w:val="en-US" w:eastAsia="zh-CN"/>
        </w:rPr>
        <w:t>采购项目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olor w:val="auto"/>
          <w:sz w:val="28"/>
          <w:szCs w:val="28"/>
          <w:highlight w:val="yellow"/>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w:t>
      </w:r>
      <w:r>
        <w:rPr>
          <w:rFonts w:hint="eastAsia" w:ascii="仿宋" w:hAnsi="仿宋" w:eastAsia="仿宋"/>
          <w:b w:val="0"/>
          <w:bCs w:val="0"/>
          <w:color w:val="auto"/>
          <w:sz w:val="28"/>
          <w:szCs w:val="28"/>
          <w:highlight w:val="yellow"/>
          <w:lang w:val="en-US" w:eastAsia="zh-CN"/>
        </w:rPr>
        <w:t>384800</w:t>
      </w:r>
      <w:r>
        <w:rPr>
          <w:rFonts w:hint="eastAsia" w:ascii="仿宋" w:hAnsi="仿宋" w:eastAsia="仿宋" w:cs="宋体"/>
          <w:color w:val="auto"/>
          <w:sz w:val="28"/>
          <w:szCs w:val="28"/>
          <w:highlight w:val="yellow"/>
          <w:lang w:val="en-US" w:eastAsia="zh-CN"/>
        </w:rPr>
        <w:t>元（叁拾捌万肆仟捌佰元整）；</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auto"/>
          <w:sz w:val="28"/>
          <w:szCs w:val="28"/>
          <w:lang w:val="en-US" w:eastAsia="zh-CN"/>
        </w:rPr>
      </w:pPr>
      <w:r>
        <w:rPr>
          <w:rFonts w:hint="eastAsia" w:ascii="仿宋" w:hAnsi="仿宋" w:eastAsia="仿宋"/>
          <w:b/>
          <w:bCs/>
          <w:color w:val="auto"/>
          <w:sz w:val="28"/>
          <w:szCs w:val="28"/>
          <w:highlight w:val="yellow"/>
        </w:rPr>
        <w:t>最高限价：</w:t>
      </w:r>
      <w:r>
        <w:rPr>
          <w:rFonts w:hint="eastAsia" w:ascii="仿宋" w:hAnsi="仿宋" w:eastAsia="仿宋"/>
          <w:b w:val="0"/>
          <w:bCs w:val="0"/>
          <w:color w:val="auto"/>
          <w:sz w:val="28"/>
          <w:szCs w:val="28"/>
          <w:highlight w:val="yellow"/>
          <w:lang w:val="en-US" w:eastAsia="zh-CN"/>
        </w:rPr>
        <w:t>384800元（叁拾捌万肆仟捌佰元整）</w:t>
      </w:r>
      <w:r>
        <w:rPr>
          <w:rFonts w:hint="eastAsia" w:ascii="仿宋" w:hAnsi="仿宋" w:eastAsia="仿宋" w:cs="宋体"/>
          <w:b w:val="0"/>
          <w:bCs w:val="0"/>
          <w:color w:val="auto"/>
          <w:sz w:val="28"/>
          <w:szCs w:val="28"/>
          <w:lang w:val="en-US" w:eastAsia="zh-CN"/>
        </w:rPr>
        <w:t>；</w:t>
      </w:r>
    </w:p>
    <w:p>
      <w:pPr>
        <w:pStyle w:val="26"/>
        <w:ind w:firstLine="562" w:firstLineChars="200"/>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yellow"/>
          <w:lang w:val="en-US" w:eastAsia="zh-CN" w:bidi="ar-SA"/>
        </w:rPr>
        <w:t>服务期限:</w:t>
      </w:r>
      <w:r>
        <w:rPr>
          <w:rFonts w:hint="eastAsia" w:ascii="仿宋_GB2312" w:eastAsia="仿宋_GB2312"/>
          <w:color w:val="0000FF"/>
          <w:kern w:val="2"/>
          <w:sz w:val="28"/>
          <w:szCs w:val="28"/>
          <w:highlight w:val="yellow"/>
          <w:lang w:val="en-US" w:eastAsia="zh-CN" w:bidi="ar-SA"/>
        </w:rPr>
        <w:t>10天</w:t>
      </w:r>
      <w:r>
        <w:rPr>
          <w:rFonts w:hint="eastAsia" w:ascii="仿宋" w:hAnsi="仿宋" w:eastAsia="仿宋" w:cs="Times New Roman"/>
          <w:b/>
          <w:bCs/>
          <w:kern w:val="2"/>
          <w:sz w:val="28"/>
          <w:szCs w:val="28"/>
          <w:highlight w:val="yellow"/>
          <w:lang w:val="en-US" w:eastAsia="zh-CN" w:bidi="ar-SA"/>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8"/>
        </w:numPr>
        <w:kinsoku/>
        <w:wordWrap/>
        <w:overflowPunct/>
        <w:topLinePunct w:val="0"/>
        <w:bidi w:val="0"/>
        <w:spacing w:line="480" w:lineRule="exact"/>
        <w:jc w:val="both"/>
        <w:textAlignment w:val="auto"/>
        <w:rPr>
          <w:rFonts w:hint="eastAsia" w:ascii="黑体" w:hAnsi="黑体" w:cs="宋体"/>
          <w:b w:val="0"/>
          <w:sz w:val="28"/>
          <w:szCs w:val="28"/>
        </w:rPr>
      </w:pPr>
      <w:bookmarkStart w:id="573" w:name="_Toc32427"/>
      <w:bookmarkStart w:id="574" w:name="_Toc28359090"/>
      <w:bookmarkStart w:id="575" w:name="_Toc35393630"/>
      <w:bookmarkStart w:id="576" w:name="_Toc35393799"/>
      <w:bookmarkStart w:id="577" w:name="_Toc28359013"/>
      <w:bookmarkStart w:id="578" w:name="_Toc8049"/>
      <w:r>
        <w:rPr>
          <w:rFonts w:hint="eastAsia" w:ascii="黑体" w:hAnsi="黑体" w:cs="宋体"/>
          <w:b w:val="0"/>
          <w:sz w:val="28"/>
          <w:szCs w:val="28"/>
        </w:rPr>
        <w:t>申请人的资格要求：</w:t>
      </w:r>
      <w:bookmarkEnd w:id="573"/>
      <w:bookmarkEnd w:id="574"/>
      <w:bookmarkEnd w:id="575"/>
      <w:bookmarkEnd w:id="576"/>
      <w:bookmarkEnd w:id="577"/>
      <w:bookmarkEnd w:id="578"/>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2.投标人具有</w:t>
      </w:r>
      <w:r>
        <w:rPr>
          <w:rFonts w:hint="eastAsia" w:ascii="仿宋" w:hAnsi="仿宋" w:eastAsia="仿宋" w:cs="宋体"/>
          <w:sz w:val="28"/>
          <w:szCs w:val="28"/>
          <w:lang w:val="en-US" w:eastAsia="zh-CN"/>
        </w:rPr>
        <w:t>有效</w:t>
      </w:r>
      <w:r>
        <w:rPr>
          <w:rFonts w:hint="default" w:ascii="仿宋" w:hAnsi="仿宋" w:eastAsia="仿宋" w:cs="宋体"/>
          <w:sz w:val="28"/>
          <w:szCs w:val="28"/>
        </w:rPr>
        <w:t>的企业法人营业执照（三证合一）</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eastAsia" w:ascii="仿宋" w:hAnsi="仿宋" w:eastAsia="仿宋" w:cs="宋体"/>
          <w:sz w:val="28"/>
          <w:szCs w:val="28"/>
          <w:lang w:val="en-US" w:eastAsia="zh-CN"/>
        </w:rPr>
        <w:t>3</w:t>
      </w:r>
      <w:r>
        <w:rPr>
          <w:rFonts w:hint="default" w:ascii="仿宋" w:hAnsi="仿宋" w:eastAsia="仿宋" w:cs="宋体"/>
          <w:sz w:val="28"/>
          <w:szCs w:val="28"/>
        </w:rPr>
        <w:t>.法定代表人身份证明及身份证或法定代表人授权委托书和委托代理人身份证</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eastAsia" w:ascii="仿宋" w:hAnsi="仿宋" w:eastAsia="仿宋" w:cs="宋体"/>
          <w:sz w:val="28"/>
          <w:szCs w:val="28"/>
          <w:lang w:val="en-US" w:eastAsia="zh-CN"/>
        </w:rPr>
        <w:t>4</w:t>
      </w:r>
      <w:r>
        <w:rPr>
          <w:rFonts w:hint="default" w:ascii="仿宋" w:hAnsi="仿宋" w:eastAsia="仿宋" w:cs="宋体"/>
          <w:sz w:val="28"/>
          <w:szCs w:val="28"/>
        </w:rPr>
        <w:t>.上一年度（2021年）度财务审计报告（新成立公司提供有效银行资信证明）</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eastAsia" w:ascii="仿宋" w:hAnsi="仿宋" w:eastAsia="仿宋" w:cs="宋体"/>
          <w:sz w:val="28"/>
          <w:szCs w:val="28"/>
          <w:lang w:val="en-US" w:eastAsia="zh-CN"/>
        </w:rPr>
        <w:t>5</w:t>
      </w:r>
      <w:r>
        <w:rPr>
          <w:rFonts w:hint="default" w:ascii="仿宋" w:hAnsi="仿宋" w:eastAsia="仿宋" w:cs="宋体"/>
          <w:sz w:val="28"/>
          <w:szCs w:val="28"/>
        </w:rPr>
        <w:t>.投标人提供依法缴纳的近三个月社保缴纳记录及税收良好记录证明（完税证明或税务部门出具的其他证明，非社会保险类）</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eastAsia" w:ascii="仿宋" w:hAnsi="仿宋" w:eastAsia="仿宋" w:cs="宋体"/>
          <w:sz w:val="28"/>
          <w:szCs w:val="28"/>
          <w:lang w:val="en-US" w:eastAsia="zh-CN"/>
        </w:rPr>
        <w:t>6</w:t>
      </w:r>
      <w:r>
        <w:rPr>
          <w:rFonts w:hint="default" w:ascii="仿宋" w:hAnsi="仿宋" w:eastAsia="仿宋" w:cs="宋体"/>
          <w:sz w:val="28"/>
          <w:szCs w:val="28"/>
        </w:rPr>
        <w:t>.投标人提供针对本次项目《反商业贿赂承诺书》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eastAsia" w:ascii="仿宋" w:hAnsi="仿宋" w:eastAsia="仿宋" w:cs="宋体"/>
          <w:sz w:val="28"/>
          <w:szCs w:val="28"/>
          <w:lang w:val="en-US" w:eastAsia="zh-CN"/>
        </w:rPr>
        <w:t>7</w:t>
      </w:r>
      <w:r>
        <w:rPr>
          <w:rFonts w:hint="default" w:ascii="仿宋" w:hAnsi="仿宋" w:eastAsia="仿宋" w:cs="宋体"/>
          <w:sz w:val="28"/>
          <w:szCs w:val="28"/>
        </w:rPr>
        <w:t>.投标人参加政府采购活动前3年内在经营活动中没有重大违法违规记录的书面声明</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eastAsia" w:ascii="仿宋" w:hAnsi="仿宋" w:eastAsia="仿宋" w:cs="宋体"/>
          <w:sz w:val="28"/>
          <w:szCs w:val="28"/>
          <w:lang w:val="en-US" w:eastAsia="zh-CN"/>
        </w:rPr>
        <w:t>8</w:t>
      </w:r>
      <w:r>
        <w:rPr>
          <w:rFonts w:hint="default" w:ascii="仿宋" w:hAnsi="仿宋" w:eastAsia="仿宋" w:cs="宋体"/>
          <w:sz w:val="28"/>
          <w:szCs w:val="28"/>
        </w:rPr>
        <w:t>.供应商在“信用中国”（www.creditchina.gov.cn）和中国政府采购网（www.ccgp.gov.cn）网站上未列入失信被执行人、重大税收违法案件当事人名单、政府采购严重违法失信行为记录名单（财库[2016]125号）（需提供网上截图加盖公章）</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579" w:name="_Toc28359014"/>
      <w:bookmarkStart w:id="580" w:name="_Toc28359091"/>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（1）《政府采购促进中小企业发展暂行办法》（财库〔2020〕46号）、《关于进一步加大政府采购支持中小企业力度的通知》（财库〔2022〕19号），详见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4"/>
        <w:pageBreakBefore w:val="0"/>
        <w:widowControl w:val="0"/>
        <w:kinsoku/>
        <w:wordWrap/>
        <w:overflowPunct/>
        <w:topLinePunct w:val="0"/>
        <w:bidi w:val="0"/>
        <w:spacing w:line="480" w:lineRule="exact"/>
        <w:jc w:val="both"/>
        <w:textAlignment w:val="auto"/>
        <w:rPr>
          <w:rFonts w:hint="eastAsia" w:ascii="仿宋" w:hAnsi="仿宋" w:eastAsia="仿宋" w:cs="Times New Roman"/>
          <w:bCs/>
          <w:kern w:val="2"/>
          <w:sz w:val="28"/>
          <w:szCs w:val="28"/>
          <w:u w:val="none"/>
          <w:lang w:val="en-US" w:eastAsia="zh-CN" w:bidi="ar-SA"/>
        </w:rPr>
      </w:pPr>
      <w:bookmarkStart w:id="581" w:name="_Toc10854"/>
      <w:bookmarkStart w:id="582" w:name="_Toc35393631"/>
      <w:bookmarkStart w:id="583" w:name="_Toc3094"/>
      <w:bookmarkStart w:id="584" w:name="_Toc35393800"/>
      <w:r>
        <w:rPr>
          <w:rFonts w:hint="eastAsia" w:ascii="仿宋" w:hAnsi="仿宋" w:eastAsia="仿宋" w:cs="Times New Roman"/>
          <w:bCs/>
          <w:kern w:val="2"/>
          <w:sz w:val="28"/>
          <w:szCs w:val="28"/>
          <w:u w:val="none"/>
          <w:lang w:val="en-US" w:eastAsia="zh-CN" w:bidi="ar-SA"/>
        </w:rPr>
        <w:t>三、获取采购文件</w:t>
      </w:r>
      <w:bookmarkEnd w:id="579"/>
      <w:bookmarkEnd w:id="580"/>
      <w:bookmarkEnd w:id="581"/>
      <w:bookmarkEnd w:id="582"/>
      <w:bookmarkEnd w:id="583"/>
      <w:bookmarkEnd w:id="584"/>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rPr>
        <w:t>时间</w:t>
      </w:r>
      <w:r>
        <w:rPr>
          <w:rFonts w:hint="eastAsia" w:ascii="仿宋" w:hAnsi="仿宋" w:eastAsia="仿宋" w:cs="宋体"/>
          <w:sz w:val="28"/>
          <w:szCs w:val="28"/>
          <w:highlight w:val="none"/>
        </w:rPr>
        <w:t>：</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6月22日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6月29日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u w:val="single"/>
          <w:lang w:val="en-US" w:eastAsia="zh-CN"/>
        </w:rPr>
        <w:t>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20：00</w:t>
      </w:r>
      <w:r>
        <w:rPr>
          <w:rFonts w:hint="eastAsia" w:ascii="仿宋" w:hAnsi="仿宋" w:eastAsia="仿宋" w:cs="宋体"/>
          <w:sz w:val="28"/>
          <w:szCs w:val="28"/>
          <w:highlight w:val="none"/>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hint="eastAsia" w:ascii="仿宋" w:hAnsi="仿宋" w:eastAsia="仿宋" w:cs="宋体"/>
          <w:sz w:val="28"/>
          <w:szCs w:val="28"/>
          <w:highlight w:val="none"/>
          <w:lang w:val="en-US" w:eastAsia="zh-CN"/>
        </w:rPr>
      </w:pPr>
      <w:bookmarkStart w:id="585" w:name="_Toc35393801"/>
      <w:bookmarkStart w:id="586" w:name="_Toc35393632"/>
      <w:bookmarkStart w:id="587" w:name="_Toc28359092"/>
      <w:bookmarkStart w:id="588" w:name="_Toc28359015"/>
      <w:r>
        <w:rPr>
          <w:rFonts w:hint="eastAsia" w:ascii="仿宋" w:hAnsi="仿宋" w:eastAsia="仿宋" w:cs="宋体"/>
          <w:sz w:val="28"/>
          <w:szCs w:val="28"/>
          <w:highlight w:val="none"/>
          <w:lang w:val="en-US" w:eastAsia="zh-CN"/>
        </w:rPr>
        <w:t>获取</w:t>
      </w: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pStyle w:val="2"/>
        <w:ind w:firstLine="560" w:firstLineChars="200"/>
        <w:rPr>
          <w:rFonts w:hint="default" w:ascii="仿宋" w:hAnsi="仿宋" w:eastAsia="仿宋" w:cs="宋体"/>
          <w:color w:val="auto"/>
          <w:kern w:val="2"/>
          <w:sz w:val="28"/>
          <w:szCs w:val="28"/>
          <w:highlight w:val="none"/>
          <w:lang w:val="en-US" w:eastAsia="zh-CN" w:bidi="ar-SA"/>
        </w:rPr>
      </w:pPr>
      <w:r>
        <w:rPr>
          <w:rFonts w:hint="default" w:ascii="仿宋" w:hAnsi="仿宋" w:eastAsia="仿宋" w:cs="宋体"/>
          <w:color w:val="auto"/>
          <w:kern w:val="2"/>
          <w:sz w:val="28"/>
          <w:szCs w:val="28"/>
          <w:highlight w:val="none"/>
          <w:lang w:val="en-US" w:eastAsia="zh-CN" w:bidi="ar-SA"/>
        </w:rPr>
        <w:t>方式：供应商登录政采云平台https://www.zcygov.cn/在线申请获取采购文件（进入“项目采购”应用，在获取采购文件菜单中选择项目，申请获取采购文件）</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highlight w:val="none"/>
        </w:rPr>
      </w:pPr>
      <w:bookmarkStart w:id="589" w:name="_Toc8636"/>
      <w:bookmarkStart w:id="590" w:name="_Toc22177"/>
      <w:r>
        <w:rPr>
          <w:rFonts w:hint="eastAsia" w:ascii="黑体" w:hAnsi="黑体" w:cs="宋体"/>
          <w:b w:val="0"/>
          <w:sz w:val="28"/>
          <w:szCs w:val="28"/>
          <w:highlight w:val="none"/>
        </w:rPr>
        <w:t>四、响应文件提交</w:t>
      </w:r>
      <w:bookmarkEnd w:id="585"/>
      <w:bookmarkEnd w:id="586"/>
      <w:bookmarkEnd w:id="587"/>
      <w:bookmarkEnd w:id="588"/>
      <w:bookmarkEnd w:id="589"/>
      <w:bookmarkEnd w:id="590"/>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7月4日17</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default" w:ascii="仿宋" w:hAnsi="仿宋" w:eastAsia="仿宋"/>
          <w:bCs/>
          <w:sz w:val="28"/>
          <w:szCs w:val="28"/>
          <w:highlight w:val="none"/>
          <w:u w:val="single"/>
          <w:lang w:val="en-US" w:eastAsia="zh-CN"/>
        </w:rPr>
      </w:pPr>
      <w:r>
        <w:rPr>
          <w:rFonts w:hint="eastAsia" w:ascii="仿宋" w:hAnsi="仿宋" w:eastAsia="仿宋"/>
          <w:sz w:val="28"/>
          <w:szCs w:val="28"/>
          <w:highlight w:val="none"/>
        </w:rPr>
        <w:t>地点：</w:t>
      </w:r>
      <w:r>
        <w:rPr>
          <w:rFonts w:hint="eastAsia" w:ascii="仿宋" w:hAnsi="仿宋" w:eastAsia="仿宋"/>
          <w:sz w:val="28"/>
          <w:szCs w:val="28"/>
          <w:highlight w:val="none"/>
          <w:lang w:val="en-US" w:eastAsia="zh-CN"/>
        </w:rPr>
        <w:t>喀什地区喀什市紫东大厦3楼</w:t>
      </w:r>
    </w:p>
    <w:p>
      <w:pPr>
        <w:pStyle w:val="4"/>
        <w:pageBreakBefore w:val="0"/>
        <w:widowControl w:val="0"/>
        <w:kinsoku/>
        <w:wordWrap/>
        <w:overflowPunct/>
        <w:topLinePunct w:val="0"/>
        <w:bidi w:val="0"/>
        <w:spacing w:line="480" w:lineRule="exact"/>
        <w:jc w:val="both"/>
        <w:textAlignment w:val="auto"/>
        <w:rPr>
          <w:rFonts w:hint="eastAsia" w:ascii="黑体" w:hAnsi="黑体" w:eastAsia="黑体" w:cs="宋体"/>
          <w:b w:val="0"/>
          <w:sz w:val="28"/>
          <w:szCs w:val="28"/>
          <w:highlight w:val="none"/>
          <w:lang w:val="en-US" w:eastAsia="zh-CN"/>
        </w:rPr>
      </w:pPr>
      <w:bookmarkStart w:id="591" w:name="_Toc28359016"/>
      <w:bookmarkStart w:id="592" w:name="_Toc28359093"/>
      <w:bookmarkStart w:id="593" w:name="_Toc35393633"/>
      <w:bookmarkStart w:id="594" w:name="_Toc35393802"/>
      <w:bookmarkStart w:id="595" w:name="_Toc24442"/>
      <w:bookmarkStart w:id="596" w:name="_Toc1502"/>
      <w:r>
        <w:rPr>
          <w:rFonts w:hint="eastAsia" w:ascii="黑体" w:hAnsi="黑体" w:cs="宋体"/>
          <w:b w:val="0"/>
          <w:sz w:val="28"/>
          <w:szCs w:val="28"/>
          <w:highlight w:val="none"/>
        </w:rPr>
        <w:t>五、开</w:t>
      </w:r>
      <w:bookmarkEnd w:id="591"/>
      <w:bookmarkEnd w:id="592"/>
      <w:bookmarkEnd w:id="593"/>
      <w:bookmarkEnd w:id="594"/>
      <w:r>
        <w:rPr>
          <w:rFonts w:hint="eastAsia" w:ascii="黑体" w:hAnsi="黑体" w:cs="宋体"/>
          <w:b w:val="0"/>
          <w:sz w:val="28"/>
          <w:szCs w:val="28"/>
          <w:highlight w:val="none"/>
          <w:lang w:val="en-US" w:eastAsia="zh-CN"/>
        </w:rPr>
        <w:t>标</w:t>
      </w:r>
      <w:bookmarkEnd w:id="595"/>
      <w:bookmarkEnd w:id="596"/>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2022年7月4日17点00分</w:t>
      </w:r>
    </w:p>
    <w:p>
      <w:pPr>
        <w:pStyle w:val="4"/>
        <w:pageBreakBefore w:val="0"/>
        <w:widowControl w:val="0"/>
        <w:kinsoku/>
        <w:wordWrap/>
        <w:overflowPunct/>
        <w:topLinePunct w:val="0"/>
        <w:bidi w:val="0"/>
        <w:spacing w:line="480" w:lineRule="exact"/>
        <w:ind w:firstLine="562" w:firstLineChars="200"/>
        <w:jc w:val="both"/>
        <w:textAlignment w:val="auto"/>
        <w:rPr>
          <w:rFonts w:hint="eastAsia" w:ascii="仿宋" w:hAnsi="仿宋" w:eastAsia="仿宋"/>
          <w:sz w:val="28"/>
          <w:szCs w:val="28"/>
          <w:lang w:eastAsia="zh-CN"/>
        </w:rPr>
      </w:pPr>
      <w:bookmarkStart w:id="597" w:name="_Toc21961"/>
      <w:bookmarkStart w:id="598" w:name="_Toc13794"/>
      <w:r>
        <w:rPr>
          <w:rFonts w:hint="eastAsia" w:ascii="仿宋" w:hAnsi="仿宋" w:eastAsia="仿宋"/>
          <w:sz w:val="28"/>
          <w:szCs w:val="28"/>
        </w:rPr>
        <w:t>地点：</w:t>
      </w:r>
      <w:bookmarkStart w:id="599" w:name="_Toc35393804"/>
      <w:bookmarkStart w:id="600" w:name="_Toc35393635"/>
      <w:r>
        <w:rPr>
          <w:rFonts w:hint="eastAsia" w:ascii="仿宋" w:hAnsi="仿宋" w:eastAsia="仿宋"/>
          <w:sz w:val="28"/>
          <w:szCs w:val="28"/>
          <w:lang w:eastAsia="zh-CN"/>
        </w:rPr>
        <w:t>喀什地区喀什市紫东大厦3楼</w:t>
      </w:r>
      <w:bookmarkEnd w:id="597"/>
      <w:bookmarkEnd w:id="598"/>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601" w:name="_Toc8371"/>
      <w:bookmarkStart w:id="602" w:name="_Toc8405"/>
      <w:r>
        <w:rPr>
          <w:rFonts w:hint="eastAsia" w:ascii="黑体" w:hAnsi="黑体" w:cs="宋体"/>
          <w:b w:val="0"/>
          <w:sz w:val="28"/>
          <w:szCs w:val="28"/>
          <w:lang w:val="en-US" w:eastAsia="zh-CN"/>
        </w:rPr>
        <w:t>六</w:t>
      </w:r>
      <w:r>
        <w:rPr>
          <w:rFonts w:hint="eastAsia" w:ascii="黑体" w:hAnsi="黑体" w:cs="宋体"/>
          <w:b w:val="0"/>
          <w:sz w:val="28"/>
          <w:szCs w:val="28"/>
        </w:rPr>
        <w:t>、其他补充事宜</w:t>
      </w:r>
      <w:bookmarkEnd w:id="599"/>
      <w:bookmarkEnd w:id="600"/>
      <w:bookmarkEnd w:id="601"/>
      <w:bookmarkEnd w:id="602"/>
    </w:p>
    <w:p>
      <w:pPr>
        <w:pStyle w:val="26"/>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603" w:name="_Toc35393795"/>
      <w:bookmarkStart w:id="604" w:name="_Toc35393626"/>
      <w:bookmarkStart w:id="605" w:name="_Toc28359095"/>
      <w:bookmarkStart w:id="606" w:name="_Toc35393805"/>
      <w:bookmarkStart w:id="607" w:name="_Toc28359018"/>
      <w:bookmarkStart w:id="608" w:name="_Toc35393636"/>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p>
      <w:pPr>
        <w:pStyle w:val="26"/>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特别提示：</w:t>
      </w:r>
    </w:p>
    <w:p>
      <w:pPr>
        <w:pStyle w:val="26"/>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6"/>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6"/>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bookmarkEnd w:id="603"/>
    <w:bookmarkEnd w:id="604"/>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609" w:name="_Toc32599"/>
      <w:bookmarkStart w:id="610" w:name="_Toc21564"/>
      <w:r>
        <w:rPr>
          <w:rFonts w:hint="eastAsia" w:ascii="黑体" w:hAnsi="黑体" w:cs="宋体"/>
          <w:b w:val="0"/>
          <w:sz w:val="28"/>
          <w:szCs w:val="28"/>
          <w:lang w:val="en-US" w:eastAsia="zh-CN"/>
        </w:rPr>
        <w:t>七</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605"/>
      <w:bookmarkEnd w:id="606"/>
      <w:bookmarkEnd w:id="607"/>
      <w:bookmarkEnd w:id="608"/>
      <w:bookmarkEnd w:id="609"/>
      <w:bookmarkEnd w:id="610"/>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pPr>
        <w:pStyle w:val="26"/>
        <w:ind w:firstLine="560" w:firstLineChars="200"/>
        <w:rPr>
          <w:rFonts w:hint="eastAsia" w:ascii="仿宋" w:hAnsi="仿宋" w:eastAsia="仿宋"/>
          <w:sz w:val="28"/>
          <w:szCs w:val="28"/>
        </w:rPr>
      </w:pPr>
      <w:r>
        <w:rPr>
          <w:rFonts w:hint="eastAsia" w:ascii="仿宋" w:hAnsi="仿宋" w:eastAsia="仿宋"/>
          <w:sz w:val="28"/>
          <w:szCs w:val="28"/>
        </w:rPr>
        <w:t>名 称：喀什地区文化广播电视和旅游局</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联系人：矫健 </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地址：喀什市博物馆内</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联系方式：18099563936</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2、</w:t>
      </w: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湖南中智联和工程造价管理有限公司</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喀什地区喀什市紫东大厦3楼</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13031345257</w:t>
      </w:r>
    </w:p>
    <w:bookmarkEnd w:id="568"/>
    <w:bookmarkEnd w:id="569"/>
    <w:bookmarkEnd w:id="570"/>
    <w:bookmarkEnd w:id="571"/>
    <w:bookmarkEnd w:id="572"/>
    <w:p>
      <w:pPr>
        <w:rPr>
          <w:rFonts w:hint="eastAsia"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br w:type="page"/>
      </w:r>
    </w:p>
    <w:p>
      <w:pPr>
        <w:spacing w:line="240" w:lineRule="atLeast"/>
        <w:jc w:val="center"/>
        <w:outlineLvl w:val="0"/>
        <w:rPr>
          <w:rFonts w:cs="宋体" w:asciiTheme="minorEastAsia" w:hAnsiTheme="minorEastAsia" w:eastAsiaTheme="minorEastAsia"/>
          <w:b/>
          <w:bCs/>
          <w:sz w:val="30"/>
          <w:szCs w:val="30"/>
        </w:rPr>
      </w:pPr>
      <w:bookmarkStart w:id="611" w:name="_Toc28054"/>
      <w:bookmarkStart w:id="612" w:name="_Toc2711"/>
      <w:bookmarkStart w:id="613" w:name="_Toc27840"/>
      <w:r>
        <w:rPr>
          <w:rFonts w:hint="eastAsia" w:cs="宋体" w:asciiTheme="minorEastAsia" w:hAnsiTheme="minorEastAsia" w:eastAsiaTheme="minorEastAsia"/>
          <w:b/>
          <w:bCs/>
          <w:sz w:val="30"/>
          <w:szCs w:val="30"/>
        </w:rPr>
        <w:t>第</w:t>
      </w:r>
      <w:r>
        <w:rPr>
          <w:rFonts w:hint="eastAsia" w:cs="宋体" w:asciiTheme="minorEastAsia" w:hAnsiTheme="minorEastAsia" w:eastAsiaTheme="minorEastAsia"/>
          <w:b/>
          <w:bCs/>
          <w:sz w:val="30"/>
          <w:szCs w:val="30"/>
          <w:lang w:val="en-US" w:eastAsia="zh-CN"/>
        </w:rPr>
        <w:t>4</w:t>
      </w:r>
      <w:r>
        <w:rPr>
          <w:rFonts w:hint="eastAsia" w:cs="宋体" w:asciiTheme="minorEastAsia" w:hAnsiTheme="minorEastAsia" w:eastAsiaTheme="minorEastAsia"/>
          <w:b/>
          <w:bCs/>
          <w:sz w:val="30"/>
          <w:szCs w:val="30"/>
        </w:rPr>
        <w:t>章供应商须知资料表</w:t>
      </w:r>
      <w:bookmarkEnd w:id="611"/>
      <w:bookmarkEnd w:id="612"/>
      <w:bookmarkEnd w:id="613"/>
    </w:p>
    <w:p>
      <w:pPr>
        <w:spacing w:line="240" w:lineRule="atLeast"/>
        <w:ind w:left="479"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8"/>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080"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spacing w:line="240" w:lineRule="atLeast"/>
              <w:rPr>
                <w:rFonts w:hint="eastAsia" w:ascii="宋体" w:hAnsi="宋体" w:cs="宋体"/>
                <w:color w:val="000000"/>
                <w:sz w:val="24"/>
              </w:rPr>
            </w:pPr>
            <w:r>
              <w:rPr>
                <w:rFonts w:hint="eastAsia" w:ascii="宋体" w:hAnsi="宋体" w:cs="宋体"/>
                <w:color w:val="000000"/>
                <w:sz w:val="24"/>
              </w:rPr>
              <w:t>采购人：喀什地区文化广播电视和旅游局</w:t>
            </w:r>
          </w:p>
          <w:p>
            <w:pPr>
              <w:spacing w:line="240" w:lineRule="atLeast"/>
              <w:rPr>
                <w:rFonts w:hint="eastAsia" w:ascii="宋体" w:hAnsi="宋体" w:cs="宋体"/>
                <w:color w:val="000000"/>
                <w:sz w:val="24"/>
              </w:rPr>
            </w:pPr>
            <w:r>
              <w:rPr>
                <w:rFonts w:hint="eastAsia" w:ascii="宋体" w:hAnsi="宋体" w:cs="宋体"/>
                <w:sz w:val="24"/>
              </w:rPr>
              <w:t>联系人</w:t>
            </w:r>
            <w:r>
              <w:rPr>
                <w:rFonts w:hint="eastAsia" w:ascii="宋体" w:hAnsi="宋体" w:cs="宋体"/>
                <w:color w:val="000000"/>
                <w:sz w:val="24"/>
              </w:rPr>
              <w:t>：矫健 </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rPr>
              <w:t>电</w:t>
            </w:r>
            <w:r>
              <w:rPr>
                <w:rFonts w:hint="eastAsia" w:ascii="宋体" w:hAnsi="宋体" w:cs="宋体"/>
                <w:color w:val="000000"/>
                <w:sz w:val="24"/>
                <w:lang w:val="en-US" w:eastAsia="zh-CN"/>
              </w:rPr>
              <w:t xml:space="preserve">  </w:t>
            </w:r>
            <w:r>
              <w:rPr>
                <w:rFonts w:hint="eastAsia" w:ascii="宋体" w:hAnsi="宋体" w:cs="宋体"/>
                <w:color w:val="000000"/>
                <w:sz w:val="24"/>
              </w:rPr>
              <w:t>话：8099563936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hint="eastAsia" w:ascii="宋体" w:hAnsi="宋体" w:eastAsia="宋体" w:cs="宋体"/>
                <w:color w:val="000000"/>
                <w:sz w:val="24"/>
                <w:u w:val="single"/>
                <w:lang w:eastAsia="zh-CN"/>
              </w:rPr>
            </w:pPr>
            <w:r>
              <w:rPr>
                <w:rFonts w:hint="eastAsia" w:ascii="宋体" w:hAnsi="宋体" w:cs="宋体"/>
                <w:color w:val="000000"/>
                <w:sz w:val="24"/>
              </w:rPr>
              <w:t>采购代理机构：</w:t>
            </w:r>
            <w:r>
              <w:rPr>
                <w:rFonts w:hint="eastAsia" w:ascii="宋体" w:hAnsi="宋体" w:cs="宋体"/>
                <w:color w:val="000000"/>
                <w:sz w:val="24"/>
                <w:u w:val="single"/>
                <w:lang w:eastAsia="zh-CN"/>
              </w:rPr>
              <w:t>湖南中智联和工程造价管理有限公司</w:t>
            </w:r>
          </w:p>
          <w:p>
            <w:pPr>
              <w:spacing w:line="240" w:lineRule="atLeast"/>
              <w:rPr>
                <w:rFonts w:hint="eastAsia" w:ascii="宋体" w:hAnsi="宋体" w:eastAsia="宋体" w:cs="宋体"/>
                <w:color w:val="000000"/>
                <w:sz w:val="24"/>
                <w:lang w:eastAsia="zh-CN"/>
              </w:rPr>
            </w:pPr>
            <w:r>
              <w:rPr>
                <w:rFonts w:hint="eastAsia" w:ascii="宋体" w:hAnsi="宋体" w:cs="宋体"/>
                <w:color w:val="000000"/>
                <w:sz w:val="24"/>
              </w:rPr>
              <w:t>地址：</w:t>
            </w:r>
            <w:r>
              <w:rPr>
                <w:rFonts w:hint="eastAsia" w:ascii="宋体" w:hAnsi="宋体" w:cs="宋体"/>
                <w:color w:val="000000"/>
                <w:sz w:val="24"/>
                <w:lang w:eastAsia="zh-CN"/>
              </w:rPr>
              <w:t>喀什地区喀什市紫东大厦3楼</w:t>
            </w:r>
          </w:p>
          <w:p>
            <w:pPr>
              <w:spacing w:line="240" w:lineRule="atLeast"/>
              <w:rPr>
                <w:rFonts w:hint="default" w:ascii="宋体" w:hAnsi="宋体" w:eastAsia="宋体" w:cs="宋体"/>
                <w:color w:val="000000"/>
                <w:sz w:val="24"/>
                <w:lang w:val="en-US" w:eastAsia="zh-CN"/>
              </w:rPr>
            </w:pPr>
            <w:r>
              <w:rPr>
                <w:rFonts w:hint="eastAsia" w:ascii="宋体" w:hAnsi="宋体" w:cs="宋体"/>
                <w:sz w:val="24"/>
              </w:rPr>
              <w:t>电话：</w:t>
            </w:r>
            <w:r>
              <w:rPr>
                <w:rFonts w:hint="eastAsia" w:ascii="宋体" w:hAnsi="宋体" w:cs="宋体"/>
                <w:sz w:val="24"/>
                <w:u w:val="single"/>
                <w:lang w:val="en-US" w:eastAsia="zh-CN"/>
              </w:rPr>
              <w:t>13031345257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76"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1、满足《中华人民共和国政府采购法》第二十二条规定；</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w:t>
            </w:r>
            <w:r>
              <w:rPr>
                <w:rFonts w:hint="eastAsia" w:ascii="宋体" w:hAnsi="宋体" w:cs="Arial"/>
                <w:bCs/>
                <w:color w:val="000000"/>
                <w:kern w:val="0"/>
                <w:sz w:val="24"/>
                <w:lang w:val="en-US" w:eastAsia="zh-CN"/>
              </w:rPr>
              <w:t>1</w:t>
            </w:r>
            <w:r>
              <w:rPr>
                <w:rFonts w:ascii="宋体" w:hAnsi="宋体" w:cs="Arial"/>
                <w:bCs/>
                <w:color w:val="000000"/>
                <w:kern w:val="0"/>
                <w:sz w:val="24"/>
              </w:rPr>
              <w:t>）具有健全的财务会计制度；</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w:t>
            </w:r>
            <w:r>
              <w:rPr>
                <w:rFonts w:hint="eastAsia" w:ascii="宋体" w:hAnsi="宋体" w:cs="Arial"/>
                <w:bCs/>
                <w:color w:val="000000"/>
                <w:kern w:val="0"/>
                <w:sz w:val="24"/>
                <w:lang w:val="en-US" w:eastAsia="zh-CN"/>
              </w:rPr>
              <w:t>2</w:t>
            </w:r>
            <w:r>
              <w:rPr>
                <w:rFonts w:ascii="宋体" w:hAnsi="宋体" w:cs="Arial"/>
                <w:bCs/>
                <w:color w:val="000000"/>
                <w:kern w:val="0"/>
                <w:sz w:val="24"/>
              </w:rPr>
              <w:t>）具有履行合同所必需的设备和专业技术能力；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w:t>
            </w:r>
            <w:r>
              <w:rPr>
                <w:rFonts w:hint="eastAsia" w:ascii="宋体" w:hAnsi="宋体" w:cs="Arial"/>
                <w:bCs/>
                <w:color w:val="000000"/>
                <w:kern w:val="0"/>
                <w:sz w:val="24"/>
                <w:lang w:val="en-US" w:eastAsia="zh-CN"/>
              </w:rPr>
              <w:t>3</w:t>
            </w:r>
            <w:r>
              <w:rPr>
                <w:rFonts w:ascii="宋体" w:hAnsi="宋体" w:cs="Arial"/>
                <w:bCs/>
                <w:color w:val="000000"/>
                <w:kern w:val="0"/>
                <w:sz w:val="24"/>
              </w:rPr>
              <w:t>）有依法缴纳税收和社会保障资金的良好记录；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w:t>
            </w:r>
            <w:r>
              <w:rPr>
                <w:rFonts w:hint="eastAsia" w:ascii="宋体" w:hAnsi="宋体" w:cs="Arial"/>
                <w:bCs/>
                <w:color w:val="000000"/>
                <w:kern w:val="0"/>
                <w:sz w:val="24"/>
                <w:lang w:val="en-US" w:eastAsia="zh-CN"/>
              </w:rPr>
              <w:t>4</w:t>
            </w:r>
            <w:r>
              <w:rPr>
                <w:rFonts w:ascii="宋体" w:hAnsi="宋体" w:cs="Arial"/>
                <w:bCs/>
                <w:color w:val="000000"/>
                <w:kern w:val="0"/>
                <w:sz w:val="24"/>
              </w:rPr>
              <w:t>）参加政府采购活动前三年内，在经营活动中没有重大违法记录；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w:t>
            </w:r>
            <w:r>
              <w:rPr>
                <w:rFonts w:hint="eastAsia" w:ascii="宋体" w:hAnsi="宋体" w:cs="Arial"/>
                <w:bCs/>
                <w:color w:val="000000"/>
                <w:kern w:val="0"/>
                <w:sz w:val="24"/>
                <w:lang w:val="en-US" w:eastAsia="zh-CN"/>
              </w:rPr>
              <w:t>5</w:t>
            </w:r>
            <w:r>
              <w:rPr>
                <w:rFonts w:ascii="宋体" w:hAnsi="宋体" w:cs="Arial"/>
                <w:bCs/>
                <w:color w:val="000000"/>
                <w:kern w:val="0"/>
                <w:sz w:val="24"/>
              </w:rPr>
              <w:t>）法律、行政法规规定的其他条件。</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2.投标人具有有效的企业法人营业执照（三证合一）</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3.法定代表人身份证明及身份证或法定代表人授权委托书和委托代理人身份证</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4.上一年度（2021年）度财务审计报告（新成立公司提供有效银行资信证明）</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5.投标人提供依法缴纳的近三个月社保缴纳记录及税收良好记录证明（完税证明或税务部门出具的其他证明，非社会保险类）</w:t>
            </w:r>
          </w:p>
          <w:p>
            <w:pPr>
              <w:pStyle w:val="2"/>
              <w:rPr>
                <w:rFonts w:hint="eastAsia"/>
                <w:lang w:val="en-US" w:eastAsia="zh-CN"/>
              </w:rPr>
            </w:pPr>
            <w:r>
              <w:rPr>
                <w:rFonts w:hint="eastAsia"/>
                <w:lang w:val="en-US" w:eastAsia="zh-CN"/>
              </w:rPr>
              <w:t>6.有依法缴纳税收（提供2022年税务机关出具近三个月的完税证明或缴税资料（2022年3月份后成立的公司按实际发生提供）和</w:t>
            </w:r>
            <w:r>
              <w:rPr>
                <w:rFonts w:hint="eastAsia"/>
                <w:lang w:val="en-US" w:eastAsia="zh-CN"/>
              </w:rPr>
              <w:fldChar w:fldCharType="begin"/>
            </w:r>
            <w:r>
              <w:rPr>
                <w:rFonts w:hint="eastAsia"/>
                <w:lang w:val="en-US" w:eastAsia="zh-CN"/>
              </w:rPr>
              <w:instrText xml:space="preserve"> HYPERLINK "https://www.baidu.com/s?wd=社会保障资金&amp;tn=SE_PcZhidaonwhc_ngpagmjz&amp;rsv_dl=gh_pc_zhidao" </w:instrText>
            </w:r>
            <w:r>
              <w:rPr>
                <w:rFonts w:hint="eastAsia"/>
                <w:lang w:val="en-US" w:eastAsia="zh-CN"/>
              </w:rPr>
              <w:fldChar w:fldCharType="separate"/>
            </w:r>
            <w:r>
              <w:rPr>
                <w:rFonts w:hint="eastAsia"/>
                <w:lang w:val="en-US" w:eastAsia="zh-CN"/>
              </w:rPr>
              <w:t>社会保障资金</w:t>
            </w:r>
            <w:r>
              <w:rPr>
                <w:rFonts w:hint="eastAsia"/>
                <w:lang w:val="en-US" w:eastAsia="zh-CN"/>
              </w:rPr>
              <w:fldChar w:fldCharType="end"/>
            </w:r>
            <w:r>
              <w:rPr>
                <w:rFonts w:hint="eastAsia"/>
                <w:lang w:val="en-US" w:eastAsia="zh-CN"/>
              </w:rPr>
              <w:t>的良好记录；</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7.投标人提供针对本次项目《反商业贿赂承诺书》</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8.投标人参加政府采购活动前3年内在经营活动中没有重大违法违规记录的书面声明</w:t>
            </w:r>
          </w:p>
          <w:p>
            <w:pPr>
              <w:widowControl/>
              <w:spacing w:before="50" w:after="50" w:line="320" w:lineRule="exact"/>
              <w:jc w:val="left"/>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9.供应商在“信用中国”（www.creditchina.gov.cn）和中国政府采购网（www.ccgp.gov.cn）网站上未列入失信被执行人、重大税收违法案件当事人名单、政府采购严重违法失信行为记录名单（财库[2016]125号）（需提供网上截图加盖公章）</w:t>
            </w:r>
          </w:p>
          <w:p>
            <w:pPr>
              <w:widowControl/>
              <w:spacing w:before="50" w:after="50" w:line="320" w:lineRule="exact"/>
              <w:jc w:val="left"/>
              <w:rPr>
                <w:rFonts w:hint="eastAsia" w:ascii="宋体" w:hAnsi="宋体" w:cs="Arial"/>
                <w:bCs/>
                <w:color w:val="000000"/>
                <w:kern w:val="0"/>
                <w:sz w:val="24"/>
              </w:rPr>
            </w:pPr>
            <w:r>
              <w:rPr>
                <w:rFonts w:hint="eastAsia" w:ascii="宋体" w:hAnsi="宋体" w:cs="Arial"/>
                <w:bCs/>
                <w:color w:val="000000"/>
                <w:kern w:val="0"/>
                <w:sz w:val="24"/>
                <w:lang w:val="en-US" w:eastAsia="zh-CN"/>
              </w:rPr>
              <w:t>10</w:t>
            </w:r>
            <w:r>
              <w:rPr>
                <w:rFonts w:hint="eastAsia" w:ascii="宋体" w:hAnsi="宋体" w:cs="Arial"/>
                <w:bCs/>
                <w:color w:val="000000"/>
                <w:kern w:val="0"/>
                <w:sz w:val="24"/>
              </w:rPr>
              <w:t>、本项目不接受联合体投标。</w:t>
            </w:r>
          </w:p>
          <w:p>
            <w:pPr>
              <w:pStyle w:val="9"/>
              <w:ind w:firstLine="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lang w:val="en-US" w:eastAsia="zh-CN"/>
              </w:rPr>
              <w:t>是</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lang w:val="en-US" w:eastAsia="zh-CN"/>
              </w:rPr>
              <w:t>是</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宋体" w:hAnsi="宋体" w:cs="Arial"/>
                <w:bCs/>
                <w:color w:val="000000"/>
                <w:kern w:val="0"/>
                <w:sz w:val="24"/>
                <w:lang w:eastAsia="zh-CN"/>
              </w:rPr>
              <w:t>喀什地区文旅系统赴山东考察学习培训采购项目；</w:t>
            </w:r>
            <w:r>
              <w:rPr>
                <w:rFonts w:hint="eastAsia" w:ascii="宋体" w:hAnsi="宋体" w:cs="Arial"/>
                <w:bCs/>
                <w:color w:val="000000"/>
                <w:kern w:val="0"/>
                <w:sz w:val="24"/>
                <w:lang w:val="en-US" w:eastAsia="zh-CN"/>
              </w:rPr>
              <w:t>最高限价：</w:t>
            </w:r>
            <w:r>
              <w:rPr>
                <w:rFonts w:hint="eastAsia" w:ascii="宋体" w:hAnsi="宋体" w:cs="Arial"/>
                <w:bCs/>
                <w:color w:val="000000"/>
                <w:kern w:val="0"/>
                <w:sz w:val="24"/>
                <w:highlight w:val="yellow"/>
                <w:lang w:val="en-US" w:eastAsia="zh-CN"/>
              </w:rPr>
              <w:t>384800元（叁拾捌万肆仟捌佰元整）</w:t>
            </w:r>
            <w:r>
              <w:rPr>
                <w:rFonts w:hint="eastAsia" w:ascii="宋体" w:hAnsi="宋体" w:cs="Arial"/>
                <w:bCs/>
                <w:color w:val="000000"/>
                <w:kern w:val="0"/>
                <w:sz w:val="24"/>
                <w:highlight w:val="none"/>
              </w:rPr>
              <w:t>;服务期限</w:t>
            </w:r>
            <w:r>
              <w:rPr>
                <w:rFonts w:hint="eastAsia" w:ascii="宋体" w:hAnsi="宋体" w:cs="Arial"/>
                <w:bCs/>
                <w:color w:val="000000"/>
                <w:kern w:val="0"/>
                <w:sz w:val="24"/>
                <w:highlight w:val="yellow"/>
              </w:rPr>
              <w:t>:</w:t>
            </w:r>
            <w:r>
              <w:rPr>
                <w:rFonts w:hint="eastAsia" w:ascii="仿宋_GB2312" w:eastAsia="仿宋_GB2312"/>
                <w:color w:val="0000FF"/>
                <w:kern w:val="2"/>
                <w:sz w:val="28"/>
                <w:szCs w:val="28"/>
                <w:highlight w:val="yellow"/>
                <w:lang w:val="en-US" w:eastAsia="zh-CN" w:bidi="ar-SA"/>
              </w:rPr>
              <w:t>10天</w:t>
            </w:r>
            <w:r>
              <w:rPr>
                <w:rFonts w:hint="eastAsia" w:ascii="宋体" w:hAnsi="宋体" w:cs="Arial"/>
                <w:bCs/>
                <w:color w:val="000000"/>
                <w:kern w:val="0"/>
                <w:sz w:val="24"/>
                <w:highlight w:val="none"/>
              </w:rPr>
              <w:t>(具体情况由中标单位和业主在合同中约定);服务地点:喀什地区文化广播电视和旅游局</w:t>
            </w:r>
            <w:r>
              <w:rPr>
                <w:rFonts w:hint="eastAsia" w:ascii="宋体" w:hAnsi="宋体" w:cs="Arial"/>
                <w:bCs/>
                <w:color w:val="000000"/>
                <w:kern w:val="0"/>
                <w:sz w:val="24"/>
              </w:rPr>
              <w:t>指定地点(具体情况由中标单位和业主在合同中约定)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pPr>
            <w:r>
              <w:rPr>
                <w:rFonts w:hint="eastAsia"/>
              </w:rPr>
              <w:t>保证金形式：</w:t>
            </w:r>
            <w:r>
              <w:rPr>
                <w:rFonts w:hint="eastAsia"/>
                <w:lang w:eastAsia="zh-CN"/>
              </w:rPr>
              <w:t>□</w:t>
            </w:r>
            <w:r>
              <w:rPr>
                <w:rFonts w:hint="eastAsia"/>
                <w:lang w:val="en-US" w:eastAsia="zh-CN"/>
              </w:rPr>
              <w:t>现金</w:t>
            </w:r>
            <w:r>
              <w:rPr>
                <w:rFonts w:hint="eastAsia"/>
                <w:lang w:eastAsia="zh-CN"/>
              </w:rPr>
              <w:t>☑</w:t>
            </w:r>
            <w:r>
              <w:rPr>
                <w:rFonts w:hint="eastAsia"/>
              </w:rPr>
              <w:t>保函</w:t>
            </w:r>
            <w:r>
              <w:rPr>
                <w:rFonts w:hint="eastAsia"/>
                <w:lang w:eastAsia="zh-CN"/>
              </w:rPr>
              <w:t>☑</w:t>
            </w:r>
            <w:r>
              <w:rPr>
                <w:rFonts w:hint="eastAsia"/>
              </w:rPr>
              <w:t>电汇</w:t>
            </w:r>
            <w:r>
              <w:rPr>
                <w:rFonts w:hint="eastAsia"/>
                <w:lang w:eastAsia="zh-CN"/>
              </w:rPr>
              <w:t>□</w:t>
            </w:r>
            <w:r>
              <w:rPr>
                <w:rFonts w:hint="eastAsia"/>
              </w:rPr>
              <w:t>支票</w:t>
            </w:r>
            <w:r>
              <w:rPr>
                <w:rFonts w:hint="eastAsia"/>
                <w:lang w:eastAsia="zh-CN"/>
              </w:rPr>
              <w:t>☑</w:t>
            </w:r>
            <w:r>
              <w:rPr>
                <w:rFonts w:hint="eastAsia"/>
              </w:rPr>
              <w:t>网银（本项目允许的其他形式）</w:t>
            </w:r>
          </w:p>
          <w:p>
            <w:pPr>
              <w:spacing w:line="320" w:lineRule="exact"/>
            </w:pPr>
            <w:r>
              <w:rPr>
                <w:rFonts w:hint="eastAsia"/>
              </w:rPr>
              <w:t>保证金数额：</w:t>
            </w:r>
            <w:r>
              <w:rPr>
                <w:rFonts w:hint="eastAsia"/>
                <w:lang w:val="en-US" w:eastAsia="zh-CN"/>
              </w:rPr>
              <w:t>7000</w:t>
            </w:r>
            <w:r>
              <w:rPr>
                <w:rFonts w:hint="eastAsia"/>
              </w:rPr>
              <w:t>.00元</w:t>
            </w:r>
            <w:r>
              <w:rPr>
                <w:rFonts w:hint="eastAsia"/>
                <w:lang w:eastAsia="zh-CN"/>
              </w:rPr>
              <w:t>，</w:t>
            </w:r>
            <w:r>
              <w:rPr>
                <w:rFonts w:hint="eastAsia"/>
              </w:rPr>
              <w:t>大写：</w:t>
            </w:r>
            <w:r>
              <w:rPr>
                <w:rFonts w:hint="eastAsia"/>
                <w:lang w:val="en-US" w:eastAsia="zh-CN"/>
              </w:rPr>
              <w:t>柒仟元整</w:t>
            </w:r>
            <w:r>
              <w:rPr>
                <w:rFonts w:hint="eastAsia"/>
              </w:rPr>
              <w:t>（人民币）</w:t>
            </w:r>
          </w:p>
          <w:p>
            <w:pPr>
              <w:pStyle w:val="9"/>
              <w:ind w:firstLine="0"/>
              <w:rPr>
                <w:rFonts w:hint="eastAsia"/>
              </w:rPr>
            </w:pPr>
            <w:r>
              <w:rPr>
                <w:rFonts w:hint="eastAsia"/>
              </w:rPr>
              <w:t>投标保证金提交截止时间：202</w:t>
            </w:r>
            <w:r>
              <w:rPr>
                <w:rFonts w:hint="eastAsia"/>
                <w:lang w:val="en-US" w:eastAsia="zh-CN"/>
              </w:rPr>
              <w:t>2</w:t>
            </w:r>
            <w:r>
              <w:rPr>
                <w:rFonts w:hint="eastAsia"/>
              </w:rPr>
              <w:t>年</w:t>
            </w:r>
            <w:r>
              <w:rPr>
                <w:rFonts w:hint="eastAsia"/>
                <w:lang w:val="en-US" w:eastAsia="zh-CN"/>
              </w:rPr>
              <w:t>7</w:t>
            </w:r>
            <w:r>
              <w:rPr>
                <w:rFonts w:hint="eastAsia"/>
              </w:rPr>
              <w:t>月</w:t>
            </w:r>
            <w:r>
              <w:rPr>
                <w:rFonts w:hint="eastAsia"/>
                <w:lang w:val="en-US" w:eastAsia="zh-CN"/>
              </w:rPr>
              <w:t>4</w:t>
            </w:r>
            <w:r>
              <w:rPr>
                <w:rFonts w:hint="eastAsia"/>
              </w:rPr>
              <w:t>日北京时间</w:t>
            </w:r>
            <w:r>
              <w:rPr>
                <w:rFonts w:hint="eastAsia"/>
                <w:lang w:val="en-US" w:eastAsia="zh-CN"/>
              </w:rPr>
              <w:t>下</w:t>
            </w:r>
            <w:r>
              <w:rPr>
                <w:rFonts w:hint="eastAsia"/>
              </w:rPr>
              <w:t>午1</w:t>
            </w:r>
            <w:r>
              <w:rPr>
                <w:rFonts w:hint="eastAsia"/>
                <w:lang w:val="en-US" w:eastAsia="zh-CN"/>
              </w:rPr>
              <w:t>7</w:t>
            </w:r>
            <w:r>
              <w:rPr>
                <w:rFonts w:hint="eastAsia"/>
              </w:rPr>
              <w:t>:00</w:t>
            </w:r>
            <w:r>
              <w:rPr>
                <w:rFonts w:hint="eastAsia"/>
                <w:lang w:val="en-US" w:eastAsia="zh-CN"/>
              </w:rPr>
              <w:t>前</w:t>
            </w:r>
            <w:r>
              <w:rPr>
                <w:rFonts w:hint="eastAsia"/>
              </w:rPr>
              <w:t>。投标保证金缴纳要求：投标保证金在2022年</w:t>
            </w:r>
            <w:r>
              <w:rPr>
                <w:rFonts w:hint="eastAsia"/>
                <w:lang w:val="en-US" w:eastAsia="zh-CN"/>
              </w:rPr>
              <w:t>7</w:t>
            </w:r>
            <w:r>
              <w:rPr>
                <w:rFonts w:hint="eastAsia"/>
              </w:rPr>
              <w:t>月</w:t>
            </w:r>
            <w:r>
              <w:rPr>
                <w:rFonts w:hint="eastAsia"/>
                <w:lang w:val="en-US" w:eastAsia="zh-CN"/>
              </w:rPr>
              <w:t>4</w:t>
            </w:r>
            <w:r>
              <w:rPr>
                <w:rFonts w:hint="eastAsia"/>
              </w:rPr>
              <w:t>日</w:t>
            </w:r>
            <w:r>
              <w:rPr>
                <w:rFonts w:hint="eastAsia"/>
                <w:lang w:val="en-US" w:eastAsia="zh-CN"/>
              </w:rPr>
              <w:t>下</w:t>
            </w:r>
            <w:r>
              <w:rPr>
                <w:rFonts w:hint="eastAsia"/>
              </w:rPr>
              <w:t>午1</w:t>
            </w:r>
            <w:r>
              <w:rPr>
                <w:rFonts w:hint="eastAsia"/>
                <w:lang w:val="en-US" w:eastAsia="zh-CN"/>
              </w:rPr>
              <w:t>7</w:t>
            </w:r>
            <w:r>
              <w:rPr>
                <w:rFonts w:hint="eastAsia"/>
              </w:rPr>
              <w:t>：</w:t>
            </w:r>
            <w:r>
              <w:rPr>
                <w:rFonts w:hint="eastAsia"/>
                <w:lang w:val="en-US" w:eastAsia="zh-CN"/>
              </w:rPr>
              <w:t>0</w:t>
            </w:r>
            <w:r>
              <w:rPr>
                <w:rFonts w:hint="eastAsia"/>
              </w:rPr>
              <w:t>0时前（北京时间）前以总公司的基本账户通过网银一次性汇入指定账户（以到账为准），不接受现金、支票、分公司及任何个人汇款。确认到帐后，持银行交款单、企业基本账户开户许可证到</w:t>
            </w:r>
            <w:r>
              <w:rPr>
                <w:rFonts w:hint="eastAsia"/>
                <w:lang w:eastAsia="zh-CN"/>
              </w:rPr>
              <w:t>湖南中智联和工程造价管理有限公司</w:t>
            </w:r>
            <w:r>
              <w:rPr>
                <w:rFonts w:hint="eastAsia"/>
                <w:lang w:val="en-US" w:eastAsia="zh-CN"/>
              </w:rPr>
              <w:t>喀什分公司</w:t>
            </w:r>
            <w:r>
              <w:rPr>
                <w:rFonts w:hint="eastAsia"/>
              </w:rPr>
              <w:t>换取收据，开标现场持投标保证金收据原件。标书内附收据复印件或转账凭证。</w:t>
            </w:r>
          </w:p>
          <w:p>
            <w:pPr>
              <w:pStyle w:val="9"/>
              <w:ind w:firstLine="0"/>
              <w:rPr>
                <w:rFonts w:hint="eastAsia"/>
              </w:rPr>
            </w:pPr>
            <w:r>
              <w:rPr>
                <w:rFonts w:hint="eastAsia"/>
              </w:rPr>
              <w:t>账  号：107681252556</w:t>
            </w:r>
          </w:p>
          <w:p>
            <w:pPr>
              <w:pStyle w:val="9"/>
              <w:ind w:firstLine="0"/>
              <w:rPr>
                <w:rFonts w:hint="eastAsia"/>
              </w:rPr>
            </w:pPr>
            <w:r>
              <w:rPr>
                <w:rFonts w:hint="eastAsia"/>
              </w:rPr>
              <w:t>行  号：104894001038</w:t>
            </w:r>
          </w:p>
          <w:p>
            <w:pPr>
              <w:pStyle w:val="9"/>
              <w:ind w:firstLine="0"/>
              <w:rPr>
                <w:rFonts w:hint="eastAsia"/>
              </w:rPr>
            </w:pPr>
            <w:r>
              <w:rPr>
                <w:rFonts w:hint="eastAsia"/>
              </w:rPr>
              <w:t>开户行：中国工商银行股份有限公司喀什解放南路支行</w:t>
            </w:r>
          </w:p>
          <w:p>
            <w:pPr>
              <w:pStyle w:val="9"/>
              <w:ind w:firstLine="0"/>
              <w:rPr>
                <w:rFonts w:hint="eastAsia"/>
              </w:rPr>
            </w:pPr>
            <w:r>
              <w:rPr>
                <w:rFonts w:hint="eastAsia"/>
              </w:rPr>
              <w:t>开户名：</w:t>
            </w:r>
            <w:r>
              <w:rPr>
                <w:rFonts w:hint="eastAsia"/>
                <w:lang w:eastAsia="zh-CN"/>
              </w:rPr>
              <w:t>湖南中智联和工程造价管理有限公司</w:t>
            </w:r>
            <w:r>
              <w:rPr>
                <w:rFonts w:hint="eastAsia"/>
              </w:rPr>
              <w:t>喀什分公司</w:t>
            </w:r>
          </w:p>
          <w:p>
            <w:pPr>
              <w:pStyle w:val="9"/>
              <w:ind w:firstLine="0"/>
              <w:rPr>
                <w:rFonts w:hint="eastAsia"/>
              </w:rPr>
            </w:pPr>
            <w:r>
              <w:rPr>
                <w:rFonts w:hint="eastAsia"/>
              </w:rPr>
              <w:t>联 系 人：</w:t>
            </w:r>
            <w:r>
              <w:rPr>
                <w:rFonts w:hint="eastAsia"/>
                <w:lang w:val="en-US" w:eastAsia="zh-CN"/>
              </w:rPr>
              <w:t>陈</w:t>
            </w:r>
            <w:r>
              <w:rPr>
                <w:rFonts w:hint="eastAsia"/>
              </w:rPr>
              <w:t>女士</w:t>
            </w:r>
          </w:p>
          <w:p>
            <w:pPr>
              <w:pStyle w:val="9"/>
              <w:ind w:firstLine="0"/>
              <w:rPr>
                <w:rFonts w:hint="eastAsia"/>
              </w:rPr>
            </w:pPr>
            <w:r>
              <w:rPr>
                <w:rFonts w:hint="eastAsia"/>
              </w:rPr>
              <w:t>电    话：13899177068</w:t>
            </w:r>
          </w:p>
          <w:p>
            <w:pPr>
              <w:pStyle w:val="10"/>
              <w:ind w:firstLine="480" w:firstLineChars="200"/>
            </w:pPr>
            <w:r>
              <w:rPr>
                <w:rFonts w:hint="eastAsia"/>
              </w:rPr>
              <w:t>成交人应在与采购人签订合同之日起5个工作日内，及时联系保证金收受机构办理磋商保证金无息退还手续。</w:t>
            </w:r>
          </w:p>
          <w:p>
            <w:pPr>
              <w:pStyle w:val="10"/>
              <w:ind w:firstLine="480" w:firstLineChars="200"/>
            </w:pPr>
            <w:r>
              <w:rPr>
                <w:rFonts w:hint="eastAsia"/>
              </w:rPr>
              <w:t>未成交供应商的磋商保证金将在成交通知书发出之日暨成交结果公告公布之日起5个工作日内无息退还。供应商及时联系保证金收受机构办理退还磋商保证金手续。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hint="eastAsia" w:ascii="宋体" w:hAnsi="宋体" w:eastAsia="宋体" w:cs="宋体"/>
                <w:color w:val="000000"/>
                <w:sz w:val="24"/>
                <w:lang w:eastAsia="zh-CN"/>
              </w:rPr>
            </w:pPr>
            <w:r>
              <w:rPr>
                <w:rFonts w:hint="eastAsia" w:ascii="宋体" w:hAnsi="宋体" w:cs="宋体"/>
                <w:color w:val="000000"/>
                <w:sz w:val="24"/>
              </w:rPr>
              <w:t>12.</w:t>
            </w:r>
            <w:r>
              <w:rPr>
                <w:rFonts w:hint="eastAsia" w:ascii="宋体" w:hAnsi="宋体" w:cs="宋体"/>
                <w:color w:val="000000"/>
                <w:sz w:val="24"/>
                <w:lang w:val="en-US" w:eastAsia="zh-CN"/>
              </w:rPr>
              <w:t>2</w:t>
            </w:r>
          </w:p>
        </w:tc>
        <w:tc>
          <w:tcPr>
            <w:tcW w:w="7875" w:type="dxa"/>
            <w:vAlign w:val="center"/>
          </w:tcPr>
          <w:p>
            <w:pPr>
              <w:spacing w:line="240" w:lineRule="atLeast"/>
              <w:rPr>
                <w:rFonts w:hint="eastAsia" w:ascii="宋体" w:hAnsi="宋体" w:cs="宋体"/>
                <w:color w:val="000000"/>
                <w:sz w:val="24"/>
              </w:rPr>
            </w:pPr>
            <w:r>
              <w:rPr>
                <w:rFonts w:hint="eastAsia" w:ascii="仿宋_GB2312" w:hAnsi="Times New Roman" w:eastAsia="仿宋_GB2312" w:cs="Times New Roman"/>
                <w:b/>
                <w:bCs/>
                <w:sz w:val="24"/>
              </w:rPr>
              <w:t>履约保证金金额：合同总</w:t>
            </w:r>
            <w:r>
              <w:rPr>
                <w:rFonts w:hint="eastAsia" w:ascii="仿宋_GB2312" w:hAnsi="Times New Roman" w:eastAsia="仿宋_GB2312" w:cs="Times New Roman"/>
                <w:b/>
                <w:bCs/>
                <w:sz w:val="24"/>
                <w:highlight w:val="none"/>
              </w:rPr>
              <w:t>价的</w:t>
            </w:r>
            <w:r>
              <w:rPr>
                <w:rFonts w:hint="eastAsia" w:ascii="仿宋_GB2312" w:eastAsia="仿宋_GB2312" w:cs="Times New Roman"/>
                <w:b/>
                <w:bCs/>
                <w:sz w:val="24"/>
                <w:highlight w:val="none"/>
                <w:lang w:val="en-US" w:eastAsia="zh-CN"/>
              </w:rPr>
              <w:t>5</w:t>
            </w:r>
            <w:r>
              <w:rPr>
                <w:rFonts w:hint="eastAsia" w:ascii="仿宋_GB2312" w:hAnsi="Times New Roman" w:eastAsia="仿宋_GB2312" w:cs="Times New Roman"/>
                <w:b/>
                <w:bCs/>
                <w:sz w:val="24"/>
                <w:highlight w:val="none"/>
              </w:rPr>
              <w:t>%（不得超过政府采购合同金额的10%）</w:t>
            </w:r>
            <w:r>
              <w:rPr>
                <w:rFonts w:hint="eastAsia" w:ascii="仿宋_GB2312" w:hAnsi="Times New Roman" w:eastAsia="仿宋_GB2312" w:cs="Times New Roman"/>
                <w:b/>
                <w:bCs/>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lang w:val="en-US" w:eastAsia="zh-CN"/>
              </w:rPr>
              <w:t>6</w:t>
            </w:r>
            <w:r>
              <w:rPr>
                <w:rFonts w:hint="eastAsia" w:ascii="宋体" w:hAnsi="宋体" w:cs="宋体"/>
                <w:color w:val="000000"/>
                <w:sz w:val="24"/>
                <w:u w:val="single"/>
              </w:rPr>
              <w:t>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w:t>
            </w:r>
            <w:r>
              <w:rPr>
                <w:rFonts w:hint="eastAsia" w:ascii="宋体" w:hAnsi="宋体" w:cs="宋体"/>
                <w:color w:val="000000"/>
                <w:sz w:val="24"/>
                <w:lang w:val="en-US" w:eastAsia="zh-CN"/>
              </w:rPr>
              <w:t>2</w:t>
            </w:r>
            <w:r>
              <w:rPr>
                <w:rFonts w:hint="eastAsia" w:ascii="宋体" w:hAnsi="宋体" w:cs="宋体"/>
                <w:color w:val="000000"/>
                <w:sz w:val="24"/>
              </w:rPr>
              <w:t>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lang w:val="en-US" w:eastAsia="zh-CN"/>
              </w:rPr>
              <w:t>投标单位需提供</w:t>
            </w:r>
            <w:r>
              <w:rPr>
                <w:rFonts w:hint="eastAsia" w:ascii="宋体" w:hAnsi="宋体" w:cs="宋体"/>
                <w:b/>
                <w:bCs/>
                <w:color w:val="000000"/>
                <w:sz w:val="24"/>
              </w:rPr>
              <w:t>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hint="eastAsia" w:ascii="宋体" w:hAnsi="宋体" w:eastAsia="宋体" w:cs="宋体"/>
                <w:sz w:val="24"/>
                <w:highlight w:val="none"/>
                <w:u w:val="single"/>
                <w:lang w:eastAsia="zh-CN"/>
              </w:rPr>
            </w:pPr>
            <w:r>
              <w:rPr>
                <w:rFonts w:hint="eastAsia" w:ascii="宋体" w:hAnsi="宋体" w:cs="宋体"/>
                <w:sz w:val="24"/>
                <w:highlight w:val="none"/>
              </w:rPr>
              <w:t>投标截止时间：</w:t>
            </w:r>
            <w:r>
              <w:rPr>
                <w:rFonts w:hint="eastAsia" w:ascii="宋体" w:hAnsi="宋体" w:cs="宋体"/>
                <w:color w:val="000000"/>
                <w:sz w:val="24"/>
                <w:highlight w:val="none"/>
                <w:u w:val="single"/>
                <w:lang w:eastAsia="zh-CN"/>
              </w:rPr>
              <w:t>2022年</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u w:val="single"/>
                <w:lang w:eastAsia="zh-CN"/>
              </w:rPr>
              <w:t>月</w:t>
            </w:r>
            <w:r>
              <w:rPr>
                <w:rFonts w:hint="eastAsia" w:ascii="宋体" w:hAnsi="宋体" w:cs="宋体"/>
                <w:color w:val="000000"/>
                <w:sz w:val="24"/>
                <w:highlight w:val="none"/>
                <w:u w:val="single"/>
                <w:lang w:val="en-US" w:eastAsia="zh-CN"/>
              </w:rPr>
              <w:t>4</w:t>
            </w:r>
            <w:r>
              <w:rPr>
                <w:rFonts w:hint="eastAsia" w:ascii="宋体" w:hAnsi="宋体" w:cs="宋体"/>
                <w:color w:val="000000"/>
                <w:sz w:val="24"/>
                <w:highlight w:val="none"/>
                <w:u w:val="single"/>
                <w:lang w:eastAsia="zh-CN"/>
              </w:rPr>
              <w:t>日</w:t>
            </w:r>
            <w:r>
              <w:rPr>
                <w:rFonts w:hint="eastAsia" w:ascii="宋体" w:hAnsi="宋体" w:cs="宋体"/>
                <w:color w:val="000000"/>
                <w:sz w:val="24"/>
                <w:highlight w:val="none"/>
                <w:u w:val="single"/>
                <w:lang w:val="en-US" w:eastAsia="zh-CN"/>
              </w:rPr>
              <w:t>下</w:t>
            </w:r>
            <w:r>
              <w:rPr>
                <w:rFonts w:hint="eastAsia" w:ascii="宋体" w:hAnsi="宋体" w:cs="宋体"/>
                <w:color w:val="000000"/>
                <w:sz w:val="24"/>
                <w:highlight w:val="none"/>
                <w:u w:val="single"/>
                <w:lang w:eastAsia="zh-CN"/>
              </w:rPr>
              <w:t>午1</w:t>
            </w:r>
            <w:r>
              <w:rPr>
                <w:rFonts w:hint="eastAsia" w:ascii="宋体" w:hAnsi="宋体" w:cs="宋体"/>
                <w:color w:val="000000"/>
                <w:sz w:val="24"/>
                <w:highlight w:val="none"/>
                <w:u w:val="single"/>
                <w:lang w:val="en-US" w:eastAsia="zh-CN"/>
              </w:rPr>
              <w:t>1</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lang w:eastAsia="zh-CN"/>
              </w:rPr>
              <w:t>0</w:t>
            </w:r>
          </w:p>
          <w:p>
            <w:pPr>
              <w:spacing w:line="240" w:lineRule="atLeast"/>
              <w:rPr>
                <w:rFonts w:hint="default" w:ascii="宋体" w:hAnsi="宋体" w:eastAsia="宋体" w:cs="宋体"/>
                <w:color w:val="000000"/>
                <w:sz w:val="24"/>
                <w:highlight w:val="none"/>
                <w:lang w:val="en-US" w:eastAsia="zh-CN"/>
              </w:rPr>
            </w:pPr>
            <w:r>
              <w:rPr>
                <w:rFonts w:hint="eastAsia" w:ascii="宋体" w:hAnsi="宋体" w:cs="宋体"/>
                <w:sz w:val="24"/>
                <w:highlight w:val="none"/>
              </w:rPr>
              <w:t>投标文件递交地点：</w:t>
            </w:r>
            <w:r>
              <w:rPr>
                <w:rFonts w:hint="eastAsia" w:ascii="宋体" w:hAnsi="宋体" w:cs="宋体"/>
                <w:color w:val="000000"/>
                <w:sz w:val="24"/>
                <w:highlight w:val="none"/>
                <w:u w:val="single"/>
                <w:lang w:val="en-US" w:eastAsia="zh-CN"/>
              </w:rPr>
              <w:t>喀什地区喀什市紫东大厦3楼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hint="eastAsia" w:ascii="宋体" w:hAnsi="宋体" w:eastAsia="宋体" w:cs="宋体"/>
                <w:color w:val="000000"/>
                <w:sz w:val="24"/>
                <w:highlight w:val="none"/>
                <w:u w:val="single"/>
                <w:lang w:eastAsia="zh-CN"/>
              </w:rPr>
            </w:pPr>
            <w:r>
              <w:rPr>
                <w:rFonts w:hint="eastAsia" w:ascii="宋体" w:hAnsi="宋体" w:cs="宋体"/>
                <w:color w:val="000000"/>
                <w:sz w:val="24"/>
                <w:highlight w:val="none"/>
              </w:rPr>
              <w:t>开标时间：</w:t>
            </w:r>
            <w:r>
              <w:rPr>
                <w:rFonts w:hint="eastAsia" w:ascii="宋体" w:hAnsi="宋体" w:cs="宋体"/>
                <w:color w:val="000000"/>
                <w:sz w:val="24"/>
                <w:highlight w:val="none"/>
                <w:u w:val="single"/>
                <w:lang w:eastAsia="zh-CN"/>
              </w:rPr>
              <w:t>2022年</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u w:val="single"/>
                <w:lang w:eastAsia="zh-CN"/>
              </w:rPr>
              <w:t>月</w:t>
            </w:r>
            <w:r>
              <w:rPr>
                <w:rFonts w:hint="eastAsia" w:ascii="宋体" w:hAnsi="宋体" w:cs="宋体"/>
                <w:color w:val="000000"/>
                <w:sz w:val="24"/>
                <w:highlight w:val="none"/>
                <w:u w:val="single"/>
                <w:lang w:val="en-US" w:eastAsia="zh-CN"/>
              </w:rPr>
              <w:t>4</w:t>
            </w:r>
            <w:r>
              <w:rPr>
                <w:rFonts w:hint="eastAsia" w:ascii="宋体" w:hAnsi="宋体" w:cs="宋体"/>
                <w:color w:val="000000"/>
                <w:sz w:val="24"/>
                <w:highlight w:val="none"/>
                <w:u w:val="single"/>
                <w:lang w:eastAsia="zh-CN"/>
              </w:rPr>
              <w:t>日</w:t>
            </w:r>
            <w:r>
              <w:rPr>
                <w:rFonts w:hint="eastAsia" w:ascii="宋体" w:hAnsi="宋体" w:cs="宋体"/>
                <w:color w:val="000000"/>
                <w:sz w:val="24"/>
                <w:highlight w:val="none"/>
                <w:u w:val="single"/>
                <w:lang w:val="en-US" w:eastAsia="zh-CN"/>
              </w:rPr>
              <w:t>下午11</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lang w:eastAsia="zh-CN"/>
              </w:rPr>
              <w:t>0</w:t>
            </w:r>
            <w:bookmarkStart w:id="918" w:name="_GoBack"/>
            <w:bookmarkEnd w:id="918"/>
          </w:p>
          <w:p>
            <w:pPr>
              <w:spacing w:line="240" w:lineRule="atLeast"/>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开标地点：</w:t>
            </w:r>
            <w:r>
              <w:rPr>
                <w:rFonts w:hint="eastAsia" w:ascii="宋体" w:hAnsi="宋体" w:cs="宋体"/>
                <w:color w:val="000000"/>
                <w:sz w:val="24"/>
                <w:highlight w:val="none"/>
                <w:u w:val="single"/>
                <w:lang w:val="en-US" w:eastAsia="zh-CN"/>
              </w:rPr>
              <w:t>喀什地区喀什市紫东大厦3楼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rPr>
              <w:t>0</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1"/>
                <w:kern w:val="0"/>
                <w:sz w:val="24"/>
                <w:lang w:val="en-US" w:eastAsia="zh-CN"/>
              </w:rPr>
              <w:t>3</w:t>
            </w:r>
            <w:r>
              <w:rPr>
                <w:rFonts w:hint="eastAsia" w:ascii="宋体" w:hAnsi="宋体" w:cs="宋体"/>
                <w:spacing w:val="-2"/>
                <w:kern w:val="0"/>
                <w:sz w:val="24"/>
              </w:rPr>
              <w:t>人；</w:t>
            </w:r>
          </w:p>
          <w:p>
            <w:pPr>
              <w:spacing w:line="240" w:lineRule="atLeast"/>
              <w:rPr>
                <w:rFonts w:hint="default" w:ascii="宋体" w:hAnsi="宋体" w:eastAsia="宋体" w:cs="宋体"/>
                <w:color w:val="000000"/>
                <w:sz w:val="24"/>
                <w:lang w:val="en-US" w:eastAsia="zh-CN"/>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式：政府采购评审专家库内相关专业的专家名单中随机抽取。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firstLineChars="0"/>
              <w:rPr>
                <w:rFonts w:hint="eastAsia" w:ascii="宋体" w:hAnsi="宋体" w:cs="宋体"/>
                <w:color w:val="000000"/>
                <w:sz w:val="24"/>
              </w:rPr>
            </w:pPr>
            <w:r>
              <w:rPr>
                <w:rFonts w:hint="eastAsia" w:ascii="宋体" w:hAnsi="宋体" w:cs="宋体"/>
                <w:color w:val="000000"/>
                <w:sz w:val="24"/>
                <w:lang w:val="en-US" w:eastAsia="zh-CN"/>
              </w:rPr>
              <w:t>备注</w:t>
            </w:r>
          </w:p>
        </w:tc>
        <w:tc>
          <w:tcPr>
            <w:tcW w:w="7875" w:type="dxa"/>
            <w:vAlign w:val="center"/>
          </w:tcPr>
          <w:p>
            <w:pPr>
              <w:spacing w:line="240" w:lineRule="atLeast"/>
              <w:rPr>
                <w:rFonts w:hint="eastAsia" w:ascii="宋体" w:hAnsi="宋体" w:cs="宋体"/>
                <w:color w:val="000000"/>
                <w:sz w:val="24"/>
              </w:rPr>
            </w:pPr>
            <w:r>
              <w:rPr>
                <w:rFonts w:hint="eastAsia" w:ascii="宋体" w:hAnsi="宋体" w:cs="宋体"/>
                <w:color w:val="000000"/>
                <w:sz w:val="24"/>
              </w:rPr>
              <w:t>如</w:t>
            </w:r>
            <w:r>
              <w:rPr>
                <w:rFonts w:hint="eastAsia" w:ascii="宋体" w:hAnsi="宋体" w:cs="宋体"/>
                <w:color w:val="000000"/>
                <w:sz w:val="24"/>
                <w:lang w:val="en-US" w:eastAsia="zh-CN"/>
              </w:rPr>
              <w:t>磋商</w:t>
            </w:r>
            <w:r>
              <w:rPr>
                <w:rFonts w:hint="eastAsia" w:ascii="宋体" w:hAnsi="宋体" w:cs="宋体"/>
                <w:color w:val="000000"/>
                <w:sz w:val="24"/>
              </w:rPr>
              <w:t>文件正文部分与须知</w:t>
            </w:r>
            <w:r>
              <w:rPr>
                <w:rFonts w:hint="eastAsia" w:ascii="宋体" w:hAnsi="宋体" w:cs="宋体"/>
                <w:color w:val="000000"/>
                <w:sz w:val="24"/>
                <w:lang w:val="en-US" w:eastAsia="zh-CN"/>
              </w:rPr>
              <w:t>表</w:t>
            </w:r>
            <w:r>
              <w:rPr>
                <w:rFonts w:hint="eastAsia" w:ascii="宋体" w:hAnsi="宋体" w:cs="宋体"/>
                <w:color w:val="000000"/>
                <w:sz w:val="24"/>
              </w:rPr>
              <w:t>内容不一致，以投标须知</w:t>
            </w:r>
            <w:r>
              <w:rPr>
                <w:rFonts w:hint="eastAsia" w:ascii="宋体" w:hAnsi="宋体" w:cs="宋体"/>
                <w:color w:val="000000"/>
                <w:sz w:val="24"/>
                <w:lang w:val="en-US" w:eastAsia="zh-CN"/>
              </w:rPr>
              <w:t>表</w:t>
            </w:r>
            <w:r>
              <w:rPr>
                <w:rFonts w:hint="eastAsia" w:ascii="宋体" w:hAnsi="宋体" w:cs="宋体"/>
                <w:color w:val="000000"/>
                <w:sz w:val="24"/>
              </w:rPr>
              <w:t>内容为准。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firstLineChars="0"/>
              <w:rPr>
                <w:rFonts w:hint="eastAsia" w:ascii="宋体" w:hAnsi="宋体" w:cs="宋体"/>
                <w:color w:val="000000"/>
                <w:sz w:val="24"/>
                <w:lang w:val="en-US" w:eastAsia="zh-CN"/>
              </w:rPr>
            </w:pPr>
          </w:p>
        </w:tc>
        <w:tc>
          <w:tcPr>
            <w:tcW w:w="7875" w:type="dxa"/>
            <w:vAlign w:val="center"/>
          </w:tcPr>
          <w:p>
            <w:pPr>
              <w:spacing w:line="240" w:lineRule="atLeast"/>
              <w:rPr>
                <w:rFonts w:hint="eastAsia" w:ascii="宋体" w:hAnsi="宋体" w:cs="宋体"/>
                <w:color w:val="000000"/>
                <w:sz w:val="24"/>
              </w:rPr>
            </w:pPr>
            <w:r>
              <w:rPr>
                <w:rFonts w:hint="eastAsia" w:ascii="宋体" w:hAnsi="宋体" w:cs="宋体"/>
                <w:color w:val="000000"/>
                <w:sz w:val="24"/>
              </w:rPr>
              <w:t>1.招标代理服务费由中标方向</w:t>
            </w:r>
            <w:r>
              <w:rPr>
                <w:rFonts w:hint="eastAsia" w:ascii="宋体" w:hAnsi="宋体" w:cs="宋体"/>
                <w:color w:val="000000"/>
                <w:sz w:val="24"/>
                <w:lang w:eastAsia="zh-CN"/>
              </w:rPr>
              <w:t>湖南中智联和工程造价管理有限公司</w:t>
            </w:r>
            <w:r>
              <w:rPr>
                <w:rFonts w:hint="eastAsia" w:ascii="宋体" w:hAnsi="宋体" w:cs="宋体"/>
                <w:color w:val="000000"/>
                <w:sz w:val="24"/>
              </w:rPr>
              <w:t>支付。</w:t>
            </w:r>
          </w:p>
          <w:p>
            <w:pPr>
              <w:spacing w:line="240" w:lineRule="atLeast"/>
              <w:rPr>
                <w:rFonts w:hint="eastAsia" w:ascii="宋体" w:hAnsi="宋体" w:cs="宋体"/>
                <w:color w:val="000000"/>
                <w:sz w:val="24"/>
              </w:rPr>
            </w:pPr>
            <w:r>
              <w:rPr>
                <w:rFonts w:hint="eastAsia" w:ascii="宋体" w:hAnsi="宋体" w:cs="宋体"/>
                <w:color w:val="000000"/>
                <w:sz w:val="24"/>
              </w:rPr>
              <w:t>收费比例为国家计委计价格[20</w:t>
            </w:r>
            <w:r>
              <w:rPr>
                <w:rFonts w:hint="eastAsia" w:ascii="宋体" w:hAnsi="宋体" w:cs="宋体"/>
                <w:color w:val="000000"/>
                <w:sz w:val="24"/>
                <w:lang w:val="en-US" w:eastAsia="zh-CN"/>
              </w:rPr>
              <w:t>15</w:t>
            </w:r>
            <w:r>
              <w:rPr>
                <w:rFonts w:hint="eastAsia" w:ascii="宋体" w:hAnsi="宋体" w:cs="宋体"/>
                <w:color w:val="000000"/>
                <w:sz w:val="24"/>
              </w:rPr>
              <w:t>]</w:t>
            </w:r>
            <w:r>
              <w:rPr>
                <w:rFonts w:hint="eastAsia" w:ascii="宋体" w:hAnsi="宋体" w:cs="宋体"/>
                <w:color w:val="000000"/>
                <w:sz w:val="24"/>
                <w:lang w:val="en-US" w:eastAsia="zh-CN"/>
              </w:rPr>
              <w:t>299</w:t>
            </w:r>
            <w:r>
              <w:rPr>
                <w:rFonts w:hint="eastAsia" w:ascii="宋体" w:hAnsi="宋体" w:cs="宋体"/>
                <w:color w:val="000000"/>
                <w:sz w:val="24"/>
              </w:rPr>
              <w:t>号文件规定标准。</w:t>
            </w:r>
          </w:p>
        </w:tc>
      </w:tr>
    </w:tbl>
    <w:p>
      <w:pPr>
        <w:spacing w:line="240" w:lineRule="atLeast"/>
        <w:ind w:left="1080" w:leftChars="257" w:hanging="540"/>
        <w:rPr>
          <w:rFonts w:cs="宋体" w:asciiTheme="minorEastAsia" w:hAnsiTheme="minorEastAsia" w:eastAsiaTheme="minorEastAsia"/>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rPr>
      </w:pPr>
      <w:bookmarkStart w:id="614" w:name="_Toc507399906"/>
      <w:bookmarkStart w:id="615" w:name="_Toc216513787"/>
      <w:bookmarkStart w:id="616" w:name="_Toc518923126"/>
      <w:bookmarkStart w:id="617" w:name="_Toc7112"/>
      <w:bookmarkStart w:id="618" w:name="_Toc218935351"/>
      <w:bookmarkStart w:id="619" w:name="_Toc219175635"/>
      <w:bookmarkStart w:id="620" w:name="_Toc216582825"/>
      <w:bookmarkStart w:id="621" w:name="_Toc216582811"/>
      <w:bookmarkStart w:id="622" w:name="_Toc218935354"/>
      <w:bookmarkStart w:id="623" w:name="_Toc512937852"/>
      <w:bookmarkStart w:id="624" w:name="_Toc219175638"/>
      <w:bookmarkStart w:id="625" w:name="_Toc29079_WPSOffice_Level1"/>
      <w:r>
        <w:rPr>
          <w:rFonts w:hint="eastAsia" w:ascii="宋体" w:hAnsi="宋体" w:cs="宋体"/>
          <w:b/>
          <w:kern w:val="0"/>
          <w:sz w:val="32"/>
          <w:szCs w:val="32"/>
        </w:rPr>
        <w:t>资格审查表</w:t>
      </w:r>
    </w:p>
    <w:p>
      <w:pPr>
        <w:rPr>
          <w:rFonts w:ascii="宋体" w:hAnsi="宋体" w:cs="宋体"/>
        </w:rPr>
      </w:pPr>
    </w:p>
    <w:tbl>
      <w:tblPr>
        <w:tblStyle w:val="38"/>
        <w:tblW w:w="13741" w:type="dxa"/>
        <w:jc w:val="center"/>
        <w:tblLayout w:type="fixed"/>
        <w:tblCellMar>
          <w:top w:w="0" w:type="dxa"/>
          <w:left w:w="108" w:type="dxa"/>
          <w:bottom w:w="0" w:type="dxa"/>
          <w:right w:w="108" w:type="dxa"/>
        </w:tblCellMar>
      </w:tblPr>
      <w:tblGrid>
        <w:gridCol w:w="2296"/>
        <w:gridCol w:w="2875"/>
        <w:gridCol w:w="2848"/>
        <w:gridCol w:w="3470"/>
        <w:gridCol w:w="2252"/>
      </w:tblGrid>
      <w:tr>
        <w:tblPrEx>
          <w:tblCellMar>
            <w:top w:w="0" w:type="dxa"/>
            <w:left w:w="108" w:type="dxa"/>
            <w:bottom w:w="0" w:type="dxa"/>
            <w:right w:w="108" w:type="dxa"/>
          </w:tblCellMar>
        </w:tblPrEx>
        <w:trPr>
          <w:trHeight w:val="531" w:hRule="atLeast"/>
          <w:jc w:val="center"/>
        </w:trPr>
        <w:tc>
          <w:tcPr>
            <w:tcW w:w="22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919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22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72" w:hRule="atLeast"/>
          <w:jc w:val="center"/>
        </w:trPr>
        <w:tc>
          <w:tcPr>
            <w:tcW w:w="2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color w:val="0000FF"/>
                <w:kern w:val="0"/>
                <w:sz w:val="20"/>
                <w:szCs w:val="20"/>
                <w:lang w:val="en-US" w:eastAsia="zh-CN"/>
              </w:rPr>
            </w:pPr>
            <w:r>
              <w:rPr>
                <w:rFonts w:hint="eastAsia" w:ascii="仿宋_GB2312" w:hAnsi="宋体" w:eastAsia="仿宋_GB2312" w:cs="宋体"/>
                <w:color w:val="0000FF"/>
                <w:kern w:val="0"/>
                <w:sz w:val="20"/>
                <w:szCs w:val="20"/>
                <w:lang w:val="en-US" w:eastAsia="zh-CN"/>
              </w:rPr>
              <w:t>提供</w:t>
            </w:r>
            <w:r>
              <w:rPr>
                <w:rFonts w:hint="eastAsia" w:ascii="仿宋_GB2312" w:hAnsi="宋体" w:eastAsia="仿宋_GB2312" w:cs="宋体"/>
                <w:color w:val="0000FF"/>
                <w:kern w:val="0"/>
                <w:sz w:val="20"/>
                <w:szCs w:val="20"/>
              </w:rPr>
              <w:t>合格有效的</w:t>
            </w:r>
            <w:r>
              <w:rPr>
                <w:rFonts w:hint="eastAsia" w:ascii="仿宋_GB2312" w:hAnsi="宋体" w:eastAsia="仿宋_GB2312" w:cs="宋体"/>
                <w:color w:val="0000FF"/>
                <w:kern w:val="0"/>
                <w:sz w:val="20"/>
                <w:szCs w:val="20"/>
                <w:lang w:val="en-US" w:eastAsia="zh-CN"/>
              </w:rPr>
              <w:t>企业</w:t>
            </w:r>
            <w:r>
              <w:rPr>
                <w:rFonts w:hint="eastAsia" w:ascii="仿宋_GB2312" w:hAnsi="宋体" w:eastAsia="仿宋_GB2312" w:cs="宋体"/>
                <w:color w:val="0000FF"/>
                <w:kern w:val="0"/>
                <w:sz w:val="20"/>
                <w:szCs w:val="20"/>
              </w:rPr>
              <w:t>法人营业执照（三证合一）副本（原件、复印件、影印件均可）或电子营业执照打印件（需加盖公章）或同等法律效力的证明文件（发证机关或公证机关出具的证明材料原件）</w:t>
            </w:r>
          </w:p>
        </w:tc>
        <w:tc>
          <w:tcPr>
            <w:tcW w:w="28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FF"/>
                <w:kern w:val="0"/>
                <w:sz w:val="20"/>
                <w:szCs w:val="20"/>
                <w:lang w:val="en-US" w:eastAsia="zh-CN" w:bidi="ar-SA"/>
              </w:rPr>
            </w:pPr>
            <w:r>
              <w:rPr>
                <w:rFonts w:hint="eastAsia" w:ascii="仿宋_GB2312" w:hAnsi="宋体" w:eastAsia="仿宋_GB2312" w:cs="宋体"/>
                <w:color w:val="0000FF"/>
                <w:kern w:val="0"/>
                <w:sz w:val="20"/>
                <w:szCs w:val="20"/>
                <w:lang w:val="en-US" w:eastAsia="zh-CN"/>
              </w:rPr>
              <w:t>提供</w:t>
            </w:r>
            <w:r>
              <w:rPr>
                <w:rFonts w:hint="eastAsia" w:ascii="仿宋_GB2312" w:hAnsi="宋体" w:eastAsia="仿宋_GB2312" w:cs="宋体"/>
                <w:color w:val="0000FF"/>
                <w:kern w:val="0"/>
                <w:sz w:val="20"/>
                <w:szCs w:val="20"/>
              </w:rPr>
              <w:t>法人代表资格证明书或法人授权委托书原件及其人员有效证件（如身份证原件），开标现场授权委托人需与投标文件中保持一致</w:t>
            </w:r>
          </w:p>
        </w:tc>
        <w:tc>
          <w:tcPr>
            <w:tcW w:w="34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FF"/>
                <w:kern w:val="0"/>
                <w:sz w:val="20"/>
                <w:szCs w:val="20"/>
                <w:lang w:val="en-US" w:eastAsia="zh-CN" w:bidi="ar-SA"/>
              </w:rPr>
            </w:pPr>
            <w:r>
              <w:rPr>
                <w:rFonts w:hint="eastAsia" w:ascii="仿宋_GB2312" w:hAnsi="宋体" w:eastAsia="仿宋_GB2312" w:cs="宋体"/>
                <w:color w:val="0000FF"/>
                <w:kern w:val="0"/>
                <w:sz w:val="20"/>
                <w:szCs w:val="20"/>
                <w:lang w:val="en-US" w:eastAsia="zh-CN"/>
              </w:rPr>
              <w:t>提供投标保证金有效凭证</w:t>
            </w:r>
          </w:p>
        </w:tc>
        <w:tc>
          <w:tcPr>
            <w:tcW w:w="2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是否通过</w:t>
            </w:r>
          </w:p>
        </w:tc>
      </w:tr>
      <w:tr>
        <w:tblPrEx>
          <w:tblCellMar>
            <w:top w:w="0" w:type="dxa"/>
            <w:left w:w="108" w:type="dxa"/>
            <w:bottom w:w="0" w:type="dxa"/>
            <w:right w:w="108" w:type="dxa"/>
          </w:tblCellMar>
        </w:tblPrEx>
        <w:trPr>
          <w:trHeight w:val="687" w:hRule="atLeast"/>
          <w:jc w:val="center"/>
        </w:trPr>
        <w:tc>
          <w:tcPr>
            <w:tcW w:w="2296" w:type="dxa"/>
            <w:tcBorders>
              <w:top w:val="single" w:color="auto" w:sz="4" w:space="0"/>
              <w:left w:val="single" w:color="auto" w:sz="4" w:space="0"/>
              <w:bottom w:val="single" w:color="auto" w:sz="4" w:space="0"/>
              <w:right w:val="single" w:color="auto" w:sz="4" w:space="0"/>
            </w:tcBorders>
            <w:vAlign w:val="center"/>
          </w:tcPr>
          <w:p>
            <w:pPr>
              <w:ind w:left="105" w:leftChars="0" w:hanging="105" w:firstLineChars="0"/>
              <w:jc w:val="center"/>
              <w:rPr>
                <w:rFonts w:ascii="仿宋" w:hAnsi="仿宋" w:eastAsia="仿宋" w:cs="Times New Roman"/>
                <w:color w:val="000000"/>
                <w:kern w:val="2"/>
                <w:sz w:val="18"/>
                <w:szCs w:val="24"/>
                <w:lang w:val="en-US" w:eastAsia="zh-CN" w:bidi="ar-SA"/>
              </w:rPr>
            </w:pPr>
            <w:r>
              <w:rPr>
                <w:rFonts w:hint="eastAsia" w:ascii="仿宋" w:hAnsi="仿宋" w:eastAsia="仿宋" w:cs="宋体"/>
                <w:color w:val="000000"/>
                <w:szCs w:val="21"/>
              </w:rPr>
              <w:t>投标人1</w:t>
            </w:r>
          </w:p>
        </w:tc>
        <w:tc>
          <w:tcPr>
            <w:tcW w:w="2875" w:type="dxa"/>
            <w:tcBorders>
              <w:top w:val="single" w:color="auto" w:sz="4" w:space="0"/>
              <w:left w:val="single" w:color="auto" w:sz="4" w:space="0"/>
              <w:bottom w:val="single" w:color="auto" w:sz="4" w:space="0"/>
              <w:right w:val="single" w:color="auto" w:sz="4" w:space="0"/>
            </w:tcBorders>
            <w:vAlign w:val="center"/>
          </w:tcPr>
          <w:p>
            <w:pPr>
              <w:ind w:left="105" w:leftChars="0" w:hanging="105" w:firstLineChars="0"/>
              <w:jc w:val="center"/>
              <w:rPr>
                <w:rFonts w:ascii="仿宋" w:hAnsi="仿宋" w:eastAsia="仿宋" w:cs="Times New Roman"/>
                <w:color w:val="000000"/>
                <w:kern w:val="2"/>
                <w:sz w:val="18"/>
                <w:szCs w:val="24"/>
                <w:lang w:val="en-US" w:eastAsia="zh-CN" w:bidi="ar-SA"/>
              </w:rPr>
            </w:pPr>
          </w:p>
        </w:tc>
        <w:tc>
          <w:tcPr>
            <w:tcW w:w="2848" w:type="dxa"/>
            <w:tcBorders>
              <w:top w:val="single" w:color="auto" w:sz="4" w:space="0"/>
              <w:left w:val="single" w:color="auto" w:sz="4" w:space="0"/>
              <w:bottom w:val="single" w:color="auto" w:sz="4" w:space="0"/>
              <w:right w:val="single" w:color="auto" w:sz="4" w:space="0"/>
            </w:tcBorders>
            <w:vAlign w:val="center"/>
          </w:tcPr>
          <w:p>
            <w:pPr>
              <w:ind w:left="105" w:leftChars="0" w:hanging="105" w:firstLineChars="0"/>
              <w:jc w:val="center"/>
              <w:rPr>
                <w:rFonts w:ascii="仿宋" w:hAnsi="仿宋" w:eastAsia="仿宋" w:cs="Times New Roman"/>
                <w:color w:val="000000"/>
                <w:kern w:val="2"/>
                <w:sz w:val="18"/>
                <w:szCs w:val="24"/>
                <w:lang w:val="en-US" w:eastAsia="zh-CN" w:bidi="ar-SA"/>
              </w:rPr>
            </w:pPr>
          </w:p>
        </w:tc>
        <w:tc>
          <w:tcPr>
            <w:tcW w:w="347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2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22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仿宋" w:hAnsi="仿宋" w:eastAsia="仿宋" w:cs="宋体"/>
                <w:color w:val="000000"/>
                <w:szCs w:val="21"/>
              </w:rPr>
              <w:t>投标人2</w:t>
            </w:r>
          </w:p>
        </w:tc>
        <w:tc>
          <w:tcPr>
            <w:tcW w:w="28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8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47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2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22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仿宋" w:hAnsi="仿宋" w:eastAsia="仿宋" w:cs="宋体"/>
                <w:color w:val="000000"/>
                <w:szCs w:val="21"/>
              </w:rPr>
              <w:t>投标人3</w:t>
            </w:r>
          </w:p>
        </w:tc>
        <w:tc>
          <w:tcPr>
            <w:tcW w:w="28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8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47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2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374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“√”表示合格；“×”表示不合格，一项不合格为无效投标处，如不合格，请在结果中写明原因。</w:t>
            </w:r>
          </w:p>
        </w:tc>
      </w:tr>
    </w:tbl>
    <w:p>
      <w:pPr>
        <w:rPr>
          <w:rFonts w:ascii="宋体" w:hAnsi="宋体" w:cs="宋体"/>
          <w:b/>
          <w:sz w:val="32"/>
          <w:szCs w:val="40"/>
        </w:rPr>
      </w:pPr>
    </w:p>
    <w:bookmarkEnd w:id="614"/>
    <w:bookmarkEnd w:id="615"/>
    <w:bookmarkEnd w:id="616"/>
    <w:bookmarkEnd w:id="617"/>
    <w:bookmarkEnd w:id="618"/>
    <w:bookmarkEnd w:id="619"/>
    <w:bookmarkEnd w:id="620"/>
    <w:bookmarkEnd w:id="621"/>
    <w:bookmarkEnd w:id="622"/>
    <w:bookmarkEnd w:id="623"/>
    <w:bookmarkEnd w:id="624"/>
    <w:bookmarkEnd w:id="625"/>
    <w:p>
      <w:pPr>
        <w:rPr>
          <w:rFonts w:asciiTheme="minorEastAsia" w:hAnsiTheme="minorEastAsia" w:eastAsiaTheme="minorEastAsia" w:cstheme="minorEastAsia"/>
        </w:rPr>
      </w:pPr>
      <w:bookmarkStart w:id="626" w:name="_Toc9887"/>
      <w:bookmarkStart w:id="627" w:name="_Toc9032"/>
      <w:bookmarkStart w:id="628" w:name="_Toc515647831"/>
      <w:bookmarkStart w:id="629" w:name="_Toc22779"/>
      <w:r>
        <w:rPr>
          <w:rFonts w:hint="eastAsia" w:ascii="仿宋_GB2312" w:eastAsia="仿宋_GB2312"/>
          <w:b/>
          <w:bCs/>
          <w:sz w:val="32"/>
          <w:szCs w:val="32"/>
        </w:rPr>
        <w:t>备注：1、以上资料现场携带；2、以上资料装订在投标文件中。</w:t>
      </w:r>
    </w:p>
    <w:p>
      <w:pPr>
        <w:pStyle w:val="26"/>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color w:val="000000"/>
          <w:kern w:val="0"/>
          <w:sz w:val="36"/>
          <w:szCs w:val="24"/>
        </w:rPr>
      </w:pPr>
      <w:bookmarkStart w:id="630" w:name="_Toc29512"/>
      <w:bookmarkStart w:id="631" w:name="_Toc9727"/>
      <w:bookmarkStart w:id="632" w:name="_Toc5522"/>
      <w:r>
        <w:rPr>
          <w:rFonts w:hint="eastAsia" w:hAnsi="宋体"/>
          <w:color w:val="000000"/>
          <w:kern w:val="0"/>
          <w:sz w:val="36"/>
          <w:szCs w:val="24"/>
        </w:rPr>
        <w:t>第5章</w:t>
      </w:r>
      <w:bookmarkEnd w:id="626"/>
      <w:bookmarkEnd w:id="627"/>
      <w:bookmarkEnd w:id="628"/>
      <w:bookmarkEnd w:id="629"/>
      <w:bookmarkEnd w:id="630"/>
      <w:bookmarkEnd w:id="631"/>
      <w:bookmarkEnd w:id="632"/>
    </w:p>
    <w:p>
      <w:pPr>
        <w:spacing w:line="360" w:lineRule="auto"/>
        <w:jc w:val="center"/>
        <w:rPr>
          <w:rFonts w:hint="default" w:ascii="仿宋_GB2312" w:hAnsi="仿宋" w:eastAsia="仿宋_GB2312" w:cs="仿宋"/>
          <w:b/>
          <w:sz w:val="48"/>
          <w:szCs w:val="48"/>
          <w:lang w:val="en-US" w:eastAsia="zh-CN"/>
        </w:rPr>
      </w:pPr>
      <w:bookmarkStart w:id="633" w:name="_Toc387416363"/>
      <w:bookmarkStart w:id="634" w:name="_Toc287112607"/>
      <w:bookmarkStart w:id="635" w:name="_Toc1213263"/>
      <w:bookmarkStart w:id="636" w:name="_Toc507399904"/>
      <w:r>
        <w:rPr>
          <w:rFonts w:hint="eastAsia" w:ascii="仿宋_GB2312" w:hAnsi="仿宋" w:eastAsia="仿宋_GB2312" w:cs="仿宋"/>
          <w:b/>
          <w:sz w:val="48"/>
          <w:szCs w:val="48"/>
          <w:lang w:val="en-US" w:eastAsia="zh-CN"/>
        </w:rPr>
        <w:t>服务需求</w:t>
      </w:r>
    </w:p>
    <w:p>
      <w:pPr>
        <w:spacing w:line="360" w:lineRule="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b w:val="0"/>
          <w:bCs w:val="0"/>
          <w:sz w:val="32"/>
          <w:szCs w:val="32"/>
          <w:lang w:val="en-US" w:eastAsia="zh-CN"/>
        </w:rPr>
        <w:t>喀什地区文旅系统赴山东考察学习培训采购项目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red"/>
        </w:rPr>
      </w:pPr>
    </w:p>
    <w:p>
      <w:pPr>
        <w:pStyle w:val="26"/>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服务需求：</w:t>
      </w:r>
    </w:p>
    <w:p>
      <w:pPr>
        <w:pStyle w:val="26"/>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喀什地区文旅系统赴山东考察学习培训采购项目</w:t>
      </w:r>
      <w:r>
        <w:rPr>
          <w:rFonts w:hint="eastAsia" w:ascii="方正小标宋简体" w:hAnsi="方正小标宋简体" w:eastAsia="方正小标宋简体" w:cs="方正小标宋简体"/>
          <w:b w:val="0"/>
          <w:bCs w:val="0"/>
          <w:sz w:val="44"/>
          <w:szCs w:val="44"/>
          <w:lang w:val="en-US"/>
        </w:rPr>
        <w:t>方案</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jc w:val="center"/>
        <w:textAlignment w:val="auto"/>
        <w:outlineLvl w:val="9"/>
        <w:rPr>
          <w:rFonts w:hint="eastAsia" w:ascii="仿宋_GB2312" w:hAnsi="仿宋_GB2312" w:eastAsia="仿宋_GB2312" w:cs="仿宋_GB2312"/>
          <w:b w:val="0"/>
          <w:bCs w:val="0"/>
          <w:sz w:val="32"/>
          <w:szCs w:val="32"/>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rPr>
        <w:t>根据工作计划安排</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rPr>
        <w:t>拟定与</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rPr>
        <w:t>月</w:t>
      </w:r>
      <w:r>
        <w:rPr>
          <w:rFonts w:hint="eastAsia" w:ascii="仿宋_GB2312" w:hAnsi="仿宋_GB2312" w:eastAsia="仿宋_GB2312" w:cs="仿宋_GB2312"/>
          <w:b w:val="0"/>
          <w:bCs w:val="0"/>
          <w:sz w:val="32"/>
          <w:szCs w:val="32"/>
          <w:lang w:val="en-US" w:eastAsia="zh-CN"/>
        </w:rPr>
        <w:t>上旬</w:t>
      </w:r>
      <w:r>
        <w:rPr>
          <w:rFonts w:hint="eastAsia" w:ascii="仿宋_GB2312" w:hAnsi="仿宋_GB2312" w:eastAsia="仿宋_GB2312" w:cs="仿宋_GB2312"/>
          <w:b w:val="0"/>
          <w:bCs w:val="0"/>
          <w:sz w:val="32"/>
          <w:szCs w:val="32"/>
          <w:lang w:val="en-US"/>
        </w:rPr>
        <w:t>组织喀什</w:t>
      </w:r>
      <w:r>
        <w:rPr>
          <w:rFonts w:hint="eastAsia" w:ascii="仿宋_GB2312" w:hAnsi="仿宋_GB2312" w:eastAsia="仿宋_GB2312" w:cs="仿宋_GB2312"/>
          <w:b w:val="0"/>
          <w:bCs w:val="0"/>
          <w:sz w:val="32"/>
          <w:szCs w:val="32"/>
          <w:lang w:val="en-US" w:eastAsia="zh-CN"/>
        </w:rPr>
        <w:t>地区</w:t>
      </w:r>
      <w:r>
        <w:rPr>
          <w:rFonts w:hint="eastAsia" w:ascii="仿宋_GB2312" w:hAnsi="仿宋_GB2312" w:eastAsia="仿宋_GB2312" w:cs="仿宋_GB2312"/>
          <w:b w:val="0"/>
          <w:bCs w:val="0"/>
          <w:sz w:val="32"/>
          <w:szCs w:val="32"/>
          <w:lang w:val="en-US"/>
        </w:rPr>
        <w:t>文旅系统部分干部职工到山东</w:t>
      </w:r>
      <w:r>
        <w:rPr>
          <w:rFonts w:hint="eastAsia" w:ascii="仿宋_GB2312" w:hAnsi="仿宋_GB2312" w:eastAsia="仿宋_GB2312" w:cs="仿宋_GB2312"/>
          <w:b w:val="0"/>
          <w:bCs w:val="0"/>
          <w:sz w:val="32"/>
          <w:szCs w:val="32"/>
          <w:lang w:val="en-US" w:eastAsia="zh-CN"/>
        </w:rPr>
        <w:t>考察</w:t>
      </w:r>
      <w:r>
        <w:rPr>
          <w:rFonts w:hint="eastAsia" w:ascii="仿宋_GB2312" w:hAnsi="仿宋_GB2312" w:eastAsia="仿宋_GB2312" w:cs="仿宋_GB2312"/>
          <w:b w:val="0"/>
          <w:bCs w:val="0"/>
          <w:sz w:val="32"/>
          <w:szCs w:val="32"/>
          <w:lang w:val="en-US"/>
        </w:rPr>
        <w:t>学习培训</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rPr>
        <w:t>初步拟定方案如下</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left"/>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一</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rPr>
        <w:t>培训时间和地点</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rPr>
        <w:t>初步定于</w:t>
      </w:r>
      <w:r>
        <w:rPr>
          <w:rFonts w:hint="eastAsia" w:ascii="仿宋_GB2312" w:hAnsi="仿宋_GB2312" w:eastAsia="仿宋_GB2312" w:cs="仿宋_GB2312"/>
          <w:b w:val="0"/>
          <w:bCs w:val="0"/>
          <w:sz w:val="32"/>
          <w:szCs w:val="32"/>
          <w:lang w:val="en-US" w:eastAsia="zh-CN"/>
        </w:rPr>
        <w:t>7月上旬</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rPr>
        <w:t>为期</w:t>
      </w:r>
      <w:r>
        <w:rPr>
          <w:rFonts w:hint="eastAsia"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lang w:val="en-US"/>
        </w:rPr>
        <w:t>天</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rPr>
        <w:t>山东济南和青岛</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left"/>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二、参训人员人数及名单</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rPr>
        <w:t>本次参加人数初步定为</w:t>
      </w:r>
      <w:r>
        <w:rPr>
          <w:rFonts w:hint="eastAsia" w:ascii="仿宋_GB2312" w:hAnsi="仿宋_GB2312" w:eastAsia="仿宋_GB2312" w:cs="仿宋_GB2312"/>
          <w:b w:val="0"/>
          <w:bCs w:val="0"/>
          <w:sz w:val="32"/>
          <w:szCs w:val="32"/>
          <w:lang w:val="en-US" w:eastAsia="zh-CN"/>
        </w:rPr>
        <w:t>26</w:t>
      </w:r>
      <w:r>
        <w:rPr>
          <w:rFonts w:hint="eastAsia" w:ascii="仿宋_GB2312" w:hAnsi="仿宋_GB2312" w:eastAsia="仿宋_GB2312" w:cs="仿宋_GB2312"/>
          <w:b w:val="0"/>
          <w:bCs w:val="0"/>
          <w:sz w:val="32"/>
          <w:szCs w:val="32"/>
          <w:lang w:val="en-US"/>
        </w:rPr>
        <w:t>人</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rPr>
        <w:t>人员名单</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待定</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left"/>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三、经费预算（按2</w:t>
      </w:r>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lang w:val="en-US"/>
        </w:rPr>
        <w:t>人预算</w:t>
      </w:r>
      <w:r>
        <w:rPr>
          <w:rFonts w:hint="eastAsia" w:ascii="黑体" w:hAnsi="黑体" w:eastAsia="黑体" w:cs="黑体"/>
          <w:b w:val="0"/>
          <w:bCs w:val="0"/>
          <w:sz w:val="32"/>
          <w:szCs w:val="32"/>
          <w:lang w:val="en-US" w:eastAsia="zh-CN"/>
        </w:rPr>
        <w:t>，总预算38.48万元</w:t>
      </w:r>
      <w:r>
        <w:rPr>
          <w:rFonts w:hint="eastAsia" w:ascii="黑体" w:hAnsi="黑体" w:eastAsia="黑体" w:cs="黑体"/>
          <w:b w:val="0"/>
          <w:bCs w:val="0"/>
          <w:sz w:val="32"/>
          <w:szCs w:val="32"/>
          <w:lang w:val="en-US"/>
        </w:rPr>
        <w:t>）</w:t>
      </w:r>
    </w:p>
    <w:p>
      <w:pPr>
        <w:jc w:val="left"/>
        <w:rPr>
          <w:rFonts w:hint="eastAsia" w:ascii="宋体" w:hAnsi="宋体" w:eastAsia="宋体" w:cs="宋体"/>
          <w:b w:val="0"/>
          <w:bCs w:val="0"/>
          <w:color w:val="auto"/>
          <w:sz w:val="32"/>
          <w:szCs w:val="32"/>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tbl>
      <w:tblPr>
        <w:tblStyle w:val="39"/>
        <w:tblpPr w:leftFromText="180" w:rightFromText="180" w:vertAnchor="page" w:horzAnchor="page" w:tblpX="2621" w:tblpY="2678"/>
        <w:tblOverlap w:val="never"/>
        <w:tblW w:w="6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69"/>
        <w:gridCol w:w="1699"/>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27"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序号</w:t>
            </w:r>
          </w:p>
        </w:tc>
        <w:tc>
          <w:tcPr>
            <w:tcW w:w="2569" w:type="dxa"/>
            <w:noWrap w:val="0"/>
            <w:vAlign w:val="top"/>
          </w:tcPr>
          <w:p>
            <w:pPr>
              <w:jc w:val="both"/>
              <w:rPr>
                <w:rFonts w:hint="eastAsia"/>
                <w:sz w:val="24"/>
                <w:szCs w:val="20"/>
                <w:lang w:val="en-US" w:eastAsia="zh-CN"/>
              </w:rPr>
            </w:pPr>
            <w:r>
              <w:rPr>
                <w:rFonts w:hint="eastAsia"/>
                <w:sz w:val="24"/>
                <w:szCs w:val="20"/>
                <w:lang w:val="en-US" w:eastAsia="zh-CN"/>
              </w:rPr>
              <w:t>项目</w:t>
            </w:r>
          </w:p>
        </w:tc>
        <w:tc>
          <w:tcPr>
            <w:tcW w:w="1699"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数量</w:t>
            </w:r>
          </w:p>
        </w:tc>
        <w:tc>
          <w:tcPr>
            <w:tcW w:w="1699" w:type="dxa"/>
            <w:noWrap w:val="0"/>
            <w:vAlign w:val="top"/>
          </w:tcPr>
          <w:p>
            <w:pPr>
              <w:ind w:left="0" w:leftChars="0" w:firstLine="0" w:firstLineChars="0"/>
              <w:rPr>
                <w:rFonts w:hint="eastAsia"/>
                <w:sz w:val="24"/>
                <w:szCs w:val="20"/>
                <w:lang w:val="en-US" w:eastAsia="zh-CN"/>
              </w:rPr>
            </w:pPr>
            <w:r>
              <w:rPr>
                <w:rFonts w:hint="eastAsia"/>
                <w:sz w:val="24"/>
                <w:szCs w:val="20"/>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7" w:type="dxa"/>
            <w:noWrap w:val="0"/>
            <w:vAlign w:val="top"/>
          </w:tcPr>
          <w:p>
            <w:pPr>
              <w:ind w:left="0" w:leftChars="0" w:firstLine="240" w:firstLineChars="100"/>
              <w:rPr>
                <w:rFonts w:hint="default"/>
                <w:sz w:val="24"/>
                <w:szCs w:val="20"/>
                <w:lang w:val="en-US" w:eastAsia="zh-CN"/>
              </w:rPr>
            </w:pPr>
            <w:r>
              <w:rPr>
                <w:rFonts w:hint="eastAsia"/>
                <w:sz w:val="24"/>
                <w:szCs w:val="20"/>
                <w:lang w:val="en-US" w:eastAsia="zh-CN"/>
              </w:rPr>
              <w:t>1</w:t>
            </w:r>
          </w:p>
        </w:tc>
        <w:tc>
          <w:tcPr>
            <w:tcW w:w="2569" w:type="dxa"/>
            <w:noWrap w:val="0"/>
            <w:vAlign w:val="top"/>
          </w:tcPr>
          <w:p>
            <w:pPr>
              <w:ind w:left="0" w:leftChars="0" w:firstLine="0" w:firstLineChars="0"/>
              <w:jc w:val="both"/>
              <w:rPr>
                <w:rFonts w:hint="default"/>
                <w:sz w:val="24"/>
                <w:szCs w:val="20"/>
                <w:lang w:val="en-US" w:eastAsia="zh-CN"/>
              </w:rPr>
            </w:pPr>
            <w:r>
              <w:rPr>
                <w:rFonts w:hint="eastAsia"/>
                <w:sz w:val="24"/>
                <w:szCs w:val="20"/>
                <w:lang w:val="en-US" w:eastAsia="zh-CN"/>
              </w:rPr>
              <w:t>机票</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26人往返</w:t>
            </w:r>
          </w:p>
        </w:tc>
        <w:tc>
          <w:tcPr>
            <w:tcW w:w="1699" w:type="dxa"/>
            <w:noWrap w:val="0"/>
            <w:vAlign w:val="top"/>
          </w:tcPr>
          <w:p>
            <w:pPr>
              <w:jc w:val="center"/>
              <w:rPr>
                <w:rFonts w:hint="default"/>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2</w:t>
            </w:r>
          </w:p>
        </w:tc>
        <w:tc>
          <w:tcPr>
            <w:tcW w:w="2569"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标准四星住宿费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13间*9天</w:t>
            </w:r>
          </w:p>
        </w:tc>
        <w:tc>
          <w:tcPr>
            <w:tcW w:w="1699" w:type="dxa"/>
            <w:noWrap w:val="0"/>
            <w:vAlign w:val="top"/>
          </w:tcPr>
          <w:p>
            <w:pPr>
              <w:jc w:val="center"/>
              <w:rPr>
                <w:rFonts w:hint="default"/>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3</w:t>
            </w:r>
          </w:p>
        </w:tc>
        <w:tc>
          <w:tcPr>
            <w:tcW w:w="2569"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餐费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26人*10天</w:t>
            </w:r>
          </w:p>
        </w:tc>
        <w:tc>
          <w:tcPr>
            <w:tcW w:w="1699" w:type="dxa"/>
            <w:noWrap w:val="0"/>
            <w:vAlign w:val="top"/>
          </w:tcPr>
          <w:p>
            <w:pPr>
              <w:jc w:val="center"/>
              <w:rPr>
                <w:rFonts w:hint="default"/>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4</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cs="Times New Roman"/>
                <w:sz w:val="24"/>
                <w:szCs w:val="20"/>
                <w:lang w:val="en-US" w:eastAsia="zh-CN"/>
              </w:rPr>
              <w:t>讲师</w:t>
            </w:r>
            <w:r>
              <w:rPr>
                <w:rFonts w:hint="eastAsia" w:eastAsia="宋体" w:cs="Times New Roman"/>
                <w:sz w:val="24"/>
                <w:szCs w:val="20"/>
                <w:lang w:val="en-US" w:eastAsia="zh-CN"/>
              </w:rPr>
              <w:t>培训费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3场</w:t>
            </w:r>
          </w:p>
        </w:tc>
        <w:tc>
          <w:tcPr>
            <w:tcW w:w="1699" w:type="dxa"/>
            <w:noWrap w:val="0"/>
            <w:vAlign w:val="top"/>
          </w:tcPr>
          <w:p>
            <w:pPr>
              <w:jc w:val="center"/>
              <w:rPr>
                <w:rFonts w:hint="default"/>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5</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cs="Times New Roman"/>
                <w:sz w:val="24"/>
                <w:szCs w:val="20"/>
                <w:lang w:val="en-US" w:eastAsia="zh-CN"/>
              </w:rPr>
              <w:t>100人</w:t>
            </w:r>
            <w:r>
              <w:rPr>
                <w:rFonts w:hint="eastAsia" w:eastAsia="宋体" w:cs="Times New Roman"/>
                <w:sz w:val="24"/>
                <w:szCs w:val="20"/>
                <w:lang w:val="en-US" w:eastAsia="zh-CN"/>
              </w:rPr>
              <w:t>会议培训场地费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1场</w:t>
            </w:r>
          </w:p>
        </w:tc>
        <w:tc>
          <w:tcPr>
            <w:tcW w:w="1699" w:type="dxa"/>
            <w:noWrap w:val="0"/>
            <w:vAlign w:val="top"/>
          </w:tcPr>
          <w:p>
            <w:pPr>
              <w:ind w:firstLine="480" w:firstLineChars="200"/>
              <w:jc w:val="center"/>
              <w:rPr>
                <w:rFonts w:hint="default"/>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27" w:type="dxa"/>
            <w:noWrap w:val="0"/>
            <w:vAlign w:val="top"/>
          </w:tcPr>
          <w:p>
            <w:pPr>
              <w:ind w:left="0" w:leftChars="0" w:firstLine="240" w:firstLineChars="100"/>
              <w:rPr>
                <w:rFonts w:hint="eastAsia"/>
                <w:sz w:val="24"/>
                <w:szCs w:val="20"/>
                <w:lang w:val="en-US" w:eastAsia="zh-CN"/>
              </w:rPr>
            </w:pPr>
            <w:r>
              <w:rPr>
                <w:rFonts w:hint="eastAsia"/>
                <w:sz w:val="24"/>
                <w:szCs w:val="20"/>
                <w:lang w:val="en-US" w:eastAsia="zh-CN"/>
              </w:rPr>
              <w:t>6</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eastAsia="宋体" w:cs="Times New Roman"/>
                <w:sz w:val="24"/>
                <w:szCs w:val="20"/>
                <w:lang w:val="en-US" w:eastAsia="zh-CN"/>
              </w:rPr>
              <w:t>培训材料包</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26人*26套</w:t>
            </w:r>
          </w:p>
        </w:tc>
        <w:tc>
          <w:tcPr>
            <w:tcW w:w="1699" w:type="dxa"/>
            <w:noWrap w:val="0"/>
            <w:vAlign w:val="top"/>
          </w:tcPr>
          <w:p>
            <w:pPr>
              <w:ind w:firstLine="480" w:firstLineChars="200"/>
              <w:jc w:val="center"/>
              <w:rPr>
                <w:rFonts w:hint="default"/>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27" w:type="dxa"/>
            <w:noWrap w:val="0"/>
            <w:vAlign w:val="top"/>
          </w:tcPr>
          <w:p>
            <w:pPr>
              <w:ind w:left="0" w:leftChars="0" w:firstLine="240" w:firstLineChars="100"/>
              <w:rPr>
                <w:rFonts w:hint="default"/>
                <w:sz w:val="24"/>
                <w:szCs w:val="20"/>
                <w:lang w:val="en-US" w:eastAsia="zh-CN"/>
              </w:rPr>
            </w:pPr>
            <w:r>
              <w:rPr>
                <w:rFonts w:hint="eastAsia"/>
                <w:sz w:val="24"/>
                <w:szCs w:val="20"/>
                <w:lang w:val="en-US" w:eastAsia="zh-CN"/>
              </w:rPr>
              <w:t>7</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cs="Times New Roman"/>
                <w:sz w:val="24"/>
                <w:szCs w:val="20"/>
                <w:lang w:val="en-US" w:eastAsia="zh-CN"/>
              </w:rPr>
              <w:t>15个现场教学地</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26人</w:t>
            </w:r>
          </w:p>
        </w:tc>
        <w:tc>
          <w:tcPr>
            <w:tcW w:w="1699" w:type="dxa"/>
            <w:noWrap w:val="0"/>
            <w:vAlign w:val="top"/>
          </w:tcPr>
          <w:p>
            <w:pPr>
              <w:ind w:firstLine="480" w:firstLineChars="200"/>
              <w:jc w:val="center"/>
              <w:rPr>
                <w:rFonts w:hint="default"/>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27" w:type="dxa"/>
            <w:noWrap w:val="0"/>
            <w:vAlign w:val="top"/>
          </w:tcPr>
          <w:p>
            <w:pPr>
              <w:ind w:left="0" w:leftChars="0" w:firstLine="240" w:firstLineChars="100"/>
              <w:rPr>
                <w:rFonts w:hint="default"/>
                <w:sz w:val="24"/>
                <w:szCs w:val="20"/>
                <w:lang w:val="en-US" w:eastAsia="zh-CN"/>
              </w:rPr>
            </w:pPr>
            <w:r>
              <w:rPr>
                <w:rFonts w:hint="eastAsia"/>
                <w:sz w:val="24"/>
                <w:szCs w:val="20"/>
                <w:lang w:val="en-US" w:eastAsia="zh-CN"/>
              </w:rPr>
              <w:t>8</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cs="Times New Roman"/>
                <w:sz w:val="24"/>
                <w:szCs w:val="20"/>
                <w:lang w:val="en-US" w:eastAsia="zh-CN"/>
              </w:rPr>
              <w:t>交流座谈费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6场</w:t>
            </w:r>
          </w:p>
        </w:tc>
        <w:tc>
          <w:tcPr>
            <w:tcW w:w="1699" w:type="dxa"/>
            <w:noWrap w:val="0"/>
            <w:vAlign w:val="top"/>
          </w:tcPr>
          <w:p>
            <w:pPr>
              <w:ind w:firstLine="480" w:firstLineChars="200"/>
              <w:jc w:val="center"/>
              <w:rPr>
                <w:rFonts w:hint="default"/>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27" w:type="dxa"/>
            <w:noWrap w:val="0"/>
            <w:vAlign w:val="top"/>
          </w:tcPr>
          <w:p>
            <w:pPr>
              <w:ind w:left="0" w:leftChars="0" w:firstLine="240" w:firstLineChars="100"/>
              <w:rPr>
                <w:rFonts w:hint="default"/>
                <w:sz w:val="24"/>
                <w:szCs w:val="20"/>
                <w:lang w:val="en-US" w:eastAsia="zh-CN"/>
              </w:rPr>
            </w:pPr>
            <w:r>
              <w:rPr>
                <w:rFonts w:hint="eastAsia"/>
                <w:sz w:val="24"/>
                <w:szCs w:val="20"/>
                <w:lang w:val="en-US" w:eastAsia="zh-CN"/>
              </w:rPr>
              <w:t>9</w:t>
            </w:r>
          </w:p>
        </w:tc>
        <w:tc>
          <w:tcPr>
            <w:tcW w:w="2569" w:type="dxa"/>
            <w:noWrap w:val="0"/>
            <w:vAlign w:val="top"/>
          </w:tcPr>
          <w:p>
            <w:pPr>
              <w:ind w:left="0" w:leftChars="0" w:firstLine="0" w:firstLineChars="0"/>
              <w:jc w:val="both"/>
              <w:rPr>
                <w:rFonts w:hint="default" w:eastAsia="宋体" w:cs="Times New Roman"/>
                <w:sz w:val="24"/>
                <w:szCs w:val="20"/>
                <w:lang w:val="en-US" w:eastAsia="zh-CN"/>
              </w:rPr>
            </w:pPr>
            <w:r>
              <w:rPr>
                <w:rFonts w:hint="eastAsia" w:cs="Times New Roman"/>
                <w:sz w:val="24"/>
                <w:szCs w:val="20"/>
                <w:lang w:val="en-US" w:eastAsia="zh-CN"/>
              </w:rPr>
              <w:t>50人交流座谈场地费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6场</w:t>
            </w:r>
          </w:p>
        </w:tc>
        <w:tc>
          <w:tcPr>
            <w:tcW w:w="1699" w:type="dxa"/>
            <w:noWrap w:val="0"/>
            <w:vAlign w:val="top"/>
          </w:tcPr>
          <w:p>
            <w:pPr>
              <w:ind w:firstLine="480" w:firstLineChars="200"/>
              <w:jc w:val="center"/>
              <w:rPr>
                <w:rFonts w:hint="default"/>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27" w:type="dxa"/>
            <w:noWrap w:val="0"/>
            <w:vAlign w:val="top"/>
          </w:tcPr>
          <w:p>
            <w:pPr>
              <w:ind w:left="0" w:leftChars="0" w:firstLine="240" w:firstLineChars="100"/>
              <w:rPr>
                <w:rFonts w:hint="default"/>
                <w:sz w:val="24"/>
                <w:szCs w:val="20"/>
                <w:lang w:val="en-US" w:eastAsia="zh-CN"/>
              </w:rPr>
            </w:pPr>
            <w:r>
              <w:rPr>
                <w:rFonts w:hint="eastAsia"/>
                <w:sz w:val="24"/>
                <w:szCs w:val="20"/>
                <w:lang w:val="en-US" w:eastAsia="zh-CN"/>
              </w:rPr>
              <w:t>10</w:t>
            </w:r>
          </w:p>
        </w:tc>
        <w:tc>
          <w:tcPr>
            <w:tcW w:w="2569" w:type="dxa"/>
            <w:noWrap w:val="0"/>
            <w:vAlign w:val="top"/>
          </w:tcPr>
          <w:p>
            <w:pPr>
              <w:ind w:left="0" w:leftChars="0" w:firstLine="0" w:firstLineChars="0"/>
              <w:jc w:val="both"/>
              <w:rPr>
                <w:rFonts w:hint="default"/>
                <w:sz w:val="24"/>
                <w:szCs w:val="20"/>
                <w:lang w:val="en-US" w:eastAsia="zh-CN"/>
              </w:rPr>
            </w:pPr>
            <w:r>
              <w:rPr>
                <w:rFonts w:hint="eastAsia"/>
                <w:sz w:val="24"/>
                <w:szCs w:val="20"/>
                <w:lang w:val="en-US" w:eastAsia="zh-CN"/>
              </w:rPr>
              <w:t>服务管理费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26人*10天</w:t>
            </w:r>
          </w:p>
        </w:tc>
        <w:tc>
          <w:tcPr>
            <w:tcW w:w="1699" w:type="dxa"/>
            <w:noWrap w:val="0"/>
            <w:vAlign w:val="top"/>
          </w:tcPr>
          <w:p>
            <w:pPr>
              <w:ind w:firstLine="480" w:firstLineChars="200"/>
              <w:jc w:val="center"/>
              <w:rPr>
                <w:rFonts w:hint="default"/>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27" w:type="dxa"/>
            <w:noWrap w:val="0"/>
            <w:vAlign w:val="top"/>
          </w:tcPr>
          <w:p>
            <w:pPr>
              <w:ind w:left="0" w:leftChars="0" w:firstLine="240" w:firstLineChars="100"/>
              <w:rPr>
                <w:rFonts w:hint="default"/>
                <w:sz w:val="24"/>
                <w:szCs w:val="20"/>
                <w:lang w:val="en-US" w:eastAsia="zh-CN"/>
              </w:rPr>
            </w:pPr>
            <w:r>
              <w:rPr>
                <w:rFonts w:hint="eastAsia"/>
                <w:sz w:val="24"/>
                <w:szCs w:val="20"/>
                <w:lang w:val="en-US" w:eastAsia="zh-CN"/>
              </w:rPr>
              <w:t>11</w:t>
            </w:r>
          </w:p>
        </w:tc>
        <w:tc>
          <w:tcPr>
            <w:tcW w:w="2569" w:type="dxa"/>
            <w:noWrap w:val="0"/>
            <w:vAlign w:val="top"/>
          </w:tcPr>
          <w:p>
            <w:pPr>
              <w:ind w:left="0" w:leftChars="0" w:firstLine="0" w:firstLineChars="0"/>
              <w:jc w:val="both"/>
              <w:rPr>
                <w:rFonts w:hint="eastAsia"/>
                <w:sz w:val="24"/>
                <w:szCs w:val="20"/>
                <w:lang w:val="en-US" w:eastAsia="zh-CN"/>
              </w:rPr>
            </w:pPr>
            <w:r>
              <w:rPr>
                <w:rFonts w:hint="eastAsia"/>
                <w:sz w:val="24"/>
                <w:szCs w:val="20"/>
                <w:lang w:val="en-US" w:eastAsia="zh-CN"/>
              </w:rPr>
              <w:t>大巴车租赁费</w:t>
            </w:r>
          </w:p>
        </w:tc>
        <w:tc>
          <w:tcPr>
            <w:tcW w:w="1699" w:type="dxa"/>
            <w:noWrap w:val="0"/>
            <w:vAlign w:val="top"/>
          </w:tcPr>
          <w:p>
            <w:pPr>
              <w:ind w:left="0" w:leftChars="0" w:firstLine="0" w:firstLineChars="0"/>
              <w:jc w:val="center"/>
              <w:rPr>
                <w:rFonts w:hint="default"/>
                <w:sz w:val="24"/>
                <w:szCs w:val="20"/>
                <w:lang w:val="en-US" w:eastAsia="zh-CN"/>
              </w:rPr>
            </w:pPr>
            <w:r>
              <w:rPr>
                <w:rFonts w:hint="eastAsia"/>
                <w:sz w:val="24"/>
                <w:szCs w:val="20"/>
                <w:lang w:val="en-US" w:eastAsia="zh-CN"/>
              </w:rPr>
              <w:t>10天*1辆</w:t>
            </w:r>
          </w:p>
        </w:tc>
        <w:tc>
          <w:tcPr>
            <w:tcW w:w="1699" w:type="dxa"/>
            <w:noWrap w:val="0"/>
            <w:vAlign w:val="top"/>
          </w:tcPr>
          <w:p>
            <w:pPr>
              <w:ind w:firstLine="480" w:firstLineChars="200"/>
              <w:jc w:val="center"/>
              <w:rPr>
                <w:rFonts w:hint="default"/>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27" w:type="dxa"/>
            <w:noWrap w:val="0"/>
            <w:vAlign w:val="top"/>
          </w:tcPr>
          <w:p>
            <w:pPr>
              <w:ind w:left="0" w:leftChars="0" w:firstLine="240" w:firstLineChars="100"/>
              <w:rPr>
                <w:rFonts w:hint="default"/>
                <w:sz w:val="24"/>
                <w:szCs w:val="20"/>
                <w:lang w:val="en-US" w:eastAsia="zh-CN"/>
              </w:rPr>
            </w:pPr>
            <w:r>
              <w:rPr>
                <w:rFonts w:hint="eastAsia"/>
                <w:sz w:val="24"/>
                <w:szCs w:val="20"/>
                <w:lang w:val="en-US" w:eastAsia="zh-CN"/>
              </w:rPr>
              <w:t>12</w:t>
            </w:r>
          </w:p>
        </w:tc>
        <w:tc>
          <w:tcPr>
            <w:tcW w:w="2569" w:type="dxa"/>
            <w:noWrap w:val="0"/>
            <w:vAlign w:val="top"/>
          </w:tcPr>
          <w:p>
            <w:pPr>
              <w:ind w:left="0" w:leftChars="0" w:firstLine="0" w:firstLineChars="0"/>
              <w:jc w:val="center"/>
              <w:rPr>
                <w:rFonts w:hint="eastAsia"/>
                <w:sz w:val="24"/>
                <w:szCs w:val="20"/>
                <w:lang w:val="en-US" w:eastAsia="zh-CN"/>
              </w:rPr>
            </w:pPr>
            <w:r>
              <w:rPr>
                <w:rFonts w:hint="eastAsia"/>
                <w:sz w:val="24"/>
                <w:szCs w:val="20"/>
                <w:lang w:val="en-US" w:eastAsia="zh-CN"/>
              </w:rPr>
              <w:t>杂费（含保险费等）</w:t>
            </w:r>
          </w:p>
        </w:tc>
        <w:tc>
          <w:tcPr>
            <w:tcW w:w="1699" w:type="dxa"/>
            <w:noWrap w:val="0"/>
            <w:vAlign w:val="top"/>
          </w:tcPr>
          <w:p>
            <w:pPr>
              <w:jc w:val="both"/>
              <w:rPr>
                <w:rFonts w:hint="eastAsia"/>
                <w:sz w:val="24"/>
                <w:szCs w:val="20"/>
                <w:lang w:val="en-US" w:eastAsia="zh-CN"/>
              </w:rPr>
            </w:pPr>
            <w:r>
              <w:rPr>
                <w:rFonts w:hint="eastAsia"/>
                <w:sz w:val="24"/>
                <w:szCs w:val="20"/>
                <w:lang w:val="en-US" w:eastAsia="zh-CN"/>
              </w:rPr>
              <w:t>26人</w:t>
            </w:r>
          </w:p>
        </w:tc>
        <w:tc>
          <w:tcPr>
            <w:tcW w:w="1699" w:type="dxa"/>
            <w:noWrap w:val="0"/>
            <w:vAlign w:val="top"/>
          </w:tcPr>
          <w:p>
            <w:pPr>
              <w:ind w:firstLine="480" w:firstLineChars="200"/>
              <w:jc w:val="center"/>
              <w:rPr>
                <w:rFonts w:hint="default"/>
                <w:sz w:val="24"/>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94" w:type="dxa"/>
            <w:gridSpan w:val="4"/>
            <w:noWrap w:val="0"/>
            <w:vAlign w:val="top"/>
          </w:tcPr>
          <w:p>
            <w:pPr>
              <w:rPr>
                <w:rFonts w:hint="eastAsia"/>
                <w:sz w:val="24"/>
                <w:szCs w:val="20"/>
                <w:lang w:val="en-US" w:eastAsia="zh-CN"/>
              </w:rPr>
            </w:pPr>
          </w:p>
        </w:tc>
      </w:tr>
    </w:tbl>
    <w:p>
      <w:pPr>
        <w:pStyle w:val="2"/>
        <w:jc w:val="center"/>
        <w:rPr>
          <w:rFonts w:hint="eastAsia"/>
          <w:lang w:val="en-US" w:eastAsia="zh-CN"/>
        </w:rPr>
      </w:pPr>
    </w:p>
    <w:p>
      <w:pPr>
        <w:pStyle w:val="2"/>
        <w:jc w:val="center"/>
        <w:rPr>
          <w:rFonts w:hint="eastAsia"/>
          <w:lang w:val="en-US" w:eastAsia="zh-CN"/>
        </w:rPr>
      </w:pPr>
      <w:r>
        <w:rPr>
          <w:rFonts w:hint="eastAsia"/>
          <w:lang w:val="en-US" w:eastAsia="zh-CN"/>
        </w:rPr>
        <w:t>喀什地区文旅系统赴山东考察学习培训采购项目</w:t>
      </w:r>
    </w:p>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pPr>
    </w:p>
    <w:p>
      <w:pPr>
        <w:pStyle w:val="2"/>
        <w:jc w:val="center"/>
        <w:rPr>
          <w:rFonts w:hint="eastAsia"/>
          <w:lang w:val="en-US" w:eastAsia="zh-CN"/>
        </w:rPr>
        <w:sectPr>
          <w:pgSz w:w="11906" w:h="16838" w:orient="landscape"/>
          <w:pgMar w:top="1814" w:right="1531" w:bottom="1587" w:left="1531" w:header="851" w:footer="992" w:gutter="0"/>
          <w:cols w:space="720" w:num="1"/>
          <w:docGrid w:type="lines" w:linePitch="312" w:charSpace="0"/>
        </w:sectPr>
      </w:pPr>
    </w:p>
    <w:p>
      <w:pPr>
        <w:jc w:val="center"/>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喀什文旅系统培训行程计划</w:t>
      </w:r>
    </w:p>
    <w:tbl>
      <w:tblPr>
        <w:tblStyle w:val="3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5"/>
        <w:gridCol w:w="8359"/>
        <w:gridCol w:w="280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时间</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培训课程及行程</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地点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第一天</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 xml:space="preserve"> 学员在喀什机场集合，统一乘机飞往济南遥墙国际机场；机场接机到酒店，入住济南银座泉城大酒店。发放交流会会议指南和通讯录；召开行程动员会。</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济南银座泉城大酒店或同级别</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9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第二天</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【现场教学】观摩学习天下第一泉风景区；</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学习亮点：文旅融合（泉水文化、泉城文化、泉城文化景观打造、泉城文化景观申遗）</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天下第一泉景区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935" w:type="dxa"/>
            <w:vMerge w:val="continue"/>
            <w:tcBorders>
              <w:left w:val="single" w:color="000000" w:sz="4" w:space="0"/>
              <w:right w:val="single" w:color="000000" w:sz="4" w:space="0"/>
            </w:tcBorders>
            <w:noWrap w:val="0"/>
            <w:vAlign w:val="center"/>
          </w:tcPr>
          <w:p>
            <w:pPr>
              <w:keepNext w:val="0"/>
              <w:keepLines w:val="0"/>
              <w:widowControl/>
              <w:suppressLineNumbers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【现场教学】观摩学习宽厚里；</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学习亮点：网红商业街的打造</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宽厚里</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93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firstLine="0" w:firstLineChars="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【授课、座谈交流】</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天下第一泉景区运营团队中高层管理人员授课、座谈交流。</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天下第一泉会议室</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19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第三天</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【现场教学】观摩学习华谊兄弟（济南）影视城；</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学习亮点：主题公园类景区运营管理经验</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华谊兄弟（济南）影视城</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9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【现场教学】观摩学习济南方特东方神画；</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学习亮点：主题公园类景区运营管理经验</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济南方特东方神话</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93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【授课、座谈交流】</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济南方特东方神画运营团队中高层有关人员授课、座谈交流</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济南方特东方神画会议室</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第四天</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【现场教学】观摩学习九如山风景区</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学习亮点：景区打卡游+高端民宿</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九如山风景区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【授课、座谈交流】</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九如山风景度假区中高层有关人员授课、座谈交流</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九如山风景度假区会议室</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【现场教学】观摩学习济南跑马岭生态休闲度假区</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学习亮点：生态旅游+民宿运营模式</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济南跑马岭生态休闲度假区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【授课、座谈交流】</w:t>
            </w:r>
            <w:r>
              <w:rPr>
                <w:rFonts w:hint="eastAsia" w:ascii="仿宋_GB2312" w:hAnsi="宋体" w:eastAsia="仿宋_GB2312" w:cs="仿宋_GB2312"/>
                <w:b/>
                <w:bCs/>
                <w:i w:val="0"/>
                <w:iCs w:val="0"/>
                <w:color w:val="000000"/>
                <w:kern w:val="0"/>
                <w:sz w:val="24"/>
                <w:szCs w:val="24"/>
                <w:u w:val="none"/>
                <w:lang w:val="en-US" w:eastAsia="zh-CN"/>
              </w:rPr>
              <w:br w:type="textWrapping"/>
            </w:r>
            <w:r>
              <w:rPr>
                <w:rStyle w:val="108"/>
                <w:rFonts w:hAnsi="宋体"/>
                <w:lang w:val="en-US" w:eastAsia="zh-CN"/>
              </w:rPr>
              <w:t>跑马岭生态休闲度假区中高层有关人员授课、座谈交流</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济南跑马岭生态度假区会议室</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第五天</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【现场教学】观摩学习欧乐堡梦幻世界</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学习亮点：现代科技在景区打造中的运用</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欧乐堡梦幻世界</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【现场教学】观摩学习泉城欧乐堡温泉商务酒店</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学习亮点：主题酒店打造</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泉城欧乐堡温泉商务酒店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【现场教学】观摩学习泉城欧乐堡骑士度假酒店</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 xml:space="preserve">  学习亮点：主题酒店打造</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泉城欧乐堡骑士度假酒店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93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【授课、座谈交流】</w:t>
            </w:r>
            <w:r>
              <w:rPr>
                <w:rFonts w:hint="eastAsia" w:ascii="仿宋_GB2312" w:hAnsi="宋体" w:eastAsia="仿宋_GB2312" w:cs="仿宋_GB2312"/>
                <w:b/>
                <w:bCs/>
                <w:i w:val="0"/>
                <w:iCs w:val="0"/>
                <w:color w:val="000000"/>
                <w:kern w:val="0"/>
                <w:sz w:val="24"/>
                <w:szCs w:val="24"/>
                <w:u w:val="none"/>
                <w:lang w:val="en-US" w:eastAsia="zh-CN"/>
              </w:rPr>
              <w:br w:type="textWrapping"/>
            </w:r>
            <w:r>
              <w:rPr>
                <w:rStyle w:val="108"/>
                <w:rFonts w:hAnsi="宋体"/>
                <w:lang w:val="en-US" w:eastAsia="zh-CN"/>
              </w:rPr>
              <w:t>泉城欧乐堡梦幻世界、主题酒店运营管理团队中高层有关人员授课、座谈交流</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泉城欧乐堡会议室</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第六天</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【现场教学】观摩学习济南植物园</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学习亮点：植物园运营管理</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济南植物园</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9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【现场教学】观摩学习百脉泉景区</w:t>
            </w:r>
            <w:r>
              <w:rPr>
                <w:rStyle w:val="58"/>
                <w:rFonts w:hAnsi="宋体"/>
                <w:lang w:val="en-US" w:eastAsia="zh-CN"/>
              </w:rPr>
              <w:br w:type="textWrapping"/>
            </w:r>
            <w:r>
              <w:rPr>
                <w:rStyle w:val="58"/>
                <w:rFonts w:hAnsi="宋体"/>
                <w:lang w:val="en-US" w:eastAsia="zh-CN"/>
              </w:rPr>
              <w:t xml:space="preserve">   </w:t>
            </w:r>
            <w:r>
              <w:rPr>
                <w:rStyle w:val="108"/>
                <w:rFonts w:hAnsi="宋体"/>
                <w:lang w:val="en-US" w:eastAsia="zh-CN"/>
              </w:rPr>
              <w:t xml:space="preserve">  学习亮点：百脉泉景区运营管理</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百脉泉景区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 xml:space="preserve">【现场教学】观摩学习章丘古城  </w:t>
            </w:r>
            <w:r>
              <w:rPr>
                <w:rStyle w:val="58"/>
                <w:rFonts w:hAnsi="宋体"/>
                <w:lang w:val="en-US" w:eastAsia="zh-CN"/>
              </w:rPr>
              <w:br w:type="textWrapping"/>
            </w:r>
            <w:r>
              <w:rPr>
                <w:rStyle w:val="108"/>
                <w:rFonts w:hAnsi="宋体"/>
                <w:lang w:val="en-US" w:eastAsia="zh-CN"/>
              </w:rPr>
              <w:t xml:space="preserve">    学习亮点：古城运营管理特点</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章丘古城</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9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【现场教学】观摩学习济南野生动物世界</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学习亮点：野生动物世界运营管理、动植物主题民宿、主题餐厅运营。</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济南野生动物世界</w:t>
            </w:r>
          </w:p>
        </w:tc>
        <w:tc>
          <w:tcPr>
            <w:tcW w:w="960" w:type="dxa"/>
            <w:tcBorders>
              <w:top w:val="nil"/>
              <w:left w:val="nil"/>
              <w:bottom w:val="nil"/>
              <w:right w:val="nil"/>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【授课、座谈交流】</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济南野生动植物园运营管理团队中高层有关人员授课、座谈交流</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济南野生动植物园会议室</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9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第七天</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【集中学习】</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 xml:space="preserve"> 贯彻新发展理念，开创文化旅游融合发展新局面</w:t>
            </w:r>
            <w:r>
              <w:rPr>
                <w:rStyle w:val="108"/>
                <w:rFonts w:hAnsi="宋体"/>
                <w:lang w:val="en-US" w:eastAsia="zh-CN"/>
              </w:rPr>
              <w:br w:type="textWrapping"/>
            </w:r>
            <w:r>
              <w:rPr>
                <w:rStyle w:val="108"/>
                <w:rFonts w:hAnsi="宋体"/>
                <w:lang w:val="en-US" w:eastAsia="zh-CN"/>
              </w:rPr>
              <w:t xml:space="preserve">    授课人：山东旅游职业学院中高层有关人员授课、座谈交流</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山东旅游职业学院</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9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【集中学习】</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文化旅游目的地品牌营销及大数据应用</w:t>
            </w:r>
            <w:r>
              <w:rPr>
                <w:rStyle w:val="108"/>
                <w:rFonts w:hAnsi="宋体"/>
                <w:lang w:val="en-US" w:eastAsia="zh-CN"/>
              </w:rPr>
              <w:br w:type="textWrapping"/>
            </w:r>
            <w:r>
              <w:rPr>
                <w:rStyle w:val="108"/>
                <w:rFonts w:hAnsi="宋体"/>
                <w:lang w:val="en-US" w:eastAsia="zh-CN"/>
              </w:rPr>
              <w:t xml:space="preserve">    授课人：山东旅游职业学院中高层有关人员授课、座谈交流</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山东旅游职业学院</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93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【集中学习】</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乡村旅游资源开发与规划</w:t>
            </w:r>
            <w:r>
              <w:rPr>
                <w:rStyle w:val="108"/>
                <w:rFonts w:hAnsi="宋体"/>
                <w:lang w:val="en-US" w:eastAsia="zh-CN"/>
              </w:rPr>
              <w:br w:type="textWrapping"/>
            </w:r>
            <w:r>
              <w:rPr>
                <w:rStyle w:val="108"/>
                <w:rFonts w:hAnsi="宋体"/>
                <w:lang w:val="en-US" w:eastAsia="zh-CN"/>
              </w:rPr>
              <w:t xml:space="preserve"> 授课人：山东旅游职业学院中高层有关人员授课、座谈交流  </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山东旅游职业学院</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第八天</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统一乘车前往青岛海底世界</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【现场教学】观摩学习青岛海底世界</w:t>
            </w:r>
            <w:r>
              <w:rPr>
                <w:rStyle w:val="108"/>
                <w:rFonts w:hAnsi="宋体"/>
                <w:lang w:val="en-US" w:eastAsia="zh-CN"/>
              </w:rPr>
              <w:br w:type="textWrapping"/>
            </w:r>
            <w:r>
              <w:rPr>
                <w:rStyle w:val="108"/>
                <w:rFonts w:hAnsi="宋体"/>
                <w:lang w:val="en-US" w:eastAsia="zh-CN"/>
              </w:rPr>
              <w:t xml:space="preserve">    学习亮点：海洋动物主题景区运营管理特点</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青岛海底世界</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【座谈交流】</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青岛海底世界运营团队中高层有关人员授课、座谈交流</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青岛海底世界会议室</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3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第九天</w:t>
            </w:r>
          </w:p>
        </w:tc>
        <w:tc>
          <w:tcPr>
            <w:tcW w:w="835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【现场教学】观摩学习青岛崂山景区</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学习亮点：自然风光类主题景区运营管理特点</w:t>
            </w:r>
          </w:p>
        </w:tc>
        <w:tc>
          <w:tcPr>
            <w:tcW w:w="280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青岛崂山景区</w:t>
            </w:r>
          </w:p>
        </w:tc>
        <w:tc>
          <w:tcPr>
            <w:tcW w:w="960" w:type="dxa"/>
            <w:tcBorders>
              <w:top w:val="single" w:color="000000" w:sz="4" w:space="0"/>
              <w:left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3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rPr>
              <w:t>【授课、座谈交流】</w:t>
            </w:r>
            <w:r>
              <w:rPr>
                <w:rFonts w:hint="eastAsia" w:ascii="仿宋_GB2312" w:hAnsi="宋体" w:eastAsia="仿宋_GB2312" w:cs="仿宋_GB2312"/>
                <w:b/>
                <w:bCs/>
                <w:i w:val="0"/>
                <w:iCs w:val="0"/>
                <w:color w:val="000000"/>
                <w:kern w:val="0"/>
                <w:sz w:val="24"/>
                <w:szCs w:val="24"/>
                <w:u w:val="none"/>
                <w:lang w:val="en-US" w:eastAsia="zh-CN"/>
              </w:rPr>
              <w:br w:type="textWrapping"/>
            </w:r>
            <w:r>
              <w:rPr>
                <w:rFonts w:hint="eastAsia" w:ascii="仿宋_GB2312" w:hAnsi="宋体" w:eastAsia="仿宋_GB2312" w:cs="仿宋_GB2312"/>
                <w:b/>
                <w:bCs/>
                <w:i w:val="0"/>
                <w:iCs w:val="0"/>
                <w:color w:val="000000"/>
                <w:kern w:val="0"/>
                <w:sz w:val="24"/>
                <w:szCs w:val="24"/>
                <w:u w:val="none"/>
                <w:lang w:val="en-US" w:eastAsia="zh-CN"/>
              </w:rPr>
              <w:t xml:space="preserve">    </w:t>
            </w:r>
            <w:r>
              <w:rPr>
                <w:rStyle w:val="108"/>
                <w:rFonts w:hAnsi="宋体"/>
                <w:lang w:val="en-US" w:eastAsia="zh-CN"/>
              </w:rPr>
              <w:t>崂山景区管委会中高层相关人员授课、座谈交流</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青岛崂山景区管委会会议室</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第十天</w:t>
            </w:r>
          </w:p>
        </w:tc>
        <w:tc>
          <w:tcPr>
            <w:tcW w:w="8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统一乘车前往</w:t>
            </w:r>
            <w:r>
              <w:rPr>
                <w:rFonts w:hint="eastAsia" w:ascii="仿宋_GB2312" w:hAnsi="宋体" w:eastAsia="仿宋_GB2312" w:cs="仿宋_GB2312"/>
                <w:i w:val="0"/>
                <w:iCs w:val="0"/>
                <w:color w:val="000000"/>
                <w:kern w:val="0"/>
                <w:sz w:val="24"/>
                <w:szCs w:val="24"/>
                <w:u w:val="none"/>
                <w:lang w:val="en-US" w:eastAsia="zh-CN"/>
              </w:rPr>
              <w:br w:type="textWrapping"/>
            </w:r>
            <w:r>
              <w:rPr>
                <w:rFonts w:hint="eastAsia" w:ascii="仿宋_GB2312" w:hAnsi="宋体" w:eastAsia="仿宋_GB2312" w:cs="仿宋_GB2312"/>
                <w:i w:val="0"/>
                <w:iCs w:val="0"/>
                <w:color w:val="000000"/>
                <w:kern w:val="0"/>
                <w:sz w:val="24"/>
                <w:szCs w:val="24"/>
                <w:u w:val="none"/>
                <w:lang w:val="en-US" w:eastAsia="zh-CN"/>
              </w:rPr>
              <w:t>青岛胶东机场返程</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iCs w:val="0"/>
                <w:color w:val="000000"/>
                <w:sz w:val="24"/>
                <w:szCs w:val="24"/>
                <w:u w:val="none"/>
              </w:rPr>
            </w:pPr>
          </w:p>
        </w:tc>
      </w:tr>
    </w:tbl>
    <w:p>
      <w:pPr>
        <w:pStyle w:val="2"/>
        <w:jc w:val="center"/>
        <w:rPr>
          <w:rFonts w:hint="eastAsia"/>
          <w:lang w:val="en-US" w:eastAsia="zh-CN"/>
        </w:rPr>
      </w:pPr>
    </w:p>
    <w:p>
      <w:pPr>
        <w:pStyle w:val="2"/>
        <w:jc w:val="center"/>
        <w:rPr>
          <w:rFonts w:hint="eastAsia"/>
          <w:lang w:val="en-US" w:eastAsia="zh-CN"/>
        </w:rPr>
      </w:pPr>
    </w:p>
    <w:p>
      <w:pPr>
        <w:pStyle w:val="2"/>
        <w:jc w:val="center"/>
        <w:rPr>
          <w:rFonts w:hint="default"/>
          <w:b/>
          <w:bCs/>
          <w:lang w:val="en-US" w:eastAsia="zh-CN"/>
        </w:rPr>
        <w:sectPr>
          <w:pgSz w:w="16838" w:h="11906" w:orient="landscape"/>
          <w:pgMar w:top="1531" w:right="1814" w:bottom="1531" w:left="1587" w:header="851" w:footer="992" w:gutter="0"/>
          <w:cols w:space="720" w:num="1"/>
          <w:docGrid w:type="lines" w:linePitch="312" w:charSpace="0"/>
        </w:sectPr>
      </w:pPr>
    </w:p>
    <w:p>
      <w:pPr>
        <w:pStyle w:val="9"/>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仿宋" w:hAnsi="仿宋" w:eastAsia="仿宋" w:cs="仿宋"/>
          <w:color w:val="auto"/>
          <w:kern w:val="2"/>
          <w:sz w:val="36"/>
          <w:szCs w:val="36"/>
          <w:highlight w:val="none"/>
          <w:lang w:val="en-US" w:eastAsia="zh-CN" w:bidi="ar-SA"/>
        </w:rPr>
      </w:pPr>
      <w:bookmarkStart w:id="637" w:name="_Toc17467"/>
      <w:bookmarkStart w:id="638" w:name="_Toc26533"/>
      <w:r>
        <w:rPr>
          <w:rFonts w:hint="eastAsia" w:ascii="仿宋" w:hAnsi="仿宋" w:eastAsia="仿宋" w:cs="仿宋"/>
          <w:color w:val="auto"/>
          <w:kern w:val="2"/>
          <w:sz w:val="36"/>
          <w:szCs w:val="36"/>
          <w:highlight w:val="none"/>
          <w:lang w:val="en-US" w:eastAsia="zh-CN" w:bidi="ar-SA"/>
        </w:rPr>
        <w:t>商务要求</w:t>
      </w:r>
    </w:p>
    <w:p>
      <w:pPr>
        <w:pStyle w:val="9"/>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1、交付地点：采购人指定地点。</w:t>
      </w:r>
    </w:p>
    <w:p>
      <w:pPr>
        <w:pStyle w:val="9"/>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中标通知书发出后尽快签订政府采购合同，若第一中标人拒绝签订政府采购合同，将取消中标资格，应当承担相应的法律责任。采购人可以按照评审报告推荐的中标候选人名单排序，确定下一候选人为中标人，也可以重新开展政府采购活动。</w:t>
      </w:r>
    </w:p>
    <w:p>
      <w:pPr>
        <w:pStyle w:val="9"/>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3、交货期：具体以实际签订合同时间为准。</w:t>
      </w:r>
    </w:p>
    <w:p>
      <w:pPr>
        <w:pStyle w:val="2"/>
        <w:ind w:firstLine="560" w:firstLineChars="200"/>
        <w:rPr>
          <w:rFonts w:hint="eastAsia" w:ascii="仿宋" w:hAnsi="仿宋" w:eastAsia="仿宋" w:cs="仿宋"/>
          <w:color w:val="FF0000"/>
          <w:kern w:val="2"/>
          <w:sz w:val="28"/>
          <w:szCs w:val="28"/>
          <w:highlight w:val="yellow"/>
          <w:lang w:val="en-US" w:eastAsia="zh-CN" w:bidi="ar-SA"/>
        </w:rPr>
      </w:pPr>
      <w:r>
        <w:rPr>
          <w:rFonts w:hint="eastAsia" w:ascii="仿宋" w:hAnsi="仿宋" w:eastAsia="仿宋" w:cs="仿宋"/>
          <w:color w:val="auto"/>
          <w:kern w:val="2"/>
          <w:sz w:val="28"/>
          <w:szCs w:val="28"/>
          <w:highlight w:val="none"/>
          <w:lang w:val="en-US" w:eastAsia="zh-CN" w:bidi="ar-SA"/>
        </w:rPr>
        <w:t>4、付款方式：（具体以合同约定为准）。</w:t>
      </w:r>
    </w:p>
    <w:p>
      <w:pPr>
        <w:pStyle w:val="2"/>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5、活动要服从目的地新冠肺炎疫情防控工作的有关要求。注意预防新型冠状病毒和食物中毒等。</w:t>
      </w:r>
    </w:p>
    <w:p>
      <w:pPr>
        <w:pStyle w:val="2"/>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 活动行程可根据以上参考行程进行微调，投标单位需有详细的行程安排及具体时间段的安排。</w:t>
      </w:r>
    </w:p>
    <w:p>
      <w:pPr>
        <w:pStyle w:val="2"/>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7、针对项目提供详尽的项目需求分析以及清晰的描述，对该项目提供总体认识、理解以及整体规划；</w:t>
      </w:r>
    </w:p>
    <w:p>
      <w:pPr>
        <w:pStyle w:val="2"/>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8、须提供详细的服务方案、食宿安排计划、车辆安排计划及应急方案；</w:t>
      </w:r>
    </w:p>
    <w:p>
      <w:pPr>
        <w:pStyle w:val="2"/>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9、验收方案：活动结束后采购单位以会议的形式形成报告，对此次会议的评议逐级上报。</w:t>
      </w: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br w:type="page"/>
      </w:r>
    </w:p>
    <w:bookmarkEnd w:id="633"/>
    <w:bookmarkEnd w:id="634"/>
    <w:bookmarkEnd w:id="635"/>
    <w:bookmarkEnd w:id="637"/>
    <w:bookmarkEnd w:id="638"/>
    <w:p>
      <w:pPr>
        <w:jc w:val="center"/>
        <w:rPr>
          <w:rFonts w:hint="eastAsia" w:asciiTheme="majorEastAsia" w:hAnsiTheme="majorEastAsia" w:eastAsiaTheme="majorEastAsia" w:cstheme="majorEastAsia"/>
          <w:sz w:val="44"/>
          <w:szCs w:val="44"/>
        </w:rPr>
      </w:pPr>
      <w:bookmarkStart w:id="639" w:name="_Toc157182372"/>
      <w:bookmarkStart w:id="640" w:name="_Toc387416364"/>
      <w:bookmarkStart w:id="641" w:name="_Toc143596671"/>
      <w:bookmarkStart w:id="642" w:name="_Toc1213264"/>
      <w:bookmarkStart w:id="643" w:name="_Toc157176486"/>
      <w:bookmarkStart w:id="644" w:name="_Toc184891545"/>
      <w:bookmarkStart w:id="645" w:name="_Toc143596260"/>
      <w:bookmarkStart w:id="646" w:name="_Toc157179518"/>
      <w:bookmarkStart w:id="647" w:name="_Toc157176931"/>
      <w:bookmarkStart w:id="648" w:name="_Toc157179295"/>
      <w:bookmarkStart w:id="649" w:name="_Toc184891772"/>
      <w:bookmarkStart w:id="650" w:name="_Toc217102232"/>
      <w:bookmarkStart w:id="651" w:name="_Toc287112608"/>
      <w:bookmarkStart w:id="652" w:name="_Toc157175819"/>
      <w:bookmarkStart w:id="653" w:name="_Toc157179740"/>
      <w:r>
        <w:rPr>
          <w:rFonts w:hint="eastAsia" w:asciiTheme="majorEastAsia" w:hAnsiTheme="majorEastAsia" w:eastAsiaTheme="majorEastAsia" w:cstheme="majorEastAsia"/>
          <w:sz w:val="44"/>
          <w:szCs w:val="44"/>
        </w:rPr>
        <w:t>第6章评审方法和标准</w:t>
      </w:r>
    </w:p>
    <w:p>
      <w:pPr>
        <w:ind w:firstLine="420" w:firstLineChars="200"/>
        <w:rPr>
          <w:rFonts w:hint="eastAsia"/>
          <w:sz w:val="21"/>
          <w:szCs w:val="21"/>
          <w:lang w:val="en-US" w:eastAsia="zh-CN"/>
        </w:rPr>
      </w:pPr>
      <w:r>
        <w:rPr>
          <w:rFonts w:hint="eastAsia"/>
          <w:sz w:val="21"/>
          <w:szCs w:val="21"/>
          <w:lang w:val="en-US" w:eastAsia="zh-CN"/>
        </w:rPr>
        <w:t>本项目将按照磋商文件第一章供应商须知中“五磋商开启及评审”、“六 确定成交”及本章的规定评审</w:t>
      </w:r>
    </w:p>
    <w:p>
      <w:pPr>
        <w:jc w:val="center"/>
        <w:rPr>
          <w:rFonts w:hint="eastAsia"/>
          <w:b/>
          <w:bCs/>
          <w:sz w:val="28"/>
          <w:szCs w:val="28"/>
          <w:lang w:val="en-US" w:eastAsia="zh-CN"/>
        </w:rPr>
      </w:pPr>
      <w:r>
        <w:rPr>
          <w:rFonts w:hint="eastAsia"/>
          <w:b/>
          <w:bCs/>
          <w:sz w:val="28"/>
          <w:szCs w:val="28"/>
          <w:lang w:val="en-US" w:eastAsia="zh-CN"/>
        </w:rPr>
        <w:t>开标</w:t>
      </w:r>
    </w:p>
    <w:p>
      <w:pPr>
        <w:pStyle w:val="9"/>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9"/>
        <w:ind w:firstLine="480"/>
        <w:rPr>
          <w:rFonts w:hAnsi="宋体"/>
          <w:color w:val="000000"/>
        </w:rPr>
      </w:pPr>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w:t>
      </w:r>
      <w:r>
        <w:rPr>
          <w:rFonts w:hAnsi="宋体"/>
          <w:b/>
          <w:color w:val="000000"/>
        </w:rPr>
        <w:t>如法定代表人不能到会，则由被委托人持法定代表人证明书原件、法定代表人签发的法人授权委托书原件</w:t>
      </w:r>
      <w:r>
        <w:rPr>
          <w:rFonts w:hint="eastAsia" w:hAnsi="宋体"/>
          <w:b/>
          <w:color w:val="000000"/>
        </w:rPr>
        <w:t>）；（2）被授权人身份证证明；）等</w:t>
      </w:r>
      <w:r>
        <w:rPr>
          <w:rFonts w:hint="eastAsia" w:hAnsi="宋体"/>
          <w:b/>
          <w:color w:val="000000"/>
          <w:lang w:val="en-US" w:eastAsia="zh-CN"/>
        </w:rPr>
        <w:t>资格审查表</w:t>
      </w:r>
      <w:r>
        <w:rPr>
          <w:rFonts w:hint="eastAsia" w:hAnsi="宋体"/>
          <w:b/>
          <w:color w:val="000000"/>
        </w:rPr>
        <w:t>要求的所有证件</w:t>
      </w:r>
      <w:r>
        <w:rPr>
          <w:rFonts w:hint="eastAsia" w:hAnsi="宋体"/>
          <w:b/>
          <w:color w:val="000000"/>
          <w:lang w:eastAsia="zh-CN"/>
        </w:rPr>
        <w:t>，</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9"/>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9"/>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9"/>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9"/>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9"/>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9"/>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9"/>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int="eastAsia" w:hAnsi="宋体"/>
          <w:color w:val="000000"/>
          <w:u w:val="single"/>
          <w:lang w:val="en-US" w:eastAsia="zh-CN"/>
        </w:rPr>
        <w:t>按照投标文件递交顺序</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9"/>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9"/>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9"/>
        <w:ind w:firstLine="480"/>
        <w:rPr>
          <w:rFonts w:hAnsi="宋体"/>
          <w:color w:val="000000"/>
        </w:rPr>
      </w:pPr>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p>
    <w:p>
      <w:pPr>
        <w:pStyle w:val="9"/>
        <w:ind w:firstLine="480"/>
        <w:rPr>
          <w:rFonts w:hAnsi="宋体"/>
          <w:color w:val="000000"/>
        </w:rPr>
      </w:pPr>
      <w:r>
        <w:rPr>
          <w:rFonts w:hAnsi="宋体"/>
          <w:color w:val="000000"/>
        </w:rPr>
        <w:t>（一）判定响应文件不予受理的情形：</w:t>
      </w:r>
    </w:p>
    <w:p>
      <w:pPr>
        <w:pStyle w:val="9"/>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9"/>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9"/>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9"/>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9"/>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9"/>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102"/>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9"/>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9"/>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9"/>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9"/>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9"/>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102"/>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9"/>
        <w:ind w:firstLine="480"/>
        <w:rPr>
          <w:rFonts w:hAnsi="宋体"/>
          <w:color w:val="000000"/>
        </w:rPr>
      </w:pPr>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p>
    <w:p>
      <w:pPr>
        <w:pStyle w:val="9"/>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9"/>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numPr>
          <w:ilvl w:val="0"/>
          <w:numId w:val="0"/>
        </w:numPr>
        <w:rPr>
          <w:rFonts w:hint="default"/>
          <w:lang w:val="en-US" w:eastAsia="zh-CN"/>
        </w:rPr>
      </w:pPr>
    </w:p>
    <w:p>
      <w:pPr>
        <w:jc w:val="center"/>
        <w:rPr>
          <w:rFonts w:hint="eastAsia"/>
          <w:b/>
          <w:bCs/>
          <w:sz w:val="28"/>
          <w:szCs w:val="28"/>
        </w:rPr>
      </w:pPr>
      <w:r>
        <w:rPr>
          <w:rFonts w:hint="eastAsia"/>
          <w:b/>
          <w:bCs/>
          <w:sz w:val="28"/>
          <w:szCs w:val="28"/>
        </w:rPr>
        <w:t>评标办法</w:t>
      </w:r>
    </w:p>
    <w:p>
      <w:pPr>
        <w:ind w:firstLine="560" w:firstLineChars="200"/>
        <w:rPr>
          <w:rFonts w:hint="eastAsia"/>
          <w:sz w:val="28"/>
          <w:szCs w:val="28"/>
        </w:rPr>
      </w:pPr>
      <w:r>
        <w:rPr>
          <w:rFonts w:hint="eastAsia"/>
          <w:sz w:val="28"/>
          <w:szCs w:val="28"/>
        </w:rPr>
        <w:t>磋商小组</w:t>
      </w:r>
    </w:p>
    <w:p>
      <w:pPr>
        <w:numPr>
          <w:ilvl w:val="0"/>
          <w:numId w:val="9"/>
        </w:numPr>
        <w:ind w:firstLine="420" w:firstLineChars="200"/>
        <w:rPr>
          <w:rFonts w:hint="eastAsia"/>
          <w:sz w:val="21"/>
          <w:szCs w:val="21"/>
          <w:lang w:val="en-US" w:eastAsia="zh-CN"/>
        </w:rPr>
      </w:pPr>
      <w:r>
        <w:rPr>
          <w:rFonts w:hint="eastAsia"/>
          <w:sz w:val="21"/>
          <w:szCs w:val="21"/>
        </w:rPr>
        <w:t>招标人将根据《中华人民共和国政府采购法》的规定，依法组建本次招标的磋商小组，磋商小组负责本次招标的评标活动，并负责向招标方推荐成交候</w:t>
      </w:r>
      <w:r>
        <w:rPr>
          <w:rFonts w:hint="eastAsia"/>
          <w:sz w:val="21"/>
          <w:szCs w:val="21"/>
          <w:lang w:val="en-US" w:eastAsia="zh-CN"/>
        </w:rPr>
        <w:t>选人。</w:t>
      </w:r>
    </w:p>
    <w:p>
      <w:pPr>
        <w:numPr>
          <w:ilvl w:val="0"/>
          <w:numId w:val="9"/>
        </w:numPr>
        <w:ind w:firstLine="420" w:firstLineChars="200"/>
        <w:rPr>
          <w:rFonts w:hint="eastAsia"/>
          <w:sz w:val="21"/>
          <w:szCs w:val="21"/>
        </w:rPr>
      </w:pPr>
      <w:r>
        <w:rPr>
          <w:rFonts w:hint="eastAsia"/>
          <w:sz w:val="21"/>
          <w:szCs w:val="21"/>
        </w:rPr>
        <w:t xml:space="preserve"> 磋商小组人选于开标前确定。磋商小组名单在中标结果确定前保密。</w:t>
      </w:r>
    </w:p>
    <w:p>
      <w:pPr>
        <w:numPr>
          <w:ilvl w:val="0"/>
          <w:numId w:val="9"/>
        </w:numPr>
        <w:ind w:firstLine="420" w:firstLineChars="200"/>
        <w:rPr>
          <w:rFonts w:hint="eastAsia"/>
          <w:sz w:val="21"/>
          <w:szCs w:val="21"/>
        </w:rPr>
      </w:pPr>
      <w:r>
        <w:rPr>
          <w:rFonts w:hint="eastAsia"/>
          <w:sz w:val="21"/>
          <w:szCs w:val="21"/>
        </w:rPr>
        <w:t>磋商小组由新疆政府采购网专家库中随机抽取和采购单位熟悉相关业务的代表人员组成，成员为3人;</w:t>
      </w:r>
    </w:p>
    <w:p>
      <w:pPr>
        <w:numPr>
          <w:ilvl w:val="0"/>
          <w:numId w:val="9"/>
        </w:numPr>
        <w:ind w:firstLine="420" w:firstLineChars="200"/>
        <w:rPr>
          <w:rFonts w:hint="eastAsia"/>
          <w:sz w:val="21"/>
          <w:szCs w:val="21"/>
        </w:rPr>
      </w:pPr>
      <w:r>
        <w:rPr>
          <w:rFonts w:hint="eastAsia"/>
          <w:sz w:val="21"/>
          <w:szCs w:val="21"/>
        </w:rPr>
        <w:t>按前款规定，磋商小组由招标方委托代理机构从新疆政府采购网专家库中采取随机抽取的方式确定。</w:t>
      </w:r>
    </w:p>
    <w:p>
      <w:pPr>
        <w:numPr>
          <w:ilvl w:val="0"/>
          <w:numId w:val="9"/>
        </w:numPr>
        <w:ind w:firstLine="420" w:firstLineChars="200"/>
        <w:rPr>
          <w:rFonts w:hint="eastAsia"/>
          <w:sz w:val="21"/>
          <w:szCs w:val="21"/>
        </w:rPr>
      </w:pPr>
      <w:r>
        <w:rPr>
          <w:rFonts w:hint="eastAsia"/>
          <w:sz w:val="21"/>
          <w:szCs w:val="21"/>
        </w:rPr>
        <w:t>磋商小组的回避规定:</w:t>
      </w:r>
    </w:p>
    <w:p>
      <w:pPr>
        <w:numPr>
          <w:ilvl w:val="0"/>
          <w:numId w:val="0"/>
        </w:numPr>
        <w:ind w:firstLine="420" w:firstLineChars="200"/>
        <w:rPr>
          <w:rFonts w:hint="eastAsia"/>
          <w:sz w:val="21"/>
          <w:szCs w:val="21"/>
        </w:rPr>
      </w:pPr>
      <w:r>
        <w:rPr>
          <w:rFonts w:hint="eastAsia"/>
          <w:sz w:val="21"/>
          <w:szCs w:val="21"/>
        </w:rPr>
        <w:t xml:space="preserve">有下列情形之一的，不得担任磋商小组成员: </w:t>
      </w:r>
    </w:p>
    <w:p>
      <w:pPr>
        <w:numPr>
          <w:ilvl w:val="0"/>
          <w:numId w:val="10"/>
        </w:numPr>
        <w:rPr>
          <w:rFonts w:hint="eastAsia"/>
          <w:sz w:val="21"/>
          <w:szCs w:val="21"/>
        </w:rPr>
      </w:pPr>
      <w:r>
        <w:rPr>
          <w:rFonts w:hint="eastAsia"/>
          <w:sz w:val="21"/>
          <w:szCs w:val="21"/>
        </w:rPr>
        <w:t>与投标方或者投标方主要负责人有近亲关系的:</w:t>
      </w:r>
    </w:p>
    <w:p>
      <w:pPr>
        <w:numPr>
          <w:ilvl w:val="0"/>
          <w:numId w:val="10"/>
        </w:numPr>
        <w:rPr>
          <w:rFonts w:hint="eastAsia"/>
          <w:sz w:val="21"/>
          <w:szCs w:val="21"/>
        </w:rPr>
      </w:pPr>
      <w:r>
        <w:rPr>
          <w:rFonts w:hint="eastAsia"/>
          <w:sz w:val="21"/>
          <w:szCs w:val="21"/>
        </w:rPr>
        <w:t>与项目主管部门或者行政监督部门的人员有近亲关系的;</w:t>
      </w:r>
    </w:p>
    <w:p>
      <w:pPr>
        <w:numPr>
          <w:ilvl w:val="0"/>
          <w:numId w:val="10"/>
        </w:numPr>
        <w:rPr>
          <w:rFonts w:hint="eastAsia"/>
          <w:sz w:val="21"/>
          <w:szCs w:val="21"/>
        </w:rPr>
      </w:pPr>
      <w:r>
        <w:rPr>
          <w:rFonts w:hint="eastAsia"/>
          <w:sz w:val="21"/>
          <w:szCs w:val="21"/>
        </w:rPr>
        <w:t>与投标方有经济利益关系，可能影响对投标公正评审的:</w:t>
      </w:r>
    </w:p>
    <w:p>
      <w:pPr>
        <w:numPr>
          <w:ilvl w:val="0"/>
          <w:numId w:val="10"/>
        </w:numPr>
        <w:rPr>
          <w:rFonts w:hint="eastAsia"/>
          <w:sz w:val="21"/>
          <w:szCs w:val="21"/>
        </w:rPr>
      </w:pPr>
      <w:r>
        <w:rPr>
          <w:rFonts w:hint="eastAsia"/>
          <w:sz w:val="21"/>
          <w:szCs w:val="21"/>
        </w:rPr>
        <w:t>曾因在招标、评标以及其他与招标投标有关活动中从事违法行为而受过行政处罚或刑事处罚的。</w:t>
      </w:r>
    </w:p>
    <w:p>
      <w:pPr>
        <w:numPr>
          <w:ilvl w:val="0"/>
          <w:numId w:val="0"/>
        </w:numPr>
        <w:rPr>
          <w:rFonts w:hint="eastAsia"/>
          <w:sz w:val="21"/>
          <w:szCs w:val="21"/>
        </w:rPr>
      </w:pPr>
      <w:r>
        <w:rPr>
          <w:rFonts w:hint="eastAsia"/>
          <w:sz w:val="21"/>
          <w:szCs w:val="21"/>
          <w:lang w:val="en-US" w:eastAsia="zh-CN"/>
        </w:rPr>
        <w:t>6</w:t>
      </w:r>
      <w:r>
        <w:rPr>
          <w:rFonts w:hint="eastAsia"/>
          <w:sz w:val="21"/>
          <w:szCs w:val="21"/>
        </w:rPr>
        <w:t>、磋商小组成员应当熟悉并认真研究本文件，至少应了解和熟悉以下内容:</w:t>
      </w:r>
    </w:p>
    <w:p>
      <w:pPr>
        <w:numPr>
          <w:ilvl w:val="0"/>
          <w:numId w:val="0"/>
        </w:numPr>
        <w:rPr>
          <w:rFonts w:hint="eastAsia"/>
          <w:sz w:val="21"/>
          <w:szCs w:val="21"/>
        </w:rPr>
      </w:pPr>
      <w:r>
        <w:rPr>
          <w:rFonts w:hint="eastAsia"/>
          <w:sz w:val="21"/>
          <w:szCs w:val="21"/>
        </w:rPr>
        <w:t>1)</w:t>
      </w:r>
      <w:r>
        <w:rPr>
          <w:rFonts w:hint="eastAsia"/>
          <w:sz w:val="21"/>
          <w:szCs w:val="21"/>
          <w:lang w:eastAsia="zh-CN"/>
        </w:rPr>
        <w:t>、</w:t>
      </w:r>
      <w:r>
        <w:rPr>
          <w:rFonts w:hint="eastAsia"/>
          <w:sz w:val="21"/>
          <w:szCs w:val="21"/>
        </w:rPr>
        <w:t>招标目的;</w:t>
      </w:r>
    </w:p>
    <w:p>
      <w:pPr>
        <w:numPr>
          <w:ilvl w:val="0"/>
          <w:numId w:val="0"/>
        </w:numPr>
        <w:rPr>
          <w:rFonts w:hint="eastAsia"/>
          <w:sz w:val="21"/>
          <w:szCs w:val="21"/>
        </w:rPr>
      </w:pPr>
      <w:r>
        <w:rPr>
          <w:rFonts w:hint="eastAsia"/>
          <w:sz w:val="21"/>
          <w:szCs w:val="21"/>
        </w:rPr>
        <w:t>2)</w:t>
      </w:r>
      <w:r>
        <w:rPr>
          <w:rFonts w:hint="eastAsia"/>
          <w:sz w:val="21"/>
          <w:szCs w:val="21"/>
          <w:lang w:eastAsia="zh-CN"/>
        </w:rPr>
        <w:t>、</w:t>
      </w:r>
      <w:r>
        <w:rPr>
          <w:rFonts w:hint="eastAsia"/>
          <w:sz w:val="21"/>
          <w:szCs w:val="21"/>
        </w:rPr>
        <w:t>招标项目的范围、性质;</w:t>
      </w:r>
    </w:p>
    <w:p>
      <w:pPr>
        <w:numPr>
          <w:ilvl w:val="0"/>
          <w:numId w:val="0"/>
        </w:numPr>
        <w:rPr>
          <w:rFonts w:hint="default"/>
          <w:sz w:val="21"/>
          <w:szCs w:val="21"/>
          <w:lang w:val="en-US" w:eastAsia="zh-CN"/>
        </w:rPr>
      </w:pPr>
      <w:r>
        <w:rPr>
          <w:rFonts w:hint="eastAsia"/>
          <w:sz w:val="21"/>
          <w:szCs w:val="21"/>
        </w:rPr>
        <w:t>3)本文件中规定的主要</w:t>
      </w:r>
      <w:r>
        <w:rPr>
          <w:rFonts w:hint="eastAsia"/>
          <w:sz w:val="21"/>
          <w:szCs w:val="21"/>
          <w:lang w:val="en-US" w:eastAsia="zh-CN"/>
        </w:rPr>
        <w:t>技术要求、标准和商务条款</w:t>
      </w:r>
    </w:p>
    <w:p>
      <w:pPr>
        <w:numPr>
          <w:ilvl w:val="0"/>
          <w:numId w:val="0"/>
        </w:numPr>
        <w:rPr>
          <w:rFonts w:hint="eastAsia"/>
          <w:sz w:val="21"/>
          <w:szCs w:val="21"/>
          <w:lang w:val="en-US" w:eastAsia="zh-CN"/>
        </w:rPr>
      </w:pPr>
      <w:r>
        <w:rPr>
          <w:rFonts w:hint="eastAsia"/>
          <w:sz w:val="21"/>
          <w:szCs w:val="21"/>
          <w:lang w:val="en-US" w:eastAsia="zh-CN"/>
        </w:rPr>
        <w:t>4)本文件规定的评标标准、评标办法和在评标过程中应该考虑的相关因素。</w:t>
      </w:r>
    </w:p>
    <w:p>
      <w:pPr>
        <w:numPr>
          <w:ilvl w:val="0"/>
          <w:numId w:val="0"/>
        </w:num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7、招标人应当向磋商小组提供文件。</w:t>
      </w:r>
    </w:p>
    <w:p>
      <w:pPr>
        <w:numPr>
          <w:ilvl w:val="0"/>
          <w:numId w:val="0"/>
        </w:num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8、磋商小组应当根据文件规定的评标办法和方法，对响应文件进行系统地评审和比较，本文件中没有规定地标准和方法不得作为评标地依据。</w:t>
      </w:r>
    </w:p>
    <w:p>
      <w:pPr>
        <w:numPr>
          <w:ilvl w:val="0"/>
          <w:numId w:val="0"/>
        </w:num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磋商小组成员应当客观、公正地履行职责，遵守职业道德，并对所提出地评审意见承担个人责任，磋商小组成员不得与任何投标方或者招标结果有利害关系地人员进行私下接触，不得收受投标方、中介人或其他利害关系人地财务和好处</w:t>
      </w:r>
    </w:p>
    <w:p>
      <w:pPr>
        <w:numPr>
          <w:ilvl w:val="0"/>
          <w:numId w:val="0"/>
        </w:num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10、磋商小组成员和与本次评标活动有关的工作人员，不得透露对投标文件的评审和比较、成交候选人地推荐情况以及与评标有关地其他情况</w:t>
      </w:r>
    </w:p>
    <w:p>
      <w:pPr>
        <w:numPr>
          <w:ilvl w:val="0"/>
          <w:numId w:val="0"/>
        </w:numPr>
        <w:rPr>
          <w:rFonts w:hint="eastAsia"/>
          <w:b/>
          <w:bCs/>
          <w:sz w:val="28"/>
          <w:szCs w:val="28"/>
          <w:lang w:val="en-US" w:eastAsia="zh-CN"/>
        </w:rPr>
      </w:pPr>
      <w:r>
        <w:rPr>
          <w:rFonts w:hint="eastAsia"/>
          <w:b/>
          <w:bCs/>
          <w:sz w:val="28"/>
          <w:szCs w:val="28"/>
          <w:lang w:val="en-US" w:eastAsia="zh-CN"/>
        </w:rPr>
        <w:t>评标</w:t>
      </w:r>
    </w:p>
    <w:p>
      <w:pPr>
        <w:numPr>
          <w:ilvl w:val="0"/>
          <w:numId w:val="0"/>
        </w:numPr>
        <w:ind w:firstLine="420" w:firstLineChars="200"/>
        <w:rPr>
          <w:rFonts w:hint="eastAsia"/>
          <w:lang w:val="en-US" w:eastAsia="zh-CN"/>
        </w:rPr>
      </w:pPr>
      <w:r>
        <w:rPr>
          <w:rFonts w:hint="eastAsia"/>
          <w:lang w:val="en-US" w:eastAsia="zh-CN"/>
        </w:rPr>
        <w:t>1、评标的依据为磋商文件和响应文件:</w:t>
      </w:r>
    </w:p>
    <w:p>
      <w:pPr>
        <w:numPr>
          <w:ilvl w:val="0"/>
          <w:numId w:val="0"/>
        </w:numPr>
        <w:ind w:firstLine="420" w:firstLineChars="200"/>
        <w:rPr>
          <w:rFonts w:hint="eastAsia"/>
          <w:highlight w:val="none"/>
          <w:lang w:val="en-US" w:eastAsia="zh-CN"/>
        </w:rPr>
      </w:pPr>
      <w:r>
        <w:rPr>
          <w:rFonts w:hint="eastAsia"/>
          <w:lang w:val="en-US" w:eastAsia="zh-CN"/>
        </w:rPr>
        <w:t>2、本项目采用综合评分法:总分100分,其中报价分值10分，</w:t>
      </w:r>
      <w:r>
        <w:rPr>
          <w:rFonts w:hint="eastAsia"/>
          <w:highlight w:val="none"/>
          <w:lang w:val="en-US" w:eastAsia="zh-CN"/>
        </w:rPr>
        <w:t>技术、商务90分</w:t>
      </w:r>
    </w:p>
    <w:p>
      <w:pPr>
        <w:numPr>
          <w:ilvl w:val="0"/>
          <w:numId w:val="0"/>
        </w:numPr>
        <w:ind w:firstLine="420" w:firstLineChars="200"/>
        <w:rPr>
          <w:rFonts w:hint="eastAsia"/>
          <w:lang w:val="en-US" w:eastAsia="zh-CN"/>
        </w:rPr>
      </w:pPr>
      <w:r>
        <w:rPr>
          <w:rFonts w:hint="eastAsia"/>
          <w:lang w:val="en-US" w:eastAsia="zh-CN"/>
        </w:rPr>
        <w:t>3、审查响应文件是否完整，是否有计算错误，要求的磋商保证金是否提供，文件是否恰当地签署:</w:t>
      </w:r>
    </w:p>
    <w:p>
      <w:pPr>
        <w:numPr>
          <w:ilvl w:val="0"/>
          <w:numId w:val="0"/>
        </w:numPr>
        <w:ind w:firstLine="420" w:firstLineChars="200"/>
        <w:rPr>
          <w:rFonts w:hint="eastAsia"/>
          <w:lang w:val="en-US" w:eastAsia="zh-CN"/>
        </w:rPr>
      </w:pPr>
      <w:r>
        <w:rPr>
          <w:rFonts w:hint="eastAsia"/>
          <w:lang w:val="en-US" w:eastAsia="zh-CN"/>
        </w:rPr>
        <w:t>4、在对投标文件进行详细评估前，依据投标方提供的资格证明文件审查投标的财务、技术和供货能力。如果确定投标方无资格履行合同，其投标将被拒绝;</w:t>
      </w:r>
    </w:p>
    <w:p>
      <w:pPr>
        <w:numPr>
          <w:ilvl w:val="0"/>
          <w:numId w:val="0"/>
        </w:numPr>
        <w:ind w:firstLine="420" w:firstLineChars="200"/>
        <w:rPr>
          <w:rFonts w:hint="eastAsia"/>
          <w:lang w:val="en-US" w:eastAsia="zh-CN"/>
        </w:rPr>
      </w:pPr>
      <w:r>
        <w:rPr>
          <w:rFonts w:hint="eastAsia"/>
          <w:lang w:val="en-US" w:eastAsia="zh-CN"/>
        </w:rPr>
        <w:t>5、磋商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pPr>
        <w:numPr>
          <w:ilvl w:val="0"/>
          <w:numId w:val="0"/>
        </w:numPr>
        <w:rPr>
          <w:rFonts w:hint="eastAsia"/>
          <w:b/>
          <w:bCs/>
          <w:sz w:val="28"/>
          <w:szCs w:val="28"/>
          <w:lang w:val="en-US" w:eastAsia="zh-CN"/>
        </w:rPr>
      </w:pPr>
      <w:r>
        <w:rPr>
          <w:rFonts w:hint="eastAsia"/>
          <w:b/>
          <w:bCs/>
          <w:sz w:val="28"/>
          <w:szCs w:val="28"/>
          <w:lang w:val="en-US" w:eastAsia="zh-CN"/>
        </w:rPr>
        <w:t>响应文件的澄清</w:t>
      </w:r>
    </w:p>
    <w:p>
      <w:pPr>
        <w:numPr>
          <w:ilvl w:val="0"/>
          <w:numId w:val="11"/>
        </w:numPr>
        <w:ind w:left="210" w:leftChars="0" w:firstLine="420" w:firstLineChars="200"/>
        <w:rPr>
          <w:rFonts w:hint="eastAsia"/>
          <w:lang w:val="en-US" w:eastAsia="zh-CN"/>
        </w:rPr>
      </w:pPr>
      <w:r>
        <w:rPr>
          <w:rFonts w:hint="eastAsia"/>
          <w:lang w:val="en-US" w:eastAsia="zh-CN"/>
        </w:rPr>
        <w:t>为有助于对响应文件进行审查、评估和比较，磋商小组将对认为需要询标(不是每一个)的投标商进行询标，请投标商澄清其投标内容，投标商有责任按照招标机构通知的时间、地点指派专人进行答疑和澄清。询标时投标商代表应作书面记录，并对重要内容作出书面答复。</w:t>
      </w:r>
    </w:p>
    <w:p>
      <w:pPr>
        <w:numPr>
          <w:ilvl w:val="0"/>
          <w:numId w:val="11"/>
        </w:numPr>
        <w:ind w:left="210" w:leftChars="0" w:firstLine="420" w:firstLineChars="200"/>
        <w:rPr>
          <w:rFonts w:hint="default" w:eastAsiaTheme="minorEastAsia"/>
          <w:lang w:val="en-US" w:eastAsia="zh-CN"/>
        </w:rPr>
      </w:pPr>
      <w:r>
        <w:rPr>
          <w:rFonts w:hint="default" w:eastAsiaTheme="minorEastAsia"/>
          <w:lang w:val="en-US" w:eastAsia="zh-CN"/>
        </w:rPr>
        <w:t>重要澄清的答复应是书面的，但不是对投标内容进行实质性修改。澄清文件须由投标商法人代表或法人代表授权人签字和/或加盖公章并作为投标文件的组成部分。</w:t>
      </w:r>
    </w:p>
    <w:p>
      <w:pPr>
        <w:numPr>
          <w:ilvl w:val="0"/>
          <w:numId w:val="0"/>
        </w:numPr>
        <w:ind w:leftChars="0"/>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对响应文件的评估和比较</w:t>
      </w:r>
    </w:p>
    <w:p>
      <w:pPr>
        <w:numPr>
          <w:ilvl w:val="0"/>
          <w:numId w:val="0"/>
        </w:numPr>
        <w:ind w:leftChars="0" w:firstLine="420" w:firstLineChars="200"/>
        <w:rPr>
          <w:rFonts w:hint="default" w:eastAsiaTheme="minorEastAsia"/>
          <w:lang w:val="en-US" w:eastAsia="zh-CN"/>
        </w:rPr>
      </w:pPr>
      <w:r>
        <w:rPr>
          <w:rFonts w:hint="default" w:eastAsiaTheme="minorEastAsia"/>
          <w:lang w:val="en-US" w:eastAsia="zh-CN"/>
        </w:rPr>
        <w:t>对响应文件的评估和比较分为两步进行，磋商小组首先按照磋商文件要求对响应文件中的投标人资格、投标人资格证明文件、重要技术指标以及技术和商务上要求的其它重要内容进行审核，审核合格后即视为实质性响应的投标文件，除考虑投标价格外，还应考虑以下因素:投标文件中所报服务期及付款方式;货物的技术水平、性能和供货能力;货物的质量和适用性;配套产品的安全性、先进性;投标方为其所供货物提供零备件及售后服务的可能性;零备件、专用工具及相关服务的费用;磋商文件中所要求的有关服务费用;发货到最终目的地的内陆</w:t>
      </w:r>
    </w:p>
    <w:p>
      <w:pPr>
        <w:numPr>
          <w:ilvl w:val="0"/>
          <w:numId w:val="0"/>
        </w:numPr>
        <w:ind w:leftChars="0"/>
        <w:rPr>
          <w:rFonts w:hint="default" w:eastAsiaTheme="minorEastAsia"/>
          <w:lang w:val="en-US" w:eastAsia="zh-CN"/>
        </w:rPr>
      </w:pPr>
      <w:r>
        <w:rPr>
          <w:rFonts w:hint="default" w:eastAsiaTheme="minorEastAsia"/>
          <w:lang w:val="en-US" w:eastAsia="zh-CN"/>
        </w:rPr>
        <w:t>运输、保险及其他费用;其他特殊要求因素( 如节能、安全和环保等)。</w:t>
      </w:r>
    </w:p>
    <w:p>
      <w:pPr>
        <w:numPr>
          <w:ilvl w:val="0"/>
          <w:numId w:val="0"/>
        </w:numPr>
        <w:ind w:left="210" w:leftChars="0"/>
        <w:rPr>
          <w:rFonts w:hint="default" w:eastAsiaTheme="minorEastAsia"/>
          <w:b/>
          <w:bCs/>
          <w:sz w:val="28"/>
          <w:szCs w:val="28"/>
          <w:lang w:val="en-US" w:eastAsia="zh-CN"/>
        </w:rPr>
      </w:pPr>
      <w:r>
        <w:rPr>
          <w:rFonts w:hint="default" w:eastAsiaTheme="minorEastAsia"/>
          <w:b/>
          <w:bCs/>
          <w:sz w:val="28"/>
          <w:szCs w:val="28"/>
          <w:lang w:val="en-US" w:eastAsia="zh-CN"/>
        </w:rPr>
        <w:t>初步评审</w:t>
      </w:r>
    </w:p>
    <w:p>
      <w:pPr>
        <w:numPr>
          <w:ilvl w:val="0"/>
          <w:numId w:val="0"/>
        </w:numPr>
        <w:ind w:left="210" w:leftChars="0" w:firstLine="420" w:firstLineChars="200"/>
        <w:rPr>
          <w:rFonts w:hint="default" w:eastAsiaTheme="minorEastAsia"/>
          <w:lang w:val="en-US" w:eastAsia="zh-CN"/>
        </w:rPr>
      </w:pPr>
      <w:r>
        <w:rPr>
          <w:rFonts w:hint="default" w:eastAsiaTheme="minorEastAsia"/>
          <w:lang w:val="en-US" w:eastAsia="zh-CN"/>
        </w:rPr>
        <w:t>评标委员会应当对投标人提交的响应文件进行初步审查。初审分为资格性检查和符合性检查</w:t>
      </w:r>
    </w:p>
    <w:p>
      <w:pPr>
        <w:numPr>
          <w:ilvl w:val="0"/>
          <w:numId w:val="0"/>
        </w:numPr>
        <w:ind w:left="210" w:leftChars="0" w:firstLine="420" w:firstLineChars="200"/>
        <w:rPr>
          <w:rFonts w:hint="default" w:eastAsiaTheme="minorEastAsia"/>
          <w:lang w:val="en-US" w:eastAsia="zh-CN"/>
        </w:rPr>
      </w:pPr>
      <w:r>
        <w:rPr>
          <w:rFonts w:hint="default" w:eastAsiaTheme="minorEastAsia"/>
          <w:lang w:val="en-US" w:eastAsia="zh-CN"/>
        </w:rPr>
        <w:t>资格性检查。依据法律法规和招标文件的规定，对响应文件中的资格证明进行审查，以确定投标人是否具备投标资格。</w:t>
      </w:r>
    </w:p>
    <w:p>
      <w:pPr>
        <w:numPr>
          <w:ilvl w:val="0"/>
          <w:numId w:val="0"/>
        </w:numPr>
        <w:ind w:left="210" w:leftChars="0"/>
        <w:rPr>
          <w:rFonts w:hint="default" w:eastAsiaTheme="minorEastAsia"/>
          <w:b/>
          <w:bCs/>
          <w:sz w:val="28"/>
          <w:szCs w:val="28"/>
          <w:lang w:val="en-US" w:eastAsia="zh-CN"/>
        </w:rPr>
      </w:pPr>
      <w:r>
        <w:rPr>
          <w:rFonts w:hint="default" w:eastAsiaTheme="minorEastAsia"/>
          <w:b/>
          <w:bCs/>
          <w:sz w:val="28"/>
          <w:szCs w:val="28"/>
          <w:lang w:val="en-US" w:eastAsia="zh-CN"/>
        </w:rPr>
        <w:t>资格性审查</w:t>
      </w:r>
    </w:p>
    <w:p>
      <w:pPr>
        <w:numPr>
          <w:ilvl w:val="0"/>
          <w:numId w:val="0"/>
        </w:numPr>
        <w:ind w:left="210" w:leftChars="0" w:firstLine="420" w:firstLineChars="200"/>
        <w:rPr>
          <w:rFonts w:hint="default" w:eastAsiaTheme="minorEastAsia"/>
          <w:lang w:val="en-US" w:eastAsia="zh-CN"/>
        </w:rPr>
      </w:pPr>
      <w:r>
        <w:rPr>
          <w:rFonts w:hint="default" w:eastAsiaTheme="minorEastAsia"/>
          <w:lang w:val="en-US" w:eastAsia="zh-CN"/>
        </w:rPr>
        <w:t>投标人必须符合《中华人民共和国政府采购法》第二十二条的相关规定，还需满足下列条件;2.落实政府采购政策需满足的资格要求：无</w:t>
      </w:r>
    </w:p>
    <w:p>
      <w:pPr>
        <w:numPr>
          <w:ilvl w:val="0"/>
          <w:numId w:val="0"/>
        </w:numPr>
        <w:ind w:left="210" w:leftChars="0" w:firstLine="420" w:firstLineChars="200"/>
        <w:rPr>
          <w:rFonts w:hint="default" w:eastAsiaTheme="minorEastAsia"/>
          <w:lang w:val="en-US" w:eastAsia="zh-CN"/>
        </w:rPr>
      </w:pPr>
      <w:r>
        <w:rPr>
          <w:rFonts w:hint="default" w:eastAsiaTheme="minorEastAsia"/>
          <w:lang w:val="en-US" w:eastAsia="zh-CN"/>
        </w:rPr>
        <w:t>3.本项目的特定资格要求：</w:t>
      </w:r>
    </w:p>
    <w:p>
      <w:pPr>
        <w:numPr>
          <w:ilvl w:val="0"/>
          <w:numId w:val="0"/>
        </w:numPr>
        <w:ind w:left="210" w:leftChars="0" w:firstLine="420" w:firstLineChars="200"/>
        <w:rPr>
          <w:rFonts w:hint="default" w:eastAsiaTheme="minorEastAsia"/>
          <w:lang w:val="en-US" w:eastAsia="zh-CN"/>
        </w:rPr>
      </w:pPr>
      <w:r>
        <w:rPr>
          <w:rFonts w:hint="default" w:eastAsiaTheme="minorEastAsia"/>
          <w:lang w:val="en-US" w:eastAsia="zh-CN"/>
        </w:rPr>
        <w:t>（1）具有合格有效的营业执照副本（三证合一）；</w:t>
      </w:r>
    </w:p>
    <w:p>
      <w:pPr>
        <w:numPr>
          <w:ilvl w:val="0"/>
          <w:numId w:val="0"/>
        </w:numPr>
        <w:ind w:left="210" w:leftChars="0" w:firstLine="420" w:firstLineChars="200"/>
        <w:rPr>
          <w:rFonts w:hint="default" w:eastAsiaTheme="minorEastAsia"/>
          <w:lang w:val="en-US" w:eastAsia="zh-CN"/>
        </w:rPr>
      </w:pPr>
      <w:r>
        <w:rPr>
          <w:rFonts w:hint="default" w:eastAsiaTheme="minorEastAsia"/>
          <w:lang w:val="en-US" w:eastAsia="zh-CN"/>
        </w:rPr>
        <w:t>（2）法定代表人授权委托书及被委托人身份证（法定代表人投标提供法定代表人身份证明及身份证）；</w:t>
      </w:r>
    </w:p>
    <w:p>
      <w:pPr>
        <w:numPr>
          <w:ilvl w:val="0"/>
          <w:numId w:val="0"/>
        </w:numPr>
        <w:ind w:left="210" w:leftChars="0" w:firstLine="420" w:firstLineChars="200"/>
        <w:rPr>
          <w:rFonts w:hint="default" w:eastAsiaTheme="minorEastAsia"/>
          <w:lang w:val="en-US" w:eastAsia="zh-CN"/>
        </w:rPr>
      </w:pPr>
      <w:r>
        <w:rPr>
          <w:rFonts w:hint="default" w:eastAsiaTheme="minorEastAsia"/>
          <w:lang w:val="en-US" w:eastAsia="zh-CN"/>
        </w:rPr>
        <w:t>（3）具有良好的商业信誉和健全的财务会计制度，提供近两年任意一年财务审计报告（新成立公司需提供有效银行资信证明）；</w:t>
      </w:r>
    </w:p>
    <w:p>
      <w:pPr>
        <w:numPr>
          <w:ilvl w:val="0"/>
          <w:numId w:val="0"/>
        </w:numPr>
        <w:ind w:left="210" w:leftChars="0" w:firstLine="420" w:firstLineChars="200"/>
        <w:rPr>
          <w:rFonts w:hint="default" w:eastAsiaTheme="minorEastAsia"/>
          <w:lang w:val="en-US" w:eastAsia="zh-CN"/>
        </w:rPr>
      </w:pPr>
      <w:r>
        <w:rPr>
          <w:rFonts w:hint="default" w:eastAsiaTheme="minorEastAsia"/>
          <w:lang w:val="en-US" w:eastAsia="zh-CN"/>
        </w:rPr>
        <w:t>（4）有依法缴纳税收和社会保障资金的良好记录，提供2022年度连续3个月的社保证明；</w:t>
      </w:r>
    </w:p>
    <w:p>
      <w:pPr>
        <w:numPr>
          <w:ilvl w:val="0"/>
          <w:numId w:val="0"/>
        </w:numPr>
        <w:ind w:left="210" w:leftChars="0" w:firstLine="420" w:firstLineChars="200"/>
        <w:rPr>
          <w:rFonts w:hint="default" w:eastAsiaTheme="minorEastAsia"/>
          <w:lang w:val="en-US" w:eastAsia="zh-CN"/>
        </w:rPr>
      </w:pPr>
      <w:r>
        <w:rPr>
          <w:rFonts w:hint="default" w:eastAsiaTheme="minorEastAsia"/>
          <w:lang w:val="en-US" w:eastAsia="zh-CN"/>
        </w:rPr>
        <w:t>（5）投标单位（供应商）提供针对本次项目反商业贿赂承诺书；</w:t>
      </w:r>
    </w:p>
    <w:p>
      <w:pPr>
        <w:numPr>
          <w:ilvl w:val="0"/>
          <w:numId w:val="0"/>
        </w:numPr>
        <w:ind w:left="210" w:leftChars="0" w:firstLine="420" w:firstLineChars="200"/>
        <w:rPr>
          <w:rFonts w:hint="default" w:eastAsiaTheme="minorEastAsia"/>
          <w:lang w:val="en-US" w:eastAsia="zh-CN"/>
        </w:rPr>
      </w:pPr>
      <w:r>
        <w:rPr>
          <w:rFonts w:hint="default" w:eastAsiaTheme="minorEastAsia"/>
          <w:lang w:val="en-US" w:eastAsia="zh-CN"/>
        </w:rPr>
        <w:t>（6）参加政府采购活动前3年内在经营活动中没有重大违法记录的书面声明；</w:t>
      </w:r>
    </w:p>
    <w:p>
      <w:pPr>
        <w:numPr>
          <w:ilvl w:val="0"/>
          <w:numId w:val="0"/>
        </w:numPr>
        <w:ind w:left="210" w:leftChars="0" w:firstLine="420" w:firstLineChars="200"/>
        <w:rPr>
          <w:rFonts w:hint="default" w:eastAsiaTheme="minorEastAsia"/>
          <w:lang w:val="en-US" w:eastAsia="zh-CN"/>
        </w:rPr>
      </w:pPr>
      <w:r>
        <w:rPr>
          <w:rFonts w:hint="default" w:eastAsiaTheme="minorEastAsia"/>
          <w:lang w:val="en-US" w:eastAsia="zh-CN"/>
        </w:rPr>
        <w:t>（7）参加本次招标项目的投标人在“信用中国”网站未被列入失信被执行人、重大税收违法案件当事人名单，在中国政府采购网未被列入政府采购严重违法失信行为记录名单及新疆政府采购网未被列入严重违法失信行为信息记录及在国家企业信用信息公示系统未被列入严重违法失信企业名单、重大税收违法案件当事人名单。有不良行为记录（尚在处罚期内的），将拒绝其参加本次政府采购活动，需提供网站截屏打印（加盖公章）（查询时间为公告发布之日起至投标截止时间止）；</w:t>
      </w:r>
      <w:r>
        <w:rPr>
          <w:rFonts w:ascii="宋体" w:hAnsi="宋体" w:eastAsia="宋体" w:cs="宋体"/>
          <w:sz w:val="24"/>
          <w:szCs w:val="24"/>
        </w:rPr>
        <w:br w:type="textWrapping"/>
      </w:r>
      <w:r>
        <w:rPr>
          <w:rFonts w:ascii="宋体" w:hAnsi="宋体" w:eastAsia="宋体" w:cs="宋体"/>
          <w:b/>
          <w:bCs/>
          <w:sz w:val="28"/>
          <w:szCs w:val="28"/>
        </w:rPr>
        <w:t>投标文件的符合性审查</w:t>
      </w:r>
    </w:p>
    <w:p>
      <w:pPr>
        <w:numPr>
          <w:ilvl w:val="0"/>
          <w:numId w:val="0"/>
        </w:numPr>
        <w:ind w:left="210" w:leftChars="0" w:firstLine="420" w:firstLineChars="200"/>
        <w:rPr>
          <w:rFonts w:hint="default" w:eastAsiaTheme="minorEastAsia"/>
          <w:sz w:val="21"/>
          <w:szCs w:val="21"/>
          <w:lang w:val="en-US" w:eastAsia="zh-CN"/>
        </w:rPr>
      </w:pPr>
      <w:r>
        <w:rPr>
          <w:rFonts w:hint="eastAsia" w:ascii="宋体" w:hAnsi="宋体" w:eastAsia="宋体" w:cs="宋体"/>
          <w:sz w:val="21"/>
          <w:szCs w:val="21"/>
          <w:lang w:val="en-US" w:eastAsia="zh-CN"/>
        </w:rPr>
        <w:t>响应文件是否实质性相应磋商文件</w:t>
      </w:r>
      <w:r>
        <w:rPr>
          <w:rFonts w:ascii="宋体" w:hAnsi="宋体" w:eastAsia="宋体" w:cs="宋体"/>
          <w:sz w:val="21"/>
          <w:szCs w:val="21"/>
        </w:rPr>
        <w:t>由磋商小组依据磋商文件规定认定。磋商小组决定投标文件的的实质性只根据投标文件本身的真实无误的内容，而不依据外部的证据。依据磋商文件的的规定，从响应文件的有效性、完整性和对理商文件的响应程度进行审查，以确定是否对</w:t>
      </w:r>
      <w:r>
        <w:rPr>
          <w:rFonts w:hint="eastAsia" w:ascii="宋体" w:hAnsi="宋体" w:eastAsia="宋体" w:cs="宋体"/>
          <w:sz w:val="21"/>
          <w:szCs w:val="21"/>
          <w:lang w:val="en-US" w:eastAsia="zh-CN"/>
        </w:rPr>
        <w:t>磋商</w:t>
      </w:r>
      <w:r>
        <w:rPr>
          <w:rFonts w:ascii="宋体" w:hAnsi="宋体" w:eastAsia="宋体" w:cs="宋体"/>
          <w:sz w:val="21"/>
          <w:szCs w:val="21"/>
        </w:rPr>
        <w:t>文件的实质性要求作出响应。</w:t>
      </w:r>
    </w:p>
    <w:p>
      <w:pPr>
        <w:numPr>
          <w:ilvl w:val="0"/>
          <w:numId w:val="0"/>
        </w:numPr>
        <w:ind w:left="210" w:leftChars="0"/>
        <w:rPr>
          <w:rFonts w:hint="default" w:eastAsia="宋体"/>
          <w:b/>
          <w:bCs/>
          <w:sz w:val="28"/>
          <w:szCs w:val="28"/>
          <w:lang w:val="en-US" w:eastAsia="zh-CN"/>
        </w:rPr>
      </w:pPr>
      <w:r>
        <w:rPr>
          <w:rFonts w:hint="eastAsia" w:ascii="宋体" w:hAnsi="宋体" w:eastAsia="宋体" w:cs="宋体"/>
          <w:b/>
          <w:bCs/>
          <w:sz w:val="28"/>
          <w:szCs w:val="28"/>
          <w:lang w:val="en-US" w:eastAsia="zh-CN"/>
        </w:rPr>
        <w:t>详细评审</w:t>
      </w:r>
    </w:p>
    <w:p>
      <w:pPr>
        <w:numPr>
          <w:ilvl w:val="0"/>
          <w:numId w:val="0"/>
        </w:numPr>
        <w:ind w:left="210" w:leftChars="0" w:firstLine="420" w:firstLineChars="200"/>
        <w:rPr>
          <w:rFonts w:hint="eastAsia" w:ascii="宋体" w:hAnsi="宋体" w:eastAsia="宋体" w:cs="宋体"/>
          <w:sz w:val="21"/>
          <w:szCs w:val="21"/>
          <w:lang w:val="en-US" w:eastAsia="zh-CN"/>
        </w:rPr>
      </w:pPr>
      <w:r>
        <w:rPr>
          <w:rFonts w:ascii="宋体" w:hAnsi="宋体" w:eastAsia="宋体" w:cs="宋体"/>
          <w:sz w:val="21"/>
          <w:szCs w:val="21"/>
        </w:rPr>
        <w:t>经初步评审合格的响应文件，磋商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r>
        <w:rPr>
          <w:rFonts w:ascii="宋体" w:hAnsi="宋体" w:eastAsia="宋体" w:cs="宋体"/>
          <w:sz w:val="21"/>
          <w:szCs w:val="21"/>
        </w:rPr>
        <w:br w:type="textWrapping"/>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ascii="宋体" w:hAnsi="宋体" w:eastAsia="宋体" w:cs="宋体"/>
          <w:sz w:val="21"/>
          <w:szCs w:val="21"/>
        </w:rPr>
        <w:t>磋商结束后，磋商小组应当要求所有实质性响应的供应商在规定时间内提交二次报价，经碰商确定最终采购需求和提交最后报价的供应商后，由磋商小组采用综合评分法对提交最后报价的供应商的响应文件和最后报价进行综合评分。采用综合评分法，即投标文件满足招标文文件全部实质性要求，且按照评审因素的量化指标评审得分最高的投标人为成交候选人</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b/>
          <w:bCs/>
          <w:sz w:val="24"/>
          <w:szCs w:val="24"/>
        </w:rPr>
        <w:t>评标的保密性</w:t>
      </w:r>
      <w:r>
        <w:rPr>
          <w:rFonts w:ascii="宋体" w:hAnsi="宋体" w:eastAsia="宋体" w:cs="宋体"/>
          <w:sz w:val="24"/>
          <w:szCs w:val="24"/>
        </w:rPr>
        <w:br w:type="textWrapping"/>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1、</w:t>
      </w:r>
      <w:r>
        <w:rPr>
          <w:rFonts w:ascii="宋体" w:hAnsi="宋体" w:eastAsia="宋体" w:cs="宋体"/>
          <w:sz w:val="21"/>
          <w:szCs w:val="21"/>
        </w:rPr>
        <w:t>开标后，直到授子投标商合同为止，凡属于审查、澄清、评价和比较的有关资料以及罗标建议等磋商小组成员或参与评标的有关工作人员均不得向投标商或其他无关人员透露，违者给予警告、取消担任磋商小组成员的资格，不得</w:t>
      </w:r>
      <w:r>
        <w:rPr>
          <w:rFonts w:hint="eastAsia" w:ascii="宋体" w:hAnsi="宋体" w:eastAsia="宋体" w:cs="宋体"/>
          <w:sz w:val="21"/>
          <w:szCs w:val="21"/>
          <w:lang w:val="en-US" w:eastAsia="zh-CN"/>
        </w:rPr>
        <w:t xml:space="preserve">再参见任何项目地评标 </w:t>
      </w:r>
    </w:p>
    <w:p>
      <w:pPr>
        <w:numPr>
          <w:ilvl w:val="0"/>
          <w:numId w:val="11"/>
        </w:numPr>
        <w:ind w:left="210" w:leftChars="0" w:firstLine="420" w:firstLineChars="200"/>
        <w:rPr>
          <w:rFonts w:ascii="宋体" w:hAnsi="宋体" w:eastAsia="宋体" w:cs="宋体"/>
          <w:sz w:val="21"/>
          <w:szCs w:val="21"/>
        </w:rPr>
      </w:pPr>
      <w:r>
        <w:rPr>
          <w:rFonts w:ascii="宋体" w:hAnsi="宋体" w:eastAsia="宋体" w:cs="宋体"/>
          <w:sz w:val="21"/>
          <w:szCs w:val="21"/>
        </w:rPr>
        <w:t>投标商在评标过程中，所进行的力图影响评标结果的不符合《政府采购</w:t>
      </w:r>
      <w:r>
        <w:rPr>
          <w:rFonts w:hint="eastAsia" w:ascii="宋体" w:hAnsi="宋体" w:eastAsia="宋体" w:cs="宋体"/>
          <w:sz w:val="21"/>
          <w:szCs w:val="21"/>
          <w:lang w:val="en-US" w:eastAsia="zh-CN"/>
        </w:rPr>
        <w:t>法》</w:t>
      </w:r>
      <w:r>
        <w:rPr>
          <w:rFonts w:ascii="宋体" w:hAnsi="宋体" w:eastAsia="宋体" w:cs="宋体"/>
          <w:sz w:val="21"/>
          <w:szCs w:val="21"/>
        </w:rPr>
        <w:t>《政府采购</w:t>
      </w:r>
      <w:r>
        <w:rPr>
          <w:rFonts w:hint="eastAsia" w:ascii="宋体" w:hAnsi="宋体" w:eastAsia="宋体" w:cs="宋体"/>
          <w:sz w:val="21"/>
          <w:szCs w:val="21"/>
          <w:lang w:val="en-US" w:eastAsia="zh-CN"/>
        </w:rPr>
        <w:t>竞争性磋商采</w:t>
      </w:r>
      <w:r>
        <w:rPr>
          <w:rFonts w:ascii="宋体" w:hAnsi="宋体" w:eastAsia="宋体" w:cs="宋体"/>
          <w:sz w:val="21"/>
          <w:szCs w:val="21"/>
        </w:rPr>
        <w:t>购方式管理暂行办法》及本次项目中有关规定的活动，将被取消中标资格。</w:t>
      </w:r>
    </w:p>
    <w:p>
      <w:pPr>
        <w:pStyle w:val="10"/>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标小组的评审专家职责和义务：1、审查投标文件是否符合采购文件要求，并作出评价；2、要求供应商对投标文件有关事项作出解释或者澄清；3、编写评审报告，推荐中标候选供应商名单4、告知采购人、采购代理机构在评审过程中发现的供应商的违法违规行为；5、遵纪守法，客观、公正、廉洁地履行职责；6、根据采购文件的规定独立进行评审，对个人的评审意见承担法律责任；7配合采购人、采购代理机构答复供应商提出的质疑；配合财政部门的投诉处理和监督检查工作。</w:t>
      </w:r>
    </w:p>
    <w:p>
      <w:pPr>
        <w:pStyle w:val="10"/>
        <w:ind w:firstLine="420" w:firstLineChars="200"/>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评标小组的评审专家纪律：1、对评标过程和结果，以及供应商的商业秘密保密；2、专家须遵守会场纪律，关闭手机，禁止吸烟。</w:t>
      </w:r>
    </w:p>
    <w:p>
      <w:pPr>
        <w:numPr>
          <w:ilvl w:val="0"/>
          <w:numId w:val="0"/>
        </w:numPr>
        <w:ind w:leftChars="200"/>
        <w:rPr>
          <w:rFonts w:ascii="宋体" w:hAnsi="宋体" w:eastAsia="宋体" w:cs="宋体"/>
          <w:sz w:val="21"/>
          <w:szCs w:val="21"/>
        </w:rPr>
      </w:pPr>
      <w:r>
        <w:rPr>
          <w:rFonts w:ascii="宋体" w:hAnsi="宋体" w:eastAsia="宋体" w:cs="宋体"/>
          <w:b/>
          <w:bCs/>
          <w:sz w:val="24"/>
          <w:szCs w:val="24"/>
        </w:rPr>
        <w:t>纪律和监督</w:t>
      </w:r>
      <w:r>
        <w:rPr>
          <w:rFonts w:ascii="宋体" w:hAnsi="宋体" w:eastAsia="宋体" w:cs="宋体"/>
          <w:b/>
          <w:bCs/>
          <w:sz w:val="24"/>
          <w:szCs w:val="24"/>
        </w:rPr>
        <w:br w:type="textWrapping"/>
      </w:r>
      <w:r>
        <w:rPr>
          <w:rFonts w:ascii="宋体" w:hAnsi="宋体" w:eastAsia="宋体" w:cs="宋体"/>
          <w:sz w:val="21"/>
          <w:szCs w:val="21"/>
        </w:rPr>
        <w:t>1.对采购人的纪律要求</w:t>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ascii="宋体" w:hAnsi="宋体" w:eastAsia="宋体" w:cs="宋体"/>
          <w:sz w:val="21"/>
          <w:szCs w:val="21"/>
        </w:rPr>
        <w:t>采购人不得泄漏招标投标活动中应当保密的情况和资料，不得与供应商串通损害国家利益、社会公共利益或者他人合法权益。</w:t>
      </w:r>
      <w:r>
        <w:rPr>
          <w:rFonts w:ascii="宋体" w:hAnsi="宋体" w:eastAsia="宋体" w:cs="宋体"/>
          <w:sz w:val="21"/>
          <w:szCs w:val="21"/>
        </w:rPr>
        <w:br w:type="textWrapping"/>
      </w:r>
      <w:r>
        <w:rPr>
          <w:rFonts w:ascii="宋体" w:hAnsi="宋体" w:eastAsia="宋体" w:cs="宋体"/>
          <w:sz w:val="21"/>
          <w:szCs w:val="21"/>
        </w:rPr>
        <w:t>下列行为视为采购人与供应商串通投标:</w:t>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ascii="宋体" w:hAnsi="宋体" w:eastAsia="宋体" w:cs="宋体"/>
          <w:sz w:val="21"/>
          <w:szCs w:val="21"/>
        </w:rPr>
        <w:t>(1)采购人在开标前开启磋商响应文件，并将投标情况告知其它供应商，或者协助供应商撤换磋商响应文件，更改报价:</w:t>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ascii="宋体" w:hAnsi="宋体" w:eastAsia="宋体" w:cs="宋体"/>
          <w:sz w:val="21"/>
          <w:szCs w:val="21"/>
        </w:rPr>
        <w:t>(2)采购人向供应商泄露标底;</w:t>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ascii="宋体" w:hAnsi="宋体" w:eastAsia="宋体" w:cs="宋体"/>
          <w:sz w:val="21"/>
          <w:szCs w:val="21"/>
        </w:rPr>
        <w:t>(3)采购人与供应商商定，投标时压低或抬高标价，中标后再给供应商或采购人额外补偿;</w:t>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ascii="宋体" w:hAnsi="宋体" w:eastAsia="宋体" w:cs="宋体"/>
          <w:sz w:val="21"/>
          <w:szCs w:val="21"/>
        </w:rPr>
        <w:t>(4)采购人预先内定中标供应商;</w:t>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ascii="宋体" w:hAnsi="宋体" w:eastAsia="宋体" w:cs="宋体"/>
          <w:sz w:val="21"/>
          <w:szCs w:val="21"/>
        </w:rPr>
        <w:t>(</w:t>
      </w:r>
      <w:r>
        <w:rPr>
          <w:rFonts w:hint="eastAsia" w:ascii="宋体" w:hAnsi="宋体" w:eastAsia="宋体" w:cs="宋体"/>
          <w:sz w:val="21"/>
          <w:szCs w:val="21"/>
          <w:lang w:val="en-US" w:eastAsia="zh-CN"/>
        </w:rPr>
        <w:t xml:space="preserve"> </w:t>
      </w:r>
      <w:r>
        <w:rPr>
          <w:rFonts w:ascii="宋体" w:hAnsi="宋体" w:eastAsia="宋体" w:cs="宋体"/>
          <w:sz w:val="21"/>
          <w:szCs w:val="21"/>
        </w:rPr>
        <w:t>5)其它串通投标行为。</w:t>
      </w:r>
      <w:r>
        <w:rPr>
          <w:rFonts w:ascii="宋体" w:hAnsi="宋体" w:eastAsia="宋体" w:cs="宋体"/>
          <w:sz w:val="21"/>
          <w:szCs w:val="21"/>
        </w:rPr>
        <w:br w:type="textWrapping"/>
      </w:r>
      <w:r>
        <w:rPr>
          <w:rFonts w:ascii="宋体" w:hAnsi="宋体" w:eastAsia="宋体" w:cs="宋体"/>
          <w:sz w:val="21"/>
          <w:szCs w:val="21"/>
        </w:rPr>
        <w:t>2.对供应商的纪律要求</w:t>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ascii="宋体" w:hAnsi="宋体" w:eastAsia="宋体" w:cs="宋体"/>
          <w:sz w:val="21"/>
          <w:szCs w:val="21"/>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numPr>
          <w:ilvl w:val="0"/>
          <w:numId w:val="0"/>
        </w:num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下列情况视为投标人之间串通投标，其投标无效</w:t>
      </w:r>
    </w:p>
    <w:p>
      <w:pPr>
        <w:numPr>
          <w:ilvl w:val="0"/>
          <w:numId w:val="0"/>
        </w:numPr>
        <w:ind w:leftChars="200"/>
        <w:rPr>
          <w:rFonts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ascii="宋体" w:hAnsi="宋体" w:eastAsia="宋体" w:cs="宋体"/>
          <w:sz w:val="21"/>
          <w:szCs w:val="21"/>
        </w:rPr>
        <w:t>不同供应商响应文件由同一单位</w:t>
      </w:r>
      <w:r>
        <w:rPr>
          <w:rFonts w:hint="eastAsia" w:ascii="宋体" w:hAnsi="宋体" w:eastAsia="宋体" w:cs="宋体"/>
          <w:sz w:val="21"/>
          <w:szCs w:val="21"/>
          <w:lang w:val="en-US" w:eastAsia="zh-CN"/>
        </w:rPr>
        <w:t>或</w:t>
      </w:r>
      <w:r>
        <w:rPr>
          <w:rFonts w:ascii="宋体" w:hAnsi="宋体" w:eastAsia="宋体" w:cs="宋体"/>
          <w:sz w:val="21"/>
          <w:szCs w:val="21"/>
        </w:rPr>
        <w:t>个人编制:</w:t>
      </w:r>
    </w:p>
    <w:p>
      <w:pPr>
        <w:numPr>
          <w:ilvl w:val="0"/>
          <w:numId w:val="0"/>
        </w:numPr>
        <w:ind w:leftChars="200"/>
        <w:rPr>
          <w:rFonts w:hint="default" w:ascii="宋体" w:hAnsi="宋体" w:eastAsia="宋体" w:cs="宋体"/>
          <w:sz w:val="21"/>
          <w:szCs w:val="21"/>
          <w:lang w:val="en-US" w:eastAsia="zh-CN"/>
        </w:rPr>
      </w:pPr>
      <w:r>
        <w:rPr>
          <w:rFonts w:ascii="宋体" w:hAnsi="宋体" w:eastAsia="宋体" w:cs="宋体"/>
          <w:sz w:val="21"/>
          <w:szCs w:val="21"/>
        </w:rPr>
        <w:t>(2)不同供应商委托同一单位或个人办理投标事宜的;</w:t>
      </w:r>
    </w:p>
    <w:p>
      <w:pPr>
        <w:numPr>
          <w:ilvl w:val="0"/>
          <w:numId w:val="0"/>
        </w:numPr>
        <w:ind w:leftChars="200"/>
        <w:rPr>
          <w:rFonts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ascii="宋体" w:hAnsi="宋体" w:eastAsia="宋体" w:cs="宋体"/>
          <w:sz w:val="21"/>
          <w:szCs w:val="21"/>
        </w:rPr>
        <w:t>不同供应商的响应文件教明的联系人员为同一个人的:</w:t>
      </w:r>
    </w:p>
    <w:p>
      <w:pPr>
        <w:numPr>
          <w:ilvl w:val="0"/>
          <w:numId w:val="0"/>
        </w:numPr>
        <w:ind w:leftChars="200"/>
        <w:rPr>
          <w:rFonts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ascii="宋体" w:hAnsi="宋体" w:eastAsia="宋体" w:cs="宋体"/>
          <w:sz w:val="21"/>
          <w:szCs w:val="21"/>
        </w:rPr>
        <w:t>不同供应商的响应文件异常一致或报价呈规律性差异:</w:t>
      </w:r>
    </w:p>
    <w:p>
      <w:pPr>
        <w:numPr>
          <w:ilvl w:val="0"/>
          <w:numId w:val="0"/>
        </w:numPr>
        <w:ind w:leftChars="200"/>
        <w:rPr>
          <w:rFonts w:ascii="宋体" w:hAnsi="宋体" w:eastAsia="宋体" w:cs="宋体"/>
          <w:sz w:val="21"/>
          <w:szCs w:val="21"/>
        </w:rPr>
      </w:pPr>
      <w:r>
        <w:rPr>
          <w:rFonts w:ascii="宋体" w:hAnsi="宋体" w:eastAsia="宋体" w:cs="宋体"/>
          <w:sz w:val="21"/>
          <w:szCs w:val="21"/>
        </w:rPr>
        <w:t>(5)不同供应商的磋商响应文件相互混装的:</w:t>
      </w:r>
      <w:r>
        <w:rPr>
          <w:rFonts w:ascii="宋体" w:hAnsi="宋体" w:eastAsia="宋体" w:cs="宋体"/>
          <w:sz w:val="21"/>
          <w:szCs w:val="21"/>
        </w:rPr>
        <w:br w:type="textWrapping"/>
      </w:r>
      <w:r>
        <w:rPr>
          <w:rFonts w:ascii="宋体" w:hAnsi="宋体" w:eastAsia="宋体" w:cs="宋体"/>
          <w:sz w:val="21"/>
          <w:szCs w:val="21"/>
        </w:rPr>
        <w:t>(6)不同供应商磋商保证金从同-单位或个人的帐户转出:</w:t>
      </w:r>
      <w:r>
        <w:rPr>
          <w:rFonts w:ascii="宋体" w:hAnsi="宋体" w:eastAsia="宋体" w:cs="宋体"/>
          <w:sz w:val="21"/>
          <w:szCs w:val="21"/>
        </w:rPr>
        <w:br w:type="textWrapping"/>
      </w:r>
      <w:r>
        <w:rPr>
          <w:rFonts w:ascii="宋体" w:hAnsi="宋体" w:eastAsia="宋体" w:cs="宋体"/>
          <w:sz w:val="21"/>
          <w:szCs w:val="21"/>
        </w:rPr>
        <w:t>3.对磋商小组成员的纪律要求</w:t>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ascii="宋体" w:hAnsi="宋体" w:eastAsia="宋体" w:cs="宋体"/>
          <w:sz w:val="21"/>
          <w:szCs w:val="21"/>
        </w:rPr>
        <w:t>碳商小组成员不得收受他人的财物或者其他好处，不得向他人透漏对磋商响应文件的评审和比较、中标候选人的推荐情况以及评标有关的其他情况。在评标活动中，磋商小组成员不得擅离职守，影响评标程序正常进行，不得使用“评标办法”没有规定的评审因素和标准进行评标。</w:t>
      </w:r>
      <w:r>
        <w:rPr>
          <w:rFonts w:ascii="宋体" w:hAnsi="宋体" w:eastAsia="宋体" w:cs="宋体"/>
          <w:sz w:val="21"/>
          <w:szCs w:val="21"/>
        </w:rPr>
        <w:br w:type="textWrapping"/>
      </w:r>
      <w:r>
        <w:rPr>
          <w:rFonts w:ascii="宋体" w:hAnsi="宋体" w:eastAsia="宋体" w:cs="宋体"/>
          <w:sz w:val="21"/>
          <w:szCs w:val="21"/>
        </w:rPr>
        <w:t>4.对参与评标活动有关的工作人员的纪律要求</w:t>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ascii="宋体" w:hAnsi="宋体" w:eastAsia="宋体" w:cs="宋体"/>
          <w:sz w:val="21"/>
          <w:szCs w:val="21"/>
        </w:rPr>
        <w:t>与评标活动有关的工作人员不得收受他人的财物或者其他好处，不得向他人透漏对磋商响应文件的评审和比较、中标候选人的推荐情况以及评标有关的其他情况。在评标活动中，与评标活动有关的工作人员不得擅离职守，影响评标程序正常进行。</w:t>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ascii="宋体" w:hAnsi="宋体" w:eastAsia="宋体" w:cs="宋体"/>
          <w:b/>
          <w:bCs/>
          <w:sz w:val="21"/>
          <w:szCs w:val="21"/>
        </w:rPr>
        <w:t>响应无效的界定</w:t>
      </w:r>
      <w:r>
        <w:rPr>
          <w:rFonts w:ascii="宋体" w:hAnsi="宋体" w:eastAsia="宋体" w:cs="宋体"/>
          <w:sz w:val="21"/>
          <w:szCs w:val="21"/>
        </w:rPr>
        <w:t>:招标采购中，出现下列情形之一-的， 响应无效: 1.未按磋商文件规定的形式和金额提交磋商保证金的;2.未按照磋商文件规定要求签署、盖章的;3.不具备磋商文件中规定的资格要求的。4.报价超过磋商文件中规定的预算金额或者最高限价的; 5. 响应文件含有采购人不能接受的附加条件的; 6.法律、法规和招标文件规定的其他无效情形。</w:t>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ascii="宋体" w:hAnsi="宋体" w:eastAsia="宋体" w:cs="宋体"/>
          <w:sz w:val="21"/>
          <w:szCs w:val="21"/>
        </w:rPr>
        <w:t>根据《政</w:t>
      </w:r>
      <w:r>
        <w:rPr>
          <w:rFonts w:hint="eastAsia" w:ascii="宋体" w:hAnsi="宋体" w:eastAsia="宋体" w:cs="宋体"/>
          <w:sz w:val="21"/>
          <w:szCs w:val="21"/>
        </w:rPr>
        <w:t>府采购促进中小企业发展暂行办法</w:t>
      </w:r>
      <w:r>
        <w:rPr>
          <w:rFonts w:ascii="宋体" w:hAnsi="宋体" w:eastAsia="宋体" w:cs="宋体"/>
          <w:sz w:val="21"/>
          <w:szCs w:val="21"/>
        </w:rPr>
        <w:t>》(财库 [2020]46号)</w:t>
      </w:r>
      <w:r>
        <w:rPr>
          <w:rFonts w:hint="eastAsia" w:ascii="宋体" w:hAnsi="宋体" w:cs="宋体"/>
          <w:sz w:val="21"/>
          <w:szCs w:val="21"/>
          <w:lang w:eastAsia="zh-CN"/>
        </w:rPr>
        <w:t>、</w:t>
      </w:r>
      <w:r>
        <w:rPr>
          <w:rFonts w:ascii="宋体" w:hAnsi="宋体" w:eastAsia="宋体" w:cs="宋体"/>
          <w:sz w:val="21"/>
          <w:szCs w:val="21"/>
        </w:rPr>
        <w:t>、《财政部司法部关于政府采购支持监狱企业发展有关问题的通知》(财库 (2014)68号)和《三部门联合发布关于促进残疾人就业政府采购政策的通知》(财库(2017) 141号)的规定，对满足价格扣除条件且在投标文件中提交了《供应商企业类型声明函》、《残疾人福利性单位声明函》或省级以上监狱管理局、戒毒管理局(含新疆生产建设兵团)出具的属于监狱企业的证明文件的供应商，其磋商报价扣除</w:t>
      </w:r>
      <w:r>
        <w:rPr>
          <w:rFonts w:hint="eastAsia" w:ascii="宋体" w:hAnsi="宋体" w:cs="宋体"/>
          <w:sz w:val="21"/>
          <w:szCs w:val="21"/>
          <w:lang w:val="en-US" w:eastAsia="zh-CN"/>
        </w:rPr>
        <w:t>10</w:t>
      </w:r>
      <w:r>
        <w:rPr>
          <w:rFonts w:ascii="宋体" w:hAnsi="宋体" w:eastAsia="宋体" w:cs="宋体"/>
          <w:sz w:val="21"/>
          <w:szCs w:val="21"/>
        </w:rPr>
        <w:t>%后参与评审。对于同时属于小微企业、监狱企业或残疾人福利性单位的，不重复进行磋商报价扣除。</w:t>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ascii="宋体" w:hAnsi="宋体" w:eastAsia="宋体" w:cs="宋体"/>
          <w:sz w:val="21"/>
          <w:szCs w:val="21"/>
        </w:rPr>
        <w:t>供应商所投产品如被列入财政部与国家主管部门颁发的节能产品目录或环境标志产品目录或无线局域网产品目录，应提供相关证明，在评标时予以优先采购，具体优惠措施为:投标 商所投产品应优先选择《财政部国家发展改革委关于调整公布第二十四期节能产品政府采购清单的通知》(财库(2018)73号)、《财政部 环境保护部关于调整公布第二十二期环境标志产品政府采购清单的通知》(财库(2018) 70号)目录内的产品(须提供节能、环保认证证书复印件加盖公章)。</w:t>
      </w:r>
      <w:r>
        <w:rPr>
          <w:rFonts w:ascii="宋体" w:hAnsi="宋体" w:eastAsia="宋体" w:cs="宋体"/>
          <w:sz w:val="21"/>
          <w:szCs w:val="21"/>
        </w:rPr>
        <w:br w:type="textWrapping"/>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ascii="宋体" w:hAnsi="宋体" w:eastAsia="宋体" w:cs="宋体"/>
          <w:sz w:val="21"/>
          <w:szCs w:val="21"/>
        </w:rPr>
        <w:t>如采购人所采购产品为政府强制采购的节能产品，供应商所投产品的品牌及型号必须为清单中有效期内产品并提供证明文件，否则其投标将被认定为投标</w:t>
      </w:r>
      <w:r>
        <w:rPr>
          <w:rFonts w:hint="eastAsia" w:ascii="宋体" w:hAnsi="宋体" w:eastAsia="宋体" w:cs="宋体"/>
          <w:sz w:val="21"/>
          <w:szCs w:val="21"/>
          <w:lang w:val="en-US" w:eastAsia="zh-CN"/>
        </w:rPr>
        <w:t>无效</w:t>
      </w:r>
      <w:r>
        <w:rPr>
          <w:rFonts w:ascii="宋体" w:hAnsi="宋体" w:eastAsia="宋体" w:cs="宋体"/>
          <w:sz w:val="21"/>
          <w:szCs w:val="21"/>
        </w:rPr>
        <w:br w:type="textWrapping"/>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ascii="宋体" w:hAnsi="宋体" w:eastAsia="宋体" w:cs="宋体"/>
          <w:sz w:val="21"/>
          <w:szCs w:val="21"/>
        </w:rPr>
        <w:t>对创新产品或创新性企业的优惠措施为:</w:t>
      </w:r>
      <w:r>
        <w:rPr>
          <w:rFonts w:hint="eastAsia" w:ascii="宋体" w:hAnsi="宋体" w:eastAsia="宋体" w:cs="宋体"/>
          <w:sz w:val="21"/>
          <w:szCs w:val="21"/>
          <w:lang w:val="en-US" w:eastAsia="zh-CN"/>
        </w:rPr>
        <w:t>/</w:t>
      </w:r>
      <w:r>
        <w:rPr>
          <w:rFonts w:ascii="宋体" w:hAnsi="宋体" w:eastAsia="宋体" w:cs="宋体"/>
          <w:sz w:val="21"/>
          <w:szCs w:val="21"/>
        </w:rPr>
        <w:br w:type="textWrapping"/>
      </w:r>
      <w:r>
        <w:rPr>
          <w:rFonts w:ascii="宋体" w:hAnsi="宋体" w:eastAsia="宋体" w:cs="宋体"/>
          <w:sz w:val="21"/>
          <w:szCs w:val="21"/>
        </w:rPr>
        <w:br w:type="textWrapping"/>
      </w:r>
      <w:r>
        <w:rPr>
          <w:rFonts w:ascii="宋体" w:hAnsi="宋体" w:eastAsia="宋体" w:cs="宋体"/>
          <w:sz w:val="21"/>
          <w:szCs w:val="21"/>
        </w:rPr>
        <w:t>成交候选人并列式时的处理方式:</w:t>
      </w:r>
      <w:r>
        <w:rPr>
          <w:rFonts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对各评标小组成员响应方案评分的算术平均值即为该投标人的技术得分和商务得分，再分别计算各投标人的报价得分后，即可得出投标人最终综合得分</w:t>
      </w:r>
      <w:r>
        <w:rPr>
          <w:rFonts w:ascii="宋体" w:hAnsi="宋体" w:eastAsia="宋体" w:cs="宋体"/>
          <w:sz w:val="21"/>
          <w:szCs w:val="21"/>
        </w:rPr>
        <w:t>。投标文件满足磋商文件全部实质性要求，且按照评审因素的量化指标评审得分最高的供应商为排名第一的成交候选人。</w:t>
      </w:r>
      <w:r>
        <w:rPr>
          <w:rFonts w:ascii="宋体" w:hAnsi="宋体" w:eastAsia="宋体" w:cs="宋体"/>
          <w:sz w:val="21"/>
          <w:szCs w:val="21"/>
        </w:rPr>
        <w:br w:type="textWrapping"/>
      </w:r>
      <w:r>
        <w:rPr>
          <w:rFonts w:ascii="宋体" w:hAnsi="宋体" w:eastAsia="宋体" w:cs="宋体"/>
          <w:sz w:val="21"/>
          <w:szCs w:val="21"/>
        </w:rPr>
        <w:br w:type="textWrapping"/>
      </w:r>
      <w:r>
        <w:rPr>
          <w:rFonts w:ascii="宋体" w:hAnsi="宋体" w:eastAsia="宋体" w:cs="宋体"/>
          <w:sz w:val="21"/>
          <w:szCs w:val="21"/>
        </w:rPr>
        <w:t>详细的评标标准: (具体内容详 见综合评分表)</w:t>
      </w:r>
      <w:r>
        <w:rPr>
          <w:rFonts w:ascii="宋体" w:hAnsi="宋体" w:eastAsia="宋体" w:cs="宋体"/>
          <w:sz w:val="21"/>
          <w:szCs w:val="21"/>
        </w:rPr>
        <w:br w:type="textWrapping"/>
      </w:r>
      <w:r>
        <w:rPr>
          <w:rFonts w:ascii="宋体" w:hAnsi="宋体" w:eastAsia="宋体" w:cs="宋体"/>
          <w:sz w:val="21"/>
          <w:szCs w:val="21"/>
        </w:rPr>
        <w:br w:type="textWrapping"/>
      </w:r>
      <w:r>
        <w:rPr>
          <w:rFonts w:ascii="宋体" w:hAnsi="宋体" w:eastAsia="宋体" w:cs="宋体"/>
          <w:sz w:val="21"/>
          <w:szCs w:val="21"/>
        </w:rPr>
        <w:t>(1)价格分占10%，完全满足磋商文件参数的磋商报价中的最低价为评标基准价，按照下列公式计算每个供应商的投标价格得分。磋商报价得分= ( 基准价/</w:t>
      </w:r>
      <w:r>
        <w:rPr>
          <w:rFonts w:hint="eastAsia" w:ascii="宋体" w:hAnsi="宋体" w:eastAsia="宋体" w:cs="宋体"/>
          <w:sz w:val="21"/>
          <w:szCs w:val="21"/>
          <w:lang w:val="en-US" w:eastAsia="zh-CN"/>
        </w:rPr>
        <w:t>投标</w:t>
      </w:r>
      <w:r>
        <w:rPr>
          <w:rFonts w:ascii="宋体" w:hAnsi="宋体" w:eastAsia="宋体" w:cs="宋体"/>
          <w:sz w:val="21"/>
          <w:szCs w:val="21"/>
        </w:rPr>
        <w:t>报价) X价格权重</w:t>
      </w:r>
      <w:r>
        <w:rPr>
          <w:rFonts w:hint="eastAsia" w:ascii="宋体" w:hAnsi="宋体" w:eastAsia="宋体" w:cs="宋体"/>
          <w:sz w:val="21"/>
          <w:szCs w:val="21"/>
          <w:lang w:val="en-US" w:eastAsia="zh-CN"/>
        </w:rPr>
        <w:t>x100</w:t>
      </w:r>
      <w:r>
        <w:rPr>
          <w:rFonts w:ascii="宋体" w:hAnsi="宋体" w:eastAsia="宋体" w:cs="宋体"/>
          <w:sz w:val="21"/>
          <w:szCs w:val="21"/>
        </w:rPr>
        <w:t>。(详见综合评分表)</w:t>
      </w:r>
      <w:r>
        <w:rPr>
          <w:rFonts w:ascii="宋体" w:hAnsi="宋体" w:eastAsia="宋体" w:cs="宋体"/>
          <w:sz w:val="21"/>
          <w:szCs w:val="21"/>
        </w:rPr>
        <w:br w:type="textWrapping"/>
      </w:r>
      <w:r>
        <w:rPr>
          <w:rFonts w:ascii="宋体" w:hAnsi="宋体" w:eastAsia="宋体" w:cs="宋体"/>
          <w:sz w:val="21"/>
          <w:szCs w:val="21"/>
        </w:rPr>
        <w:br w:type="textWrapping"/>
      </w:r>
      <w:r>
        <w:rPr>
          <w:rFonts w:ascii="宋体" w:hAnsi="宋体" w:eastAsia="宋体" w:cs="宋体"/>
          <w:sz w:val="21"/>
          <w:szCs w:val="21"/>
        </w:rPr>
        <w:t>(2)</w:t>
      </w:r>
      <w:r>
        <w:rPr>
          <w:rFonts w:hint="eastAsia" w:ascii="宋体" w:hAnsi="宋体" w:eastAsia="宋体" w:cs="宋体"/>
          <w:sz w:val="21"/>
          <w:szCs w:val="21"/>
          <w:lang w:val="en-US" w:eastAsia="zh-CN"/>
        </w:rPr>
        <w:t>技术、</w:t>
      </w:r>
      <w:r>
        <w:rPr>
          <w:rFonts w:ascii="宋体" w:hAnsi="宋体" w:eastAsia="宋体" w:cs="宋体"/>
          <w:sz w:val="21"/>
          <w:szCs w:val="21"/>
        </w:rPr>
        <w:t>商务占</w:t>
      </w:r>
      <w:r>
        <w:rPr>
          <w:rFonts w:hint="eastAsia" w:ascii="宋体" w:hAnsi="宋体" w:eastAsia="宋体" w:cs="宋体"/>
          <w:sz w:val="21"/>
          <w:szCs w:val="21"/>
          <w:lang w:val="en-US" w:eastAsia="zh-CN"/>
        </w:rPr>
        <w:t>90</w:t>
      </w:r>
      <w:r>
        <w:rPr>
          <w:rFonts w:ascii="宋体" w:hAnsi="宋体" w:eastAsia="宋体" w:cs="宋体"/>
          <w:sz w:val="21"/>
          <w:szCs w:val="21"/>
        </w:rPr>
        <w:t>% (详见综合评分表)</w:t>
      </w:r>
    </w:p>
    <w:p>
      <w:pPr>
        <w:numPr>
          <w:ilvl w:val="0"/>
          <w:numId w:val="0"/>
        </w:numPr>
        <w:ind w:leftChars="200"/>
        <w:rPr>
          <w:rFonts w:hint="eastAsia" w:ascii="宋体" w:hAnsi="宋体" w:cs="宋体"/>
          <w:sz w:val="21"/>
          <w:szCs w:val="21"/>
          <w:lang w:eastAsia="zh-CN"/>
        </w:rPr>
      </w:pPr>
      <w:r>
        <w:rPr>
          <w:rFonts w:ascii="宋体" w:hAnsi="宋体" w:eastAsia="宋体" w:cs="宋体"/>
          <w:sz w:val="21"/>
          <w:szCs w:val="21"/>
        </w:rPr>
        <w:br w:type="textWrapping"/>
      </w: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）价格分统一采用低价优先法计算，即满足招标文件要求且最后报价最低的投标人的价格为评标基准价，其价格分为满分。</w:t>
      </w:r>
    </w:p>
    <w:p>
      <w:pPr>
        <w:numPr>
          <w:ilvl w:val="0"/>
          <w:numId w:val="0"/>
        </w:numPr>
        <w:ind w:leftChars="200"/>
        <w:rPr>
          <w:rFonts w:hint="eastAsia" w:ascii="宋体" w:hAnsi="宋体" w:cs="宋体"/>
          <w:sz w:val="21"/>
          <w:szCs w:val="21"/>
          <w:lang w:eastAsia="zh-CN"/>
        </w:rPr>
      </w:pPr>
      <w:r>
        <w:rPr>
          <w:rFonts w:hint="eastAsia" w:ascii="宋体" w:hAnsi="宋体" w:cs="宋体"/>
          <w:sz w:val="21"/>
          <w:szCs w:val="21"/>
          <w:lang w:eastAsia="zh-CN"/>
        </w:rPr>
        <w:t>投标人的价格分统一按照下列公式计算：</w:t>
      </w:r>
    </w:p>
    <w:p>
      <w:pPr>
        <w:numPr>
          <w:ilvl w:val="0"/>
          <w:numId w:val="0"/>
        </w:numPr>
        <w:ind w:leftChars="200"/>
        <w:rPr>
          <w:rFonts w:hint="eastAsia" w:ascii="宋体" w:hAnsi="宋体" w:cs="宋体"/>
          <w:sz w:val="21"/>
          <w:szCs w:val="21"/>
          <w:lang w:eastAsia="zh-CN"/>
        </w:rPr>
      </w:pPr>
      <w:r>
        <w:rPr>
          <w:rFonts w:hint="eastAsia" w:ascii="宋体" w:hAnsi="宋体" w:cs="宋体"/>
          <w:sz w:val="21"/>
          <w:szCs w:val="21"/>
          <w:lang w:eastAsia="zh-CN"/>
        </w:rPr>
        <w:t>投标报价得分=（评标基准价/最后投标报价）X价格权值X100</w:t>
      </w:r>
    </w:p>
    <w:p>
      <w:pPr>
        <w:numPr>
          <w:ilvl w:val="0"/>
          <w:numId w:val="0"/>
        </w:numPr>
        <w:ind w:leftChars="200"/>
        <w:rPr>
          <w:rFonts w:hint="eastAsia" w:ascii="宋体" w:hAnsi="宋体" w:cs="宋体"/>
          <w:sz w:val="21"/>
          <w:szCs w:val="21"/>
          <w:lang w:eastAsia="zh-CN"/>
        </w:rPr>
      </w:pPr>
      <w:r>
        <w:rPr>
          <w:rFonts w:hint="eastAsia" w:ascii="宋体" w:hAnsi="宋体" w:cs="宋体"/>
          <w:sz w:val="21"/>
          <w:szCs w:val="21"/>
          <w:lang w:eastAsia="zh-CN"/>
        </w:rPr>
        <w:t>供应商的价格分统一按照下列公式计算：</w:t>
      </w:r>
    </w:p>
    <w:p>
      <w:pPr>
        <w:numPr>
          <w:ilvl w:val="0"/>
          <w:numId w:val="0"/>
        </w:numPr>
        <w:ind w:leftChars="200"/>
        <w:rPr>
          <w:rFonts w:hint="eastAsia" w:ascii="宋体" w:hAnsi="宋体" w:cs="宋体"/>
          <w:sz w:val="21"/>
          <w:szCs w:val="21"/>
          <w:lang w:eastAsia="zh-CN"/>
        </w:rPr>
      </w:pPr>
      <w:r>
        <w:rPr>
          <w:rFonts w:hint="eastAsia" w:ascii="宋体" w:hAnsi="宋体" w:cs="宋体"/>
          <w:sz w:val="21"/>
          <w:szCs w:val="21"/>
          <w:lang w:eastAsia="zh-CN"/>
        </w:rPr>
        <w:t>项目评审过程中，不得去掉最后报价中的最高报价和最低报价。</w:t>
      </w:r>
    </w:p>
    <w:p>
      <w:pPr>
        <w:numPr>
          <w:ilvl w:val="0"/>
          <w:numId w:val="0"/>
        </w:numPr>
        <w:ind w:leftChars="200"/>
        <w:rPr>
          <w:rFonts w:hint="eastAsia" w:ascii="宋体" w:hAnsi="宋体" w:cs="宋体"/>
          <w:sz w:val="21"/>
          <w:szCs w:val="21"/>
          <w:lang w:eastAsia="zh-CN"/>
        </w:rPr>
      </w:pPr>
      <w:r>
        <w:rPr>
          <w:rFonts w:hint="eastAsia" w:ascii="宋体" w:hAnsi="宋体" w:cs="宋体"/>
          <w:sz w:val="21"/>
          <w:szCs w:val="21"/>
          <w:lang w:eastAsia="zh-CN"/>
        </w:rPr>
        <w:t>价格评审得分保留小数点后两位，第三位四舍五入。综合得分最高者优先推荐。</w:t>
      </w:r>
    </w:p>
    <w:p>
      <w:pPr>
        <w:numPr>
          <w:ilvl w:val="0"/>
          <w:numId w:val="0"/>
        </w:numPr>
        <w:ind w:leftChars="200"/>
        <w:rPr>
          <w:rFonts w:ascii="宋体" w:hAnsi="宋体" w:eastAsia="宋体" w:cs="宋体"/>
          <w:sz w:val="21"/>
          <w:szCs w:val="21"/>
        </w:rPr>
      </w:pPr>
      <w:r>
        <w:rPr>
          <w:rFonts w:ascii="宋体" w:hAnsi="宋体" w:eastAsia="宋体" w:cs="宋体"/>
          <w:sz w:val="21"/>
          <w:szCs w:val="21"/>
        </w:rPr>
        <w:br w:type="textWrapping"/>
      </w:r>
      <w:r>
        <w:rPr>
          <w:rFonts w:ascii="宋体" w:hAnsi="宋体" w:eastAsia="宋体" w:cs="宋体"/>
          <w:sz w:val="21"/>
          <w:szCs w:val="21"/>
        </w:rPr>
        <w:t>(4)竞争性磋商共有两次报价，二次报价为最终报价，磋商小组所有成员集中与单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ascii="宋体" w:hAnsi="宋体" w:eastAsia="宋体" w:cs="宋体"/>
          <w:sz w:val="21"/>
          <w:szCs w:val="21"/>
        </w:rPr>
        <w:br w:type="textWrapping"/>
      </w:r>
      <w:r>
        <w:rPr>
          <w:rFonts w:ascii="宋体" w:hAnsi="宋体" w:eastAsia="宋体" w:cs="宋体"/>
          <w:sz w:val="21"/>
          <w:szCs w:val="21"/>
        </w:rPr>
        <w:br w:type="textWrapping"/>
      </w:r>
      <w:r>
        <w:rPr>
          <w:rFonts w:ascii="宋体" w:hAnsi="宋体" w:eastAsia="宋体" w:cs="宋体"/>
          <w:sz w:val="21"/>
          <w:szCs w:val="21"/>
        </w:rPr>
        <w:t>(5)磋商小组推荐成交候选供应商的数量: 3</w:t>
      </w:r>
    </w:p>
    <w:p>
      <w:pPr>
        <w:rPr>
          <w:rFonts w:hint="eastAsia"/>
          <w:b/>
          <w:bCs/>
          <w:szCs w:val="24"/>
        </w:rPr>
      </w:pPr>
    </w:p>
    <w:p>
      <w:pPr>
        <w:pStyle w:val="2"/>
        <w:rPr>
          <w:rFonts w:hint="eastAsia"/>
        </w:rPr>
      </w:pP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Pr>
        <w:pStyle w:val="9"/>
        <w:ind w:firstLine="480"/>
        <w:rPr>
          <w:rFonts w:hAnsi="宋体"/>
          <w:color w:val="000000"/>
        </w:rPr>
      </w:pPr>
    </w:p>
    <w:p>
      <w:pPr>
        <w:ind w:firstLine="420" w:firstLineChars="200"/>
        <w:jc w:val="left"/>
        <w:rPr>
          <w:rFonts w:hAnsi="宋体"/>
          <w:bCs/>
        </w:rPr>
        <w:sectPr>
          <w:headerReference r:id="rId19" w:type="default"/>
          <w:footerReference r:id="rId20" w:type="default"/>
          <w:pgSz w:w="11906" w:h="16838"/>
          <w:pgMar w:top="1134" w:right="1134" w:bottom="1134" w:left="1134" w:header="851" w:footer="992" w:gutter="0"/>
          <w:cols w:space="720" w:num="1"/>
          <w:docGrid w:linePitch="312" w:charSpace="0"/>
        </w:sectPr>
      </w:pPr>
    </w:p>
    <w:bookmarkEnd w:id="636"/>
    <w:p>
      <w:pPr>
        <w:pStyle w:val="4"/>
        <w:numPr>
          <w:ilvl w:val="0"/>
          <w:numId w:val="12"/>
        </w:numPr>
        <w:ind w:firstLineChars="0"/>
        <w:jc w:val="both"/>
        <w:rPr>
          <w:rFonts w:ascii="仿宋" w:hAnsi="仿宋" w:eastAsia="仿宋"/>
          <w:color w:val="000000"/>
        </w:rPr>
      </w:pPr>
      <w:bookmarkStart w:id="654" w:name="_Toc24666"/>
      <w:bookmarkStart w:id="655" w:name="_Toc14939"/>
      <w:bookmarkStart w:id="656" w:name="_Toc18979"/>
      <w:r>
        <w:rPr>
          <w:rFonts w:hint="eastAsia" w:ascii="仿宋" w:hAnsi="仿宋" w:eastAsia="仿宋"/>
          <w:color w:val="000000"/>
        </w:rPr>
        <w:t>资格审查</w:t>
      </w:r>
      <w:bookmarkEnd w:id="654"/>
      <w:bookmarkEnd w:id="655"/>
      <w:bookmarkEnd w:id="656"/>
    </w:p>
    <w:tbl>
      <w:tblPr>
        <w:tblStyle w:val="38"/>
        <w:tblpPr w:leftFromText="180" w:rightFromText="180" w:vertAnchor="text" w:horzAnchor="page" w:tblpX="943" w:tblpY="222"/>
        <w:tblOverlap w:val="never"/>
        <w:tblW w:w="9929" w:type="dxa"/>
        <w:tblInd w:w="0" w:type="dxa"/>
        <w:tblLayout w:type="fixed"/>
        <w:tblCellMar>
          <w:top w:w="0" w:type="dxa"/>
          <w:left w:w="15" w:type="dxa"/>
          <w:bottom w:w="0" w:type="dxa"/>
          <w:right w:w="15" w:type="dxa"/>
        </w:tblCellMar>
      </w:tblPr>
      <w:tblGrid>
        <w:gridCol w:w="567"/>
        <w:gridCol w:w="6225"/>
        <w:gridCol w:w="1296"/>
        <w:gridCol w:w="873"/>
        <w:gridCol w:w="968"/>
      </w:tblGrid>
      <w:tr>
        <w:tblPrEx>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textAlignment w:val="center"/>
              <w:rPr>
                <w:rFonts w:ascii="仿宋" w:hAnsi="仿宋" w:eastAsia="仿宋" w:cs="宋体"/>
                <w:color w:val="000000"/>
                <w:szCs w:val="21"/>
              </w:rPr>
            </w:pPr>
            <w:bookmarkStart w:id="657" w:name="_Toc15501"/>
            <w:r>
              <w:rPr>
                <w:rFonts w:hint="eastAsia" w:ascii="仿宋" w:hAnsi="仿宋" w:eastAsia="仿宋" w:cs="宋体"/>
                <w:color w:val="000000"/>
                <w:szCs w:val="21"/>
              </w:rPr>
              <w:t>序号</w:t>
            </w:r>
          </w:p>
        </w:tc>
        <w:tc>
          <w:tcPr>
            <w:tcW w:w="6225" w:type="dxa"/>
            <w:vMerge w:val="restart"/>
            <w:tcBorders>
              <w:top w:val="single" w:color="000000" w:sz="4" w:space="0"/>
              <w:left w:val="single" w:color="000000" w:sz="4" w:space="0"/>
              <w:bottom w:val="single" w:color="000000" w:sz="4" w:space="0"/>
              <w:right w:val="nil"/>
            </w:tcBorders>
            <w:noWrap/>
            <w:vAlign w:val="center"/>
          </w:tcPr>
          <w:p>
            <w:pPr>
              <w:autoSpaceDN w:val="0"/>
              <w:ind w:left="105" w:hanging="105"/>
              <w:jc w:val="center"/>
              <w:textAlignment w:val="center"/>
              <w:rPr>
                <w:rFonts w:ascii="仿宋" w:hAnsi="仿宋" w:eastAsia="仿宋" w:cs="宋体"/>
                <w:color w:val="000000"/>
                <w:szCs w:val="21"/>
              </w:rPr>
            </w:pPr>
            <w:r>
              <w:rPr>
                <w:rFonts w:hint="eastAsia" w:ascii="仿宋" w:hAnsi="仿宋" w:eastAsia="仿宋" w:cs="宋体"/>
                <w:color w:val="000000"/>
                <w:szCs w:val="21"/>
              </w:rPr>
              <w:t>投标文件审查及响应性</w:t>
            </w:r>
            <w:r>
              <w:rPr>
                <w:rFonts w:hint="eastAsia" w:ascii="仿宋" w:hAnsi="仿宋" w:eastAsia="仿宋" w:cs="宋体"/>
                <w:color w:val="000000"/>
                <w:szCs w:val="21"/>
              </w:rPr>
              <w:br w:type="textWrapping"/>
            </w:r>
            <w:r>
              <w:rPr>
                <w:rFonts w:hint="eastAsia" w:ascii="仿宋" w:hAnsi="仿宋" w:eastAsia="仿宋" w:cs="宋体"/>
                <w:color w:val="000000"/>
                <w:szCs w:val="21"/>
              </w:rPr>
              <w:t>（评审结果为合格/不合格）</w:t>
            </w:r>
          </w:p>
        </w:tc>
        <w:tc>
          <w:tcPr>
            <w:tcW w:w="1296" w:type="dxa"/>
            <w:tcBorders>
              <w:top w:val="single" w:color="000000" w:sz="4" w:space="0"/>
              <w:left w:val="single" w:color="000000" w:sz="4" w:space="0"/>
              <w:bottom w:val="single" w:color="000000" w:sz="4" w:space="0"/>
              <w:right w:val="nil"/>
            </w:tcBorders>
            <w:noWrap/>
            <w:vAlign w:val="center"/>
          </w:tcPr>
          <w:p>
            <w:pPr>
              <w:ind w:left="105" w:leftChars="0" w:hanging="105" w:firstLineChars="0"/>
              <w:jc w:val="center"/>
              <w:rPr>
                <w:rFonts w:ascii="仿宋" w:hAnsi="仿宋" w:eastAsia="仿宋"/>
                <w:color w:val="000000"/>
                <w:sz w:val="18"/>
              </w:rPr>
            </w:pPr>
            <w:r>
              <w:rPr>
                <w:rFonts w:hint="eastAsia" w:ascii="仿宋" w:hAnsi="仿宋" w:eastAsia="仿宋" w:cs="宋体"/>
                <w:color w:val="000000"/>
                <w:szCs w:val="21"/>
              </w:rPr>
              <w:t>投标人1</w:t>
            </w:r>
          </w:p>
        </w:tc>
        <w:tc>
          <w:tcPr>
            <w:tcW w:w="873" w:type="dxa"/>
            <w:tcBorders>
              <w:top w:val="single" w:color="000000" w:sz="4" w:space="0"/>
              <w:left w:val="single" w:color="000000" w:sz="4" w:space="0"/>
              <w:bottom w:val="single" w:color="000000" w:sz="4" w:space="0"/>
              <w:right w:val="nil"/>
            </w:tcBorders>
            <w:noWrap/>
            <w:vAlign w:val="center"/>
          </w:tcPr>
          <w:p>
            <w:pPr>
              <w:ind w:left="105" w:leftChars="0" w:hanging="105" w:firstLineChars="0"/>
              <w:jc w:val="center"/>
              <w:rPr>
                <w:rFonts w:ascii="仿宋" w:hAnsi="仿宋" w:eastAsia="仿宋"/>
                <w:color w:val="000000"/>
                <w:sz w:val="18"/>
              </w:rPr>
            </w:pPr>
            <w:r>
              <w:rPr>
                <w:rFonts w:hint="eastAsia" w:ascii="仿宋" w:hAnsi="仿宋" w:eastAsia="仿宋" w:cs="宋体"/>
                <w:color w:val="000000"/>
                <w:szCs w:val="21"/>
              </w:rPr>
              <w:t>投标人2</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ind w:left="105" w:leftChars="0" w:hanging="105" w:firstLineChars="0"/>
              <w:jc w:val="center"/>
              <w:rPr>
                <w:rFonts w:ascii="仿宋" w:hAnsi="仿宋" w:eastAsia="仿宋"/>
                <w:color w:val="000000"/>
                <w:sz w:val="18"/>
              </w:rPr>
            </w:pPr>
            <w:r>
              <w:rPr>
                <w:rFonts w:hint="eastAsia" w:ascii="仿宋" w:hAnsi="仿宋" w:eastAsia="仿宋" w:cs="宋体"/>
                <w:color w:val="000000"/>
                <w:szCs w:val="21"/>
              </w:rPr>
              <w:t>投标人3</w:t>
            </w:r>
          </w:p>
        </w:tc>
      </w:tr>
      <w:tr>
        <w:tblPrEx>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ign w:val="center"/>
          </w:tcPr>
          <w:p>
            <w:pPr>
              <w:ind w:left="105" w:hanging="105"/>
              <w:rPr>
                <w:rFonts w:ascii="仿宋" w:hAnsi="仿宋" w:eastAsia="仿宋"/>
                <w:color w:val="000000"/>
              </w:rPr>
            </w:pPr>
          </w:p>
        </w:tc>
        <w:tc>
          <w:tcPr>
            <w:tcW w:w="6225" w:type="dxa"/>
            <w:vMerge w:val="continue"/>
            <w:tcBorders>
              <w:top w:val="single" w:color="000000" w:sz="4" w:space="0"/>
              <w:left w:val="single" w:color="000000" w:sz="4" w:space="0"/>
              <w:bottom w:val="single" w:color="000000" w:sz="4" w:space="0"/>
              <w:right w:val="nil"/>
            </w:tcBorders>
            <w:noWrap/>
            <w:vAlign w:val="center"/>
          </w:tcPr>
          <w:p>
            <w:pPr>
              <w:ind w:left="105" w:hanging="105"/>
              <w:rPr>
                <w:rFonts w:ascii="仿宋" w:hAnsi="仿宋" w:eastAsia="仿宋"/>
                <w:color w:val="000000"/>
              </w:rPr>
            </w:pPr>
          </w:p>
        </w:tc>
        <w:tc>
          <w:tcPr>
            <w:tcW w:w="1296" w:type="dxa"/>
            <w:tcBorders>
              <w:top w:val="single" w:color="000000" w:sz="4" w:space="0"/>
              <w:left w:val="single" w:color="000000" w:sz="4" w:space="0"/>
              <w:bottom w:val="single" w:color="000000" w:sz="4" w:space="0"/>
              <w:right w:val="nil"/>
            </w:tcBorders>
            <w:noWrap/>
            <w:vAlign w:val="center"/>
          </w:tcPr>
          <w:p>
            <w:pPr>
              <w:autoSpaceDN w:val="0"/>
              <w:ind w:left="105" w:hanging="105"/>
              <w:jc w:val="center"/>
              <w:textAlignment w:val="center"/>
              <w:rPr>
                <w:rFonts w:ascii="仿宋" w:hAnsi="仿宋" w:eastAsia="仿宋" w:cs="宋体"/>
                <w:color w:val="000000"/>
                <w:szCs w:val="21"/>
              </w:rPr>
            </w:pPr>
            <w:r>
              <w:rPr>
                <w:rFonts w:hint="eastAsia" w:ascii="仿宋" w:hAnsi="仿宋" w:eastAsia="仿宋" w:cs="宋体"/>
                <w:color w:val="000000"/>
                <w:szCs w:val="21"/>
              </w:rPr>
              <w:t>是否合格</w:t>
            </w:r>
          </w:p>
        </w:tc>
        <w:tc>
          <w:tcPr>
            <w:tcW w:w="873" w:type="dxa"/>
            <w:tcBorders>
              <w:top w:val="single" w:color="000000" w:sz="4" w:space="0"/>
              <w:left w:val="single" w:color="000000" w:sz="4" w:space="0"/>
              <w:bottom w:val="single" w:color="000000" w:sz="4" w:space="0"/>
              <w:right w:val="nil"/>
            </w:tcBorders>
            <w:noWrap/>
            <w:vAlign w:val="center"/>
          </w:tcPr>
          <w:p>
            <w:pPr>
              <w:autoSpaceDN w:val="0"/>
              <w:ind w:left="105" w:hanging="105"/>
              <w:jc w:val="center"/>
              <w:textAlignment w:val="center"/>
              <w:rPr>
                <w:rFonts w:ascii="仿宋" w:hAnsi="仿宋" w:eastAsia="仿宋" w:cs="宋体"/>
                <w:color w:val="000000"/>
                <w:szCs w:val="21"/>
              </w:rPr>
            </w:pPr>
            <w:r>
              <w:rPr>
                <w:rFonts w:hint="eastAsia" w:ascii="仿宋" w:hAnsi="仿宋" w:eastAsia="仿宋" w:cs="宋体"/>
                <w:color w:val="000000"/>
                <w:szCs w:val="21"/>
              </w:rPr>
              <w:t>是否合格</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5" w:hanging="105"/>
              <w:jc w:val="center"/>
              <w:textAlignment w:val="center"/>
              <w:rPr>
                <w:rFonts w:ascii="仿宋" w:hAnsi="仿宋" w:eastAsia="仿宋" w:cs="宋体"/>
                <w:color w:val="000000"/>
                <w:szCs w:val="21"/>
              </w:rPr>
            </w:pPr>
            <w:r>
              <w:rPr>
                <w:rFonts w:hint="eastAsia" w:ascii="仿宋" w:hAnsi="仿宋" w:eastAsia="仿宋" w:cs="宋体"/>
                <w:color w:val="000000"/>
                <w:szCs w:val="21"/>
              </w:rPr>
              <w:t>是否合格</w:t>
            </w:r>
          </w:p>
        </w:tc>
      </w:tr>
      <w:tr>
        <w:tblPrEx>
          <w:tblCellMar>
            <w:top w:w="0" w:type="dxa"/>
            <w:left w:w="15" w:type="dxa"/>
            <w:bottom w:w="0" w:type="dxa"/>
            <w:right w:w="15" w:type="dxa"/>
          </w:tblCellMar>
        </w:tblPrEx>
        <w:trPr>
          <w:trHeight w:val="41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240" w:lineRule="auto"/>
              <w:ind w:left="105" w:hanging="105"/>
              <w:jc w:val="center"/>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1</w:t>
            </w:r>
          </w:p>
        </w:tc>
        <w:tc>
          <w:tcPr>
            <w:tcW w:w="6225" w:type="dxa"/>
            <w:tcBorders>
              <w:top w:val="single" w:color="000000" w:sz="4" w:space="0"/>
              <w:left w:val="single" w:color="auto" w:sz="4" w:space="0"/>
              <w:bottom w:val="single" w:color="000000" w:sz="4" w:space="0"/>
              <w:right w:val="nil"/>
            </w:tcBorders>
            <w:noWrap/>
            <w:vAlign w:val="center"/>
          </w:tcPr>
          <w:p>
            <w:pPr>
              <w:widowControl/>
              <w:snapToGrid w:val="0"/>
              <w:spacing w:line="240" w:lineRule="auto"/>
              <w:ind w:left="105" w:hanging="105"/>
              <w:jc w:val="left"/>
              <w:rPr>
                <w:rFonts w:hint="eastAsia" w:ascii="仿宋" w:hAnsi="仿宋" w:eastAsia="仿宋" w:cs="宋体"/>
                <w:color w:val="000000"/>
                <w:szCs w:val="21"/>
              </w:rPr>
            </w:pPr>
            <w:r>
              <w:rPr>
                <w:rFonts w:hint="eastAsia" w:ascii="仿宋" w:hAnsi="仿宋" w:eastAsia="仿宋" w:cs="宋体"/>
                <w:color w:val="000000"/>
                <w:szCs w:val="21"/>
                <w:lang w:val="en-US" w:eastAsia="zh-CN"/>
              </w:rPr>
              <w:t>提供由会计师事务所出具的2021年财务审计报告原件或复印件加盖公章（新成立公司提供有效银行资信证明）；</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sz w:val="20"/>
              </w:rPr>
            </w:pPr>
          </w:p>
        </w:tc>
      </w:tr>
      <w:tr>
        <w:tblPrEx>
          <w:tblCellMar>
            <w:top w:w="0" w:type="dxa"/>
            <w:left w:w="15" w:type="dxa"/>
            <w:bottom w:w="0" w:type="dxa"/>
            <w:right w:w="15" w:type="dxa"/>
          </w:tblCellMar>
        </w:tblPrEx>
        <w:trPr>
          <w:trHeight w:val="451"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240" w:lineRule="auto"/>
              <w:ind w:left="105" w:hanging="105"/>
              <w:jc w:val="center"/>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2</w:t>
            </w:r>
          </w:p>
        </w:tc>
        <w:tc>
          <w:tcPr>
            <w:tcW w:w="6225" w:type="dxa"/>
            <w:tcBorders>
              <w:top w:val="single" w:color="000000" w:sz="4" w:space="0"/>
              <w:left w:val="single" w:color="auto" w:sz="4" w:space="0"/>
              <w:bottom w:val="single" w:color="000000" w:sz="4" w:space="0"/>
              <w:right w:val="nil"/>
            </w:tcBorders>
            <w:noWrap/>
            <w:vAlign w:val="center"/>
          </w:tcPr>
          <w:p>
            <w:pPr>
              <w:widowControl/>
              <w:snapToGrid w:val="0"/>
              <w:spacing w:line="240" w:lineRule="auto"/>
              <w:ind w:left="105" w:hanging="105"/>
              <w:jc w:val="left"/>
              <w:rPr>
                <w:rFonts w:hint="eastAsia" w:ascii="仿宋" w:hAnsi="仿宋" w:eastAsia="仿宋" w:cs="宋体"/>
                <w:color w:val="000000"/>
                <w:szCs w:val="21"/>
              </w:rPr>
            </w:pPr>
            <w:r>
              <w:rPr>
                <w:rFonts w:hint="eastAsia" w:ascii="仿宋" w:hAnsi="仿宋" w:eastAsia="仿宋" w:cs="宋体"/>
                <w:color w:val="000000"/>
                <w:szCs w:val="21"/>
                <w:lang w:val="en-US" w:eastAsia="zh-CN"/>
              </w:rPr>
              <w:t>提供2022年税务机关出具近三个月的完税证明或缴税资料（完税证明或税务部门出具的其他证明，非社会保险类）的原件或盖章的复印件（新成立不足三个月的按实际发生提供）；</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240" w:lineRule="auto"/>
              <w:ind w:left="105" w:hanging="105"/>
              <w:jc w:val="center"/>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3</w:t>
            </w:r>
          </w:p>
        </w:tc>
        <w:tc>
          <w:tcPr>
            <w:tcW w:w="6225" w:type="dxa"/>
            <w:tcBorders>
              <w:top w:val="single" w:color="000000" w:sz="4" w:space="0"/>
              <w:left w:val="single" w:color="auto" w:sz="4" w:space="0"/>
              <w:bottom w:val="single" w:color="000000" w:sz="4" w:space="0"/>
              <w:right w:val="nil"/>
            </w:tcBorders>
            <w:noWrap/>
            <w:vAlign w:val="center"/>
          </w:tcPr>
          <w:p>
            <w:pPr>
              <w:widowControl/>
              <w:snapToGrid w:val="0"/>
              <w:spacing w:line="240" w:lineRule="auto"/>
              <w:ind w:left="105" w:hanging="105"/>
              <w:jc w:val="left"/>
              <w:rPr>
                <w:rFonts w:hint="eastAsia" w:ascii="仿宋" w:hAnsi="仿宋" w:eastAsia="仿宋" w:cs="宋体"/>
                <w:color w:val="000000"/>
                <w:szCs w:val="21"/>
              </w:rPr>
            </w:pPr>
            <w:r>
              <w:rPr>
                <w:rFonts w:hint="eastAsia" w:ascii="仿宋" w:hAnsi="仿宋" w:eastAsia="仿宋" w:cs="宋体"/>
                <w:color w:val="000000"/>
                <w:szCs w:val="21"/>
              </w:rPr>
              <w:t>参加政府采购活动前三年内，在经营活动中没有重大违法记录</w:t>
            </w:r>
            <w:r>
              <w:rPr>
                <w:rFonts w:hint="eastAsia" w:ascii="仿宋" w:hAnsi="仿宋" w:eastAsia="仿宋" w:cs="宋体"/>
                <w:color w:val="000000"/>
                <w:szCs w:val="21"/>
                <w:lang w:eastAsia="zh-CN"/>
              </w:rPr>
              <w:t>（</w:t>
            </w:r>
            <w:r>
              <w:rPr>
                <w:rFonts w:hint="eastAsia" w:ascii="仿宋" w:hAnsi="仿宋" w:eastAsia="仿宋" w:cs="宋体"/>
                <w:color w:val="000000"/>
                <w:szCs w:val="21"/>
                <w:lang w:val="en-US" w:eastAsia="zh-CN"/>
              </w:rPr>
              <w:t>提供声明函原件或复印件加盖公章</w:t>
            </w:r>
            <w:r>
              <w:rPr>
                <w:rFonts w:hint="eastAsia" w:ascii="仿宋" w:hAnsi="仿宋" w:eastAsia="仿宋" w:cs="宋体"/>
                <w:color w:val="000000"/>
                <w:szCs w:val="21"/>
                <w:lang w:eastAsia="zh-CN"/>
              </w:rPr>
              <w:t>）</w:t>
            </w:r>
            <w:r>
              <w:rPr>
                <w:rFonts w:hint="eastAsia" w:ascii="仿宋" w:hAnsi="仿宋" w:eastAsia="仿宋" w:cs="宋体"/>
                <w:color w:val="000000"/>
                <w:szCs w:val="21"/>
              </w:rPr>
              <w:t>；</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240" w:lineRule="auto"/>
              <w:ind w:left="105" w:hanging="105"/>
              <w:jc w:val="center"/>
              <w:rPr>
                <w:rFonts w:hint="eastAsia" w:ascii="仿宋" w:hAnsi="仿宋" w:eastAsia="仿宋" w:cs="宋体"/>
                <w:color w:val="000000"/>
                <w:szCs w:val="21"/>
                <w:lang w:eastAsia="zh-CN"/>
              </w:rPr>
            </w:pPr>
            <w:r>
              <w:rPr>
                <w:rFonts w:hint="eastAsia" w:ascii="仿宋" w:hAnsi="仿宋" w:eastAsia="仿宋" w:cs="宋体"/>
                <w:color w:val="000000"/>
                <w:szCs w:val="21"/>
                <w:lang w:val="en-US" w:eastAsia="zh-CN"/>
              </w:rPr>
              <w:t>4</w:t>
            </w:r>
          </w:p>
        </w:tc>
        <w:tc>
          <w:tcPr>
            <w:tcW w:w="6225" w:type="dxa"/>
            <w:tcBorders>
              <w:top w:val="single" w:color="000000" w:sz="4" w:space="0"/>
              <w:left w:val="single" w:color="auto" w:sz="4" w:space="0"/>
              <w:bottom w:val="single" w:color="000000" w:sz="4" w:space="0"/>
              <w:right w:val="nil"/>
            </w:tcBorders>
            <w:noWrap/>
            <w:vAlign w:val="center"/>
          </w:tcPr>
          <w:p>
            <w:pPr>
              <w:widowControl/>
              <w:snapToGrid w:val="0"/>
              <w:spacing w:line="240" w:lineRule="auto"/>
              <w:ind w:left="105" w:hanging="105"/>
              <w:jc w:val="left"/>
              <w:rPr>
                <w:rFonts w:hint="eastAsia" w:ascii="仿宋" w:hAnsi="仿宋" w:eastAsia="仿宋" w:cs="宋体"/>
                <w:color w:val="000000"/>
                <w:szCs w:val="21"/>
              </w:rPr>
            </w:pPr>
            <w:r>
              <w:rPr>
                <w:rFonts w:hint="eastAsia" w:ascii="仿宋" w:hAnsi="仿宋" w:eastAsia="仿宋" w:cs="宋体"/>
                <w:color w:val="000000"/>
                <w:szCs w:val="21"/>
                <w:lang w:val="en-US" w:eastAsia="zh-CN"/>
              </w:rPr>
              <w:t>提供针对本次项目《反商业贿赂承诺书》</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sz w:val="2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240" w:lineRule="auto"/>
              <w:ind w:left="105" w:hanging="105"/>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5</w:t>
            </w:r>
          </w:p>
        </w:tc>
        <w:tc>
          <w:tcPr>
            <w:tcW w:w="6225" w:type="dxa"/>
            <w:tcBorders>
              <w:top w:val="single" w:color="000000" w:sz="4" w:space="0"/>
              <w:left w:val="single" w:color="auto" w:sz="4" w:space="0"/>
              <w:bottom w:val="single" w:color="000000" w:sz="4" w:space="0"/>
              <w:right w:val="nil"/>
            </w:tcBorders>
            <w:noWrap/>
            <w:vAlign w:val="center"/>
          </w:tcPr>
          <w:p>
            <w:pPr>
              <w:widowControl/>
              <w:snapToGrid w:val="0"/>
              <w:spacing w:line="240" w:lineRule="auto"/>
              <w:ind w:left="105" w:hanging="105"/>
              <w:jc w:val="left"/>
              <w:rPr>
                <w:rFonts w:hint="eastAsia" w:ascii="仿宋" w:hAnsi="仿宋" w:eastAsia="仿宋" w:cs="宋体"/>
                <w:color w:val="000000"/>
                <w:szCs w:val="21"/>
              </w:rPr>
            </w:pPr>
            <w:r>
              <w:rPr>
                <w:rFonts w:hint="eastAsia" w:ascii="仿宋" w:hAnsi="仿宋" w:eastAsia="仿宋" w:cs="宋体"/>
                <w:color w:val="000000"/>
                <w:szCs w:val="21"/>
                <w:lang w:val="en-US" w:eastAsia="zh-CN"/>
              </w:rPr>
              <w:t>供应商在“信用中国”（www.creditchina.gov.cn）和中国政府采购网（www.ccgp.gov.cn）网站上未列入失信被执行人、重大税收违法案件当事人名单、政府采购严重违法失信行为记录名单（财库[2016]125号）（需提供网上截图加盖公章）</w:t>
            </w:r>
          </w:p>
        </w:tc>
        <w:tc>
          <w:tcPr>
            <w:tcW w:w="1296"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sz w:val="20"/>
              </w:rPr>
            </w:pPr>
          </w:p>
        </w:tc>
        <w:tc>
          <w:tcPr>
            <w:tcW w:w="873" w:type="dxa"/>
            <w:tcBorders>
              <w:top w:val="single" w:color="000000" w:sz="4" w:space="0"/>
              <w:left w:val="single" w:color="000000" w:sz="4" w:space="0"/>
              <w:bottom w:val="single" w:color="000000" w:sz="4" w:space="0"/>
              <w:right w:val="nil"/>
            </w:tcBorders>
            <w:noWrap/>
            <w:vAlign w:val="center"/>
          </w:tcPr>
          <w:p>
            <w:pPr>
              <w:autoSpaceDN w:val="0"/>
              <w:ind w:left="100" w:hanging="100"/>
              <w:jc w:val="center"/>
              <w:textAlignment w:val="center"/>
              <w:rPr>
                <w:rFonts w:ascii="仿宋" w:hAnsi="仿宋" w:eastAsia="仿宋"/>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sz w:val="20"/>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ign w:val="center"/>
          </w:tcPr>
          <w:p>
            <w:pPr>
              <w:autoSpaceDN w:val="0"/>
              <w:ind w:left="105" w:hanging="105"/>
              <w:textAlignment w:val="center"/>
              <w:rPr>
                <w:rFonts w:ascii="仿宋" w:hAnsi="仿宋" w:eastAsia="仿宋" w:cs="宋体"/>
                <w:color w:val="000000"/>
                <w:szCs w:val="21"/>
              </w:rPr>
            </w:pPr>
            <w:r>
              <w:rPr>
                <w:rFonts w:hint="eastAsia" w:ascii="仿宋" w:hAnsi="仿宋" w:eastAsia="仿宋" w:cs="宋体"/>
                <w:color w:val="000000"/>
                <w:szCs w:val="21"/>
              </w:rPr>
              <w:t>评审结果</w:t>
            </w:r>
          </w:p>
        </w:tc>
        <w:tc>
          <w:tcPr>
            <w:tcW w:w="1296" w:type="dxa"/>
            <w:tcBorders>
              <w:top w:val="single" w:color="000000" w:sz="4" w:space="0"/>
              <w:left w:val="single" w:color="000000" w:sz="4" w:space="0"/>
              <w:bottom w:val="nil"/>
              <w:right w:val="single" w:color="000000" w:sz="4" w:space="0"/>
            </w:tcBorders>
            <w:noWrap/>
            <w:vAlign w:val="center"/>
          </w:tcPr>
          <w:p>
            <w:pPr>
              <w:autoSpaceDN w:val="0"/>
              <w:ind w:left="100" w:hanging="100"/>
              <w:jc w:val="center"/>
              <w:textAlignment w:val="center"/>
              <w:rPr>
                <w:rFonts w:ascii="仿宋" w:hAnsi="仿宋" w:eastAsia="仿宋"/>
                <w:color w:val="000000"/>
                <w:sz w:val="20"/>
              </w:rPr>
            </w:pPr>
          </w:p>
        </w:tc>
        <w:tc>
          <w:tcPr>
            <w:tcW w:w="873" w:type="dxa"/>
            <w:tcBorders>
              <w:top w:val="single" w:color="000000" w:sz="4" w:space="0"/>
              <w:left w:val="single" w:color="000000" w:sz="4" w:space="0"/>
              <w:bottom w:val="nil"/>
              <w:right w:val="single" w:color="000000" w:sz="4" w:space="0"/>
            </w:tcBorders>
            <w:noWrap/>
            <w:vAlign w:val="center"/>
          </w:tcPr>
          <w:p>
            <w:pPr>
              <w:autoSpaceDN w:val="0"/>
              <w:ind w:left="100" w:hanging="100"/>
              <w:jc w:val="center"/>
              <w:textAlignment w:val="center"/>
              <w:rPr>
                <w:rFonts w:ascii="仿宋" w:hAnsi="仿宋" w:eastAsia="仿宋"/>
                <w:color w:val="000000"/>
                <w:sz w:val="2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autoSpaceDN w:val="0"/>
              <w:ind w:left="100" w:hanging="100"/>
              <w:jc w:val="center"/>
              <w:textAlignment w:val="center"/>
              <w:rPr>
                <w:rFonts w:ascii="仿宋" w:hAnsi="仿宋" w:eastAsia="仿宋"/>
                <w:color w:val="000000"/>
                <w:sz w:val="20"/>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ign w:val="center"/>
          </w:tcPr>
          <w:p>
            <w:pPr>
              <w:autoSpaceDN w:val="0"/>
              <w:ind w:left="120" w:hanging="120"/>
              <w:jc w:val="center"/>
              <w:textAlignment w:val="center"/>
              <w:rPr>
                <w:rFonts w:ascii="仿宋" w:hAnsi="仿宋" w:eastAsia="仿宋"/>
                <w:b/>
                <w:color w:val="000000"/>
                <w:sz w:val="24"/>
              </w:rPr>
            </w:pPr>
            <w:r>
              <w:rPr>
                <w:rFonts w:hint="eastAsia" w:ascii="仿宋" w:hAnsi="仿宋" w:eastAsia="仿宋"/>
                <w:b/>
                <w:color w:val="000000"/>
                <w:sz w:val="24"/>
              </w:rPr>
              <w:t>“√”表示合格；“×”表示不合格，一项不合格为无效投标处，如不合格，请在结果中写明原因。</w:t>
            </w:r>
          </w:p>
        </w:tc>
      </w:tr>
    </w:tbl>
    <w:p>
      <w:pPr>
        <w:ind w:left="0" w:firstLine="0" w:firstLineChars="0"/>
        <w:jc w:val="left"/>
        <w:rPr>
          <w:rFonts w:ascii="仿宋" w:hAnsi="仿宋" w:eastAsia="仿宋"/>
          <w:color w:val="000000"/>
        </w:rPr>
      </w:pPr>
    </w:p>
    <w:p>
      <w:pPr>
        <w:pStyle w:val="2"/>
      </w:pPr>
    </w:p>
    <w:p>
      <w:pPr>
        <w:ind w:left="0" w:firstLine="0" w:firstLineChars="0"/>
        <w:rPr>
          <w:rFonts w:ascii="仿宋" w:hAnsi="仿宋" w:eastAsia="仿宋"/>
          <w:color w:val="000000"/>
        </w:rPr>
      </w:pPr>
    </w:p>
    <w:p>
      <w:pPr>
        <w:rPr>
          <w:rFonts w:hint="eastAsia" w:ascii="仿宋" w:hAnsi="仿宋" w:eastAsia="仿宋"/>
          <w:color w:val="000000"/>
        </w:rPr>
      </w:pPr>
      <w:bookmarkStart w:id="658" w:name="_Toc13335"/>
      <w:bookmarkStart w:id="659" w:name="_Toc3828"/>
      <w:r>
        <w:rPr>
          <w:rFonts w:hint="eastAsia" w:ascii="仿宋" w:hAnsi="仿宋" w:eastAsia="仿宋"/>
          <w:color w:val="000000"/>
        </w:rPr>
        <w:br w:type="page"/>
      </w:r>
    </w:p>
    <w:p>
      <w:pPr>
        <w:pStyle w:val="4"/>
        <w:ind w:left="0" w:firstLine="0" w:firstLineChars="0"/>
        <w:jc w:val="both"/>
        <w:rPr>
          <w:rFonts w:ascii="仿宋" w:hAnsi="仿宋" w:eastAsia="仿宋"/>
          <w:color w:val="000000"/>
        </w:rPr>
      </w:pPr>
      <w:r>
        <w:rPr>
          <w:rFonts w:hint="eastAsia" w:ascii="仿宋" w:hAnsi="仿宋" w:eastAsia="仿宋"/>
          <w:color w:val="000000"/>
        </w:rPr>
        <w:t>二、符合性评审标准（有一项不通过，否决投标文件）：</w:t>
      </w:r>
      <w:bookmarkEnd w:id="657"/>
      <w:bookmarkEnd w:id="658"/>
      <w:bookmarkEnd w:id="659"/>
    </w:p>
    <w:tbl>
      <w:tblPr>
        <w:tblStyle w:val="38"/>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523"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b/>
                <w:color w:val="000000"/>
                <w:szCs w:val="21"/>
              </w:rPr>
            </w:pPr>
            <w:r>
              <w:rPr>
                <w:rFonts w:hint="eastAsia" w:ascii="仿宋" w:hAnsi="仿宋" w:eastAsia="仿宋" w:cs="宋体"/>
                <w:b/>
                <w:color w:val="000000"/>
                <w:szCs w:val="21"/>
              </w:rPr>
              <w:t>项目</w:t>
            </w:r>
          </w:p>
        </w:tc>
        <w:tc>
          <w:tcPr>
            <w:tcW w:w="6520" w:type="dxa"/>
            <w:gridSpan w:val="2"/>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b/>
                <w:color w:val="000000"/>
                <w:szCs w:val="21"/>
              </w:rPr>
            </w:pPr>
            <w:r>
              <w:rPr>
                <w:rFonts w:hint="eastAsia" w:ascii="仿宋" w:hAnsi="仿宋" w:eastAsia="仿宋" w:cs="宋体"/>
                <w:b/>
                <w:color w:val="000000"/>
                <w:szCs w:val="21"/>
              </w:rPr>
              <w:t>评  审  内  容</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投标人1</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投标人2</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投标人3</w:t>
            </w: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23" w:type="dxa"/>
            <w:vMerge w:val="restart"/>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r>
              <w:rPr>
                <w:rFonts w:hint="eastAsia" w:ascii="仿宋" w:hAnsi="仿宋" w:eastAsia="仿宋" w:cs="宋体"/>
                <w:color w:val="000000"/>
                <w:szCs w:val="21"/>
              </w:rPr>
              <w:t>符合性评审</w:t>
            </w: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1</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szCs w:val="21"/>
              </w:rPr>
            </w:pPr>
            <w:r>
              <w:rPr>
                <w:rFonts w:hint="eastAsia" w:ascii="仿宋" w:hAnsi="仿宋" w:eastAsia="仿宋" w:cs="宋体"/>
                <w:color w:val="000000"/>
                <w:szCs w:val="21"/>
              </w:rPr>
              <w:t>需要提交的证明文件不全，或者不符合招标文件标明的证明文件要求的；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2</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szCs w:val="21"/>
              </w:rPr>
            </w:pPr>
            <w:r>
              <w:rPr>
                <w:rFonts w:hint="eastAsia" w:ascii="仿宋" w:hAnsi="仿宋" w:eastAsia="仿宋" w:cs="宋体"/>
                <w:color w:val="000000"/>
                <w:szCs w:val="21"/>
              </w:rPr>
              <w:t>响应文件没有投标人法定代表人或其授权代表签字（章）和加盖投标人公章的；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3</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szCs w:val="21"/>
              </w:rPr>
            </w:pPr>
            <w:r>
              <w:rPr>
                <w:rFonts w:hint="eastAsia" w:ascii="仿宋" w:hAnsi="仿宋" w:eastAsia="仿宋" w:cs="宋体"/>
                <w:color w:val="000000"/>
                <w:szCs w:val="21"/>
              </w:rPr>
              <w:t>投标代表人未能出具身份证明或与法定代表人授权委托人身份不符的；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4</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szCs w:val="21"/>
              </w:rPr>
            </w:pPr>
            <w:r>
              <w:rPr>
                <w:rFonts w:hint="eastAsia" w:ascii="仿宋" w:hAnsi="仿宋" w:eastAsia="仿宋" w:cs="宋体"/>
                <w:color w:val="000000"/>
                <w:szCs w:val="21"/>
              </w:rPr>
              <w:t>投标文件不齐全或者内容虚假的；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5</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szCs w:val="21"/>
              </w:rPr>
            </w:pPr>
            <w:r>
              <w:rPr>
                <w:rFonts w:hint="eastAsia" w:ascii="仿宋" w:hAnsi="仿宋" w:eastAsia="仿宋" w:cs="宋体"/>
                <w:color w:val="000000"/>
                <w:szCs w:val="21"/>
              </w:rPr>
              <w:t>投标文件的实质性内容未使用中文表述、意思表述不明确、前后矛盾或者使用计量单位不符合招标文件要求的（经评标委员会认定并允许其当场更正的笔误除外）</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6</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szCs w:val="21"/>
              </w:rPr>
            </w:pPr>
            <w:r>
              <w:rPr>
                <w:rFonts w:hint="eastAsia" w:ascii="仿宋" w:hAnsi="仿宋" w:eastAsia="仿宋" w:cs="宋体"/>
                <w:color w:val="000000"/>
                <w:szCs w:val="21"/>
              </w:rPr>
              <w:t>商务条款有偏离情况的；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7</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szCs w:val="21"/>
              </w:rPr>
            </w:pPr>
            <w:r>
              <w:rPr>
                <w:rFonts w:hint="eastAsia" w:ascii="仿宋" w:hAnsi="仿宋" w:eastAsia="仿宋" w:cs="宋体"/>
                <w:color w:val="000000"/>
                <w:szCs w:val="21"/>
              </w:rPr>
              <w:t>投标报价是否不高于采购预算额度；</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8</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szCs w:val="21"/>
              </w:rPr>
            </w:pPr>
            <w:r>
              <w:rPr>
                <w:rFonts w:hint="eastAsia" w:ascii="仿宋" w:hAnsi="仿宋" w:eastAsia="仿宋" w:cs="宋体"/>
                <w:color w:val="000000"/>
                <w:szCs w:val="21"/>
              </w:rPr>
              <w:t>投标报价具有选择性，或者开标价格与投标文件承诺的优惠（折扣）价格不一致的；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9</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szCs w:val="21"/>
              </w:rPr>
            </w:pPr>
            <w:r>
              <w:rPr>
                <w:rFonts w:hint="eastAsia" w:ascii="仿宋" w:hAnsi="仿宋" w:eastAsia="仿宋" w:cs="宋体"/>
                <w:color w:val="000000"/>
                <w:szCs w:val="21"/>
              </w:rPr>
              <w:t>投标有效期、</w:t>
            </w:r>
            <w:r>
              <w:rPr>
                <w:rFonts w:hint="eastAsia" w:ascii="仿宋" w:hAnsi="仿宋" w:eastAsia="仿宋" w:cs="宋体"/>
                <w:color w:val="000000"/>
                <w:szCs w:val="21"/>
                <w:lang w:val="en-US" w:eastAsia="zh-CN"/>
              </w:rPr>
              <w:t>服务</w:t>
            </w:r>
            <w:r>
              <w:rPr>
                <w:rFonts w:hint="eastAsia" w:ascii="仿宋" w:hAnsi="仿宋" w:eastAsia="仿宋" w:cs="宋体"/>
                <w:color w:val="000000"/>
                <w:szCs w:val="21"/>
              </w:rPr>
              <w:t>期限等相关条款不能满足招标文件要求的；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10</w:t>
            </w:r>
          </w:p>
        </w:tc>
        <w:tc>
          <w:tcPr>
            <w:tcW w:w="5953" w:type="dxa"/>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color w:val="000000"/>
                <w:szCs w:val="21"/>
              </w:rPr>
            </w:pPr>
            <w:r>
              <w:rPr>
                <w:rFonts w:hint="eastAsia" w:ascii="仿宋" w:hAnsi="仿宋" w:eastAsia="仿宋" w:cs="宋体"/>
                <w:color w:val="000000"/>
                <w:szCs w:val="21"/>
              </w:rPr>
              <w:t>未实质性响应招标文件要求或者投标文件有招标方不能接受的附加条件的；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23" w:type="dxa"/>
            <w:vMerge w:val="continue"/>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olor w:val="000000"/>
              </w:rPr>
            </w:pPr>
          </w:p>
        </w:tc>
        <w:tc>
          <w:tcPr>
            <w:tcW w:w="567" w:type="dxa"/>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11</w:t>
            </w:r>
          </w:p>
        </w:tc>
        <w:tc>
          <w:tcPr>
            <w:tcW w:w="5953" w:type="dxa"/>
            <w:tcBorders>
              <w:top w:val="single" w:color="auto" w:sz="4" w:space="0"/>
              <w:left w:val="single" w:color="auto" w:sz="4" w:space="0"/>
              <w:bottom w:val="single" w:color="auto" w:sz="4" w:space="0"/>
              <w:right w:val="single" w:color="auto" w:sz="4" w:space="0"/>
            </w:tcBorders>
            <w:noWrap/>
            <w:vAlign w:val="center"/>
          </w:tcPr>
          <w:p>
            <w:pPr>
              <w:kinsoku w:val="0"/>
              <w:overflowPunct w:val="0"/>
              <w:autoSpaceDE w:val="0"/>
              <w:autoSpaceDN w:val="0"/>
              <w:snapToGrid w:val="0"/>
              <w:spacing w:line="240" w:lineRule="auto"/>
              <w:ind w:left="105" w:hanging="105"/>
              <w:jc w:val="left"/>
              <w:rPr>
                <w:rFonts w:ascii="仿宋" w:hAnsi="仿宋" w:eastAsia="仿宋" w:cs="宋体"/>
                <w:color w:val="000000"/>
                <w:szCs w:val="21"/>
              </w:rPr>
            </w:pPr>
            <w:r>
              <w:rPr>
                <w:rFonts w:hint="eastAsia" w:ascii="仿宋" w:hAnsi="仿宋" w:eastAsia="仿宋" w:cs="宋体"/>
                <w:color w:val="000000"/>
                <w:kern w:val="0"/>
                <w:szCs w:val="21"/>
              </w:rPr>
              <w:t>投标文件标明的响应或偏离与事实不符或伪造证明文件等虚假投标的；</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043" w:type="dxa"/>
            <w:gridSpan w:val="3"/>
            <w:tcBorders>
              <w:top w:val="single" w:color="auto" w:sz="4" w:space="0"/>
              <w:left w:val="single" w:color="auto" w:sz="4" w:space="0"/>
              <w:bottom w:val="single" w:color="auto" w:sz="4" w:space="0"/>
              <w:right w:val="single" w:color="auto" w:sz="4" w:space="0"/>
            </w:tcBorders>
            <w:noWrap/>
            <w:vAlign w:val="center"/>
          </w:tcPr>
          <w:p>
            <w:pPr>
              <w:ind w:left="105" w:hanging="105"/>
              <w:jc w:val="center"/>
              <w:rPr>
                <w:rFonts w:ascii="仿宋" w:hAnsi="仿宋" w:eastAsia="仿宋" w:cs="宋体"/>
                <w:color w:val="000000"/>
                <w:szCs w:val="21"/>
              </w:rPr>
            </w:pPr>
            <w:r>
              <w:rPr>
                <w:rFonts w:hint="eastAsia" w:ascii="仿宋" w:hAnsi="仿宋" w:eastAsia="仿宋" w:cs="宋体"/>
                <w:color w:val="000000"/>
                <w:szCs w:val="21"/>
              </w:rPr>
              <w:t>结论：合格/不合格</w:t>
            </w: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c>
          <w:tcPr>
            <w:tcW w:w="661" w:type="dxa"/>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ind w:left="105" w:hanging="105"/>
              <w:rPr>
                <w:rFonts w:ascii="仿宋" w:hAnsi="仿宋" w:eastAsia="仿宋" w:cs="宋体"/>
                <w:b/>
                <w:color w:val="000000"/>
                <w:szCs w:val="21"/>
              </w:rPr>
            </w:pPr>
            <w:r>
              <w:rPr>
                <w:rFonts w:hint="eastAsia" w:ascii="仿宋" w:hAnsi="仿宋" w:eastAsia="仿宋" w:cs="宋体"/>
                <w:b/>
                <w:color w:val="000000"/>
                <w:szCs w:val="21"/>
              </w:rPr>
              <w:t>评标委员会成员签名：</w:t>
            </w:r>
          </w:p>
          <w:p>
            <w:pPr>
              <w:ind w:left="105" w:hanging="105"/>
              <w:rPr>
                <w:rFonts w:ascii="仿宋" w:hAnsi="仿宋" w:eastAsia="仿宋" w:cs="宋体"/>
                <w:color w:val="000000"/>
                <w:szCs w:val="21"/>
              </w:rPr>
            </w:pPr>
            <w:r>
              <w:rPr>
                <w:rFonts w:hint="eastAsia" w:ascii="仿宋" w:hAnsi="仿宋" w:eastAsia="仿宋" w:cs="宋体"/>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9831" w:type="dxa"/>
            <w:gridSpan w:val="7"/>
            <w:tcBorders>
              <w:top w:val="single" w:color="auto" w:sz="4" w:space="0"/>
              <w:left w:val="single" w:color="auto" w:sz="4" w:space="0"/>
              <w:bottom w:val="single" w:color="auto" w:sz="4" w:space="0"/>
              <w:right w:val="single" w:color="auto" w:sz="4" w:space="0"/>
            </w:tcBorders>
            <w:noWrap/>
            <w:vAlign w:val="center"/>
          </w:tcPr>
          <w:p>
            <w:pPr>
              <w:spacing w:line="240" w:lineRule="auto"/>
              <w:ind w:left="105" w:hanging="105"/>
              <w:rPr>
                <w:rFonts w:ascii="仿宋" w:hAnsi="仿宋" w:eastAsia="仿宋" w:cs="宋体"/>
                <w:b/>
                <w:color w:val="000000"/>
                <w:szCs w:val="21"/>
              </w:rPr>
            </w:pPr>
            <w:r>
              <w:rPr>
                <w:rFonts w:hint="eastAsia" w:ascii="仿宋" w:hAnsi="仿宋" w:eastAsia="仿宋" w:cs="宋体"/>
                <w:color w:val="000000"/>
                <w:szCs w:val="21"/>
              </w:rPr>
              <w:t>备注：初步评审合格后方可进入详细评审阶段，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14"/>
        <w:snapToGrid w:val="0"/>
        <w:ind w:left="420" w:firstLine="0" w:firstLineChars="0"/>
        <w:rPr>
          <w:rFonts w:ascii="仿宋" w:hAnsi="仿宋" w:eastAsia="仿宋" w:cs="宋体"/>
          <w:b/>
          <w:bCs/>
          <w:color w:val="000000"/>
          <w:sz w:val="24"/>
        </w:rPr>
      </w:pPr>
      <w:r>
        <w:rPr>
          <w:rFonts w:hint="eastAsia" w:ascii="仿宋" w:hAnsi="仿宋" w:eastAsia="仿宋" w:cs="宋体"/>
          <w:b/>
          <w:bCs/>
          <w:color w:val="000000"/>
          <w:sz w:val="24"/>
        </w:rPr>
        <w:t>被拒绝的投标文件为无效。通过符合性评审阶段的企业方能进入评分阶段。</w:t>
      </w:r>
    </w:p>
    <w:p>
      <w:pPr>
        <w:ind w:left="0" w:firstLine="0" w:firstLineChars="0"/>
        <w:rPr>
          <w:rFonts w:ascii="仿宋" w:hAnsi="仿宋" w:eastAsia="仿宋"/>
          <w:color w:val="000000"/>
        </w:rPr>
      </w:pPr>
    </w:p>
    <w:p>
      <w:pPr>
        <w:pStyle w:val="13"/>
        <w:ind w:left="141" w:hanging="141"/>
        <w:jc w:val="center"/>
        <w:outlineLvl w:val="1"/>
        <w:rPr>
          <w:rFonts w:hint="eastAsia" w:ascii="仿宋" w:hAnsi="仿宋" w:eastAsia="仿宋" w:cs="宋体"/>
          <w:b/>
          <w:bCs/>
          <w:caps/>
          <w:color w:val="000000"/>
          <w:sz w:val="28"/>
          <w:szCs w:val="28"/>
        </w:rPr>
      </w:pPr>
      <w:bookmarkStart w:id="660" w:name="_Toc25766"/>
    </w:p>
    <w:p>
      <w:pPr>
        <w:pStyle w:val="13"/>
        <w:ind w:left="141" w:hanging="141"/>
        <w:jc w:val="center"/>
        <w:outlineLvl w:val="1"/>
        <w:rPr>
          <w:rFonts w:hint="eastAsia" w:ascii="仿宋" w:hAnsi="仿宋" w:eastAsia="仿宋" w:cs="宋体"/>
          <w:b/>
          <w:bCs/>
          <w:caps/>
          <w:color w:val="000000"/>
          <w:sz w:val="28"/>
          <w:szCs w:val="28"/>
        </w:rPr>
      </w:pPr>
    </w:p>
    <w:p>
      <w:pPr>
        <w:pStyle w:val="13"/>
        <w:ind w:left="141" w:hanging="141"/>
        <w:jc w:val="center"/>
        <w:outlineLvl w:val="1"/>
        <w:rPr>
          <w:rFonts w:hint="eastAsia" w:ascii="仿宋" w:hAnsi="仿宋" w:eastAsia="仿宋" w:cs="宋体"/>
          <w:b/>
          <w:bCs/>
          <w:caps/>
          <w:color w:val="000000"/>
          <w:sz w:val="28"/>
          <w:szCs w:val="28"/>
        </w:rPr>
      </w:pPr>
    </w:p>
    <w:p>
      <w:pPr>
        <w:pStyle w:val="13"/>
        <w:ind w:left="141" w:hanging="141"/>
        <w:jc w:val="center"/>
        <w:outlineLvl w:val="1"/>
        <w:rPr>
          <w:rFonts w:ascii="仿宋" w:hAnsi="仿宋" w:eastAsia="仿宋" w:cs="宋体"/>
          <w:b/>
          <w:bCs/>
          <w:caps/>
          <w:color w:val="000000"/>
          <w:sz w:val="28"/>
          <w:szCs w:val="28"/>
        </w:rPr>
      </w:pPr>
      <w:bookmarkStart w:id="661" w:name="_Toc4453"/>
      <w:bookmarkStart w:id="662" w:name="_Toc1012"/>
      <w:r>
        <w:rPr>
          <w:rFonts w:hint="eastAsia" w:ascii="仿宋" w:hAnsi="仿宋" w:eastAsia="仿宋" w:cs="宋体"/>
          <w:b/>
          <w:bCs/>
          <w:caps/>
          <w:color w:val="000000"/>
          <w:sz w:val="28"/>
          <w:szCs w:val="28"/>
        </w:rPr>
        <w:t>三、详细评分标准</w:t>
      </w:r>
      <w:bookmarkEnd w:id="660"/>
      <w:bookmarkEnd w:id="661"/>
      <w:bookmarkEnd w:id="662"/>
    </w:p>
    <w:tbl>
      <w:tblPr>
        <w:tblStyle w:val="38"/>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2"/>
        <w:gridCol w:w="1223"/>
        <w:gridCol w:w="1157"/>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2355" w:type="dxa"/>
            <w:gridSpan w:val="2"/>
            <w:noWrap w:val="0"/>
            <w:vAlign w:val="center"/>
          </w:tcPr>
          <w:p>
            <w:pPr>
              <w:ind w:firstLine="0" w:firstLineChars="0"/>
              <w:jc w:val="center"/>
              <w:rPr>
                <w:rFonts w:ascii="宋体" w:hAnsi="宋体" w:cs="Arial"/>
                <w:b/>
                <w:bCs/>
                <w:color w:val="auto"/>
                <w:kern w:val="0"/>
                <w:sz w:val="24"/>
                <w:szCs w:val="24"/>
              </w:rPr>
            </w:pPr>
            <w:r>
              <w:rPr>
                <w:rFonts w:hint="eastAsia" w:ascii="宋体" w:hAnsi="宋体" w:cs="Arial"/>
                <w:b/>
                <w:bCs/>
                <w:color w:val="auto"/>
                <w:kern w:val="0"/>
                <w:sz w:val="24"/>
                <w:szCs w:val="24"/>
              </w:rPr>
              <w:t>评审项目</w:t>
            </w:r>
          </w:p>
        </w:tc>
        <w:tc>
          <w:tcPr>
            <w:tcW w:w="1157" w:type="dxa"/>
            <w:noWrap w:val="0"/>
            <w:vAlign w:val="center"/>
          </w:tcPr>
          <w:p>
            <w:pPr>
              <w:ind w:firstLine="0" w:firstLineChars="0"/>
              <w:jc w:val="center"/>
              <w:rPr>
                <w:rFonts w:ascii="宋体" w:hAnsi="宋体" w:cs="Arial"/>
                <w:b/>
                <w:bCs/>
                <w:color w:val="auto"/>
                <w:kern w:val="0"/>
                <w:sz w:val="24"/>
                <w:szCs w:val="24"/>
              </w:rPr>
            </w:pPr>
            <w:r>
              <w:rPr>
                <w:rFonts w:hint="eastAsia" w:ascii="宋体" w:hAnsi="宋体" w:cs="Arial"/>
                <w:b/>
                <w:bCs/>
                <w:color w:val="auto"/>
                <w:kern w:val="0"/>
                <w:sz w:val="24"/>
                <w:szCs w:val="24"/>
              </w:rPr>
              <w:t>标准分</w:t>
            </w:r>
          </w:p>
        </w:tc>
        <w:tc>
          <w:tcPr>
            <w:tcW w:w="6608" w:type="dxa"/>
            <w:noWrap w:val="0"/>
            <w:vAlign w:val="center"/>
          </w:tcPr>
          <w:p>
            <w:pPr>
              <w:ind w:firstLine="0" w:firstLineChars="0"/>
              <w:jc w:val="center"/>
              <w:rPr>
                <w:rFonts w:ascii="宋体" w:hAnsi="宋体" w:cs="Arial"/>
                <w:b/>
                <w:bCs/>
                <w:color w:val="auto"/>
                <w:kern w:val="0"/>
                <w:sz w:val="24"/>
                <w:szCs w:val="24"/>
              </w:rPr>
            </w:pPr>
            <w:r>
              <w:rPr>
                <w:rFonts w:hint="eastAsia" w:ascii="宋体" w:hAnsi="宋体" w:cs="Arial"/>
                <w:b/>
                <w:bCs/>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10120" w:type="dxa"/>
            <w:gridSpan w:val="4"/>
            <w:noWrap w:val="0"/>
            <w:vAlign w:val="top"/>
          </w:tcPr>
          <w:p>
            <w:pPr>
              <w:ind w:firstLine="0" w:firstLineChars="0"/>
              <w:jc w:val="both"/>
              <w:rPr>
                <w:rFonts w:hint="eastAsia" w:ascii="宋体" w:hAnsi="宋体" w:eastAsia="宋体" w:cs="Arial"/>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4" w:hRule="atLeast"/>
          <w:jc w:val="center"/>
        </w:trPr>
        <w:tc>
          <w:tcPr>
            <w:tcW w:w="1132" w:type="dxa"/>
            <w:noWrap w:val="0"/>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价格评价评分标准</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（10分）</w:t>
            </w:r>
          </w:p>
          <w:p>
            <w:pPr>
              <w:spacing w:line="240" w:lineRule="auto"/>
              <w:ind w:left="105" w:hanging="105"/>
              <w:rPr>
                <w:rFonts w:hint="eastAsia" w:ascii="仿宋" w:hAnsi="仿宋" w:eastAsia="仿宋" w:cs="宋体"/>
                <w:color w:val="000000"/>
                <w:szCs w:val="21"/>
                <w:lang w:val="en-US" w:eastAsia="zh-CN"/>
              </w:rPr>
            </w:pPr>
          </w:p>
        </w:tc>
        <w:tc>
          <w:tcPr>
            <w:tcW w:w="1223" w:type="dxa"/>
            <w:noWrap w:val="0"/>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报价得分</w:t>
            </w:r>
          </w:p>
        </w:tc>
        <w:tc>
          <w:tcPr>
            <w:tcW w:w="1157" w:type="dxa"/>
            <w:noWrap w:val="0"/>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10分</w:t>
            </w:r>
          </w:p>
        </w:tc>
        <w:tc>
          <w:tcPr>
            <w:tcW w:w="6608" w:type="dxa"/>
            <w:noWrap w:val="0"/>
            <w:vAlign w:val="top"/>
          </w:tcPr>
          <w:p>
            <w:pPr>
              <w:spacing w:line="240" w:lineRule="auto"/>
              <w:ind w:left="105" w:hanging="105"/>
              <w:rPr>
                <w:rFonts w:hint="eastAsia" w:ascii="仿宋" w:hAnsi="仿宋" w:eastAsia="仿宋" w:cs="宋体"/>
                <w:color w:val="000000"/>
                <w:szCs w:val="21"/>
                <w:highlight w:val="none"/>
                <w:lang w:val="en-US" w:eastAsia="zh-CN"/>
              </w:rPr>
            </w:pPr>
            <w:r>
              <w:rPr>
                <w:rFonts w:hint="eastAsia" w:ascii="仿宋" w:hAnsi="仿宋" w:eastAsia="仿宋" w:cs="宋体"/>
                <w:color w:val="000000"/>
                <w:szCs w:val="21"/>
                <w:lang w:val="en-US" w:eastAsia="zh-CN"/>
              </w:rPr>
              <w:t>满足招标文件要求且投标价格最低的投标报价为评标基准价，其价格分为满分10</w:t>
            </w:r>
            <w:r>
              <w:rPr>
                <w:rFonts w:hint="eastAsia" w:ascii="仿宋" w:hAnsi="仿宋" w:eastAsia="仿宋" w:cs="宋体"/>
                <w:color w:val="000000"/>
                <w:szCs w:val="21"/>
                <w:highlight w:val="none"/>
                <w:lang w:val="en-US" w:eastAsia="zh-CN"/>
              </w:rPr>
              <w:t>分。其他投标人的价格分统一按照下列公式计算：投标报价得分=(评标基准价／投标报价)×价格权值×100（价格权值为10％）。根据中华人民共和国财政部、中华人民共和国工业和信息化部《政府采购促进中小企业发展暂行办法》（财库[2020]46 号）、《关于进一步加大政府采购支持中小企业力度的通知》（财库〔2022〕19号）文件的规定，属于中小企业评审优惠内容及幅度如下：</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highlight w:val="none"/>
                <w:lang w:val="en-US" w:eastAsia="zh-CN"/>
              </w:rPr>
              <w:t>对于非专门面向中小企业的项目，对小型和微型企业（或联合体各方均为小型、微型企业的）产品的价格给予10%的</w:t>
            </w:r>
            <w:r>
              <w:rPr>
                <w:rFonts w:hint="eastAsia" w:ascii="仿宋" w:hAnsi="仿宋" w:eastAsia="仿宋" w:cs="宋体"/>
                <w:color w:val="000000"/>
                <w:szCs w:val="21"/>
                <w:lang w:val="en-US" w:eastAsia="zh-CN"/>
              </w:rPr>
              <w:t>扣除，用扣除后的价格参与价格分的评审。</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小型和微型企业适用价格扣除办法时应提供的相关资料：</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①、《中小企业声明函》；</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②、提供供应商工商行政登记所在地管理部门出具的小微企业证明文件；</w:t>
            </w:r>
          </w:p>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③、小微企业的认定由评标委员会根据供应商提供的资料进行认定。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2" w:type="dxa"/>
            <w:vMerge w:val="restart"/>
            <w:noWrap w:val="0"/>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技术评分标准（55分）</w:t>
            </w:r>
          </w:p>
          <w:p>
            <w:pPr>
              <w:spacing w:line="240" w:lineRule="auto"/>
              <w:ind w:left="105" w:hanging="105"/>
              <w:rPr>
                <w:rFonts w:hint="default" w:ascii="仿宋" w:hAnsi="仿宋" w:eastAsia="仿宋" w:cs="宋体"/>
                <w:color w:val="000000"/>
                <w:szCs w:val="21"/>
                <w:lang w:val="en-US" w:eastAsia="zh-CN"/>
              </w:rPr>
            </w:pPr>
          </w:p>
        </w:tc>
        <w:tc>
          <w:tcPr>
            <w:tcW w:w="1223" w:type="dxa"/>
            <w:noWrap w:val="0"/>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服务方案</w:t>
            </w:r>
          </w:p>
        </w:tc>
        <w:tc>
          <w:tcPr>
            <w:tcW w:w="1157" w:type="dxa"/>
            <w:noWrap w:val="0"/>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20分</w:t>
            </w:r>
          </w:p>
        </w:tc>
        <w:tc>
          <w:tcPr>
            <w:tcW w:w="6608" w:type="dxa"/>
            <w:noWrap w:val="0"/>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投标单位根据招标文件中整体项目的服务需求、时间安排、活动要求等进行项目整体计划、规划，进行综合考虑。</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服务方案安排优秀，能完全满足采购人的服务需求，对活动的整体进度有详细计划，分工安排具有合理性、针对性的，得20分</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服务方案安排合理，能满足采购人的服务需求，整体方案实用性一般，对活动的整体进度有详细计划，分工安排合理得15分</w:t>
            </w:r>
          </w:p>
          <w:p>
            <w:pPr>
              <w:spacing w:line="240" w:lineRule="auto"/>
              <w:ind w:left="105" w:hanging="105"/>
              <w:rPr>
                <w:rFonts w:hint="eastAsia"/>
                <w:lang w:val="en-US" w:eastAsia="zh-CN"/>
              </w:rPr>
            </w:pPr>
            <w:r>
              <w:rPr>
                <w:rFonts w:hint="eastAsia" w:ascii="仿宋" w:hAnsi="仿宋" w:eastAsia="仿宋" w:cs="宋体"/>
                <w:color w:val="000000"/>
                <w:szCs w:val="21"/>
                <w:lang w:val="en-US" w:eastAsia="zh-CN"/>
              </w:rPr>
              <w:t>服务方案安排一般，能基本满足采购人的服务需求，整体方案实用性一般，对活动的整体进度有详细计划，分工安排一般得10分</w:t>
            </w:r>
          </w:p>
          <w:p>
            <w:pPr>
              <w:spacing w:line="240" w:lineRule="auto"/>
              <w:ind w:left="105" w:hanging="105"/>
              <w:rPr>
                <w:rFonts w:hint="default"/>
                <w:lang w:val="en-US" w:eastAsia="zh-CN"/>
              </w:rPr>
            </w:pPr>
            <w:r>
              <w:rPr>
                <w:rFonts w:hint="eastAsia" w:ascii="仿宋" w:hAnsi="仿宋" w:eastAsia="仿宋" w:cs="宋体"/>
                <w:color w:val="000000"/>
                <w:szCs w:val="21"/>
                <w:lang w:val="en-US" w:eastAsia="zh-CN"/>
              </w:rPr>
              <w:t>服务方案存在瑕疵，只能基本满足采购人的服务需求，方案内容针对性差，整体方案实用性差，对活动的整体进度、详细计划、分工安排差得5分。未提供服务方案的得0分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132" w:type="dxa"/>
            <w:vMerge w:val="continue"/>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执行团队情况</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15分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投标单位自行配备执行团队，项目团队人员≥15人得15分；项目团队人员≥10人得10分，项目团队人员≥5人得5分；项目人员≥3人得3分；不提供的不得分。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1132" w:type="dxa"/>
            <w:vMerge w:val="continue"/>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相关类似业绩</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5分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提供近三年企业承担过的相关类似项目的业绩，每提供一份，得1分，最多得5分；没有类似业绩的不得分。（提供完整的项目中标通知书或合同协议）。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1132"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服务承诺</w:t>
            </w:r>
          </w:p>
        </w:tc>
        <w:tc>
          <w:tcPr>
            <w:tcW w:w="1157" w:type="dxa"/>
            <w:noWrap w:val="0"/>
            <w:tcMar>
              <w:top w:w="0" w:type="dxa"/>
              <w:left w:w="108" w:type="dxa"/>
              <w:bottom w:w="0" w:type="dxa"/>
              <w:right w:w="108" w:type="dxa"/>
            </w:tcMar>
            <w:vAlign w:val="center"/>
          </w:tcPr>
          <w:p>
            <w:pPr>
              <w:spacing w:line="240" w:lineRule="auto"/>
              <w:ind w:left="105" w:hanging="105"/>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10分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根据供应商对项目实施过程中的服务及实质性承诺及有效措施等内容进行评分。能提出实施过程中可能存在的问题并提出了明确详细的合理性建议得10分，较明确合理的得7分，一般明确合理的得5分，基本明确的得3分，未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1132" w:type="dxa"/>
            <w:vMerge w:val="restart"/>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default" w:ascii="仿宋" w:hAnsi="仿宋" w:eastAsia="仿宋" w:cs="宋体"/>
                <w:color w:val="000000"/>
                <w:szCs w:val="21"/>
                <w:lang w:val="en-US" w:eastAsia="zh-CN"/>
              </w:rPr>
              <w:t>商务评分标准（</w:t>
            </w:r>
            <w:r>
              <w:rPr>
                <w:rFonts w:hint="eastAsia" w:ascii="仿宋" w:hAnsi="仿宋" w:eastAsia="仿宋" w:cs="宋体"/>
                <w:color w:val="000000"/>
                <w:szCs w:val="21"/>
                <w:lang w:val="en-US" w:eastAsia="zh-CN"/>
              </w:rPr>
              <w:t>35</w:t>
            </w:r>
            <w:r>
              <w:rPr>
                <w:rFonts w:hint="default" w:ascii="仿宋" w:hAnsi="仿宋" w:eastAsia="仿宋" w:cs="宋体"/>
                <w:color w:val="000000"/>
                <w:szCs w:val="21"/>
                <w:lang w:val="en-US" w:eastAsia="zh-CN"/>
              </w:rPr>
              <w:t>分）</w:t>
            </w: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应急措施</w:t>
            </w:r>
          </w:p>
        </w:tc>
        <w:tc>
          <w:tcPr>
            <w:tcW w:w="1157" w:type="dxa"/>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20分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根据方案优劣、全面性、安全性、预见性等进行评分。应急方案（例：人员安全防护、交通安全、紧急情况应急措施、疫情防控安全措施等）、全面性、安全性、预见性优得20分，应急方案、全面性、安全性、预见性一般得14分，较差得7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2" w:type="dxa"/>
            <w:vMerge w:val="continue"/>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default" w:ascii="仿宋" w:hAnsi="仿宋" w:eastAsia="仿宋" w:cs="宋体"/>
                <w:color w:val="000000"/>
                <w:szCs w:val="21"/>
                <w:lang w:val="en-US" w:eastAsia="zh-CN"/>
              </w:rPr>
              <w:t>交通车辆安排方案</w:t>
            </w:r>
          </w:p>
        </w:tc>
        <w:tc>
          <w:tcPr>
            <w:tcW w:w="1157" w:type="dxa"/>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10分</w:t>
            </w:r>
          </w:p>
        </w:tc>
        <w:tc>
          <w:tcPr>
            <w:tcW w:w="6608" w:type="dxa"/>
            <w:noWrap w:val="0"/>
            <w:tcMar>
              <w:top w:w="0" w:type="dxa"/>
              <w:left w:w="108" w:type="dxa"/>
              <w:bottom w:w="0" w:type="dxa"/>
              <w:right w:w="108" w:type="dxa"/>
            </w:tcMar>
            <w:vAlign w:val="top"/>
          </w:tcPr>
          <w:p>
            <w:pPr>
              <w:spacing w:line="240" w:lineRule="auto"/>
              <w:ind w:left="105" w:hanging="105"/>
              <w:rPr>
                <w:rFonts w:hint="default" w:ascii="仿宋" w:hAnsi="仿宋" w:eastAsia="仿宋" w:cs="宋体"/>
                <w:color w:val="000000"/>
                <w:szCs w:val="21"/>
                <w:lang w:val="en-US" w:eastAsia="zh-CN"/>
              </w:rPr>
            </w:pPr>
            <w:r>
              <w:rPr>
                <w:rFonts w:hint="default" w:ascii="仿宋" w:hAnsi="仿宋" w:eastAsia="仿宋" w:cs="宋体"/>
                <w:color w:val="000000"/>
                <w:szCs w:val="21"/>
                <w:lang w:val="en-US" w:eastAsia="zh-CN"/>
              </w:rPr>
              <w:t>针对该项目制定交通车辆安排方案（需详细列明在活动过程中所使用车辆安排表）：方案内容考虑全面，出行路线安排情况、安全保障措施、交通车辆质量优得</w:t>
            </w:r>
            <w:r>
              <w:rPr>
                <w:rFonts w:hint="eastAsia" w:ascii="仿宋" w:hAnsi="仿宋" w:eastAsia="仿宋" w:cs="宋体"/>
                <w:color w:val="000000"/>
                <w:szCs w:val="21"/>
                <w:lang w:val="en-US" w:eastAsia="zh-CN"/>
              </w:rPr>
              <w:t>10</w:t>
            </w:r>
            <w:r>
              <w:rPr>
                <w:rFonts w:hint="default" w:ascii="仿宋" w:hAnsi="仿宋" w:eastAsia="仿宋" w:cs="宋体"/>
                <w:color w:val="000000"/>
                <w:szCs w:val="21"/>
                <w:lang w:val="en-US" w:eastAsia="zh-CN"/>
              </w:rPr>
              <w:t>分；有方案内容，出行路线安排情况、安全保障措施、交通车辆质量一般得</w:t>
            </w:r>
            <w:r>
              <w:rPr>
                <w:rFonts w:hint="eastAsia" w:ascii="仿宋" w:hAnsi="仿宋" w:eastAsia="仿宋" w:cs="宋体"/>
                <w:color w:val="000000"/>
                <w:szCs w:val="21"/>
                <w:lang w:val="en-US" w:eastAsia="zh-CN"/>
              </w:rPr>
              <w:t>5</w:t>
            </w:r>
            <w:r>
              <w:rPr>
                <w:rFonts w:hint="default" w:ascii="仿宋" w:hAnsi="仿宋" w:eastAsia="仿宋" w:cs="宋体"/>
                <w:color w:val="000000"/>
                <w:szCs w:val="21"/>
                <w:lang w:val="en-US" w:eastAsia="zh-CN"/>
              </w:rPr>
              <w:t>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2" w:type="dxa"/>
            <w:vMerge w:val="continue"/>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default" w:ascii="仿宋" w:hAnsi="仿宋" w:eastAsia="仿宋" w:cs="宋体"/>
                <w:color w:val="000000"/>
                <w:szCs w:val="21"/>
                <w:lang w:val="en-US" w:eastAsia="zh-CN"/>
              </w:rPr>
              <w:t>食宿餐饮方案</w:t>
            </w:r>
          </w:p>
        </w:tc>
        <w:tc>
          <w:tcPr>
            <w:tcW w:w="1157" w:type="dxa"/>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10分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针对该项目制定食宿餐饮方案：餐饮食宿安排计划周密、各项考虑全面，饮食及住宿保障措施具体得10分，餐饮食宿安排计划一般、各项考虑一般，饮食及住宿保障措施一般得5分，不提供方案不得分。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3512" w:type="dxa"/>
            <w:gridSpan w:val="3"/>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供应商得分</w:t>
            </w:r>
          </w:p>
        </w:tc>
        <w:tc>
          <w:tcPr>
            <w:tcW w:w="6608"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供应商汇总得分=技术商务得分+价格评价得分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0120" w:type="dxa"/>
            <w:gridSpan w:val="4"/>
            <w:noWrap w:val="0"/>
            <w:tcMar>
              <w:top w:w="0" w:type="dxa"/>
              <w:left w:w="108" w:type="dxa"/>
              <w:bottom w:w="0" w:type="dxa"/>
              <w:right w:w="108" w:type="dxa"/>
            </w:tcMar>
            <w:vAlign w:val="center"/>
          </w:tcPr>
          <w:p>
            <w:pPr>
              <w:pStyle w:val="26"/>
              <w:ind w:left="0" w:leftChars="0" w:firstLine="210" w:firstLineChars="100"/>
              <w:rPr>
                <w:rFonts w:hint="default" w:ascii="仿宋" w:hAnsi="仿宋" w:eastAsia="仿宋" w:cs="宋体"/>
                <w:color w:val="000000"/>
                <w:kern w:val="2"/>
                <w:sz w:val="21"/>
                <w:szCs w:val="21"/>
                <w:lang w:val="en-US" w:eastAsia="zh-CN" w:bidi="ar-SA"/>
              </w:rPr>
            </w:pPr>
            <w:r>
              <w:rPr>
                <w:rFonts w:hint="eastAsia" w:ascii="仿宋" w:hAnsi="仿宋" w:eastAsia="仿宋" w:cs="宋体"/>
                <w:color w:val="000000"/>
                <w:kern w:val="2"/>
                <w:sz w:val="21"/>
                <w:szCs w:val="21"/>
                <w:lang w:val="en-US" w:eastAsia="zh-CN" w:bidi="ar-SA"/>
              </w:rPr>
              <w:t>备注：评标委员会按照投标人最终得分由高到底顺序确定出各投标人排名顺序。</w:t>
            </w:r>
          </w:p>
        </w:tc>
      </w:tr>
    </w:tbl>
    <w:p>
      <w:pPr>
        <w:spacing w:beforeLines="0" w:afterLines="0" w:line="360" w:lineRule="exact"/>
        <w:jc w:val="center"/>
        <w:rPr>
          <w:rFonts w:hint="default" w:eastAsia="方正姚体"/>
          <w:sz w:val="36"/>
        </w:rPr>
      </w:pPr>
    </w:p>
    <w:p>
      <w:pPr>
        <w:rPr>
          <w:rFonts w:hint="eastAsia" w:ascii="宋体" w:hAnsi="宋体" w:eastAsia="宋体" w:cs="宋体"/>
          <w:b/>
          <w:i w:val="0"/>
          <w:iCs w:val="0"/>
          <w:color w:val="auto"/>
          <w:w w:val="110"/>
          <w:sz w:val="52"/>
          <w:highlight w:val="none"/>
        </w:rPr>
      </w:pPr>
      <w:bookmarkStart w:id="663" w:name="EBe1dbb470a8444af09b2450e8a6033875"/>
      <w:r>
        <w:rPr>
          <w:rFonts w:hint="eastAsia"/>
          <w:color w:val="000080"/>
          <w:sz w:val="20"/>
          <w:highlight w:val="white"/>
        </w:rPr>
        <w:br w:type="page"/>
      </w:r>
      <w:bookmarkEnd w:id="663"/>
    </w:p>
    <w:p>
      <w:pPr>
        <w:tabs>
          <w:tab w:val="center" w:pos="4536"/>
          <w:tab w:val="left" w:pos="7560"/>
        </w:tabs>
        <w:spacing w:line="360" w:lineRule="auto"/>
        <w:jc w:val="center"/>
        <w:rPr>
          <w:rFonts w:hint="eastAsia" w:ascii="宋体" w:hAnsi="宋体" w:eastAsia="宋体" w:cs="宋体"/>
          <w:b/>
          <w:i w:val="0"/>
          <w:iCs w:val="0"/>
          <w:color w:val="auto"/>
          <w:sz w:val="52"/>
          <w:highlight w:val="none"/>
        </w:rPr>
      </w:pPr>
      <w:r>
        <w:rPr>
          <w:rFonts w:hint="eastAsia" w:ascii="宋体" w:hAnsi="宋体" w:eastAsia="宋体" w:cs="宋体"/>
          <w:b/>
          <w:i w:val="0"/>
          <w:iCs w:val="0"/>
          <w:color w:val="auto"/>
          <w:w w:val="110"/>
          <w:sz w:val="52"/>
          <w:highlight w:val="none"/>
        </w:rPr>
        <w:t xml:space="preserve">采 购 </w:t>
      </w:r>
      <w:r>
        <w:rPr>
          <w:rFonts w:hint="eastAsia" w:ascii="宋体" w:hAnsi="宋体" w:eastAsia="宋体" w:cs="宋体"/>
          <w:b/>
          <w:i w:val="0"/>
          <w:iCs w:val="0"/>
          <w:color w:val="auto"/>
          <w:sz w:val="52"/>
          <w:highlight w:val="none"/>
        </w:rPr>
        <w:t>合 同</w:t>
      </w:r>
    </w:p>
    <w:p>
      <w:pPr>
        <w:pStyle w:val="9"/>
        <w:spacing w:line="240" w:lineRule="atLeast"/>
        <w:ind w:left="1080" w:leftChars="257" w:hanging="540"/>
        <w:rPr>
          <w:rFonts w:hint="eastAsia" w:ascii="仿宋_GB2312" w:eastAsia="仿宋_GB2312"/>
          <w:sz w:val="28"/>
          <w:highlight w:val="none"/>
        </w:rPr>
      </w:pPr>
    </w:p>
    <w:p>
      <w:pPr>
        <w:spacing w:line="240" w:lineRule="atLeast"/>
        <w:ind w:left="-567" w:leftChars="-270" w:firstLine="540"/>
        <w:jc w:val="center"/>
        <w:rPr>
          <w:rFonts w:hint="eastAsia" w:ascii="仿宋_GB2312" w:eastAsia="仿宋_GB2312"/>
          <w:kern w:val="44"/>
          <w:sz w:val="28"/>
          <w:szCs w:val="28"/>
          <w:highlight w:val="none"/>
        </w:rPr>
      </w:pPr>
      <w:r>
        <w:rPr>
          <w:rFonts w:hint="eastAsia" w:ascii="仿宋_GB2312" w:eastAsia="仿宋_GB2312"/>
          <w:kern w:val="44"/>
          <w:sz w:val="28"/>
          <w:szCs w:val="28"/>
          <w:highlight w:val="none"/>
        </w:rPr>
        <w:t>请参照服务类政府采购合同参考范本订立采购合同。</w:t>
      </w:r>
    </w:p>
    <w:p>
      <w:pPr>
        <w:pStyle w:val="9"/>
        <w:spacing w:line="240" w:lineRule="atLeast"/>
        <w:ind w:firstLine="0"/>
        <w:rPr>
          <w:rFonts w:hint="eastAsia" w:ascii="仿宋_GB2312" w:eastAsia="仿宋_GB2312"/>
          <w:highlight w:val="none"/>
        </w:rPr>
      </w:pPr>
    </w:p>
    <w:p>
      <w:pPr>
        <w:rPr>
          <w:rFonts w:ascii="楷体" w:hAnsi="楷体" w:eastAsia="楷体"/>
          <w:sz w:val="24"/>
          <w:highlight w:val="none"/>
          <w:u w:val="single"/>
        </w:rPr>
      </w:pPr>
      <w:r>
        <w:rPr>
          <w:rFonts w:hint="eastAsia" w:ascii="楷体" w:hAnsi="楷体" w:eastAsia="楷体"/>
          <w:sz w:val="24"/>
          <w:highlight w:val="none"/>
        </w:rPr>
        <w:t>合同编号：</w:t>
      </w:r>
      <w:r>
        <w:rPr>
          <w:rFonts w:ascii="楷体" w:hAnsi="楷体" w:eastAsia="楷体"/>
          <w:sz w:val="24"/>
          <w:highlight w:val="none"/>
          <w:u w:val="single"/>
        </w:rPr>
        <w:t xml:space="preserve">           </w:t>
      </w:r>
    </w:p>
    <w:p>
      <w:pPr>
        <w:spacing w:line="480" w:lineRule="auto"/>
        <w:jc w:val="center"/>
        <w:rPr>
          <w:rFonts w:ascii="楷体" w:hAnsi="楷体" w:eastAsia="楷体"/>
          <w:b/>
          <w:sz w:val="28"/>
          <w:szCs w:val="28"/>
          <w:highlight w:val="none"/>
        </w:rPr>
      </w:pPr>
    </w:p>
    <w:p>
      <w:pPr>
        <w:pStyle w:val="26"/>
        <w:rPr>
          <w:rFonts w:ascii="楷体" w:hAnsi="楷体" w:eastAsia="楷体"/>
          <w:b/>
          <w:sz w:val="28"/>
          <w:szCs w:val="28"/>
          <w:highlight w:val="none"/>
        </w:rPr>
      </w:pPr>
    </w:p>
    <w:p>
      <w:pPr>
        <w:pStyle w:val="26"/>
        <w:rPr>
          <w:rFonts w:ascii="楷体" w:hAnsi="楷体" w:eastAsia="楷体"/>
          <w:b/>
          <w:sz w:val="28"/>
          <w:szCs w:val="28"/>
          <w:highlight w:val="none"/>
        </w:rPr>
      </w:pPr>
    </w:p>
    <w:p>
      <w:pPr>
        <w:spacing w:line="480" w:lineRule="auto"/>
        <w:jc w:val="center"/>
        <w:rPr>
          <w:rFonts w:ascii="楷体" w:hAnsi="楷体" w:eastAsia="楷体"/>
          <w:b/>
          <w:sz w:val="28"/>
          <w:szCs w:val="28"/>
          <w:highlight w:val="none"/>
        </w:rPr>
      </w:pPr>
    </w:p>
    <w:p>
      <w:pPr>
        <w:spacing w:line="480" w:lineRule="auto"/>
        <w:jc w:val="center"/>
        <w:rPr>
          <w:rFonts w:ascii="楷体" w:hAnsi="楷体" w:eastAsia="楷体"/>
          <w:b/>
          <w:sz w:val="28"/>
          <w:szCs w:val="28"/>
          <w:highlight w:val="none"/>
        </w:rPr>
      </w:pPr>
    </w:p>
    <w:p>
      <w:pPr>
        <w:spacing w:line="480" w:lineRule="auto"/>
        <w:jc w:val="center"/>
        <w:rPr>
          <w:rFonts w:ascii="楷体" w:hAnsi="楷体" w:eastAsia="楷体"/>
          <w:b/>
          <w:sz w:val="44"/>
          <w:szCs w:val="44"/>
          <w:highlight w:val="none"/>
        </w:rPr>
      </w:pPr>
      <w:r>
        <w:rPr>
          <w:rFonts w:hint="eastAsia" w:ascii="楷体" w:hAnsi="楷体" w:eastAsia="楷体"/>
          <w:b/>
          <w:sz w:val="44"/>
          <w:szCs w:val="44"/>
          <w:highlight w:val="none"/>
        </w:rPr>
        <w:t>政府采购合同参考范本</w:t>
      </w:r>
    </w:p>
    <w:p>
      <w:pPr>
        <w:spacing w:line="480" w:lineRule="auto"/>
        <w:jc w:val="center"/>
        <w:rPr>
          <w:rFonts w:ascii="楷体" w:hAnsi="楷体" w:eastAsia="楷体"/>
          <w:b/>
          <w:sz w:val="24"/>
          <w:highlight w:val="none"/>
        </w:rPr>
      </w:pPr>
      <w:r>
        <w:rPr>
          <w:rFonts w:hint="eastAsia" w:ascii="楷体" w:hAnsi="楷体" w:eastAsia="楷体"/>
          <w:b/>
          <w:sz w:val="24"/>
          <w:highlight w:val="none"/>
        </w:rPr>
        <w:t>（服务类）</w:t>
      </w:r>
    </w:p>
    <w:p>
      <w:pPr>
        <w:pStyle w:val="63"/>
        <w:ind w:firstLine="0"/>
        <w:rPr>
          <w:rFonts w:ascii="楷体" w:hAnsi="楷体" w:eastAsia="楷体"/>
          <w:szCs w:val="24"/>
          <w:highlight w:val="none"/>
        </w:rPr>
      </w:pPr>
    </w:p>
    <w:p>
      <w:pPr>
        <w:pStyle w:val="63"/>
        <w:ind w:firstLine="0"/>
        <w:rPr>
          <w:rFonts w:ascii="楷体" w:hAnsi="楷体" w:eastAsia="楷体"/>
          <w:szCs w:val="24"/>
          <w:highlight w:val="none"/>
        </w:rPr>
      </w:pPr>
    </w:p>
    <w:p>
      <w:pPr>
        <w:pStyle w:val="63"/>
        <w:ind w:firstLine="0"/>
        <w:rPr>
          <w:rFonts w:ascii="楷体" w:hAnsi="楷体" w:eastAsia="楷体"/>
          <w:szCs w:val="24"/>
          <w:highlight w:val="none"/>
        </w:rPr>
      </w:pPr>
    </w:p>
    <w:p>
      <w:pPr>
        <w:pStyle w:val="63"/>
        <w:ind w:firstLine="0"/>
        <w:jc w:val="center"/>
        <w:rPr>
          <w:rFonts w:ascii="楷体" w:hAnsi="楷体" w:eastAsia="楷体"/>
          <w:b/>
          <w:szCs w:val="24"/>
          <w:highlight w:val="none"/>
        </w:rPr>
      </w:pPr>
      <w:r>
        <w:rPr>
          <w:rFonts w:hint="eastAsia" w:ascii="楷体" w:hAnsi="楷体" w:eastAsia="楷体"/>
          <w:b/>
          <w:szCs w:val="24"/>
          <w:highlight w:val="none"/>
        </w:rPr>
        <w:t>第一部分</w:t>
      </w:r>
      <w:r>
        <w:rPr>
          <w:rFonts w:ascii="楷体" w:hAnsi="楷体" w:eastAsia="楷体"/>
          <w:b/>
          <w:szCs w:val="24"/>
          <w:highlight w:val="none"/>
        </w:rPr>
        <w:t xml:space="preserve"> </w:t>
      </w:r>
      <w:r>
        <w:rPr>
          <w:rFonts w:hint="eastAsia" w:ascii="楷体" w:hAnsi="楷体" w:eastAsia="楷体"/>
          <w:b/>
          <w:szCs w:val="24"/>
          <w:highlight w:val="none"/>
        </w:rPr>
        <w:t>合同书</w:t>
      </w:r>
    </w:p>
    <w:p>
      <w:pPr>
        <w:pStyle w:val="63"/>
        <w:ind w:firstLine="0"/>
        <w:rPr>
          <w:rFonts w:ascii="楷体" w:hAnsi="楷体" w:eastAsia="楷体"/>
          <w:szCs w:val="24"/>
          <w:highlight w:val="none"/>
        </w:rPr>
      </w:pPr>
    </w:p>
    <w:p>
      <w:pPr>
        <w:pStyle w:val="63"/>
        <w:ind w:firstLine="0"/>
        <w:rPr>
          <w:rFonts w:ascii="楷体" w:hAnsi="楷体" w:eastAsia="楷体"/>
          <w:szCs w:val="24"/>
          <w:highlight w:val="none"/>
        </w:rPr>
      </w:pPr>
    </w:p>
    <w:p>
      <w:pPr>
        <w:spacing w:before="120" w:line="22" w:lineRule="atLeast"/>
        <w:rPr>
          <w:rFonts w:ascii="楷体" w:hAnsi="楷体" w:eastAsia="楷体"/>
          <w:sz w:val="24"/>
          <w:highlight w:val="none"/>
        </w:rPr>
      </w:pPr>
    </w:p>
    <w:p>
      <w:pPr>
        <w:spacing w:before="120" w:line="22" w:lineRule="atLeast"/>
        <w:ind w:left="960"/>
        <w:rPr>
          <w:rFonts w:ascii="楷体" w:hAnsi="楷体" w:eastAsia="楷体"/>
          <w:sz w:val="24"/>
          <w:highlight w:val="none"/>
        </w:rPr>
      </w:pPr>
      <w:r>
        <w:rPr>
          <w:rFonts w:hint="eastAsia" w:ascii="楷体" w:hAnsi="楷体" w:eastAsia="楷体"/>
          <w:sz w:val="24"/>
          <w:highlight w:val="none"/>
        </w:rPr>
        <w:t>项目名称：</w:t>
      </w:r>
      <w:r>
        <w:rPr>
          <w:rFonts w:ascii="楷体" w:hAnsi="楷体" w:eastAsia="楷体"/>
          <w:sz w:val="24"/>
          <w:highlight w:val="none"/>
          <w:u w:val="single"/>
        </w:rPr>
        <w:t xml:space="preserve">                                   </w:t>
      </w:r>
    </w:p>
    <w:p>
      <w:pPr>
        <w:pStyle w:val="93"/>
        <w:spacing w:before="120" w:line="22" w:lineRule="atLeast"/>
        <w:rPr>
          <w:rFonts w:ascii="楷体" w:hAnsi="楷体" w:eastAsia="楷体"/>
          <w:szCs w:val="24"/>
          <w:highlight w:val="none"/>
        </w:rPr>
      </w:pPr>
    </w:p>
    <w:p>
      <w:pPr>
        <w:pStyle w:val="93"/>
        <w:spacing w:before="120" w:line="22" w:lineRule="atLeast"/>
        <w:rPr>
          <w:rFonts w:ascii="楷体" w:hAnsi="楷体" w:eastAsia="楷体"/>
          <w:szCs w:val="24"/>
          <w:highlight w:val="none"/>
        </w:rPr>
      </w:pPr>
    </w:p>
    <w:p>
      <w:pPr>
        <w:rPr>
          <w:highlight w:val="none"/>
        </w:rPr>
      </w:pPr>
    </w:p>
    <w:p>
      <w:pPr>
        <w:spacing w:before="120" w:line="22" w:lineRule="atLeast"/>
        <w:ind w:left="960"/>
        <w:rPr>
          <w:rFonts w:ascii="楷体" w:hAnsi="楷体" w:eastAsia="楷体"/>
          <w:sz w:val="24"/>
          <w:highlight w:val="none"/>
          <w:u w:val="single"/>
        </w:rPr>
      </w:pPr>
      <w:r>
        <w:rPr>
          <w:rFonts w:hint="eastAsia" w:ascii="楷体" w:hAnsi="楷体" w:eastAsia="楷体"/>
          <w:sz w:val="24"/>
          <w:highlight w:val="none"/>
        </w:rPr>
        <w:t>甲方：</w:t>
      </w:r>
      <w:r>
        <w:rPr>
          <w:rFonts w:ascii="楷体" w:hAnsi="楷体" w:eastAsia="楷体"/>
          <w:sz w:val="24"/>
          <w:highlight w:val="none"/>
          <w:u w:val="single"/>
        </w:rPr>
        <w:t xml:space="preserve">                                       </w:t>
      </w:r>
    </w:p>
    <w:p>
      <w:pPr>
        <w:spacing w:before="120" w:line="22" w:lineRule="atLeast"/>
        <w:rPr>
          <w:rFonts w:ascii="楷体" w:hAnsi="楷体" w:eastAsia="楷体"/>
          <w:sz w:val="24"/>
          <w:highlight w:val="none"/>
        </w:rPr>
      </w:pPr>
    </w:p>
    <w:p>
      <w:pPr>
        <w:spacing w:before="120" w:line="22" w:lineRule="atLeast"/>
        <w:ind w:left="960"/>
        <w:rPr>
          <w:rFonts w:ascii="楷体" w:hAnsi="楷体" w:eastAsia="楷体"/>
          <w:sz w:val="24"/>
          <w:highlight w:val="none"/>
          <w:u w:val="single"/>
        </w:rPr>
      </w:pPr>
      <w:r>
        <w:rPr>
          <w:rFonts w:hint="eastAsia" w:ascii="楷体" w:hAnsi="楷体" w:eastAsia="楷体"/>
          <w:sz w:val="24"/>
          <w:highlight w:val="none"/>
        </w:rPr>
        <w:t>乙方：</w:t>
      </w:r>
      <w:r>
        <w:rPr>
          <w:rFonts w:ascii="楷体" w:hAnsi="楷体" w:eastAsia="楷体"/>
          <w:sz w:val="24"/>
          <w:highlight w:val="none"/>
          <w:u w:val="single"/>
        </w:rPr>
        <w:t xml:space="preserve">                                       </w:t>
      </w:r>
    </w:p>
    <w:p>
      <w:pPr>
        <w:spacing w:before="120" w:line="22" w:lineRule="atLeast"/>
        <w:rPr>
          <w:rFonts w:ascii="楷体" w:hAnsi="楷体" w:eastAsia="楷体"/>
          <w:sz w:val="24"/>
          <w:highlight w:val="none"/>
        </w:rPr>
      </w:pPr>
    </w:p>
    <w:p>
      <w:pPr>
        <w:spacing w:before="120" w:line="22" w:lineRule="atLeast"/>
        <w:ind w:firstLine="960" w:firstLineChars="400"/>
        <w:rPr>
          <w:rFonts w:ascii="楷体" w:hAnsi="楷体" w:eastAsia="楷体"/>
          <w:sz w:val="24"/>
          <w:highlight w:val="none"/>
          <w:u w:val="single"/>
        </w:rPr>
      </w:pPr>
      <w:r>
        <w:rPr>
          <w:rFonts w:hint="eastAsia" w:ascii="楷体" w:hAnsi="楷体" w:eastAsia="楷体"/>
          <w:sz w:val="24"/>
          <w:highlight w:val="none"/>
        </w:rPr>
        <w:t>签订地：</w:t>
      </w:r>
      <w:r>
        <w:rPr>
          <w:rFonts w:ascii="楷体" w:hAnsi="楷体" w:eastAsia="楷体"/>
          <w:sz w:val="24"/>
          <w:highlight w:val="none"/>
          <w:u w:val="single"/>
        </w:rPr>
        <w:t xml:space="preserve">                                     </w:t>
      </w:r>
    </w:p>
    <w:p>
      <w:pPr>
        <w:spacing w:before="120" w:line="22" w:lineRule="atLeast"/>
        <w:rPr>
          <w:rFonts w:ascii="楷体" w:hAnsi="楷体" w:eastAsia="楷体"/>
          <w:sz w:val="24"/>
          <w:highlight w:val="none"/>
        </w:rPr>
      </w:pPr>
    </w:p>
    <w:p>
      <w:pPr>
        <w:spacing w:before="120" w:line="22" w:lineRule="atLeast"/>
        <w:ind w:firstLine="960" w:firstLineChars="400"/>
        <w:rPr>
          <w:rFonts w:ascii="楷体" w:hAnsi="楷体" w:eastAsia="楷体"/>
          <w:sz w:val="24"/>
          <w:highlight w:val="none"/>
          <w:u w:val="single"/>
        </w:rPr>
      </w:pPr>
      <w:r>
        <w:rPr>
          <w:rFonts w:hint="eastAsia" w:ascii="楷体" w:hAnsi="楷体" w:eastAsia="楷体"/>
          <w:sz w:val="24"/>
          <w:highlight w:val="none"/>
        </w:rPr>
        <w:t>签订日期：</w:t>
      </w:r>
      <w:r>
        <w:rPr>
          <w:rFonts w:ascii="楷体" w:hAnsi="楷体" w:eastAsia="楷体"/>
          <w:sz w:val="24"/>
          <w:highlight w:val="none"/>
          <w:u w:val="single"/>
        </w:rPr>
        <w:t xml:space="preserve">               </w:t>
      </w:r>
      <w:r>
        <w:rPr>
          <w:rFonts w:hint="eastAsia" w:ascii="楷体" w:hAnsi="楷体" w:eastAsia="楷体"/>
          <w:sz w:val="24"/>
          <w:highlight w:val="none"/>
        </w:rPr>
        <w:t>年</w:t>
      </w:r>
      <w:r>
        <w:rPr>
          <w:rFonts w:ascii="楷体" w:hAnsi="楷体" w:eastAsia="楷体"/>
          <w:sz w:val="24"/>
          <w:highlight w:val="none"/>
          <w:u w:val="single"/>
        </w:rPr>
        <w:t xml:space="preserve">       </w:t>
      </w:r>
      <w:r>
        <w:rPr>
          <w:rFonts w:hint="eastAsia" w:ascii="楷体" w:hAnsi="楷体" w:eastAsia="楷体"/>
          <w:sz w:val="24"/>
          <w:highlight w:val="none"/>
        </w:rPr>
        <w:t>月</w:t>
      </w:r>
      <w:r>
        <w:rPr>
          <w:rFonts w:ascii="楷体" w:hAnsi="楷体" w:eastAsia="楷体"/>
          <w:sz w:val="24"/>
          <w:highlight w:val="none"/>
          <w:u w:val="single"/>
        </w:rPr>
        <w:t xml:space="preserve">       </w:t>
      </w:r>
      <w:r>
        <w:rPr>
          <w:rFonts w:hint="eastAsia" w:ascii="楷体" w:hAnsi="楷体" w:eastAsia="楷体"/>
          <w:sz w:val="24"/>
          <w:highlight w:val="none"/>
        </w:rPr>
        <w:t>日</w:t>
      </w:r>
    </w:p>
    <w:p>
      <w:pPr>
        <w:autoSpaceDE w:val="0"/>
        <w:autoSpaceDN w:val="0"/>
        <w:adjustRightInd w:val="0"/>
        <w:spacing w:line="600" w:lineRule="exact"/>
        <w:ind w:firstLine="640"/>
        <w:jc w:val="center"/>
        <w:rPr>
          <w:rFonts w:ascii="宋体"/>
          <w:sz w:val="24"/>
          <w:highlight w:val="none"/>
        </w:rPr>
        <w:sectPr>
          <w:headerReference r:id="rId23" w:type="first"/>
          <w:footerReference r:id="rId26" w:type="first"/>
          <w:headerReference r:id="rId21" w:type="default"/>
          <w:footerReference r:id="rId24" w:type="default"/>
          <w:headerReference r:id="rId22" w:type="even"/>
          <w:footerReference r:id="rId25" w:type="even"/>
          <w:pgSz w:w="11907" w:h="16840"/>
          <w:pgMar w:top="1474" w:right="1814" w:bottom="1474" w:left="1814" w:header="851" w:footer="851" w:gutter="0"/>
          <w:cols w:space="720" w:num="1"/>
          <w:docGrid w:linePitch="462" w:charSpace="0"/>
        </w:sectPr>
      </w:pPr>
    </w:p>
    <w:p>
      <w:pPr>
        <w:spacing w:line="560" w:lineRule="exact"/>
        <w:ind w:firstLine="480" w:firstLineChars="200"/>
        <w:rPr>
          <w:rFonts w:ascii="楷体" w:hAnsi="楷体" w:eastAsia="楷体"/>
          <w:sz w:val="24"/>
          <w:highlight w:val="none"/>
        </w:rPr>
      </w:pPr>
      <w:r>
        <w:rPr>
          <w:rFonts w:ascii="楷体" w:hAnsi="楷体" w:eastAsia="楷体"/>
          <w:sz w:val="24"/>
          <w:highlight w:val="none"/>
          <w:u w:val="single"/>
          <w:lang w:val="zh-CN"/>
        </w:rPr>
        <w:t xml:space="preserve">        </w:t>
      </w:r>
      <w:r>
        <w:rPr>
          <w:rFonts w:hint="eastAsia" w:ascii="楷体" w:hAnsi="楷体" w:eastAsia="楷体"/>
          <w:sz w:val="24"/>
          <w:highlight w:val="none"/>
          <w:lang w:val="zh-CN"/>
        </w:rPr>
        <w:t>年</w:t>
      </w:r>
      <w:r>
        <w:rPr>
          <w:rFonts w:ascii="楷体" w:hAnsi="楷体" w:eastAsia="楷体"/>
          <w:sz w:val="24"/>
          <w:highlight w:val="none"/>
          <w:u w:val="single"/>
          <w:lang w:val="zh-CN"/>
        </w:rPr>
        <w:t xml:space="preserve">    </w:t>
      </w:r>
      <w:r>
        <w:rPr>
          <w:rFonts w:hint="eastAsia" w:ascii="楷体" w:hAnsi="楷体" w:eastAsia="楷体"/>
          <w:sz w:val="24"/>
          <w:highlight w:val="none"/>
          <w:lang w:val="zh-CN"/>
        </w:rPr>
        <w:t>月</w:t>
      </w:r>
      <w:r>
        <w:rPr>
          <w:rFonts w:ascii="楷体" w:hAnsi="楷体" w:eastAsia="楷体"/>
          <w:sz w:val="24"/>
          <w:highlight w:val="none"/>
          <w:u w:val="single"/>
          <w:lang w:val="zh-CN"/>
        </w:rPr>
        <w:t xml:space="preserve">    </w:t>
      </w:r>
      <w:r>
        <w:rPr>
          <w:rFonts w:hint="eastAsia" w:ascii="楷体" w:hAnsi="楷体" w:eastAsia="楷体"/>
          <w:sz w:val="24"/>
          <w:highlight w:val="none"/>
          <w:lang w:val="zh-CN"/>
        </w:rPr>
        <w:t>日</w:t>
      </w:r>
      <w:r>
        <w:rPr>
          <w:rFonts w:hint="eastAsia" w:ascii="楷体" w:hAnsi="楷体" w:eastAsia="楷体"/>
          <w:sz w:val="24"/>
          <w:highlight w:val="none"/>
        </w:rPr>
        <w:t>，</w:t>
      </w:r>
      <w:r>
        <w:rPr>
          <w:rFonts w:ascii="楷体" w:hAnsi="楷体" w:eastAsia="楷体"/>
          <w:sz w:val="24"/>
          <w:highlight w:val="none"/>
          <w:u w:val="single"/>
        </w:rPr>
        <w:t xml:space="preserve">   </w:t>
      </w:r>
      <w:r>
        <w:rPr>
          <w:rFonts w:hint="eastAsia" w:ascii="楷体" w:hAnsi="楷体" w:eastAsia="楷体"/>
          <w:sz w:val="24"/>
          <w:highlight w:val="none"/>
          <w:u w:val="single"/>
        </w:rPr>
        <w:t>（采购人名称）</w:t>
      </w:r>
      <w:r>
        <w:rPr>
          <w:rFonts w:ascii="楷体" w:hAnsi="楷体" w:eastAsia="楷体"/>
          <w:sz w:val="24"/>
          <w:highlight w:val="none"/>
          <w:u w:val="single"/>
        </w:rPr>
        <w:t xml:space="preserve">   </w:t>
      </w:r>
      <w:r>
        <w:rPr>
          <w:rFonts w:hint="eastAsia" w:ascii="楷体" w:hAnsi="楷体" w:eastAsia="楷体"/>
          <w:sz w:val="24"/>
          <w:highlight w:val="none"/>
        </w:rPr>
        <w:t>以</w:t>
      </w:r>
      <w:r>
        <w:rPr>
          <w:rFonts w:ascii="楷体" w:hAnsi="楷体" w:eastAsia="楷体"/>
          <w:sz w:val="24"/>
          <w:highlight w:val="none"/>
          <w:u w:val="single"/>
        </w:rPr>
        <w:t xml:space="preserve">   </w:t>
      </w:r>
      <w:r>
        <w:rPr>
          <w:rFonts w:hint="eastAsia" w:ascii="楷体" w:hAnsi="楷体" w:eastAsia="楷体"/>
          <w:sz w:val="24"/>
          <w:highlight w:val="none"/>
          <w:u w:val="single"/>
        </w:rPr>
        <w:t>（政府采购方式）</w:t>
      </w:r>
      <w:r>
        <w:rPr>
          <w:rFonts w:ascii="楷体" w:hAnsi="楷体" w:eastAsia="楷体"/>
          <w:sz w:val="24"/>
          <w:highlight w:val="none"/>
          <w:u w:val="single"/>
        </w:rPr>
        <w:t xml:space="preserve">  </w:t>
      </w:r>
      <w:r>
        <w:rPr>
          <w:rFonts w:hint="eastAsia" w:ascii="楷体" w:hAnsi="楷体" w:eastAsia="楷体"/>
          <w:sz w:val="24"/>
          <w:highlight w:val="none"/>
        </w:rPr>
        <w:t>对</w:t>
      </w:r>
      <w:r>
        <w:rPr>
          <w:rFonts w:ascii="楷体" w:hAnsi="楷体" w:eastAsia="楷体"/>
          <w:sz w:val="24"/>
          <w:highlight w:val="none"/>
          <w:u w:val="single"/>
        </w:rPr>
        <w:t xml:space="preserve">   </w:t>
      </w:r>
      <w:r>
        <w:rPr>
          <w:rFonts w:hint="eastAsia" w:ascii="楷体" w:hAnsi="楷体" w:eastAsia="楷体"/>
          <w:sz w:val="24"/>
          <w:highlight w:val="none"/>
          <w:u w:val="single"/>
        </w:rPr>
        <w:t>（同前页项目名称）</w:t>
      </w:r>
      <w:r>
        <w:rPr>
          <w:rFonts w:ascii="楷体" w:hAnsi="楷体" w:eastAsia="楷体"/>
          <w:sz w:val="24"/>
          <w:highlight w:val="none"/>
          <w:u w:val="single"/>
        </w:rPr>
        <w:t xml:space="preserve">   </w:t>
      </w:r>
      <w:r>
        <w:rPr>
          <w:rFonts w:hint="eastAsia" w:ascii="楷体" w:hAnsi="楷体" w:eastAsia="楷体"/>
          <w:sz w:val="24"/>
          <w:highlight w:val="none"/>
        </w:rPr>
        <w:t>项目进行了采购。经</w:t>
      </w:r>
      <w:r>
        <w:rPr>
          <w:rFonts w:ascii="楷体" w:hAnsi="楷体" w:eastAsia="楷体"/>
          <w:sz w:val="24"/>
          <w:highlight w:val="none"/>
          <w:u w:val="single"/>
        </w:rPr>
        <w:t xml:space="preserve">   </w:t>
      </w:r>
      <w:r>
        <w:rPr>
          <w:rFonts w:hint="eastAsia" w:ascii="楷体" w:hAnsi="楷体" w:eastAsia="楷体"/>
          <w:sz w:val="24"/>
          <w:highlight w:val="none"/>
          <w:u w:val="single"/>
        </w:rPr>
        <w:t>（相关评定主体名称）</w:t>
      </w:r>
      <w:r>
        <w:rPr>
          <w:rFonts w:ascii="楷体" w:hAnsi="楷体" w:eastAsia="楷体"/>
          <w:sz w:val="24"/>
          <w:highlight w:val="none"/>
          <w:u w:val="single"/>
        </w:rPr>
        <w:t xml:space="preserve">   </w:t>
      </w:r>
      <w:r>
        <w:rPr>
          <w:rFonts w:hint="eastAsia" w:ascii="楷体" w:hAnsi="楷体" w:eastAsia="楷体"/>
          <w:sz w:val="24"/>
          <w:highlight w:val="none"/>
        </w:rPr>
        <w:t>评定，</w:t>
      </w:r>
      <w:r>
        <w:rPr>
          <w:rFonts w:ascii="楷体" w:hAnsi="楷体" w:eastAsia="楷体"/>
          <w:sz w:val="24"/>
          <w:highlight w:val="none"/>
          <w:u w:val="single"/>
        </w:rPr>
        <w:t xml:space="preserve">   </w:t>
      </w:r>
      <w:r>
        <w:rPr>
          <w:rFonts w:hint="eastAsia" w:ascii="楷体" w:hAnsi="楷体" w:eastAsia="楷体"/>
          <w:sz w:val="24"/>
          <w:highlight w:val="none"/>
          <w:u w:val="single"/>
        </w:rPr>
        <w:t>（中标供应商名称）</w:t>
      </w:r>
      <w:r>
        <w:rPr>
          <w:rFonts w:ascii="楷体" w:hAnsi="楷体" w:eastAsia="楷体"/>
          <w:sz w:val="24"/>
          <w:highlight w:val="none"/>
          <w:u w:val="single"/>
        </w:rPr>
        <w:t xml:space="preserve"> </w:t>
      </w:r>
      <w:r>
        <w:rPr>
          <w:rFonts w:hint="eastAsia" w:ascii="楷体" w:hAnsi="楷体" w:eastAsia="楷体"/>
          <w:sz w:val="24"/>
          <w:highlight w:val="none"/>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lang w:val="zh-CN"/>
        </w:rPr>
        <w:t>根据《中华人民共和国合同法》、《中华人民共和国政府采购法》等相关法律法规之规定，按照平等、自愿、公平和诚实信用的原则，经</w:t>
      </w:r>
      <w:r>
        <w:rPr>
          <w:rFonts w:ascii="楷体" w:hAnsi="楷体" w:eastAsia="楷体"/>
          <w:sz w:val="24"/>
          <w:highlight w:val="none"/>
          <w:u w:val="single"/>
        </w:rPr>
        <w:t xml:space="preserve">   </w:t>
      </w:r>
      <w:r>
        <w:rPr>
          <w:rFonts w:hint="eastAsia" w:ascii="楷体" w:hAnsi="楷体" w:eastAsia="楷体"/>
          <w:sz w:val="24"/>
          <w:highlight w:val="none"/>
          <w:u w:val="single"/>
        </w:rPr>
        <w:t>（采购人名称）</w:t>
      </w:r>
      <w:r>
        <w:rPr>
          <w:rFonts w:ascii="楷体" w:hAnsi="楷体" w:eastAsia="楷体"/>
          <w:sz w:val="24"/>
          <w:highlight w:val="none"/>
          <w:u w:val="single"/>
        </w:rPr>
        <w:t xml:space="preserve">   </w:t>
      </w:r>
      <w:r>
        <w:rPr>
          <w:rFonts w:ascii="楷体" w:hAnsi="楷体" w:eastAsia="楷体"/>
          <w:sz w:val="24"/>
          <w:highlight w:val="none"/>
          <w:lang w:val="zh-CN"/>
        </w:rPr>
        <w:t>(</w:t>
      </w:r>
      <w:r>
        <w:rPr>
          <w:rFonts w:hint="eastAsia" w:ascii="楷体" w:hAnsi="楷体" w:eastAsia="楷体"/>
          <w:sz w:val="24"/>
          <w:highlight w:val="none"/>
          <w:lang w:val="zh-CN"/>
        </w:rPr>
        <w:t>以下简称：甲方</w:t>
      </w:r>
      <w:r>
        <w:rPr>
          <w:rFonts w:ascii="楷体" w:hAnsi="楷体" w:eastAsia="楷体"/>
          <w:sz w:val="24"/>
          <w:highlight w:val="none"/>
          <w:lang w:val="zh-CN"/>
        </w:rPr>
        <w:t>)</w:t>
      </w:r>
      <w:r>
        <w:rPr>
          <w:rFonts w:hint="eastAsia" w:ascii="楷体" w:hAnsi="楷体" w:eastAsia="楷体"/>
          <w:sz w:val="24"/>
          <w:highlight w:val="none"/>
          <w:lang w:val="zh-CN"/>
        </w:rPr>
        <w:t>和</w:t>
      </w:r>
      <w:r>
        <w:rPr>
          <w:rFonts w:ascii="楷体" w:hAnsi="楷体" w:eastAsia="楷体"/>
          <w:sz w:val="24"/>
          <w:highlight w:val="none"/>
          <w:u w:val="single"/>
        </w:rPr>
        <w:t xml:space="preserve">   </w:t>
      </w:r>
      <w:r>
        <w:rPr>
          <w:rFonts w:hint="eastAsia" w:ascii="楷体" w:hAnsi="楷体" w:eastAsia="楷体"/>
          <w:sz w:val="24"/>
          <w:highlight w:val="none"/>
          <w:u w:val="single"/>
        </w:rPr>
        <w:t>（中标供应商名称）</w:t>
      </w:r>
      <w:r>
        <w:rPr>
          <w:rFonts w:ascii="楷体" w:hAnsi="楷体" w:eastAsia="楷体"/>
          <w:sz w:val="24"/>
          <w:highlight w:val="none"/>
          <w:u w:val="single"/>
        </w:rPr>
        <w:t xml:space="preserve">   </w:t>
      </w:r>
      <w:r>
        <w:rPr>
          <w:rFonts w:ascii="楷体" w:hAnsi="楷体" w:eastAsia="楷体"/>
          <w:sz w:val="24"/>
          <w:highlight w:val="none"/>
          <w:lang w:val="zh-CN"/>
        </w:rPr>
        <w:t>(</w:t>
      </w:r>
      <w:r>
        <w:rPr>
          <w:rFonts w:hint="eastAsia" w:ascii="楷体" w:hAnsi="楷体" w:eastAsia="楷体"/>
          <w:sz w:val="24"/>
          <w:highlight w:val="none"/>
          <w:lang w:val="zh-CN"/>
        </w:rPr>
        <w:t>以下简称：乙方</w:t>
      </w:r>
      <w:r>
        <w:rPr>
          <w:rFonts w:ascii="楷体" w:hAnsi="楷体" w:eastAsia="楷体"/>
          <w:sz w:val="24"/>
          <w:highlight w:val="none"/>
          <w:lang w:val="zh-CN"/>
        </w:rPr>
        <w:t>)</w:t>
      </w:r>
      <w:r>
        <w:rPr>
          <w:rFonts w:hint="eastAsia" w:ascii="楷体" w:hAnsi="楷体" w:eastAsia="楷体"/>
          <w:sz w:val="24"/>
          <w:highlight w:val="none"/>
          <w:lang w:val="zh-CN"/>
        </w:rPr>
        <w:t>协商一致，约定以下合同</w:t>
      </w:r>
      <w:r>
        <w:rPr>
          <w:rFonts w:hint="eastAsia" w:ascii="楷体" w:hAnsi="楷体" w:eastAsia="楷体"/>
          <w:sz w:val="24"/>
          <w:highlight w:val="none"/>
        </w:rPr>
        <w:t>条款，以兹共同遵守、全面履行。</w:t>
      </w:r>
    </w:p>
    <w:p>
      <w:pPr>
        <w:spacing w:line="560" w:lineRule="exact"/>
        <w:ind w:firstLine="482" w:firstLineChars="200"/>
        <w:outlineLvl w:val="0"/>
        <w:rPr>
          <w:rFonts w:ascii="楷体" w:hAnsi="楷体" w:eastAsia="楷体"/>
          <w:sz w:val="24"/>
          <w:highlight w:val="none"/>
        </w:rPr>
      </w:pPr>
      <w:bookmarkStart w:id="664" w:name="_Toc19273"/>
      <w:bookmarkStart w:id="665" w:name="_Toc22967"/>
      <w:bookmarkStart w:id="666" w:name="_Toc28855"/>
      <w:bookmarkStart w:id="667" w:name="_Toc31152"/>
      <w:bookmarkStart w:id="668" w:name="_Toc20421"/>
      <w:bookmarkStart w:id="669" w:name="_Toc15367"/>
      <w:bookmarkStart w:id="670" w:name="_Toc17792"/>
      <w:bookmarkStart w:id="671" w:name="_Toc28823"/>
      <w:r>
        <w:rPr>
          <w:rFonts w:ascii="楷体" w:hAnsi="楷体" w:eastAsia="楷体"/>
          <w:b/>
          <w:sz w:val="24"/>
          <w:highlight w:val="none"/>
        </w:rPr>
        <w:t xml:space="preserve">1.1 </w:t>
      </w:r>
      <w:r>
        <w:rPr>
          <w:rFonts w:hint="eastAsia" w:ascii="楷体" w:hAnsi="楷体" w:eastAsia="楷体"/>
          <w:b/>
          <w:sz w:val="24"/>
          <w:highlight w:val="none"/>
        </w:rPr>
        <w:t>合同组成部分</w:t>
      </w:r>
      <w:bookmarkEnd w:id="664"/>
      <w:bookmarkEnd w:id="665"/>
      <w:bookmarkEnd w:id="666"/>
      <w:bookmarkEnd w:id="667"/>
      <w:bookmarkEnd w:id="668"/>
      <w:bookmarkEnd w:id="669"/>
      <w:bookmarkEnd w:id="670"/>
      <w:bookmarkEnd w:id="671"/>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1.1.1 </w:t>
      </w:r>
      <w:r>
        <w:rPr>
          <w:rFonts w:hint="eastAsia" w:ascii="楷体" w:hAnsi="楷体" w:eastAsia="楷体"/>
          <w:sz w:val="24"/>
          <w:highlight w:val="none"/>
        </w:rPr>
        <w:t>本合同及其补充合同、变更协议；</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1.1.2 </w:t>
      </w:r>
      <w:r>
        <w:rPr>
          <w:rFonts w:hint="eastAsia" w:ascii="楷体" w:hAnsi="楷体" w:eastAsia="楷体"/>
          <w:sz w:val="24"/>
          <w:highlight w:val="none"/>
        </w:rPr>
        <w:t>中标通知书；</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1.1.3 </w:t>
      </w:r>
      <w:r>
        <w:rPr>
          <w:rFonts w:hint="eastAsia" w:ascii="楷体" w:hAnsi="楷体" w:eastAsia="楷体"/>
          <w:sz w:val="24"/>
          <w:highlight w:val="none"/>
        </w:rPr>
        <w:t>投标文件（含澄清或者说明文件）；</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1.1.4 </w:t>
      </w:r>
      <w:r>
        <w:rPr>
          <w:rFonts w:hint="eastAsia" w:ascii="楷体" w:hAnsi="楷体" w:eastAsia="楷体"/>
          <w:sz w:val="24"/>
          <w:highlight w:val="none"/>
        </w:rPr>
        <w:t>招标文件（含澄清或者修改文件）；</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1.1.5 </w:t>
      </w:r>
      <w:r>
        <w:rPr>
          <w:rFonts w:hint="eastAsia" w:ascii="楷体" w:hAnsi="楷体" w:eastAsia="楷体"/>
          <w:sz w:val="24"/>
          <w:highlight w:val="none"/>
        </w:rPr>
        <w:t>其他相关采购文件。</w:t>
      </w:r>
    </w:p>
    <w:p>
      <w:pPr>
        <w:spacing w:line="560" w:lineRule="exact"/>
        <w:ind w:firstLine="482" w:firstLineChars="200"/>
        <w:outlineLvl w:val="0"/>
        <w:rPr>
          <w:rFonts w:ascii="楷体" w:hAnsi="楷体" w:eastAsia="楷体"/>
          <w:b/>
          <w:sz w:val="24"/>
          <w:highlight w:val="none"/>
        </w:rPr>
      </w:pPr>
      <w:bookmarkStart w:id="672" w:name="_Toc2918"/>
      <w:bookmarkStart w:id="673" w:name="_Toc22185"/>
      <w:bookmarkStart w:id="674" w:name="_Toc6311"/>
      <w:bookmarkStart w:id="675" w:name="_Toc2844"/>
      <w:bookmarkStart w:id="676" w:name="_Toc18585"/>
      <w:bookmarkStart w:id="677" w:name="_Toc30310"/>
      <w:bookmarkStart w:id="678" w:name="_Toc12872"/>
      <w:bookmarkStart w:id="679" w:name="_Toc6773"/>
      <w:r>
        <w:rPr>
          <w:rFonts w:ascii="楷体" w:hAnsi="楷体" w:eastAsia="楷体"/>
          <w:b/>
          <w:sz w:val="24"/>
          <w:highlight w:val="none"/>
        </w:rPr>
        <w:t xml:space="preserve">1.2 </w:t>
      </w:r>
      <w:r>
        <w:rPr>
          <w:rFonts w:hint="eastAsia" w:ascii="楷体" w:hAnsi="楷体" w:eastAsia="楷体"/>
          <w:b/>
          <w:sz w:val="24"/>
          <w:highlight w:val="none"/>
        </w:rPr>
        <w:t>标的</w:t>
      </w:r>
      <w:bookmarkEnd w:id="672"/>
      <w:bookmarkEnd w:id="673"/>
      <w:bookmarkEnd w:id="674"/>
      <w:bookmarkEnd w:id="675"/>
      <w:bookmarkEnd w:id="676"/>
      <w:bookmarkEnd w:id="677"/>
      <w:bookmarkEnd w:id="678"/>
      <w:bookmarkEnd w:id="679"/>
    </w:p>
    <w:p>
      <w:pPr>
        <w:spacing w:line="560" w:lineRule="exact"/>
        <w:ind w:firstLine="480" w:firstLineChars="200"/>
        <w:rPr>
          <w:rFonts w:ascii="楷体" w:hAnsi="楷体" w:eastAsia="楷体"/>
          <w:sz w:val="24"/>
          <w:highlight w:val="none"/>
          <w:u w:val="single"/>
        </w:rPr>
      </w:pPr>
      <w:r>
        <w:rPr>
          <w:rFonts w:ascii="楷体" w:hAnsi="楷体" w:eastAsia="楷体"/>
          <w:sz w:val="24"/>
          <w:highlight w:val="none"/>
        </w:rPr>
        <w:t xml:space="preserve">1.2.1 </w:t>
      </w:r>
      <w:r>
        <w:rPr>
          <w:rFonts w:hint="eastAsia" w:ascii="楷体" w:hAnsi="楷体" w:eastAsia="楷体"/>
          <w:sz w:val="24"/>
          <w:highlight w:val="none"/>
        </w:rPr>
        <w:t>标的名称：</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0" w:firstLineChars="200"/>
        <w:rPr>
          <w:rFonts w:ascii="楷体" w:hAnsi="楷体" w:eastAsia="楷体"/>
          <w:sz w:val="24"/>
          <w:highlight w:val="none"/>
          <w:u w:val="single"/>
        </w:rPr>
      </w:pPr>
      <w:r>
        <w:rPr>
          <w:rFonts w:ascii="楷体" w:hAnsi="楷体" w:eastAsia="楷体"/>
          <w:sz w:val="24"/>
          <w:highlight w:val="none"/>
        </w:rPr>
        <w:t xml:space="preserve">1.2.2 </w:t>
      </w:r>
      <w:r>
        <w:rPr>
          <w:rFonts w:hint="eastAsia" w:ascii="楷体" w:hAnsi="楷体" w:eastAsia="楷体"/>
          <w:sz w:val="24"/>
          <w:highlight w:val="none"/>
        </w:rPr>
        <w:t>标的数量：</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1.2.3 </w:t>
      </w:r>
      <w:r>
        <w:rPr>
          <w:rFonts w:hint="eastAsia" w:ascii="楷体" w:hAnsi="楷体" w:eastAsia="楷体"/>
          <w:sz w:val="24"/>
          <w:highlight w:val="none"/>
        </w:rPr>
        <w:t>标的质量：</w:t>
      </w:r>
      <w:r>
        <w:rPr>
          <w:rFonts w:hint="eastAsia" w:ascii="楷体" w:hAnsi="楷体" w:eastAsia="楷体"/>
          <w:sz w:val="24"/>
          <w:highlight w:val="none"/>
          <w:u w:val="single"/>
        </w:rPr>
        <w:t>　　　　　　　　　</w:t>
      </w:r>
      <w:r>
        <w:rPr>
          <w:rFonts w:ascii="楷体" w:hAnsi="楷体" w:eastAsia="楷体"/>
          <w:sz w:val="24"/>
          <w:highlight w:val="none"/>
          <w:u w:val="single"/>
        </w:rPr>
        <w:t xml:space="preserve">                      </w:t>
      </w:r>
      <w:r>
        <w:rPr>
          <w:rFonts w:hint="eastAsia" w:ascii="楷体" w:hAnsi="楷体" w:eastAsia="楷体"/>
          <w:sz w:val="24"/>
          <w:highlight w:val="none"/>
          <w:u w:val="single"/>
        </w:rPr>
        <w:t>　</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2" w:firstLineChars="200"/>
        <w:outlineLvl w:val="0"/>
        <w:rPr>
          <w:rFonts w:ascii="楷体" w:hAnsi="楷体" w:eastAsia="楷体"/>
          <w:b/>
          <w:sz w:val="24"/>
          <w:highlight w:val="none"/>
        </w:rPr>
      </w:pPr>
      <w:bookmarkStart w:id="680" w:name="_Toc15208"/>
      <w:bookmarkStart w:id="681" w:name="_Toc4929"/>
      <w:bookmarkStart w:id="682" w:name="_Toc21124"/>
      <w:bookmarkStart w:id="683" w:name="_Toc1386"/>
      <w:bookmarkStart w:id="684" w:name="_Toc22301"/>
      <w:bookmarkStart w:id="685" w:name="_Toc5635"/>
      <w:bookmarkStart w:id="686" w:name="_Toc13918"/>
      <w:bookmarkStart w:id="687" w:name="_Toc15746"/>
      <w:r>
        <w:rPr>
          <w:rFonts w:ascii="楷体" w:hAnsi="楷体" w:eastAsia="楷体"/>
          <w:b/>
          <w:sz w:val="24"/>
          <w:highlight w:val="none"/>
        </w:rPr>
        <w:t xml:space="preserve">1.3 </w:t>
      </w:r>
      <w:r>
        <w:rPr>
          <w:rFonts w:hint="eastAsia" w:ascii="楷体" w:hAnsi="楷体" w:eastAsia="楷体"/>
          <w:b/>
          <w:sz w:val="24"/>
          <w:highlight w:val="none"/>
        </w:rPr>
        <w:t>价款</w:t>
      </w:r>
      <w:bookmarkEnd w:id="680"/>
      <w:bookmarkEnd w:id="681"/>
      <w:bookmarkEnd w:id="682"/>
      <w:bookmarkEnd w:id="683"/>
      <w:bookmarkEnd w:id="684"/>
      <w:bookmarkEnd w:id="685"/>
      <w:bookmarkEnd w:id="686"/>
      <w:bookmarkEnd w:id="687"/>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本合同总价为：￥</w:t>
      </w:r>
      <w:r>
        <w:rPr>
          <w:rFonts w:ascii="楷体" w:hAnsi="楷体" w:eastAsia="楷体"/>
          <w:sz w:val="24"/>
          <w:highlight w:val="none"/>
          <w:u w:val="single"/>
        </w:rPr>
        <w:t xml:space="preserve">           </w:t>
      </w:r>
      <w:r>
        <w:rPr>
          <w:rFonts w:hint="eastAsia" w:ascii="楷体" w:hAnsi="楷体" w:eastAsia="楷体"/>
          <w:sz w:val="24"/>
          <w:highlight w:val="none"/>
        </w:rPr>
        <w:t>元（大写：</w:t>
      </w:r>
      <w:r>
        <w:rPr>
          <w:rFonts w:ascii="楷体" w:hAnsi="楷体" w:eastAsia="楷体"/>
          <w:sz w:val="24"/>
          <w:highlight w:val="none"/>
          <w:u w:val="single"/>
        </w:rPr>
        <w:t xml:space="preserve">                 </w:t>
      </w:r>
      <w:r>
        <w:rPr>
          <w:rFonts w:hint="eastAsia" w:ascii="楷体" w:hAnsi="楷体" w:eastAsia="楷体"/>
          <w:sz w:val="24"/>
          <w:highlight w:val="none"/>
        </w:rPr>
        <w:t>元人民币）。</w:t>
      </w:r>
    </w:p>
    <w:p>
      <w:pPr>
        <w:spacing w:line="560" w:lineRule="exact"/>
        <w:ind w:firstLine="480" w:firstLineChars="200"/>
        <w:rPr>
          <w:rFonts w:ascii="楷体" w:hAnsi="楷体" w:eastAsia="楷体"/>
          <w:sz w:val="24"/>
          <w:highlight w:val="none"/>
          <w:u w:val="single"/>
        </w:rPr>
      </w:pPr>
      <w:r>
        <w:rPr>
          <w:rFonts w:hint="eastAsia" w:ascii="楷体" w:hAnsi="楷体" w:eastAsia="楷体"/>
          <w:sz w:val="24"/>
          <w:highlight w:val="none"/>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jc w:val="center"/>
              <w:rPr>
                <w:rFonts w:ascii="楷体" w:hAnsi="楷体" w:eastAsia="楷体"/>
                <w:color w:val="000000"/>
                <w:kern w:val="2"/>
                <w:sz w:val="24"/>
                <w:szCs w:val="24"/>
                <w:highlight w:val="none"/>
              </w:rPr>
            </w:pPr>
            <w:r>
              <w:rPr>
                <w:rFonts w:hint="eastAsia" w:ascii="楷体" w:hAnsi="楷体" w:eastAsia="楷体"/>
                <w:color w:val="000000"/>
                <w:kern w:val="2"/>
                <w:sz w:val="24"/>
                <w:szCs w:val="24"/>
                <w:highlight w:val="none"/>
              </w:rPr>
              <w:t>序号</w:t>
            </w:r>
          </w:p>
        </w:tc>
        <w:tc>
          <w:tcPr>
            <w:tcW w:w="3402" w:type="dxa"/>
            <w:noWrap w:val="0"/>
            <w:vAlign w:val="center"/>
          </w:tcPr>
          <w:p>
            <w:pPr>
              <w:pStyle w:val="71"/>
              <w:spacing w:line="560" w:lineRule="exact"/>
              <w:ind w:firstLine="200"/>
              <w:jc w:val="center"/>
              <w:rPr>
                <w:rFonts w:ascii="楷体" w:hAnsi="楷体" w:eastAsia="楷体"/>
                <w:color w:val="000000"/>
                <w:kern w:val="2"/>
                <w:sz w:val="24"/>
                <w:szCs w:val="24"/>
                <w:highlight w:val="none"/>
              </w:rPr>
            </w:pPr>
            <w:r>
              <w:rPr>
                <w:rFonts w:hint="eastAsia" w:ascii="楷体" w:hAnsi="楷体" w:eastAsia="楷体"/>
                <w:color w:val="000000"/>
                <w:kern w:val="2"/>
                <w:sz w:val="24"/>
                <w:szCs w:val="24"/>
                <w:highlight w:val="none"/>
              </w:rPr>
              <w:t>分项名称</w:t>
            </w:r>
          </w:p>
        </w:tc>
        <w:tc>
          <w:tcPr>
            <w:tcW w:w="2552" w:type="dxa"/>
            <w:noWrap w:val="0"/>
            <w:vAlign w:val="center"/>
          </w:tcPr>
          <w:p>
            <w:pPr>
              <w:pStyle w:val="71"/>
              <w:spacing w:line="560" w:lineRule="exact"/>
              <w:jc w:val="center"/>
              <w:rPr>
                <w:rFonts w:ascii="楷体" w:hAnsi="楷体" w:eastAsia="楷体"/>
                <w:color w:val="000000"/>
                <w:kern w:val="2"/>
                <w:sz w:val="24"/>
                <w:szCs w:val="24"/>
                <w:highlight w:val="none"/>
              </w:rPr>
            </w:pPr>
            <w:r>
              <w:rPr>
                <w:rFonts w:hint="eastAsia" w:ascii="楷体" w:hAnsi="楷体" w:eastAsia="楷体"/>
                <w:color w:val="000000"/>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c>
          <w:tcPr>
            <w:tcW w:w="3402"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c>
          <w:tcPr>
            <w:tcW w:w="2552"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c>
          <w:tcPr>
            <w:tcW w:w="3402"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c>
          <w:tcPr>
            <w:tcW w:w="2552"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c>
          <w:tcPr>
            <w:tcW w:w="3402"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c>
          <w:tcPr>
            <w:tcW w:w="2552"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c>
          <w:tcPr>
            <w:tcW w:w="3402"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c>
          <w:tcPr>
            <w:tcW w:w="2552"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71"/>
              <w:spacing w:line="560" w:lineRule="exact"/>
              <w:ind w:firstLine="200"/>
              <w:jc w:val="center"/>
              <w:rPr>
                <w:rFonts w:ascii="楷体" w:hAnsi="楷体" w:eastAsia="楷体"/>
                <w:color w:val="000000"/>
                <w:kern w:val="2"/>
                <w:sz w:val="24"/>
                <w:szCs w:val="24"/>
                <w:highlight w:val="none"/>
              </w:rPr>
            </w:pPr>
            <w:r>
              <w:rPr>
                <w:rFonts w:hint="eastAsia" w:ascii="楷体" w:hAnsi="楷体" w:eastAsia="楷体"/>
                <w:color w:val="000000"/>
                <w:kern w:val="2"/>
                <w:sz w:val="24"/>
                <w:szCs w:val="24"/>
                <w:highlight w:val="none"/>
              </w:rPr>
              <w:t>总价</w:t>
            </w:r>
          </w:p>
        </w:tc>
        <w:tc>
          <w:tcPr>
            <w:tcW w:w="2552" w:type="dxa"/>
            <w:noWrap w:val="0"/>
            <w:vAlign w:val="center"/>
          </w:tcPr>
          <w:p>
            <w:pPr>
              <w:pStyle w:val="71"/>
              <w:spacing w:line="560" w:lineRule="exact"/>
              <w:ind w:firstLine="200"/>
              <w:jc w:val="center"/>
              <w:rPr>
                <w:rFonts w:ascii="楷体" w:hAnsi="楷体" w:eastAsia="楷体"/>
                <w:color w:val="000000"/>
                <w:kern w:val="2"/>
                <w:sz w:val="24"/>
                <w:szCs w:val="24"/>
                <w:highlight w:val="none"/>
              </w:rPr>
            </w:pPr>
          </w:p>
        </w:tc>
      </w:tr>
    </w:tbl>
    <w:p>
      <w:pPr>
        <w:spacing w:line="560" w:lineRule="exact"/>
        <w:ind w:firstLine="482" w:firstLineChars="200"/>
        <w:outlineLvl w:val="0"/>
        <w:rPr>
          <w:rFonts w:ascii="楷体" w:hAnsi="楷体" w:eastAsia="楷体"/>
          <w:b/>
          <w:sz w:val="24"/>
          <w:highlight w:val="none"/>
        </w:rPr>
      </w:pPr>
      <w:bookmarkStart w:id="688" w:name="_Toc27511"/>
      <w:bookmarkStart w:id="689" w:name="_Toc14993"/>
      <w:bookmarkStart w:id="690" w:name="_Toc30506"/>
      <w:bookmarkStart w:id="691" w:name="_Toc5304"/>
      <w:bookmarkStart w:id="692" w:name="_Toc3654"/>
      <w:bookmarkStart w:id="693" w:name="_Toc30158"/>
      <w:bookmarkStart w:id="694" w:name="_Toc26916"/>
      <w:bookmarkStart w:id="695" w:name="_Toc8735"/>
      <w:r>
        <w:rPr>
          <w:rFonts w:ascii="楷体" w:hAnsi="楷体" w:eastAsia="楷体"/>
          <w:b/>
          <w:sz w:val="24"/>
          <w:highlight w:val="none"/>
        </w:rPr>
        <w:t xml:space="preserve">1.4 </w:t>
      </w:r>
      <w:r>
        <w:rPr>
          <w:rFonts w:hint="eastAsia" w:ascii="楷体" w:hAnsi="楷体" w:eastAsia="楷体"/>
          <w:b/>
          <w:sz w:val="24"/>
          <w:highlight w:val="none"/>
        </w:rPr>
        <w:t>付款方式和发票开具方式</w:t>
      </w:r>
      <w:bookmarkEnd w:id="688"/>
      <w:bookmarkEnd w:id="689"/>
      <w:bookmarkEnd w:id="690"/>
      <w:bookmarkEnd w:id="691"/>
      <w:bookmarkEnd w:id="692"/>
      <w:bookmarkEnd w:id="693"/>
      <w:bookmarkEnd w:id="694"/>
      <w:bookmarkEnd w:id="695"/>
    </w:p>
    <w:p>
      <w:pPr>
        <w:spacing w:line="560" w:lineRule="exact"/>
        <w:ind w:firstLine="480" w:firstLineChars="200"/>
        <w:rPr>
          <w:rFonts w:ascii="楷体" w:hAnsi="楷体" w:eastAsia="楷体"/>
          <w:sz w:val="24"/>
          <w:highlight w:val="none"/>
        </w:rPr>
      </w:pPr>
      <w:r>
        <w:rPr>
          <w:rFonts w:ascii="楷体" w:hAnsi="楷体" w:eastAsia="楷体"/>
          <w:sz w:val="24"/>
          <w:highlight w:val="none"/>
        </w:rPr>
        <w:t>1.4.1</w:t>
      </w:r>
      <w:r>
        <w:rPr>
          <w:rFonts w:hint="eastAsia" w:ascii="楷体" w:hAnsi="楷体" w:eastAsia="楷体"/>
          <w:sz w:val="24"/>
          <w:highlight w:val="none"/>
        </w:rPr>
        <w:t>付款方式：</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1.4.2 </w:t>
      </w:r>
      <w:r>
        <w:rPr>
          <w:rFonts w:hint="eastAsia" w:ascii="楷体" w:hAnsi="楷体" w:eastAsia="楷体"/>
          <w:sz w:val="24"/>
          <w:highlight w:val="none"/>
        </w:rPr>
        <w:t>发票开具方式：</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2" w:firstLineChars="200"/>
        <w:outlineLvl w:val="0"/>
        <w:rPr>
          <w:rFonts w:ascii="楷体" w:hAnsi="楷体" w:eastAsia="楷体"/>
          <w:b/>
          <w:sz w:val="24"/>
          <w:highlight w:val="none"/>
        </w:rPr>
      </w:pPr>
      <w:bookmarkStart w:id="696" w:name="_Toc20412"/>
      <w:bookmarkStart w:id="697" w:name="_Toc25001"/>
      <w:bookmarkStart w:id="698" w:name="_Toc11108"/>
      <w:bookmarkStart w:id="699" w:name="_Toc3625"/>
      <w:bookmarkStart w:id="700" w:name="_Toc4760"/>
      <w:bookmarkStart w:id="701" w:name="_Toc26023"/>
      <w:bookmarkStart w:id="702" w:name="_Toc31421"/>
      <w:bookmarkStart w:id="703" w:name="_Toc8772"/>
      <w:r>
        <w:rPr>
          <w:rFonts w:ascii="楷体" w:hAnsi="楷体" w:eastAsia="楷体"/>
          <w:b/>
          <w:sz w:val="24"/>
          <w:highlight w:val="none"/>
        </w:rPr>
        <w:t xml:space="preserve">1.5 </w:t>
      </w:r>
      <w:r>
        <w:rPr>
          <w:rFonts w:hint="eastAsia" w:ascii="楷体" w:hAnsi="楷体" w:eastAsia="楷体"/>
          <w:b/>
          <w:sz w:val="24"/>
          <w:highlight w:val="none"/>
        </w:rPr>
        <w:t>履行期限、地点和方式</w:t>
      </w:r>
      <w:bookmarkEnd w:id="696"/>
      <w:bookmarkEnd w:id="697"/>
      <w:bookmarkEnd w:id="698"/>
      <w:bookmarkEnd w:id="699"/>
      <w:bookmarkEnd w:id="700"/>
      <w:bookmarkEnd w:id="701"/>
      <w:bookmarkEnd w:id="702"/>
      <w:bookmarkEnd w:id="703"/>
    </w:p>
    <w:p>
      <w:pPr>
        <w:spacing w:line="560" w:lineRule="exact"/>
        <w:ind w:firstLine="480" w:firstLineChars="200"/>
        <w:rPr>
          <w:rFonts w:ascii="楷体" w:hAnsi="楷体" w:eastAsia="楷体"/>
          <w:sz w:val="24"/>
          <w:highlight w:val="none"/>
          <w:u w:val="single"/>
        </w:rPr>
      </w:pPr>
      <w:r>
        <w:rPr>
          <w:rFonts w:ascii="楷体" w:hAnsi="楷体" w:eastAsia="楷体"/>
          <w:sz w:val="24"/>
          <w:highlight w:val="none"/>
        </w:rPr>
        <w:t xml:space="preserve">1.5.1 </w:t>
      </w:r>
      <w:r>
        <w:rPr>
          <w:rFonts w:hint="eastAsia" w:ascii="楷体" w:hAnsi="楷体" w:eastAsia="楷体"/>
          <w:sz w:val="24"/>
          <w:highlight w:val="none"/>
        </w:rPr>
        <w:t>履行期限：</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1.5.2 </w:t>
      </w:r>
      <w:r>
        <w:rPr>
          <w:rFonts w:hint="eastAsia" w:ascii="楷体" w:hAnsi="楷体" w:eastAsia="楷体"/>
          <w:sz w:val="24"/>
          <w:highlight w:val="none"/>
        </w:rPr>
        <w:t>履行地点：</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1.5.3 </w:t>
      </w:r>
      <w:r>
        <w:rPr>
          <w:rFonts w:hint="eastAsia" w:ascii="楷体" w:hAnsi="楷体" w:eastAsia="楷体"/>
          <w:sz w:val="24"/>
          <w:highlight w:val="none"/>
        </w:rPr>
        <w:t>履行方式：</w:t>
      </w:r>
      <w:r>
        <w:rPr>
          <w:rFonts w:hint="eastAsia" w:ascii="楷体" w:hAnsi="楷体" w:eastAsia="楷体"/>
          <w:sz w:val="24"/>
          <w:highlight w:val="none"/>
          <w:u w:val="single"/>
        </w:rPr>
        <w:t>　　　　　　　　　</w:t>
      </w:r>
      <w:r>
        <w:rPr>
          <w:rFonts w:ascii="楷体" w:hAnsi="楷体" w:eastAsia="楷体"/>
          <w:sz w:val="24"/>
          <w:highlight w:val="none"/>
          <w:u w:val="single"/>
        </w:rPr>
        <w:t xml:space="preserve">                      </w:t>
      </w:r>
      <w:r>
        <w:rPr>
          <w:rFonts w:hint="eastAsia" w:ascii="楷体" w:hAnsi="楷体" w:eastAsia="楷体"/>
          <w:sz w:val="24"/>
          <w:highlight w:val="none"/>
          <w:u w:val="single"/>
        </w:rPr>
        <w:t>　</w:t>
      </w:r>
      <w:r>
        <w:rPr>
          <w:rFonts w:ascii="楷体" w:hAnsi="楷体" w:eastAsia="楷体"/>
          <w:sz w:val="24"/>
          <w:highlight w:val="none"/>
          <w:u w:val="single"/>
        </w:rPr>
        <w:t xml:space="preserve">      </w:t>
      </w:r>
      <w:r>
        <w:rPr>
          <w:rFonts w:hint="eastAsia" w:ascii="楷体" w:hAnsi="楷体" w:eastAsia="楷体"/>
          <w:sz w:val="24"/>
          <w:highlight w:val="none"/>
        </w:rPr>
        <w:t>。</w:t>
      </w:r>
    </w:p>
    <w:p>
      <w:pPr>
        <w:spacing w:line="560" w:lineRule="exact"/>
        <w:ind w:firstLine="482" w:firstLineChars="200"/>
        <w:outlineLvl w:val="0"/>
        <w:rPr>
          <w:rFonts w:ascii="楷体" w:hAnsi="楷体" w:eastAsia="楷体"/>
          <w:sz w:val="24"/>
          <w:highlight w:val="none"/>
          <w:u w:val="single"/>
        </w:rPr>
      </w:pPr>
      <w:bookmarkStart w:id="704" w:name="_Toc280"/>
      <w:bookmarkStart w:id="705" w:name="_Toc3079"/>
      <w:bookmarkStart w:id="706" w:name="_Toc24662"/>
      <w:bookmarkStart w:id="707" w:name="_Toc31011"/>
      <w:bookmarkStart w:id="708" w:name="_Toc6700"/>
      <w:bookmarkStart w:id="709" w:name="_Toc5698"/>
      <w:bookmarkStart w:id="710" w:name="_Toc2375"/>
      <w:bookmarkStart w:id="711" w:name="_Toc8586"/>
      <w:r>
        <w:rPr>
          <w:rFonts w:ascii="楷体" w:hAnsi="楷体" w:eastAsia="楷体"/>
          <w:b/>
          <w:sz w:val="24"/>
          <w:highlight w:val="none"/>
        </w:rPr>
        <w:t xml:space="preserve">1.6 </w:t>
      </w:r>
      <w:r>
        <w:rPr>
          <w:rFonts w:hint="eastAsia" w:ascii="楷体" w:hAnsi="楷体" w:eastAsia="楷体"/>
          <w:b/>
          <w:sz w:val="24"/>
          <w:highlight w:val="none"/>
        </w:rPr>
        <w:t>违约责任</w:t>
      </w:r>
      <w:bookmarkEnd w:id="704"/>
      <w:bookmarkEnd w:id="705"/>
      <w:bookmarkEnd w:id="706"/>
      <w:bookmarkEnd w:id="707"/>
      <w:bookmarkEnd w:id="708"/>
      <w:bookmarkEnd w:id="709"/>
      <w:bookmarkEnd w:id="710"/>
      <w:bookmarkEnd w:id="711"/>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1.6.1 </w:t>
      </w:r>
      <w:r>
        <w:rPr>
          <w:rFonts w:hint="eastAsia" w:ascii="楷体" w:hAnsi="楷体" w:eastAsia="楷体"/>
          <w:sz w:val="24"/>
          <w:highlight w:val="none"/>
        </w:rPr>
        <w:t>除不可抗力外，如果乙方没有按照本合同约定的期限、地点和方式履行，那么甲方可要求乙方支付违约金，违约金按每迟延履行一日的应提供而未提供服务价格的</w:t>
      </w:r>
      <w:r>
        <w:rPr>
          <w:rFonts w:ascii="楷体" w:hAnsi="楷体" w:eastAsia="楷体"/>
          <w:sz w:val="24"/>
          <w:highlight w:val="none"/>
          <w:u w:val="single"/>
        </w:rPr>
        <w:t xml:space="preserve">    </w:t>
      </w:r>
      <w:r>
        <w:rPr>
          <w:rFonts w:ascii="楷体" w:hAnsi="楷体" w:eastAsia="楷体"/>
          <w:sz w:val="24"/>
          <w:highlight w:val="none"/>
        </w:rPr>
        <w:t>%</w:t>
      </w:r>
      <w:r>
        <w:rPr>
          <w:rFonts w:hint="eastAsia" w:ascii="楷体" w:hAnsi="楷体" w:eastAsia="楷体"/>
          <w:sz w:val="24"/>
          <w:highlight w:val="none"/>
        </w:rPr>
        <w:t>计算，最高限额为本合同总价的</w:t>
      </w:r>
      <w:r>
        <w:rPr>
          <w:rFonts w:ascii="楷体" w:hAnsi="楷体" w:eastAsia="楷体"/>
          <w:sz w:val="24"/>
          <w:highlight w:val="none"/>
          <w:u w:val="single"/>
        </w:rPr>
        <w:t xml:space="preserve">     </w:t>
      </w:r>
      <w:r>
        <w:rPr>
          <w:rFonts w:ascii="楷体" w:hAnsi="楷体" w:eastAsia="楷体"/>
          <w:sz w:val="24"/>
          <w:highlight w:val="none"/>
        </w:rPr>
        <w:t>%</w:t>
      </w:r>
      <w:r>
        <w:rPr>
          <w:rFonts w:hint="eastAsia" w:ascii="楷体" w:hAnsi="楷体" w:eastAsia="楷体"/>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1.6.2 </w:t>
      </w:r>
      <w:r>
        <w:rPr>
          <w:rFonts w:hint="eastAsia" w:ascii="楷体" w:hAnsi="楷体" w:eastAsia="楷体"/>
          <w:sz w:val="24"/>
          <w:highlight w:val="none"/>
        </w:rPr>
        <w:t>除不可抗力外，如果甲方没有按照本合同约定的付款方式付款，那么乙方可要求甲方支付违约金，违约金按每迟延付款一日的应付而未付款的</w:t>
      </w:r>
      <w:r>
        <w:rPr>
          <w:rFonts w:ascii="楷体" w:hAnsi="楷体" w:eastAsia="楷体"/>
          <w:sz w:val="24"/>
          <w:highlight w:val="none"/>
          <w:u w:val="single"/>
        </w:rPr>
        <w:t xml:space="preserve">    </w:t>
      </w:r>
      <w:r>
        <w:rPr>
          <w:rFonts w:ascii="楷体" w:hAnsi="楷体" w:eastAsia="楷体"/>
          <w:sz w:val="24"/>
          <w:highlight w:val="none"/>
        </w:rPr>
        <w:t>%</w:t>
      </w:r>
      <w:r>
        <w:rPr>
          <w:rFonts w:hint="eastAsia" w:ascii="楷体" w:hAnsi="楷体" w:eastAsia="楷体"/>
          <w:sz w:val="24"/>
          <w:highlight w:val="none"/>
        </w:rPr>
        <w:t>计算，最高限额为本合同总价的</w:t>
      </w:r>
      <w:r>
        <w:rPr>
          <w:rFonts w:ascii="楷体" w:hAnsi="楷体" w:eastAsia="楷体"/>
          <w:sz w:val="24"/>
          <w:highlight w:val="none"/>
          <w:u w:val="single"/>
        </w:rPr>
        <w:t xml:space="preserve">     </w:t>
      </w:r>
      <w:r>
        <w:rPr>
          <w:rFonts w:ascii="楷体" w:hAnsi="楷体" w:eastAsia="楷体"/>
          <w:sz w:val="24"/>
          <w:highlight w:val="none"/>
        </w:rPr>
        <w:t>%</w:t>
      </w:r>
      <w:r>
        <w:rPr>
          <w:rFonts w:hint="eastAsia" w:ascii="楷体" w:hAnsi="楷体" w:eastAsia="楷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1.6.3 </w:t>
      </w:r>
      <w:r>
        <w:rPr>
          <w:rFonts w:hint="eastAsia" w:ascii="楷体" w:hAnsi="楷体" w:eastAsia="楷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1.6.4 </w:t>
      </w:r>
      <w:r>
        <w:rPr>
          <w:rFonts w:hint="eastAsia" w:ascii="楷体" w:hAnsi="楷体" w:eastAsia="楷体"/>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1.6.5 </w:t>
      </w:r>
      <w:r>
        <w:rPr>
          <w:rFonts w:hint="eastAsia" w:ascii="楷体" w:hAnsi="楷体" w:eastAsia="楷体"/>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1.6.6 </w:t>
      </w:r>
      <w:r>
        <w:rPr>
          <w:rFonts w:hint="eastAsia" w:ascii="楷体" w:hAnsi="楷体" w:eastAsia="楷体"/>
          <w:sz w:val="24"/>
          <w:highlight w:val="none"/>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highlight w:val="none"/>
        </w:rPr>
      </w:pPr>
      <w:bookmarkStart w:id="712" w:name="_Toc26807"/>
      <w:bookmarkStart w:id="713" w:name="_Toc32454"/>
      <w:bookmarkStart w:id="714" w:name="_Toc30329"/>
      <w:bookmarkStart w:id="715" w:name="_Toc3636"/>
      <w:bookmarkStart w:id="716" w:name="_Toc23765"/>
      <w:bookmarkStart w:id="717" w:name="_Toc9497"/>
      <w:bookmarkStart w:id="718" w:name="_Toc18683"/>
      <w:bookmarkStart w:id="719" w:name="_Toc3016"/>
      <w:r>
        <w:rPr>
          <w:rFonts w:ascii="楷体" w:hAnsi="楷体" w:eastAsia="楷体"/>
          <w:b/>
          <w:sz w:val="24"/>
          <w:highlight w:val="none"/>
        </w:rPr>
        <w:t xml:space="preserve">1.7 </w:t>
      </w:r>
      <w:r>
        <w:rPr>
          <w:rFonts w:hint="eastAsia" w:ascii="楷体" w:hAnsi="楷体" w:eastAsia="楷体"/>
          <w:b/>
          <w:sz w:val="24"/>
          <w:highlight w:val="none"/>
        </w:rPr>
        <w:t>合同争议的解决</w:t>
      </w:r>
      <w:bookmarkEnd w:id="712"/>
      <w:bookmarkEnd w:id="713"/>
      <w:bookmarkEnd w:id="714"/>
      <w:bookmarkEnd w:id="715"/>
      <w:bookmarkEnd w:id="716"/>
      <w:bookmarkEnd w:id="717"/>
      <w:bookmarkEnd w:id="718"/>
      <w:bookmarkEnd w:id="719"/>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本合同履行过程中发生的任何争议，双方当事人均可通过和解或者调解解决；不愿和解、调解或者和解、调解不成的，可以选择下列第</w:t>
      </w:r>
      <w:r>
        <w:rPr>
          <w:rFonts w:ascii="楷体" w:hAnsi="楷体" w:eastAsia="楷体"/>
          <w:sz w:val="24"/>
          <w:highlight w:val="none"/>
          <w:u w:val="single"/>
        </w:rPr>
        <w:t xml:space="preserve">    </w:t>
      </w:r>
      <w:r>
        <w:rPr>
          <w:rFonts w:hint="eastAsia" w:ascii="楷体" w:hAnsi="楷体" w:eastAsia="楷体"/>
          <w:sz w:val="24"/>
          <w:highlight w:val="none"/>
        </w:rPr>
        <w:t>种方式解决：</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1.7.1 </w:t>
      </w:r>
      <w:r>
        <w:rPr>
          <w:rFonts w:hint="eastAsia" w:ascii="楷体" w:hAnsi="楷体" w:eastAsia="楷体"/>
          <w:sz w:val="24"/>
          <w:highlight w:val="none"/>
        </w:rPr>
        <w:t>将争议提交</w:t>
      </w:r>
      <w:r>
        <w:rPr>
          <w:rFonts w:ascii="楷体" w:hAnsi="楷体" w:eastAsia="楷体"/>
          <w:sz w:val="24"/>
          <w:highlight w:val="none"/>
          <w:u w:val="single"/>
        </w:rPr>
        <w:t xml:space="preserve">              </w:t>
      </w:r>
      <w:r>
        <w:rPr>
          <w:rFonts w:hint="eastAsia" w:ascii="楷体" w:hAnsi="楷体" w:eastAsia="楷体"/>
          <w:sz w:val="24"/>
          <w:highlight w:val="none"/>
        </w:rPr>
        <w:t>仲裁委员会依申请仲裁时其现行有效的仲裁规则裁决；</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1.7.2 </w:t>
      </w:r>
      <w:r>
        <w:rPr>
          <w:rFonts w:hint="eastAsia" w:ascii="楷体" w:hAnsi="楷体" w:eastAsia="楷体"/>
          <w:sz w:val="24"/>
          <w:highlight w:val="none"/>
        </w:rPr>
        <w:t>向</w:t>
      </w:r>
      <w:r>
        <w:rPr>
          <w:rFonts w:ascii="楷体" w:hAnsi="楷体" w:eastAsia="楷体"/>
          <w:sz w:val="24"/>
          <w:highlight w:val="none"/>
          <w:u w:val="single"/>
        </w:rPr>
        <w:t xml:space="preserve">   </w:t>
      </w:r>
      <w:r>
        <w:rPr>
          <w:rFonts w:hint="eastAsia" w:ascii="楷体" w:hAnsi="楷体" w:eastAsia="楷体"/>
          <w:sz w:val="24"/>
          <w:highlight w:val="none"/>
          <w:u w:val="single"/>
        </w:rPr>
        <w:t>（被告住所地、合同履行地、合同签订地、原告住所地、标的物所在地等与争议有实际联系的地点中选出的人民法院名称）</w:t>
      </w:r>
      <w:r>
        <w:rPr>
          <w:rFonts w:ascii="楷体" w:hAnsi="楷体" w:eastAsia="楷体"/>
          <w:sz w:val="24"/>
          <w:highlight w:val="none"/>
          <w:u w:val="single"/>
        </w:rPr>
        <w:t xml:space="preserve">    </w:t>
      </w:r>
      <w:r>
        <w:rPr>
          <w:rFonts w:hint="eastAsia" w:ascii="楷体" w:hAnsi="楷体" w:eastAsia="楷体"/>
          <w:sz w:val="24"/>
          <w:highlight w:val="none"/>
        </w:rPr>
        <w:t>人民法院起诉。</w:t>
      </w:r>
    </w:p>
    <w:p>
      <w:pPr>
        <w:spacing w:line="560" w:lineRule="exact"/>
        <w:ind w:firstLine="482" w:firstLineChars="200"/>
        <w:outlineLvl w:val="0"/>
        <w:rPr>
          <w:rFonts w:ascii="楷体" w:hAnsi="楷体" w:eastAsia="楷体"/>
          <w:b/>
          <w:sz w:val="24"/>
          <w:highlight w:val="none"/>
        </w:rPr>
      </w:pPr>
      <w:bookmarkStart w:id="720" w:name="_Toc12895"/>
      <w:bookmarkStart w:id="721" w:name="_Toc3258"/>
      <w:bookmarkStart w:id="722" w:name="_Toc26227"/>
      <w:bookmarkStart w:id="723" w:name="_Toc15827"/>
      <w:bookmarkStart w:id="724" w:name="_Toc23784"/>
      <w:bookmarkStart w:id="725" w:name="_Toc16417"/>
      <w:bookmarkStart w:id="726" w:name="_Toc12273"/>
      <w:bookmarkStart w:id="727" w:name="_Toc4166"/>
      <w:r>
        <w:rPr>
          <w:rFonts w:ascii="楷体" w:hAnsi="楷体" w:eastAsia="楷体"/>
          <w:b/>
          <w:sz w:val="24"/>
          <w:highlight w:val="none"/>
        </w:rPr>
        <w:t xml:space="preserve">1.8 </w:t>
      </w:r>
      <w:r>
        <w:rPr>
          <w:rFonts w:hint="eastAsia" w:ascii="楷体" w:hAnsi="楷体" w:eastAsia="楷体"/>
          <w:b/>
          <w:sz w:val="24"/>
          <w:highlight w:val="none"/>
        </w:rPr>
        <w:t>合同生效</w:t>
      </w:r>
      <w:bookmarkEnd w:id="720"/>
      <w:bookmarkEnd w:id="721"/>
      <w:bookmarkEnd w:id="722"/>
      <w:bookmarkEnd w:id="723"/>
      <w:bookmarkEnd w:id="724"/>
      <w:bookmarkEnd w:id="725"/>
      <w:bookmarkEnd w:id="726"/>
      <w:bookmarkEnd w:id="727"/>
    </w:p>
    <w:p>
      <w:pPr>
        <w:spacing w:line="560" w:lineRule="exact"/>
        <w:ind w:firstLine="480" w:firstLineChars="200"/>
        <w:rPr>
          <w:rFonts w:ascii="楷体" w:hAnsi="楷体" w:eastAsia="楷体"/>
          <w:b/>
          <w:sz w:val="24"/>
          <w:highlight w:val="none"/>
        </w:rPr>
      </w:pPr>
      <w:r>
        <w:rPr>
          <w:rFonts w:hint="eastAsia" w:ascii="楷体" w:hAnsi="楷体" w:eastAsia="楷体"/>
          <w:sz w:val="24"/>
          <w:highlight w:val="none"/>
        </w:rPr>
        <w:t>本合同自双方当事人盖章或者签字时生效。</w:t>
      </w:r>
    </w:p>
    <w:p>
      <w:pPr>
        <w:autoSpaceDE w:val="0"/>
        <w:autoSpaceDN w:val="0"/>
        <w:adjustRightInd w:val="0"/>
        <w:spacing w:line="560" w:lineRule="exact"/>
        <w:rPr>
          <w:rFonts w:ascii="楷体" w:hAnsi="楷体" w:eastAsia="楷体"/>
          <w:sz w:val="24"/>
          <w:highlight w:val="none"/>
          <w:lang w:val="zh-CN"/>
        </w:rPr>
      </w:pP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b/>
          <w:sz w:val="24"/>
          <w:highlight w:val="none"/>
          <w:lang w:val="zh-CN"/>
        </w:rPr>
        <w:t>甲方</w:t>
      </w:r>
      <w:r>
        <w:rPr>
          <w:rFonts w:hint="eastAsia" w:ascii="楷体" w:hAnsi="楷体" w:eastAsia="楷体"/>
          <w:sz w:val="24"/>
          <w:highlight w:val="none"/>
          <w:lang w:val="zh-CN"/>
        </w:rPr>
        <w:t>：</w:t>
      </w:r>
      <w:r>
        <w:rPr>
          <w:rFonts w:ascii="楷体" w:hAnsi="楷体" w:eastAsia="楷体"/>
          <w:sz w:val="24"/>
          <w:highlight w:val="none"/>
          <w:lang w:val="zh-CN"/>
        </w:rPr>
        <w:t xml:space="preserve">                             </w:t>
      </w:r>
      <w:r>
        <w:rPr>
          <w:rFonts w:ascii="楷体" w:hAnsi="楷体" w:eastAsia="楷体"/>
          <w:b/>
          <w:sz w:val="24"/>
          <w:highlight w:val="none"/>
          <w:lang w:val="zh-CN"/>
        </w:rPr>
        <w:t xml:space="preserve">      </w:t>
      </w:r>
      <w:r>
        <w:rPr>
          <w:rFonts w:hint="eastAsia" w:ascii="楷体" w:hAnsi="楷体" w:eastAsia="楷体"/>
          <w:b/>
          <w:sz w:val="24"/>
          <w:highlight w:val="none"/>
          <w:lang w:val="zh-CN"/>
        </w:rPr>
        <w:t>乙方</w:t>
      </w:r>
      <w:r>
        <w:rPr>
          <w:rFonts w:hint="eastAsia" w:ascii="楷体" w:hAnsi="楷体" w:eastAsia="楷体"/>
          <w:sz w:val="24"/>
          <w:highlight w:val="none"/>
          <w:lang w:val="zh-CN"/>
        </w:rPr>
        <w:t>：</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统一社会信用代码：</w:t>
      </w:r>
      <w:r>
        <w:rPr>
          <w:rFonts w:ascii="楷体" w:hAnsi="楷体" w:eastAsia="楷体"/>
          <w:sz w:val="24"/>
          <w:highlight w:val="none"/>
          <w:lang w:val="zh-CN"/>
        </w:rPr>
        <w:t xml:space="preserve">                        </w:t>
      </w:r>
      <w:r>
        <w:rPr>
          <w:rFonts w:hint="eastAsia" w:ascii="楷体" w:hAnsi="楷体" w:eastAsia="楷体"/>
          <w:sz w:val="24"/>
          <w:highlight w:val="none"/>
          <w:lang w:val="zh-CN"/>
        </w:rPr>
        <w:t>统一社会信用代码或身份证号码：</w:t>
      </w:r>
    </w:p>
    <w:p>
      <w:pPr>
        <w:autoSpaceDE w:val="0"/>
        <w:autoSpaceDN w:val="0"/>
        <w:adjustRightInd w:val="0"/>
        <w:spacing w:line="560" w:lineRule="exact"/>
        <w:rPr>
          <w:rFonts w:ascii="楷体" w:hAnsi="楷体" w:eastAsia="楷体"/>
          <w:sz w:val="24"/>
          <w:highlight w:val="none"/>
          <w:lang w:val="zh-CN"/>
        </w:rPr>
      </w:pP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住所：</w:t>
      </w:r>
      <w:r>
        <w:rPr>
          <w:rFonts w:ascii="楷体" w:hAnsi="楷体" w:eastAsia="楷体"/>
          <w:sz w:val="24"/>
          <w:highlight w:val="none"/>
          <w:lang w:val="zh-CN"/>
        </w:rPr>
        <w:t xml:space="preserve">                                   </w:t>
      </w:r>
      <w:r>
        <w:rPr>
          <w:rFonts w:hint="eastAsia" w:ascii="楷体" w:hAnsi="楷体" w:eastAsia="楷体"/>
          <w:sz w:val="24"/>
          <w:highlight w:val="none"/>
          <w:lang w:val="zh-CN"/>
        </w:rPr>
        <w:t>住所：</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法定代表人或</w:t>
      </w:r>
      <w:r>
        <w:rPr>
          <w:rFonts w:ascii="楷体" w:hAnsi="楷体" w:eastAsia="楷体"/>
          <w:sz w:val="24"/>
          <w:highlight w:val="none"/>
          <w:lang w:val="zh-CN"/>
        </w:rPr>
        <w:t xml:space="preserve">                             </w:t>
      </w:r>
      <w:r>
        <w:rPr>
          <w:rFonts w:hint="eastAsia" w:ascii="楷体" w:hAnsi="楷体" w:eastAsia="楷体"/>
          <w:sz w:val="24"/>
          <w:highlight w:val="none"/>
          <w:lang w:val="zh-CN"/>
        </w:rPr>
        <w:t>法定代表人</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授权代表（签字）：</w:t>
      </w:r>
      <w:r>
        <w:rPr>
          <w:rFonts w:ascii="楷体" w:hAnsi="楷体" w:eastAsia="楷体"/>
          <w:sz w:val="24"/>
          <w:highlight w:val="none"/>
          <w:lang w:val="zh-CN"/>
        </w:rPr>
        <w:t xml:space="preserve">                        </w:t>
      </w:r>
      <w:r>
        <w:rPr>
          <w:rFonts w:hint="eastAsia" w:ascii="楷体" w:hAnsi="楷体" w:eastAsia="楷体"/>
          <w:sz w:val="24"/>
          <w:highlight w:val="none"/>
          <w:lang w:val="zh-CN"/>
        </w:rPr>
        <w:t>或授权代表（签字）</w:t>
      </w:r>
      <w:r>
        <w:rPr>
          <w:rFonts w:ascii="楷体" w:hAnsi="楷体" w:eastAsia="楷体"/>
          <w:sz w:val="24"/>
          <w:highlight w:val="none"/>
          <w:lang w:val="zh-CN"/>
        </w:rPr>
        <w:t xml:space="preserve">: </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联系人：</w:t>
      </w:r>
      <w:r>
        <w:rPr>
          <w:rFonts w:ascii="楷体" w:hAnsi="楷体" w:eastAsia="楷体"/>
          <w:sz w:val="24"/>
          <w:highlight w:val="none"/>
          <w:lang w:val="zh-CN"/>
        </w:rPr>
        <w:t xml:space="preserve">                                 </w:t>
      </w:r>
      <w:r>
        <w:rPr>
          <w:rFonts w:hint="eastAsia" w:ascii="楷体" w:hAnsi="楷体" w:eastAsia="楷体"/>
          <w:sz w:val="24"/>
          <w:highlight w:val="none"/>
          <w:lang w:val="zh-CN"/>
        </w:rPr>
        <w:t>联系人：</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约定送达地址：</w:t>
      </w:r>
      <w:r>
        <w:rPr>
          <w:rFonts w:ascii="楷体" w:hAnsi="楷体" w:eastAsia="楷体"/>
          <w:sz w:val="24"/>
          <w:highlight w:val="none"/>
          <w:lang w:val="zh-CN"/>
        </w:rPr>
        <w:t xml:space="preserve">                           </w:t>
      </w:r>
      <w:r>
        <w:rPr>
          <w:rFonts w:hint="eastAsia" w:ascii="楷体" w:hAnsi="楷体" w:eastAsia="楷体"/>
          <w:sz w:val="24"/>
          <w:highlight w:val="none"/>
          <w:lang w:val="zh-CN"/>
        </w:rPr>
        <w:t>约定送达地址：</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邮政编码：</w:t>
      </w:r>
      <w:r>
        <w:rPr>
          <w:rFonts w:ascii="楷体" w:hAnsi="楷体" w:eastAsia="楷体"/>
          <w:sz w:val="24"/>
          <w:highlight w:val="none"/>
          <w:lang w:val="zh-CN"/>
        </w:rPr>
        <w:t xml:space="preserve">                               </w:t>
      </w:r>
      <w:r>
        <w:rPr>
          <w:rFonts w:hint="eastAsia" w:ascii="楷体" w:hAnsi="楷体" w:eastAsia="楷体"/>
          <w:sz w:val="24"/>
          <w:highlight w:val="none"/>
          <w:lang w:val="zh-CN"/>
        </w:rPr>
        <w:t>邮政编码：</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电话</w:t>
      </w:r>
      <w:r>
        <w:rPr>
          <w:rFonts w:ascii="楷体" w:hAnsi="楷体" w:eastAsia="楷体"/>
          <w:sz w:val="24"/>
          <w:highlight w:val="none"/>
          <w:lang w:val="zh-CN"/>
        </w:rPr>
        <w:t xml:space="preserve">:                                    </w:t>
      </w:r>
      <w:r>
        <w:rPr>
          <w:rFonts w:hint="eastAsia" w:ascii="楷体" w:hAnsi="楷体" w:eastAsia="楷体"/>
          <w:sz w:val="24"/>
          <w:highlight w:val="none"/>
          <w:lang w:val="zh-CN"/>
        </w:rPr>
        <w:t>电话</w:t>
      </w:r>
      <w:r>
        <w:rPr>
          <w:rFonts w:ascii="楷体" w:hAnsi="楷体" w:eastAsia="楷体"/>
          <w:sz w:val="24"/>
          <w:highlight w:val="none"/>
          <w:lang w:val="zh-CN"/>
        </w:rPr>
        <w:t xml:space="preserve">: </w:t>
      </w:r>
    </w:p>
    <w:p>
      <w:pPr>
        <w:autoSpaceDE w:val="0"/>
        <w:autoSpaceDN w:val="0"/>
        <w:adjustRightInd w:val="0"/>
        <w:spacing w:line="560" w:lineRule="exact"/>
        <w:rPr>
          <w:rFonts w:ascii="楷体" w:hAnsi="楷体" w:eastAsia="楷体"/>
          <w:sz w:val="24"/>
          <w:highlight w:val="none"/>
          <w:lang w:val="zh-CN"/>
        </w:rPr>
      </w:pPr>
      <w:r>
        <w:rPr>
          <w:rFonts w:hint="eastAsia" w:ascii="楷体" w:hAnsi="楷体" w:eastAsia="楷体"/>
          <w:sz w:val="24"/>
          <w:highlight w:val="none"/>
          <w:lang w:val="zh-CN"/>
        </w:rPr>
        <w:t>传真</w:t>
      </w:r>
      <w:r>
        <w:rPr>
          <w:rFonts w:ascii="楷体" w:hAnsi="楷体" w:eastAsia="楷体"/>
          <w:sz w:val="24"/>
          <w:highlight w:val="none"/>
          <w:lang w:val="zh-CN"/>
        </w:rPr>
        <w:t xml:space="preserve">:                                    </w:t>
      </w:r>
      <w:r>
        <w:rPr>
          <w:rFonts w:hint="eastAsia" w:ascii="楷体" w:hAnsi="楷体" w:eastAsia="楷体"/>
          <w:sz w:val="24"/>
          <w:highlight w:val="none"/>
          <w:lang w:val="zh-CN"/>
        </w:rPr>
        <w:t>传真</w:t>
      </w:r>
      <w:r>
        <w:rPr>
          <w:rFonts w:ascii="楷体" w:hAnsi="楷体" w:eastAsia="楷体"/>
          <w:sz w:val="24"/>
          <w:highlight w:val="none"/>
          <w:lang w:val="zh-CN"/>
        </w:rPr>
        <w:t>:</w:t>
      </w:r>
    </w:p>
    <w:p>
      <w:pPr>
        <w:autoSpaceDE w:val="0"/>
        <w:autoSpaceDN w:val="0"/>
        <w:adjustRightInd w:val="0"/>
        <w:spacing w:line="560" w:lineRule="exact"/>
        <w:rPr>
          <w:rFonts w:ascii="楷体" w:hAnsi="楷体" w:eastAsia="楷体"/>
          <w:sz w:val="24"/>
          <w:highlight w:val="none"/>
        </w:rPr>
      </w:pPr>
      <w:r>
        <w:rPr>
          <w:rFonts w:hint="eastAsia" w:ascii="楷体" w:hAnsi="楷体" w:eastAsia="楷体"/>
          <w:sz w:val="24"/>
          <w:highlight w:val="none"/>
          <w:lang w:val="zh-CN"/>
        </w:rPr>
        <w:t>电子邮箱：</w:t>
      </w:r>
      <w:r>
        <w:rPr>
          <w:rFonts w:ascii="楷体" w:hAnsi="楷体" w:eastAsia="楷体"/>
          <w:sz w:val="24"/>
          <w:highlight w:val="none"/>
          <w:lang w:val="zh-CN"/>
        </w:rPr>
        <w:t xml:space="preserve">                               </w:t>
      </w:r>
      <w:r>
        <w:rPr>
          <w:rFonts w:hint="eastAsia" w:ascii="楷体" w:hAnsi="楷体" w:eastAsia="楷体"/>
          <w:sz w:val="24"/>
          <w:highlight w:val="none"/>
          <w:lang w:val="zh-CN"/>
        </w:rPr>
        <w:t>电子邮箱：</w:t>
      </w:r>
    </w:p>
    <w:p>
      <w:pPr>
        <w:autoSpaceDE w:val="0"/>
        <w:autoSpaceDN w:val="0"/>
        <w:adjustRightInd w:val="0"/>
        <w:spacing w:line="560" w:lineRule="exact"/>
        <w:rPr>
          <w:rFonts w:ascii="楷体" w:hAnsi="楷体" w:eastAsia="楷体"/>
          <w:sz w:val="24"/>
          <w:highlight w:val="none"/>
        </w:rPr>
      </w:pPr>
      <w:r>
        <w:rPr>
          <w:rFonts w:hint="eastAsia" w:ascii="楷体" w:hAnsi="楷体" w:eastAsia="楷体"/>
          <w:sz w:val="24"/>
          <w:highlight w:val="none"/>
        </w:rPr>
        <w:t>开户银行：</w:t>
      </w:r>
      <w:r>
        <w:rPr>
          <w:rFonts w:ascii="楷体" w:hAnsi="楷体" w:eastAsia="楷体"/>
          <w:sz w:val="24"/>
          <w:highlight w:val="none"/>
        </w:rPr>
        <w:t xml:space="preserve">                               </w:t>
      </w:r>
      <w:r>
        <w:rPr>
          <w:rFonts w:hint="eastAsia" w:ascii="楷体" w:hAnsi="楷体" w:eastAsia="楷体"/>
          <w:sz w:val="24"/>
          <w:highlight w:val="none"/>
        </w:rPr>
        <w:t>开户银行：</w:t>
      </w:r>
      <w:r>
        <w:rPr>
          <w:rFonts w:ascii="楷体" w:hAnsi="楷体" w:eastAsia="楷体"/>
          <w:sz w:val="24"/>
          <w:highlight w:val="none"/>
        </w:rPr>
        <w:t xml:space="preserve"> </w:t>
      </w:r>
    </w:p>
    <w:p>
      <w:pPr>
        <w:autoSpaceDE w:val="0"/>
        <w:autoSpaceDN w:val="0"/>
        <w:adjustRightInd w:val="0"/>
        <w:spacing w:line="560" w:lineRule="exact"/>
        <w:rPr>
          <w:rFonts w:ascii="楷体" w:hAnsi="楷体" w:eastAsia="楷体"/>
          <w:sz w:val="24"/>
          <w:highlight w:val="none"/>
        </w:rPr>
      </w:pPr>
      <w:r>
        <w:rPr>
          <w:rFonts w:hint="eastAsia" w:ascii="楷体" w:hAnsi="楷体" w:eastAsia="楷体"/>
          <w:sz w:val="24"/>
          <w:highlight w:val="none"/>
        </w:rPr>
        <w:t>开户名称：</w:t>
      </w:r>
      <w:r>
        <w:rPr>
          <w:rFonts w:ascii="楷体" w:hAnsi="楷体" w:eastAsia="楷体"/>
          <w:sz w:val="24"/>
          <w:highlight w:val="none"/>
        </w:rPr>
        <w:t xml:space="preserve">                               </w:t>
      </w:r>
      <w:r>
        <w:rPr>
          <w:rFonts w:hint="eastAsia" w:ascii="楷体" w:hAnsi="楷体" w:eastAsia="楷体"/>
          <w:sz w:val="24"/>
          <w:highlight w:val="none"/>
        </w:rPr>
        <w:t>开户名称：</w:t>
      </w:r>
      <w:r>
        <w:rPr>
          <w:rFonts w:ascii="楷体" w:hAnsi="楷体" w:eastAsia="楷体"/>
          <w:sz w:val="24"/>
          <w:highlight w:val="none"/>
        </w:rPr>
        <w:t xml:space="preserve"> </w:t>
      </w:r>
    </w:p>
    <w:p>
      <w:pPr>
        <w:autoSpaceDE w:val="0"/>
        <w:autoSpaceDN w:val="0"/>
        <w:adjustRightInd w:val="0"/>
        <w:spacing w:line="560" w:lineRule="exact"/>
        <w:rPr>
          <w:rFonts w:ascii="楷体" w:hAnsi="楷体" w:eastAsia="楷体"/>
          <w:sz w:val="24"/>
          <w:highlight w:val="none"/>
        </w:rPr>
      </w:pPr>
      <w:r>
        <w:rPr>
          <w:rFonts w:hint="eastAsia" w:ascii="楷体" w:hAnsi="楷体" w:eastAsia="楷体"/>
          <w:sz w:val="24"/>
          <w:highlight w:val="none"/>
        </w:rPr>
        <w:t>开户账号：</w:t>
      </w:r>
      <w:r>
        <w:rPr>
          <w:rFonts w:ascii="楷体" w:hAnsi="楷体" w:eastAsia="楷体"/>
          <w:sz w:val="24"/>
          <w:highlight w:val="none"/>
          <w:lang w:val="zh-CN"/>
        </w:rPr>
        <w:t xml:space="preserve">                               </w:t>
      </w:r>
      <w:r>
        <w:rPr>
          <w:rFonts w:hint="eastAsia" w:ascii="楷体" w:hAnsi="楷体" w:eastAsia="楷体"/>
          <w:sz w:val="24"/>
          <w:highlight w:val="none"/>
        </w:rPr>
        <w:t>开户账号：</w:t>
      </w:r>
    </w:p>
    <w:p>
      <w:pPr>
        <w:widowControl/>
        <w:spacing w:line="560" w:lineRule="exact"/>
        <w:jc w:val="left"/>
        <w:rPr>
          <w:rFonts w:ascii="楷体" w:hAnsi="楷体" w:eastAsia="楷体"/>
          <w:b/>
          <w:highlight w:val="none"/>
        </w:rPr>
      </w:pPr>
      <w:bookmarkStart w:id="728" w:name="_Toc331685783"/>
    </w:p>
    <w:p>
      <w:pPr>
        <w:widowControl/>
        <w:spacing w:line="560" w:lineRule="exact"/>
        <w:jc w:val="left"/>
        <w:rPr>
          <w:rFonts w:ascii="楷体" w:hAnsi="楷体" w:eastAsia="楷体"/>
          <w:b/>
          <w:highlight w:val="none"/>
        </w:rPr>
      </w:pPr>
    </w:p>
    <w:p>
      <w:pPr>
        <w:pStyle w:val="63"/>
        <w:spacing w:line="560" w:lineRule="exact"/>
        <w:ind w:firstLine="200"/>
        <w:jc w:val="center"/>
        <w:rPr>
          <w:rFonts w:ascii="楷体" w:hAnsi="楷体" w:eastAsia="楷体"/>
          <w:b/>
          <w:szCs w:val="24"/>
          <w:highlight w:val="none"/>
        </w:rPr>
      </w:pPr>
      <w:r>
        <w:rPr>
          <w:rFonts w:hint="eastAsia" w:ascii="楷体" w:hAnsi="楷体" w:eastAsia="楷体"/>
          <w:b/>
          <w:szCs w:val="24"/>
          <w:highlight w:val="none"/>
        </w:rPr>
        <w:t>第二部分</w:t>
      </w:r>
      <w:r>
        <w:rPr>
          <w:rFonts w:ascii="楷体" w:hAnsi="楷体" w:eastAsia="楷体"/>
          <w:b/>
          <w:szCs w:val="24"/>
          <w:highlight w:val="none"/>
        </w:rPr>
        <w:t xml:space="preserve"> </w:t>
      </w:r>
      <w:r>
        <w:rPr>
          <w:rFonts w:hint="eastAsia" w:ascii="楷体" w:hAnsi="楷体" w:eastAsia="楷体"/>
          <w:b/>
          <w:szCs w:val="24"/>
          <w:highlight w:val="none"/>
        </w:rPr>
        <w:t>合同一般条款</w:t>
      </w:r>
      <w:bookmarkEnd w:id="728"/>
    </w:p>
    <w:p>
      <w:pPr>
        <w:spacing w:line="560" w:lineRule="exact"/>
        <w:ind w:firstLine="482" w:firstLineChars="200"/>
        <w:outlineLvl w:val="0"/>
        <w:rPr>
          <w:rFonts w:ascii="楷体" w:hAnsi="楷体" w:eastAsia="楷体"/>
          <w:b/>
          <w:sz w:val="24"/>
          <w:highlight w:val="none"/>
        </w:rPr>
      </w:pPr>
      <w:bookmarkStart w:id="729" w:name="_Toc279701240"/>
      <w:bookmarkStart w:id="730" w:name="_Toc31297"/>
      <w:bookmarkStart w:id="731" w:name="_Toc14021"/>
      <w:bookmarkStart w:id="732" w:name="_Toc19680"/>
      <w:bookmarkStart w:id="733" w:name="_Toc28402"/>
      <w:bookmarkStart w:id="734" w:name="_Ref467379195"/>
      <w:bookmarkStart w:id="735" w:name="_Toc26821"/>
      <w:bookmarkStart w:id="736" w:name="_Toc259093669"/>
      <w:bookmarkStart w:id="737" w:name="_Ref467378463"/>
      <w:bookmarkStart w:id="738" w:name="_Ref467378499"/>
      <w:bookmarkStart w:id="739" w:name="_Ref467379101"/>
      <w:bookmarkStart w:id="740" w:name="_Ref467379094"/>
      <w:bookmarkStart w:id="741" w:name="_Ref467379205"/>
      <w:bookmarkStart w:id="742" w:name="_Toc30415"/>
      <w:bookmarkStart w:id="743" w:name="_Ref467379214"/>
      <w:bookmarkStart w:id="744" w:name="_Ref467378404"/>
      <w:bookmarkStart w:id="745" w:name="_Toc25079"/>
      <w:bookmarkStart w:id="746" w:name="_Toc487900349"/>
      <w:bookmarkStart w:id="747" w:name="_Toc5228"/>
      <w:bookmarkStart w:id="748" w:name="_Ref467379225"/>
      <w:bookmarkStart w:id="749" w:name="_Ref467379109"/>
      <w:r>
        <w:rPr>
          <w:rFonts w:ascii="楷体" w:hAnsi="楷体" w:eastAsia="楷体"/>
          <w:b/>
          <w:sz w:val="24"/>
          <w:highlight w:val="none"/>
        </w:rPr>
        <w:t xml:space="preserve">2.1 </w:t>
      </w:r>
      <w:r>
        <w:rPr>
          <w:rFonts w:hint="eastAsia" w:ascii="楷体" w:hAnsi="楷体" w:eastAsia="楷体"/>
          <w:b/>
          <w:sz w:val="24"/>
          <w:highlight w:val="none"/>
        </w:rPr>
        <w:t>定义</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本合同中的下列词语应按以下内容进行解释：</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2.1.1 </w:t>
      </w:r>
      <w:r>
        <w:rPr>
          <w:rFonts w:hint="eastAsia" w:ascii="楷体" w:hAnsi="楷体" w:eastAsia="楷体"/>
          <w:sz w:val="24"/>
          <w:highlight w:val="none"/>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2.1.2 </w:t>
      </w:r>
      <w:r>
        <w:rPr>
          <w:rFonts w:hint="eastAsia" w:ascii="楷体" w:hAnsi="楷体" w:eastAsia="楷体"/>
          <w:sz w:val="24"/>
          <w:highlight w:val="none"/>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2.1.3 </w:t>
      </w:r>
      <w:r>
        <w:rPr>
          <w:rFonts w:hint="eastAsia" w:ascii="楷体" w:hAnsi="楷体" w:eastAsia="楷体"/>
          <w:sz w:val="24"/>
          <w:highlight w:val="none"/>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sz w:val="24"/>
          <w:highlight w:val="none"/>
        </w:rPr>
      </w:pPr>
      <w:bookmarkStart w:id="750" w:name="_Ref467378840"/>
      <w:r>
        <w:rPr>
          <w:rFonts w:ascii="楷体" w:hAnsi="楷体" w:eastAsia="楷体"/>
          <w:sz w:val="24"/>
          <w:highlight w:val="none"/>
        </w:rPr>
        <w:t xml:space="preserve">2.1.4 </w:t>
      </w:r>
      <w:r>
        <w:rPr>
          <w:rFonts w:hint="eastAsia" w:ascii="楷体" w:hAnsi="楷体" w:eastAsia="楷体"/>
          <w:sz w:val="24"/>
          <w:highlight w:val="none"/>
        </w:rPr>
        <w:t>“甲方”系指与中标供应商签署合同的采购人</w:t>
      </w:r>
      <w:bookmarkEnd w:id="750"/>
      <w:r>
        <w:rPr>
          <w:rFonts w:hint="eastAsia" w:ascii="楷体" w:hAnsi="楷体" w:eastAsia="楷体"/>
          <w:sz w:val="24"/>
          <w:highlight w:val="none"/>
        </w:rPr>
        <w:t>；采购人委托采购代理机构代表其与乙方签订合同的，采购人的授权委托书作为合同附件。</w:t>
      </w:r>
    </w:p>
    <w:p>
      <w:pPr>
        <w:spacing w:line="560" w:lineRule="exact"/>
        <w:ind w:firstLine="480" w:firstLineChars="200"/>
        <w:rPr>
          <w:rFonts w:ascii="楷体" w:hAnsi="楷体" w:eastAsia="楷体"/>
          <w:sz w:val="24"/>
          <w:highlight w:val="none"/>
        </w:rPr>
      </w:pPr>
      <w:bookmarkStart w:id="751" w:name="_Ref467379400"/>
      <w:r>
        <w:rPr>
          <w:rFonts w:ascii="楷体" w:hAnsi="楷体" w:eastAsia="楷体"/>
          <w:sz w:val="24"/>
          <w:highlight w:val="none"/>
        </w:rPr>
        <w:t xml:space="preserve">2.1.5 </w:t>
      </w:r>
      <w:r>
        <w:rPr>
          <w:rFonts w:hint="eastAsia" w:ascii="楷体" w:hAnsi="楷体" w:eastAsia="楷体"/>
          <w:sz w:val="24"/>
          <w:highlight w:val="none"/>
        </w:rPr>
        <w:t>“乙方”系指根据合同约定提供服务的中标供应商</w:t>
      </w:r>
      <w:bookmarkEnd w:id="751"/>
      <w:r>
        <w:rPr>
          <w:rFonts w:hint="eastAsia" w:ascii="楷体" w:hAnsi="楷体" w:eastAsia="楷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highlight w:val="none"/>
        </w:rPr>
      </w:pPr>
      <w:bookmarkStart w:id="752" w:name="_Ref467379436"/>
      <w:r>
        <w:rPr>
          <w:rFonts w:ascii="楷体" w:hAnsi="楷体" w:eastAsia="楷体"/>
          <w:sz w:val="24"/>
          <w:highlight w:val="none"/>
        </w:rPr>
        <w:t xml:space="preserve">2.1.6 </w:t>
      </w:r>
      <w:r>
        <w:rPr>
          <w:rFonts w:hint="eastAsia" w:ascii="楷体" w:hAnsi="楷体" w:eastAsia="楷体"/>
          <w:sz w:val="24"/>
          <w:highlight w:val="none"/>
        </w:rPr>
        <w:t>“现场”系指合同约定提供服务的地点。</w:t>
      </w:r>
      <w:bookmarkEnd w:id="752"/>
    </w:p>
    <w:p>
      <w:pPr>
        <w:spacing w:line="560" w:lineRule="exact"/>
        <w:ind w:firstLine="482" w:firstLineChars="200"/>
        <w:outlineLvl w:val="0"/>
        <w:rPr>
          <w:rFonts w:ascii="楷体" w:hAnsi="楷体" w:eastAsia="楷体"/>
          <w:b/>
          <w:sz w:val="24"/>
          <w:highlight w:val="none"/>
        </w:rPr>
      </w:pPr>
      <w:bookmarkStart w:id="753" w:name="_Toc23289"/>
      <w:bookmarkStart w:id="754" w:name="_Toc3769"/>
      <w:bookmarkStart w:id="755" w:name="_Toc259093670"/>
      <w:bookmarkStart w:id="756" w:name="_Toc19539"/>
      <w:bookmarkStart w:id="757" w:name="_Toc23796"/>
      <w:bookmarkStart w:id="758" w:name="_Toc487900350"/>
      <w:bookmarkStart w:id="759" w:name="_Toc279701241"/>
      <w:bookmarkStart w:id="760" w:name="_Toc16752"/>
      <w:bookmarkStart w:id="761" w:name="_Toc10765"/>
      <w:bookmarkStart w:id="762" w:name="_Toc31402"/>
      <w:bookmarkStart w:id="763" w:name="_Toc550"/>
      <w:r>
        <w:rPr>
          <w:rFonts w:ascii="楷体" w:hAnsi="楷体" w:eastAsia="楷体"/>
          <w:b/>
          <w:sz w:val="24"/>
          <w:highlight w:val="none"/>
        </w:rPr>
        <w:t xml:space="preserve">2.2 </w:t>
      </w:r>
      <w:r>
        <w:rPr>
          <w:rFonts w:hint="eastAsia" w:ascii="楷体" w:hAnsi="楷体" w:eastAsia="楷体"/>
          <w:b/>
          <w:sz w:val="24"/>
          <w:highlight w:val="none"/>
        </w:rPr>
        <w:t>技术规范</w:t>
      </w:r>
      <w:bookmarkEnd w:id="753"/>
      <w:bookmarkEnd w:id="754"/>
      <w:bookmarkEnd w:id="755"/>
      <w:bookmarkEnd w:id="756"/>
      <w:bookmarkEnd w:id="757"/>
      <w:bookmarkEnd w:id="758"/>
      <w:bookmarkEnd w:id="759"/>
      <w:bookmarkEnd w:id="760"/>
      <w:bookmarkEnd w:id="761"/>
      <w:bookmarkEnd w:id="762"/>
      <w:bookmarkEnd w:id="763"/>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服务所应遵守的技术规范应与采购文件规定的技术规范和技术规范附件</w:t>
      </w:r>
      <w:r>
        <w:rPr>
          <w:rFonts w:ascii="楷体" w:hAnsi="楷体" w:eastAsia="楷体"/>
          <w:sz w:val="24"/>
          <w:highlight w:val="none"/>
        </w:rPr>
        <w:t>(</w:t>
      </w:r>
      <w:r>
        <w:rPr>
          <w:rFonts w:hint="eastAsia" w:ascii="楷体" w:hAnsi="楷体" w:eastAsia="楷体"/>
          <w:sz w:val="24"/>
          <w:highlight w:val="none"/>
        </w:rPr>
        <w:t>如果有的话</w:t>
      </w:r>
      <w:r>
        <w:rPr>
          <w:rFonts w:ascii="楷体" w:hAnsi="楷体" w:eastAsia="楷体"/>
          <w:sz w:val="24"/>
          <w:highlight w:val="none"/>
        </w:rPr>
        <w:t>)</w:t>
      </w:r>
      <w:r>
        <w:rPr>
          <w:rFonts w:hint="eastAsia" w:ascii="楷体" w:hAnsi="楷体" w:eastAsia="楷体"/>
          <w:sz w:val="24"/>
          <w:highlight w:val="none"/>
        </w:rPr>
        <w:t>及其技术规范偏差表</w:t>
      </w:r>
      <w:r>
        <w:rPr>
          <w:rFonts w:ascii="楷体" w:hAnsi="楷体" w:eastAsia="楷体"/>
          <w:sz w:val="24"/>
          <w:highlight w:val="none"/>
        </w:rPr>
        <w:t>(</w:t>
      </w:r>
      <w:r>
        <w:rPr>
          <w:rFonts w:hint="eastAsia" w:ascii="楷体" w:hAnsi="楷体" w:eastAsia="楷体"/>
          <w:sz w:val="24"/>
          <w:highlight w:val="none"/>
        </w:rPr>
        <w:t>如果被甲方接受的话</w:t>
      </w:r>
      <w:r>
        <w:rPr>
          <w:rFonts w:ascii="楷体" w:hAnsi="楷体" w:eastAsia="楷体"/>
          <w:sz w:val="24"/>
          <w:highlight w:val="none"/>
        </w:rPr>
        <w:t>)</w:t>
      </w:r>
      <w:r>
        <w:rPr>
          <w:rFonts w:hint="eastAsia" w:ascii="楷体" w:hAnsi="楷体" w:eastAsia="楷体"/>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highlight w:val="none"/>
        </w:rPr>
      </w:pPr>
      <w:bookmarkStart w:id="764" w:name="_Toc17647"/>
      <w:bookmarkStart w:id="765" w:name="_Toc12412"/>
      <w:bookmarkStart w:id="766" w:name="_Toc24744"/>
      <w:bookmarkStart w:id="767" w:name="_Toc487900351"/>
      <w:bookmarkStart w:id="768" w:name="_Toc9161"/>
      <w:bookmarkStart w:id="769" w:name="_Toc279701242"/>
      <w:bookmarkStart w:id="770" w:name="_Toc4133"/>
      <w:bookmarkStart w:id="771" w:name="_Toc21438"/>
      <w:bookmarkStart w:id="772" w:name="_Toc259093671"/>
      <w:bookmarkStart w:id="773" w:name="_Toc27945"/>
      <w:bookmarkStart w:id="774" w:name="_Toc13673"/>
      <w:r>
        <w:rPr>
          <w:rFonts w:ascii="楷体" w:hAnsi="楷体" w:eastAsia="楷体"/>
          <w:b/>
          <w:sz w:val="24"/>
          <w:highlight w:val="none"/>
        </w:rPr>
        <w:t xml:space="preserve">2.3 </w:t>
      </w:r>
      <w:r>
        <w:rPr>
          <w:rFonts w:hint="eastAsia" w:ascii="楷体" w:hAnsi="楷体" w:eastAsia="楷体"/>
          <w:b/>
          <w:sz w:val="24"/>
          <w:highlight w:val="none"/>
        </w:rPr>
        <w:t>知识产权</w:t>
      </w:r>
      <w:bookmarkEnd w:id="764"/>
      <w:bookmarkEnd w:id="765"/>
      <w:bookmarkEnd w:id="766"/>
      <w:bookmarkEnd w:id="767"/>
      <w:bookmarkEnd w:id="768"/>
      <w:bookmarkEnd w:id="769"/>
      <w:bookmarkEnd w:id="770"/>
      <w:bookmarkEnd w:id="771"/>
      <w:bookmarkEnd w:id="772"/>
      <w:bookmarkEnd w:id="773"/>
      <w:bookmarkEnd w:id="774"/>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2.3.1 </w:t>
      </w:r>
      <w:r>
        <w:rPr>
          <w:rFonts w:hint="eastAsia" w:ascii="楷体" w:hAnsi="楷体" w:eastAsia="楷体"/>
          <w:sz w:val="24"/>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2.3.2 </w:t>
      </w:r>
      <w:r>
        <w:rPr>
          <w:rFonts w:hint="eastAsia" w:ascii="楷体" w:hAnsi="楷体" w:eastAsia="楷体"/>
          <w:sz w:val="24"/>
          <w:highlight w:val="none"/>
        </w:rPr>
        <w:t>合同涉及技术成果的归属和收益的分成办法的，详见</w:t>
      </w:r>
      <w:r>
        <w:rPr>
          <w:rFonts w:hint="eastAsia" w:ascii="楷体" w:hAnsi="楷体" w:eastAsia="楷体"/>
          <w:b/>
          <w:i/>
          <w:sz w:val="24"/>
          <w:highlight w:val="none"/>
          <w:u w:val="single"/>
        </w:rPr>
        <w:t>合同专用条款</w:t>
      </w:r>
      <w:r>
        <w:rPr>
          <w:rFonts w:hint="eastAsia" w:ascii="楷体" w:hAnsi="楷体" w:eastAsia="楷体"/>
          <w:sz w:val="24"/>
          <w:highlight w:val="none"/>
        </w:rPr>
        <w:t>。</w:t>
      </w:r>
    </w:p>
    <w:p>
      <w:pPr>
        <w:spacing w:line="560" w:lineRule="exact"/>
        <w:ind w:firstLine="482" w:firstLineChars="200"/>
        <w:rPr>
          <w:rFonts w:ascii="楷体" w:hAnsi="楷体" w:eastAsia="楷体"/>
          <w:b/>
          <w:sz w:val="24"/>
          <w:highlight w:val="none"/>
        </w:rPr>
      </w:pPr>
      <w:r>
        <w:rPr>
          <w:rFonts w:ascii="楷体" w:hAnsi="楷体" w:eastAsia="楷体"/>
          <w:b/>
          <w:sz w:val="24"/>
          <w:highlight w:val="none"/>
        </w:rPr>
        <w:t xml:space="preserve">2.4 </w:t>
      </w:r>
      <w:r>
        <w:rPr>
          <w:rFonts w:hint="eastAsia" w:ascii="楷体" w:hAnsi="楷体" w:eastAsia="楷体"/>
          <w:b/>
          <w:sz w:val="24"/>
          <w:highlight w:val="none"/>
        </w:rPr>
        <w:t>履约检查和问题反馈</w:t>
      </w:r>
    </w:p>
    <w:p>
      <w:pPr>
        <w:spacing w:line="560" w:lineRule="exact"/>
        <w:ind w:firstLine="480" w:firstLineChars="200"/>
        <w:rPr>
          <w:rFonts w:ascii="楷体" w:hAnsi="楷体" w:eastAsia="楷体"/>
          <w:sz w:val="24"/>
          <w:highlight w:val="none"/>
        </w:rPr>
      </w:pPr>
      <w:bookmarkStart w:id="775" w:name="_Ref467379657"/>
      <w:r>
        <w:rPr>
          <w:rFonts w:ascii="楷体" w:hAnsi="楷体" w:eastAsia="楷体"/>
          <w:sz w:val="24"/>
          <w:highlight w:val="none"/>
        </w:rPr>
        <w:t>2.4.1</w:t>
      </w:r>
      <w:bookmarkEnd w:id="775"/>
      <w:bookmarkStart w:id="776" w:name="_Toc186431854"/>
      <w:bookmarkStart w:id="777" w:name="_Ref467379793"/>
      <w:bookmarkStart w:id="778" w:name="_Toc259093676"/>
      <w:bookmarkStart w:id="779" w:name="_Ref467379807"/>
      <w:bookmarkStart w:id="780" w:name="_Toc487900357"/>
      <w:bookmarkStart w:id="781" w:name="_Toc279701247"/>
      <w:r>
        <w:rPr>
          <w:rFonts w:hint="eastAsia" w:ascii="楷体" w:hAnsi="楷体" w:eastAsia="楷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2.4.2 </w:t>
      </w:r>
      <w:r>
        <w:rPr>
          <w:rFonts w:hint="eastAsia" w:ascii="楷体" w:hAnsi="楷体" w:eastAsia="楷体"/>
          <w:sz w:val="24"/>
          <w:highlight w:val="none"/>
        </w:rPr>
        <w:t>合同履行期间，甲方有权将履行过程中出现的问题反馈给乙方，双方当事人应以书面形式约定需要完善和改进的内容</w:t>
      </w:r>
      <w:bookmarkEnd w:id="776"/>
      <w:bookmarkStart w:id="782" w:name="_Toc186431855"/>
      <w:r>
        <w:rPr>
          <w:rFonts w:hint="eastAsia" w:ascii="楷体" w:hAnsi="楷体" w:eastAsia="楷体"/>
          <w:sz w:val="24"/>
          <w:highlight w:val="none"/>
        </w:rPr>
        <w:t>。</w:t>
      </w:r>
    </w:p>
    <w:bookmarkEnd w:id="782"/>
    <w:p>
      <w:pPr>
        <w:spacing w:line="560" w:lineRule="exact"/>
        <w:ind w:firstLine="482" w:firstLineChars="200"/>
        <w:outlineLvl w:val="0"/>
        <w:rPr>
          <w:rFonts w:ascii="楷体" w:hAnsi="楷体" w:eastAsia="楷体"/>
          <w:b/>
          <w:sz w:val="24"/>
          <w:highlight w:val="none"/>
        </w:rPr>
      </w:pPr>
      <w:bookmarkStart w:id="783" w:name="_Toc26555"/>
      <w:bookmarkStart w:id="784" w:name="_Toc24408"/>
      <w:bookmarkStart w:id="785" w:name="_Toc13009"/>
      <w:bookmarkStart w:id="786" w:name="_Toc15447"/>
      <w:bookmarkStart w:id="787" w:name="_Toc31233"/>
      <w:bookmarkStart w:id="788" w:name="_Toc7558"/>
      <w:bookmarkStart w:id="789" w:name="_Toc32670"/>
      <w:bookmarkStart w:id="790" w:name="_Toc22011"/>
      <w:r>
        <w:rPr>
          <w:rFonts w:ascii="楷体" w:hAnsi="楷体" w:eastAsia="楷体"/>
          <w:b/>
          <w:sz w:val="24"/>
          <w:highlight w:val="none"/>
        </w:rPr>
        <w:t xml:space="preserve">2.5 </w:t>
      </w:r>
      <w:r>
        <w:rPr>
          <w:rFonts w:hint="eastAsia" w:ascii="楷体" w:hAnsi="楷体" w:eastAsia="楷体"/>
          <w:b/>
          <w:sz w:val="24"/>
          <w:highlight w:val="none"/>
        </w:rPr>
        <w:t>结算方式和付款条件</w:t>
      </w:r>
      <w:bookmarkEnd w:id="777"/>
      <w:bookmarkEnd w:id="778"/>
      <w:bookmarkEnd w:id="779"/>
      <w:bookmarkEnd w:id="780"/>
      <w:bookmarkEnd w:id="781"/>
      <w:bookmarkEnd w:id="783"/>
      <w:bookmarkEnd w:id="784"/>
      <w:bookmarkEnd w:id="785"/>
      <w:bookmarkEnd w:id="786"/>
      <w:bookmarkEnd w:id="787"/>
      <w:bookmarkEnd w:id="788"/>
      <w:bookmarkEnd w:id="789"/>
      <w:bookmarkEnd w:id="790"/>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详见</w:t>
      </w:r>
      <w:r>
        <w:rPr>
          <w:rFonts w:hint="eastAsia" w:ascii="楷体" w:hAnsi="楷体" w:eastAsia="楷体"/>
          <w:b/>
          <w:i/>
          <w:sz w:val="24"/>
          <w:highlight w:val="none"/>
          <w:u w:val="single"/>
        </w:rPr>
        <w:t>合同专用条款</w:t>
      </w:r>
      <w:r>
        <w:rPr>
          <w:rFonts w:hint="eastAsia" w:ascii="楷体" w:hAnsi="楷体" w:eastAsia="楷体"/>
          <w:sz w:val="24"/>
          <w:highlight w:val="none"/>
        </w:rPr>
        <w:t>。</w:t>
      </w:r>
    </w:p>
    <w:p>
      <w:pPr>
        <w:spacing w:line="560" w:lineRule="exact"/>
        <w:ind w:firstLine="482" w:firstLineChars="200"/>
        <w:outlineLvl w:val="0"/>
        <w:rPr>
          <w:rFonts w:ascii="楷体" w:hAnsi="楷体" w:eastAsia="楷体"/>
          <w:b/>
          <w:sz w:val="24"/>
          <w:highlight w:val="none"/>
        </w:rPr>
      </w:pPr>
      <w:bookmarkStart w:id="791" w:name="_Toc279701248"/>
      <w:bookmarkStart w:id="792" w:name="_Ref467379923"/>
      <w:bookmarkStart w:id="793" w:name="_Ref467379852"/>
      <w:bookmarkStart w:id="794" w:name="_Toc487900358"/>
      <w:bookmarkStart w:id="795" w:name="_Toc259093677"/>
      <w:bookmarkStart w:id="796" w:name="_Ref467379863"/>
      <w:bookmarkStart w:id="797" w:name="_Toc13154"/>
      <w:bookmarkStart w:id="798" w:name="_Toc18990"/>
      <w:bookmarkStart w:id="799" w:name="_Toc15250"/>
      <w:bookmarkStart w:id="800" w:name="_Toc16163"/>
      <w:bookmarkStart w:id="801" w:name="_Toc13467"/>
      <w:bookmarkStart w:id="802" w:name="_Toc19956"/>
      <w:bookmarkStart w:id="803" w:name="_Toc30507"/>
      <w:bookmarkStart w:id="804" w:name="_Toc31040"/>
      <w:r>
        <w:rPr>
          <w:rFonts w:ascii="楷体" w:hAnsi="楷体" w:eastAsia="楷体"/>
          <w:b/>
          <w:sz w:val="24"/>
          <w:highlight w:val="none"/>
        </w:rPr>
        <w:t xml:space="preserve">2.6 </w:t>
      </w:r>
      <w:r>
        <w:rPr>
          <w:rFonts w:hint="eastAsia" w:ascii="楷体" w:hAnsi="楷体" w:eastAsia="楷体"/>
          <w:b/>
          <w:sz w:val="24"/>
          <w:highlight w:val="none"/>
        </w:rPr>
        <w:t>技术资料</w:t>
      </w:r>
      <w:bookmarkEnd w:id="791"/>
      <w:bookmarkEnd w:id="792"/>
      <w:bookmarkEnd w:id="793"/>
      <w:bookmarkEnd w:id="794"/>
      <w:bookmarkEnd w:id="795"/>
      <w:bookmarkEnd w:id="796"/>
      <w:r>
        <w:rPr>
          <w:rFonts w:hint="eastAsia" w:ascii="楷体" w:hAnsi="楷体" w:eastAsia="楷体"/>
          <w:b/>
          <w:sz w:val="24"/>
          <w:highlight w:val="none"/>
        </w:rPr>
        <w:t>和保密义务</w:t>
      </w:r>
      <w:bookmarkEnd w:id="797"/>
      <w:bookmarkEnd w:id="798"/>
      <w:bookmarkEnd w:id="799"/>
      <w:bookmarkEnd w:id="800"/>
      <w:bookmarkEnd w:id="801"/>
      <w:bookmarkEnd w:id="802"/>
      <w:bookmarkEnd w:id="803"/>
      <w:bookmarkEnd w:id="804"/>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2.6.1 </w:t>
      </w:r>
      <w:r>
        <w:rPr>
          <w:rFonts w:hint="eastAsia" w:ascii="楷体" w:hAnsi="楷体" w:eastAsia="楷体"/>
          <w:sz w:val="24"/>
          <w:highlight w:val="none"/>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2.6.2 </w:t>
      </w:r>
      <w:r>
        <w:rPr>
          <w:rFonts w:hint="eastAsia" w:ascii="楷体" w:hAnsi="楷体" w:eastAsia="楷体"/>
          <w:sz w:val="24"/>
          <w:highlight w:val="none"/>
        </w:rPr>
        <w:t>乙方有义务妥善保管和保护由甲方提供的前款信息和资料等；</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2.6.3 </w:t>
      </w:r>
      <w:r>
        <w:rPr>
          <w:rFonts w:hint="eastAsia" w:ascii="楷体" w:hAnsi="楷体" w:eastAsia="楷体"/>
          <w:sz w:val="24"/>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highlight w:val="none"/>
        </w:rPr>
      </w:pPr>
      <w:bookmarkStart w:id="805" w:name="_Toc30634"/>
      <w:bookmarkStart w:id="806" w:name="_Toc16235"/>
      <w:bookmarkStart w:id="807" w:name="_Toc19069"/>
      <w:bookmarkStart w:id="808" w:name="_Toc3987"/>
      <w:bookmarkStart w:id="809" w:name="_Toc487900362"/>
      <w:bookmarkStart w:id="810" w:name="_Toc259093681"/>
      <w:bookmarkStart w:id="811" w:name="_Toc279701252"/>
      <w:r>
        <w:rPr>
          <w:rFonts w:ascii="楷体" w:hAnsi="楷体" w:eastAsia="楷体"/>
          <w:b/>
          <w:sz w:val="24"/>
          <w:highlight w:val="none"/>
        </w:rPr>
        <w:t xml:space="preserve">2.7 </w:t>
      </w:r>
      <w:r>
        <w:rPr>
          <w:rFonts w:hint="eastAsia" w:ascii="楷体" w:hAnsi="楷体" w:eastAsia="楷体"/>
          <w:b/>
          <w:sz w:val="24"/>
          <w:highlight w:val="none"/>
        </w:rPr>
        <w:t>质量保证</w:t>
      </w:r>
      <w:bookmarkEnd w:id="805"/>
      <w:bookmarkEnd w:id="806"/>
      <w:bookmarkEnd w:id="807"/>
      <w:bookmarkEnd w:id="808"/>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2.7.1 </w:t>
      </w:r>
      <w:r>
        <w:rPr>
          <w:rFonts w:hint="eastAsia" w:ascii="楷体" w:hAnsi="楷体" w:eastAsia="楷体"/>
          <w:sz w:val="24"/>
          <w:highlight w:val="none"/>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2.7.2 </w:t>
      </w:r>
      <w:r>
        <w:rPr>
          <w:rFonts w:hint="eastAsia" w:ascii="楷体" w:hAnsi="楷体" w:eastAsia="楷体"/>
          <w:sz w:val="24"/>
          <w:highlight w:val="none"/>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highlight w:val="none"/>
        </w:rPr>
      </w:pPr>
      <w:bookmarkStart w:id="812" w:name="_Toc23709"/>
      <w:bookmarkStart w:id="813" w:name="_Toc547"/>
      <w:bookmarkStart w:id="814" w:name="_Toc17942"/>
      <w:bookmarkStart w:id="815" w:name="_Toc22267"/>
      <w:r>
        <w:rPr>
          <w:rFonts w:ascii="楷体" w:hAnsi="楷体" w:eastAsia="楷体"/>
          <w:b/>
          <w:sz w:val="24"/>
          <w:highlight w:val="none"/>
        </w:rPr>
        <w:t xml:space="preserve">2.8 </w:t>
      </w:r>
      <w:r>
        <w:rPr>
          <w:rFonts w:hint="eastAsia" w:ascii="楷体" w:hAnsi="楷体" w:eastAsia="楷体"/>
          <w:b/>
          <w:sz w:val="24"/>
          <w:highlight w:val="none"/>
        </w:rPr>
        <w:t>延迟</w:t>
      </w:r>
      <w:bookmarkEnd w:id="809"/>
      <w:bookmarkEnd w:id="810"/>
      <w:bookmarkEnd w:id="811"/>
      <w:r>
        <w:rPr>
          <w:rFonts w:hint="eastAsia" w:ascii="楷体" w:hAnsi="楷体" w:eastAsia="楷体"/>
          <w:b/>
          <w:sz w:val="24"/>
          <w:highlight w:val="none"/>
        </w:rPr>
        <w:t>履行</w:t>
      </w:r>
      <w:bookmarkEnd w:id="812"/>
      <w:bookmarkEnd w:id="813"/>
      <w:bookmarkEnd w:id="814"/>
      <w:bookmarkEnd w:id="815"/>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sz w:val="24"/>
          <w:highlight w:val="none"/>
        </w:rPr>
      </w:pPr>
      <w:bookmarkStart w:id="816" w:name="_Toc10611"/>
      <w:bookmarkStart w:id="817" w:name="_Toc9415"/>
      <w:bookmarkStart w:id="818" w:name="_Toc19763"/>
      <w:bookmarkStart w:id="819" w:name="_Toc14044"/>
      <w:bookmarkStart w:id="820" w:name="_Toc259093683"/>
      <w:bookmarkStart w:id="821" w:name="_Toc487900364"/>
      <w:bookmarkStart w:id="822" w:name="_Ref467378121"/>
      <w:bookmarkStart w:id="823" w:name="_Toc279701254"/>
      <w:r>
        <w:rPr>
          <w:rFonts w:ascii="楷体" w:hAnsi="楷体" w:eastAsia="楷体"/>
          <w:b/>
          <w:sz w:val="24"/>
          <w:highlight w:val="none"/>
        </w:rPr>
        <w:t xml:space="preserve">2.9 </w:t>
      </w:r>
      <w:r>
        <w:rPr>
          <w:rFonts w:hint="eastAsia" w:ascii="楷体" w:hAnsi="楷体" w:eastAsia="楷体"/>
          <w:b/>
          <w:sz w:val="24"/>
          <w:highlight w:val="none"/>
        </w:rPr>
        <w:t>合同变更</w:t>
      </w:r>
      <w:bookmarkEnd w:id="816"/>
      <w:bookmarkEnd w:id="817"/>
      <w:bookmarkEnd w:id="818"/>
      <w:bookmarkEnd w:id="819"/>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2.9.1 </w:t>
      </w:r>
      <w:r>
        <w:rPr>
          <w:rFonts w:hint="eastAsia" w:ascii="楷体" w:hAnsi="楷体" w:eastAsia="楷体"/>
          <w:sz w:val="24"/>
          <w:highlight w:val="none"/>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sz w:val="24"/>
          <w:highlight w:val="none"/>
        </w:rPr>
        <w:t>10%</w:t>
      </w:r>
      <w:r>
        <w:rPr>
          <w:rFonts w:hint="eastAsia" w:ascii="楷体" w:hAnsi="楷体" w:eastAsia="楷体"/>
          <w:sz w:val="24"/>
          <w:highlight w:val="none"/>
        </w:rPr>
        <w:t>；</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2.9.2 </w:t>
      </w:r>
      <w:r>
        <w:rPr>
          <w:rFonts w:hint="eastAsia" w:ascii="楷体" w:hAnsi="楷体" w:eastAsia="楷体"/>
          <w:sz w:val="24"/>
          <w:highlight w:val="none"/>
        </w:rPr>
        <w:t>合同继续履行将损害国家利益和社会公共利益的，双方当事人应当以书面形式变更合同。有过错的一方应当承担赔偿责任，双方当事人都有过错的，各自承担相应的责任。</w:t>
      </w:r>
      <w:bookmarkStart w:id="824" w:name="_Toc259093688"/>
      <w:bookmarkStart w:id="825" w:name="_Toc487900369"/>
      <w:bookmarkStart w:id="826" w:name="_Toc279701259"/>
    </w:p>
    <w:p>
      <w:pPr>
        <w:spacing w:line="560" w:lineRule="exact"/>
        <w:ind w:firstLine="482" w:firstLineChars="200"/>
        <w:outlineLvl w:val="0"/>
        <w:rPr>
          <w:rFonts w:ascii="楷体" w:hAnsi="楷体" w:eastAsia="楷体"/>
          <w:b/>
          <w:sz w:val="24"/>
          <w:highlight w:val="none"/>
        </w:rPr>
      </w:pPr>
      <w:bookmarkStart w:id="827" w:name="_Toc42"/>
      <w:bookmarkStart w:id="828" w:name="_Toc26689"/>
      <w:bookmarkStart w:id="829" w:name="_Toc15637"/>
      <w:bookmarkStart w:id="830" w:name="_Toc10663"/>
      <w:bookmarkStart w:id="831" w:name="_Toc21830"/>
      <w:bookmarkStart w:id="832" w:name="_Toc3090"/>
      <w:bookmarkStart w:id="833" w:name="_Toc23368"/>
      <w:bookmarkStart w:id="834" w:name="_Toc25572"/>
      <w:r>
        <w:rPr>
          <w:rFonts w:ascii="楷体" w:hAnsi="楷体" w:eastAsia="楷体"/>
          <w:b/>
          <w:sz w:val="24"/>
          <w:highlight w:val="none"/>
        </w:rPr>
        <w:t xml:space="preserve">2.10 </w:t>
      </w:r>
      <w:r>
        <w:rPr>
          <w:rFonts w:hint="eastAsia" w:ascii="楷体" w:hAnsi="楷体" w:eastAsia="楷体"/>
          <w:b/>
          <w:sz w:val="24"/>
          <w:highlight w:val="none"/>
        </w:rPr>
        <w:t>合同转让</w:t>
      </w:r>
      <w:bookmarkEnd w:id="824"/>
      <w:bookmarkEnd w:id="825"/>
      <w:bookmarkEnd w:id="826"/>
      <w:r>
        <w:rPr>
          <w:rFonts w:hint="eastAsia" w:ascii="楷体" w:hAnsi="楷体" w:eastAsia="楷体"/>
          <w:b/>
          <w:sz w:val="24"/>
          <w:highlight w:val="none"/>
        </w:rPr>
        <w:t>和分包</w:t>
      </w:r>
      <w:bookmarkEnd w:id="827"/>
      <w:bookmarkEnd w:id="828"/>
      <w:bookmarkEnd w:id="829"/>
      <w:bookmarkEnd w:id="830"/>
      <w:bookmarkEnd w:id="831"/>
      <w:bookmarkEnd w:id="832"/>
      <w:bookmarkEnd w:id="833"/>
      <w:bookmarkEnd w:id="834"/>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highlight w:val="none"/>
        </w:rPr>
      </w:pPr>
      <w:bookmarkStart w:id="835" w:name="_Toc14371"/>
      <w:bookmarkStart w:id="836" w:name="_Toc26091"/>
      <w:bookmarkStart w:id="837" w:name="_Toc28875"/>
      <w:bookmarkStart w:id="838" w:name="_Toc4285"/>
      <w:bookmarkStart w:id="839" w:name="_Toc32494"/>
      <w:bookmarkStart w:id="840" w:name="_Toc26633"/>
      <w:bookmarkStart w:id="841" w:name="_Toc25571"/>
      <w:bookmarkStart w:id="842" w:name="_Toc4720"/>
      <w:r>
        <w:rPr>
          <w:rFonts w:ascii="楷体" w:hAnsi="楷体" w:eastAsia="楷体"/>
          <w:b/>
          <w:sz w:val="24"/>
          <w:highlight w:val="none"/>
        </w:rPr>
        <w:t xml:space="preserve">2.11 </w:t>
      </w:r>
      <w:r>
        <w:rPr>
          <w:rFonts w:hint="eastAsia" w:ascii="楷体" w:hAnsi="楷体" w:eastAsia="楷体"/>
          <w:b/>
          <w:sz w:val="24"/>
          <w:highlight w:val="none"/>
        </w:rPr>
        <w:t>不可抗力</w:t>
      </w:r>
      <w:bookmarkEnd w:id="835"/>
      <w:bookmarkEnd w:id="836"/>
      <w:bookmarkEnd w:id="837"/>
      <w:bookmarkEnd w:id="838"/>
      <w:bookmarkEnd w:id="839"/>
      <w:bookmarkEnd w:id="840"/>
      <w:bookmarkEnd w:id="841"/>
      <w:bookmarkEnd w:id="842"/>
    </w:p>
    <w:p>
      <w:pPr>
        <w:spacing w:line="560" w:lineRule="exact"/>
        <w:ind w:firstLine="480" w:firstLineChars="200"/>
        <w:rPr>
          <w:rFonts w:ascii="楷体" w:hAnsi="楷体" w:eastAsia="楷体"/>
          <w:sz w:val="24"/>
          <w:highlight w:val="none"/>
        </w:rPr>
      </w:pPr>
      <w:r>
        <w:rPr>
          <w:rFonts w:ascii="楷体" w:hAnsi="楷体" w:eastAsia="楷体"/>
          <w:sz w:val="24"/>
          <w:highlight w:val="none"/>
        </w:rPr>
        <w:t>2.11.1</w:t>
      </w:r>
      <w:r>
        <w:rPr>
          <w:rFonts w:hint="eastAsia" w:ascii="楷体" w:hAnsi="楷体" w:eastAsia="楷体"/>
          <w:sz w:val="24"/>
          <w:highlight w:val="none"/>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2.11.2 </w:t>
      </w:r>
      <w:r>
        <w:rPr>
          <w:rFonts w:hint="eastAsia" w:ascii="楷体" w:hAnsi="楷体" w:eastAsia="楷体"/>
          <w:sz w:val="24"/>
          <w:highlight w:val="none"/>
        </w:rPr>
        <w:t>因不可抗力致使不能实现合同目的的，当事人可以解除合同；</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2.11.3 </w:t>
      </w:r>
      <w:r>
        <w:rPr>
          <w:rFonts w:hint="eastAsia" w:ascii="楷体" w:hAnsi="楷体" w:eastAsia="楷体"/>
          <w:sz w:val="24"/>
          <w:highlight w:val="none"/>
        </w:rPr>
        <w:t>因不可抗力致使合同有变更必要的，双方当事人应在</w:t>
      </w:r>
      <w:r>
        <w:rPr>
          <w:rFonts w:hint="eastAsia" w:ascii="楷体" w:hAnsi="楷体" w:eastAsia="楷体"/>
          <w:b/>
          <w:i/>
          <w:sz w:val="24"/>
          <w:highlight w:val="none"/>
          <w:u w:val="single"/>
        </w:rPr>
        <w:t>合同专用条款</w:t>
      </w:r>
      <w:r>
        <w:rPr>
          <w:rFonts w:hint="eastAsia" w:ascii="楷体" w:hAnsi="楷体" w:eastAsia="楷体"/>
          <w:sz w:val="24"/>
          <w:highlight w:val="none"/>
        </w:rPr>
        <w:t>约定时间内以书面形式变更合同；</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2.11.4</w:t>
      </w:r>
      <w:r>
        <w:rPr>
          <w:rFonts w:hint="eastAsia" w:ascii="楷体" w:hAnsi="楷体" w:eastAsia="楷体"/>
          <w:sz w:val="24"/>
          <w:highlight w:val="none"/>
        </w:rPr>
        <w:t>受不可抗力影响的一方在不可抗力发生后，应在</w:t>
      </w:r>
      <w:r>
        <w:rPr>
          <w:rFonts w:hint="eastAsia" w:ascii="楷体" w:hAnsi="楷体" w:eastAsia="楷体"/>
          <w:b/>
          <w:i/>
          <w:sz w:val="24"/>
          <w:highlight w:val="none"/>
          <w:u w:val="single"/>
        </w:rPr>
        <w:t>合同专用条款</w:t>
      </w:r>
      <w:r>
        <w:rPr>
          <w:rFonts w:hint="eastAsia" w:ascii="楷体" w:hAnsi="楷体" w:eastAsia="楷体"/>
          <w:sz w:val="24"/>
          <w:highlight w:val="none"/>
        </w:rPr>
        <w:t>约定时间内以书面形式通知对方当事人，并在</w:t>
      </w:r>
      <w:r>
        <w:rPr>
          <w:rFonts w:hint="eastAsia" w:ascii="楷体" w:hAnsi="楷体" w:eastAsia="楷体"/>
          <w:b/>
          <w:i/>
          <w:sz w:val="24"/>
          <w:highlight w:val="none"/>
          <w:u w:val="single"/>
        </w:rPr>
        <w:t>合同专用条款</w:t>
      </w:r>
      <w:r>
        <w:rPr>
          <w:rFonts w:hint="eastAsia" w:ascii="楷体" w:hAnsi="楷体" w:eastAsia="楷体"/>
          <w:sz w:val="24"/>
          <w:highlight w:val="none"/>
        </w:rPr>
        <w:t>约定时间内，将有关部门出具的证明文件送达对方当事人。</w:t>
      </w:r>
    </w:p>
    <w:p>
      <w:pPr>
        <w:spacing w:line="560" w:lineRule="exact"/>
        <w:ind w:firstLine="482" w:firstLineChars="200"/>
        <w:outlineLvl w:val="0"/>
        <w:rPr>
          <w:rFonts w:ascii="楷体" w:hAnsi="楷体" w:eastAsia="楷体"/>
          <w:b/>
          <w:sz w:val="24"/>
          <w:highlight w:val="none"/>
        </w:rPr>
      </w:pPr>
      <w:bookmarkStart w:id="843" w:name="_Toc14115"/>
      <w:bookmarkStart w:id="844" w:name="_Toc3638"/>
      <w:bookmarkStart w:id="845" w:name="_Toc25783"/>
      <w:bookmarkStart w:id="846" w:name="_Toc487900365"/>
      <w:bookmarkStart w:id="847" w:name="_Toc259093684"/>
      <w:bookmarkStart w:id="848" w:name="_Toc15467"/>
      <w:bookmarkStart w:id="849" w:name="_Toc32466"/>
      <w:bookmarkStart w:id="850" w:name="_Toc24465"/>
      <w:bookmarkStart w:id="851" w:name="_Toc23854"/>
      <w:bookmarkStart w:id="852" w:name="_Toc9559"/>
      <w:bookmarkStart w:id="853" w:name="_Toc279701255"/>
      <w:r>
        <w:rPr>
          <w:rFonts w:ascii="楷体" w:hAnsi="楷体" w:eastAsia="楷体"/>
          <w:b/>
          <w:sz w:val="24"/>
          <w:highlight w:val="none"/>
        </w:rPr>
        <w:t xml:space="preserve">2.12 </w:t>
      </w:r>
      <w:r>
        <w:rPr>
          <w:rFonts w:hint="eastAsia" w:ascii="楷体" w:hAnsi="楷体" w:eastAsia="楷体"/>
          <w:b/>
          <w:sz w:val="24"/>
          <w:highlight w:val="none"/>
        </w:rPr>
        <w:t>税费</w:t>
      </w:r>
      <w:bookmarkEnd w:id="843"/>
      <w:bookmarkEnd w:id="844"/>
      <w:bookmarkEnd w:id="845"/>
      <w:bookmarkEnd w:id="846"/>
      <w:bookmarkEnd w:id="847"/>
      <w:bookmarkEnd w:id="848"/>
      <w:bookmarkEnd w:id="849"/>
      <w:bookmarkEnd w:id="850"/>
      <w:bookmarkEnd w:id="851"/>
      <w:bookmarkEnd w:id="852"/>
      <w:bookmarkEnd w:id="853"/>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与合同有关的一切税费，均按照中华人民共和国法律的相关规定缴纳。</w:t>
      </w:r>
    </w:p>
    <w:p>
      <w:pPr>
        <w:spacing w:line="560" w:lineRule="exact"/>
        <w:ind w:firstLine="482" w:firstLineChars="200"/>
        <w:outlineLvl w:val="0"/>
        <w:rPr>
          <w:rFonts w:ascii="楷体" w:hAnsi="楷体" w:eastAsia="楷体"/>
          <w:b/>
          <w:sz w:val="24"/>
          <w:highlight w:val="none"/>
        </w:rPr>
      </w:pPr>
      <w:bookmarkStart w:id="854" w:name="_Toc487900368"/>
      <w:bookmarkStart w:id="855" w:name="_Toc32723"/>
      <w:bookmarkStart w:id="856" w:name="_Toc14814"/>
      <w:bookmarkStart w:id="857" w:name="_Toc30578"/>
      <w:bookmarkStart w:id="858" w:name="_Toc25525"/>
      <w:bookmarkStart w:id="859" w:name="_Toc279701258"/>
      <w:bookmarkStart w:id="860" w:name="_Toc259093687"/>
      <w:bookmarkStart w:id="861" w:name="_Toc26883"/>
      <w:bookmarkStart w:id="862" w:name="_Toc30105"/>
      <w:bookmarkStart w:id="863" w:name="_Toc3175"/>
      <w:bookmarkStart w:id="864" w:name="_Toc7315"/>
      <w:r>
        <w:rPr>
          <w:rFonts w:ascii="楷体" w:hAnsi="楷体" w:eastAsia="楷体"/>
          <w:b/>
          <w:sz w:val="24"/>
          <w:highlight w:val="none"/>
        </w:rPr>
        <w:t xml:space="preserve">2.13 </w:t>
      </w:r>
      <w:r>
        <w:rPr>
          <w:rFonts w:hint="eastAsia" w:ascii="楷体" w:hAnsi="楷体" w:eastAsia="楷体"/>
          <w:b/>
          <w:sz w:val="24"/>
          <w:highlight w:val="none"/>
        </w:rPr>
        <w:t>乙方破产</w:t>
      </w:r>
      <w:bookmarkEnd w:id="854"/>
      <w:bookmarkEnd w:id="855"/>
      <w:bookmarkEnd w:id="856"/>
      <w:bookmarkEnd w:id="857"/>
      <w:bookmarkEnd w:id="858"/>
      <w:bookmarkEnd w:id="859"/>
      <w:bookmarkEnd w:id="860"/>
      <w:bookmarkEnd w:id="861"/>
      <w:bookmarkEnd w:id="862"/>
      <w:bookmarkEnd w:id="863"/>
      <w:bookmarkEnd w:id="864"/>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highlight w:val="none"/>
        </w:rPr>
      </w:pPr>
      <w:bookmarkStart w:id="865" w:name="_Toc1123"/>
      <w:bookmarkStart w:id="866" w:name="_Toc653"/>
      <w:bookmarkStart w:id="867" w:name="_Toc18399"/>
      <w:bookmarkStart w:id="868" w:name="_Toc23323"/>
      <w:bookmarkStart w:id="869" w:name="_Toc11928"/>
      <w:bookmarkStart w:id="870" w:name="_Toc2016"/>
      <w:r>
        <w:rPr>
          <w:rFonts w:ascii="楷体" w:hAnsi="楷体" w:eastAsia="楷体"/>
          <w:b/>
          <w:sz w:val="24"/>
          <w:highlight w:val="none"/>
        </w:rPr>
        <w:t xml:space="preserve">2.14 </w:t>
      </w:r>
      <w:r>
        <w:rPr>
          <w:rFonts w:hint="eastAsia" w:ascii="楷体" w:hAnsi="楷体" w:eastAsia="楷体"/>
          <w:b/>
          <w:sz w:val="24"/>
          <w:highlight w:val="none"/>
        </w:rPr>
        <w:t>合同中止、终止</w:t>
      </w:r>
      <w:bookmarkEnd w:id="865"/>
      <w:bookmarkEnd w:id="866"/>
      <w:bookmarkEnd w:id="867"/>
      <w:bookmarkEnd w:id="868"/>
      <w:bookmarkEnd w:id="869"/>
      <w:bookmarkEnd w:id="870"/>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2.14.1 </w:t>
      </w:r>
      <w:r>
        <w:rPr>
          <w:rFonts w:hint="eastAsia" w:ascii="楷体" w:hAnsi="楷体" w:eastAsia="楷体"/>
          <w:sz w:val="24"/>
          <w:highlight w:val="none"/>
        </w:rPr>
        <w:t>双方当事人不得擅自中止或者终止合同；</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2.14.2</w:t>
      </w:r>
      <w:r>
        <w:rPr>
          <w:rFonts w:hint="eastAsia" w:ascii="楷体" w:hAnsi="楷体" w:eastAsia="楷体"/>
          <w:sz w:val="24"/>
          <w:highlight w:val="none"/>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highlight w:val="none"/>
        </w:rPr>
      </w:pPr>
      <w:bookmarkStart w:id="871" w:name="_Toc17363"/>
      <w:bookmarkStart w:id="872" w:name="_Toc1969"/>
      <w:bookmarkStart w:id="873" w:name="_Toc17407"/>
      <w:bookmarkStart w:id="874" w:name="_Toc19115"/>
      <w:bookmarkStart w:id="875" w:name="_Toc14525"/>
      <w:bookmarkStart w:id="876" w:name="_Toc4168"/>
      <w:r>
        <w:rPr>
          <w:rFonts w:ascii="楷体" w:hAnsi="楷体" w:eastAsia="楷体"/>
          <w:b/>
          <w:sz w:val="24"/>
          <w:highlight w:val="none"/>
        </w:rPr>
        <w:t xml:space="preserve">2.15 </w:t>
      </w:r>
      <w:r>
        <w:rPr>
          <w:rFonts w:hint="eastAsia" w:ascii="楷体" w:hAnsi="楷体" w:eastAsia="楷体"/>
          <w:b/>
          <w:sz w:val="24"/>
          <w:highlight w:val="none"/>
        </w:rPr>
        <w:t>检验和验收</w:t>
      </w:r>
      <w:bookmarkEnd w:id="871"/>
      <w:bookmarkEnd w:id="872"/>
      <w:bookmarkEnd w:id="873"/>
      <w:bookmarkEnd w:id="874"/>
      <w:bookmarkEnd w:id="875"/>
      <w:bookmarkEnd w:id="876"/>
    </w:p>
    <w:p>
      <w:pPr>
        <w:tabs>
          <w:tab w:val="left" w:pos="360"/>
          <w:tab w:val="left" w:pos="540"/>
          <w:tab w:val="left" w:pos="1080"/>
        </w:tabs>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2.15.1 </w:t>
      </w:r>
      <w:r>
        <w:rPr>
          <w:rFonts w:hint="eastAsia" w:ascii="楷体" w:hAnsi="楷体" w:eastAsia="楷体"/>
          <w:sz w:val="24"/>
          <w:highlight w:val="none"/>
        </w:rPr>
        <w:t>乙方按照</w:t>
      </w:r>
      <w:r>
        <w:rPr>
          <w:rFonts w:hint="eastAsia" w:ascii="楷体" w:hAnsi="楷体" w:eastAsia="楷体"/>
          <w:b/>
          <w:i/>
          <w:sz w:val="24"/>
          <w:highlight w:val="none"/>
          <w:u w:val="single"/>
        </w:rPr>
        <w:t>合同专用条款</w:t>
      </w:r>
      <w:r>
        <w:rPr>
          <w:rFonts w:hint="eastAsia" w:ascii="楷体" w:hAnsi="楷体" w:eastAsia="楷体"/>
          <w:sz w:val="24"/>
          <w:highlight w:val="none"/>
        </w:rPr>
        <w:t>的约定，定期提交服务报告，甲方按照</w:t>
      </w:r>
      <w:r>
        <w:rPr>
          <w:rFonts w:hint="eastAsia" w:ascii="楷体" w:hAnsi="楷体" w:eastAsia="楷体"/>
          <w:b/>
          <w:i/>
          <w:sz w:val="24"/>
          <w:highlight w:val="none"/>
          <w:u w:val="single"/>
        </w:rPr>
        <w:t>合同专用条款</w:t>
      </w:r>
      <w:r>
        <w:rPr>
          <w:rFonts w:hint="eastAsia" w:ascii="楷体" w:hAnsi="楷体" w:eastAsia="楷体"/>
          <w:sz w:val="24"/>
          <w:highlight w:val="none"/>
        </w:rPr>
        <w:t>的约定进行定期验收；</w:t>
      </w:r>
    </w:p>
    <w:p>
      <w:pPr>
        <w:tabs>
          <w:tab w:val="left" w:pos="360"/>
          <w:tab w:val="left" w:pos="540"/>
          <w:tab w:val="left" w:pos="1080"/>
        </w:tabs>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2.15.2 </w:t>
      </w:r>
      <w:r>
        <w:rPr>
          <w:rFonts w:hint="eastAsia" w:ascii="楷体" w:hAnsi="楷体" w:eastAsia="楷体"/>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2.15.3 </w:t>
      </w:r>
      <w:r>
        <w:rPr>
          <w:rFonts w:hint="eastAsia" w:ascii="楷体" w:hAnsi="楷体" w:eastAsia="楷体"/>
          <w:sz w:val="24"/>
          <w:highlight w:val="none"/>
        </w:rPr>
        <w:t>检验和验收标准、程序等具体内容以及前述验收书的效力详见</w:t>
      </w:r>
      <w:r>
        <w:rPr>
          <w:rFonts w:hint="eastAsia" w:ascii="楷体" w:hAnsi="楷体" w:eastAsia="楷体"/>
          <w:b/>
          <w:i/>
          <w:sz w:val="24"/>
          <w:highlight w:val="none"/>
          <w:u w:val="single"/>
        </w:rPr>
        <w:t>合同专用条款</w:t>
      </w:r>
      <w:r>
        <w:rPr>
          <w:rFonts w:hint="eastAsia" w:ascii="楷体" w:hAnsi="楷体" w:eastAsia="楷体"/>
          <w:i/>
          <w:sz w:val="24"/>
          <w:highlight w:val="none"/>
        </w:rPr>
        <w:t>。</w:t>
      </w:r>
    </w:p>
    <w:bookmarkEnd w:id="820"/>
    <w:bookmarkEnd w:id="821"/>
    <w:bookmarkEnd w:id="822"/>
    <w:bookmarkEnd w:id="823"/>
    <w:p>
      <w:pPr>
        <w:spacing w:line="560" w:lineRule="exact"/>
        <w:ind w:firstLine="482" w:firstLineChars="200"/>
        <w:outlineLvl w:val="0"/>
        <w:rPr>
          <w:rFonts w:ascii="楷体" w:hAnsi="楷体" w:eastAsia="楷体"/>
          <w:b/>
          <w:sz w:val="24"/>
          <w:highlight w:val="none"/>
        </w:rPr>
      </w:pPr>
      <w:bookmarkStart w:id="877" w:name="_Toc487900371"/>
      <w:bookmarkStart w:id="878" w:name="_Toc259093690"/>
      <w:bookmarkStart w:id="879" w:name="_Toc279701261"/>
      <w:bookmarkStart w:id="880" w:name="_Toc2308"/>
      <w:bookmarkStart w:id="881" w:name="_Toc848"/>
      <w:bookmarkStart w:id="882" w:name="_Toc29315"/>
      <w:bookmarkStart w:id="883" w:name="_Toc31892"/>
      <w:bookmarkStart w:id="884" w:name="_Toc4"/>
      <w:bookmarkStart w:id="885" w:name="_Toc12666"/>
      <w:bookmarkStart w:id="886" w:name="_Toc9808"/>
      <w:bookmarkStart w:id="887" w:name="_Toc25198"/>
      <w:r>
        <w:rPr>
          <w:rFonts w:ascii="楷体" w:hAnsi="楷体" w:eastAsia="楷体"/>
          <w:b/>
          <w:sz w:val="24"/>
          <w:highlight w:val="none"/>
        </w:rPr>
        <w:t xml:space="preserve">2.16 </w:t>
      </w:r>
      <w:r>
        <w:rPr>
          <w:rFonts w:hint="eastAsia" w:ascii="楷体" w:hAnsi="楷体" w:eastAsia="楷体"/>
          <w:b/>
          <w:sz w:val="24"/>
          <w:highlight w:val="none"/>
        </w:rPr>
        <w:t>通知</w:t>
      </w:r>
      <w:bookmarkEnd w:id="877"/>
      <w:bookmarkEnd w:id="878"/>
      <w:bookmarkEnd w:id="879"/>
      <w:r>
        <w:rPr>
          <w:rFonts w:hint="eastAsia" w:ascii="楷体" w:hAnsi="楷体" w:eastAsia="楷体"/>
          <w:b/>
          <w:sz w:val="24"/>
          <w:highlight w:val="none"/>
        </w:rPr>
        <w:t>和送达</w:t>
      </w:r>
      <w:bookmarkEnd w:id="880"/>
      <w:bookmarkEnd w:id="881"/>
      <w:bookmarkEnd w:id="882"/>
      <w:bookmarkEnd w:id="883"/>
      <w:bookmarkEnd w:id="884"/>
      <w:bookmarkEnd w:id="885"/>
      <w:bookmarkEnd w:id="886"/>
      <w:bookmarkEnd w:id="887"/>
    </w:p>
    <w:p>
      <w:pPr>
        <w:spacing w:line="560" w:lineRule="exact"/>
        <w:ind w:firstLine="480" w:firstLineChars="200"/>
        <w:rPr>
          <w:rFonts w:ascii="楷体" w:hAnsi="楷体" w:eastAsia="楷体"/>
          <w:sz w:val="24"/>
          <w:highlight w:val="none"/>
        </w:rPr>
      </w:pPr>
      <w:bookmarkStart w:id="888" w:name="_Toc29220"/>
      <w:bookmarkStart w:id="889" w:name="_Toc7073"/>
      <w:bookmarkStart w:id="890" w:name="_Toc279701262"/>
      <w:bookmarkStart w:id="891" w:name="_Toc487900372"/>
      <w:bookmarkStart w:id="892" w:name="_Toc259093691"/>
      <w:r>
        <w:rPr>
          <w:rFonts w:ascii="楷体" w:hAnsi="楷体" w:eastAsia="楷体"/>
          <w:sz w:val="24"/>
          <w:highlight w:val="none"/>
        </w:rPr>
        <w:t xml:space="preserve">2.16.1 </w:t>
      </w:r>
      <w:r>
        <w:rPr>
          <w:rFonts w:hint="eastAsia" w:ascii="楷体" w:hAnsi="楷体" w:eastAsia="楷体"/>
          <w:sz w:val="24"/>
          <w:highlight w:val="none"/>
        </w:rPr>
        <w:t>任何一方因履行合同而以合同第一部分尾部所列明的</w:t>
      </w:r>
      <w:r>
        <w:rPr>
          <w:rFonts w:ascii="楷体" w:hAnsi="楷体" w:eastAsia="楷体"/>
          <w:sz w:val="24"/>
          <w:highlight w:val="none"/>
          <w:u w:val="single"/>
        </w:rPr>
        <w:t xml:space="preserve">          </w:t>
      </w:r>
      <w:r>
        <w:rPr>
          <w:rFonts w:hint="eastAsia" w:ascii="楷体" w:hAnsi="楷体" w:eastAsia="楷体"/>
          <w:sz w:val="24"/>
          <w:highlight w:val="none"/>
        </w:rPr>
        <w:t>发出的所有通知、文件、材料，均视为已向对方当事人送达；任何一方变更上述送达方式或者地址的，应于</w:t>
      </w:r>
      <w:r>
        <w:rPr>
          <w:rFonts w:ascii="楷体" w:hAnsi="楷体" w:eastAsia="楷体"/>
          <w:sz w:val="24"/>
          <w:highlight w:val="none"/>
          <w:u w:val="single"/>
        </w:rPr>
        <w:t xml:space="preserve">   </w:t>
      </w:r>
      <w:r>
        <w:rPr>
          <w:rFonts w:hint="eastAsia" w:ascii="楷体" w:hAnsi="楷体" w:eastAsia="楷体"/>
          <w:sz w:val="24"/>
          <w:highlight w:val="none"/>
        </w:rPr>
        <w:t>个工作日内书面通知对方当事人，在对方当事人收到有关变更通知之前，变更前的约定送达方式或者地址仍视为有效。</w:t>
      </w:r>
      <w:bookmarkEnd w:id="888"/>
      <w:bookmarkEnd w:id="889"/>
    </w:p>
    <w:p>
      <w:pPr>
        <w:spacing w:line="560" w:lineRule="exact"/>
        <w:ind w:firstLine="480" w:firstLineChars="200"/>
        <w:rPr>
          <w:rFonts w:ascii="楷体" w:hAnsi="楷体" w:eastAsia="楷体"/>
          <w:sz w:val="24"/>
          <w:highlight w:val="none"/>
        </w:rPr>
      </w:pPr>
      <w:bookmarkStart w:id="893" w:name="_Toc27674"/>
      <w:bookmarkStart w:id="894" w:name="_Toc18401"/>
      <w:r>
        <w:rPr>
          <w:rFonts w:ascii="楷体" w:hAnsi="楷体" w:eastAsia="楷体"/>
          <w:sz w:val="24"/>
          <w:highlight w:val="none"/>
        </w:rPr>
        <w:t>2.16.2</w:t>
      </w:r>
      <w:r>
        <w:rPr>
          <w:rFonts w:hint="eastAsia" w:ascii="楷体" w:hAnsi="楷体" w:eastAsia="楷体"/>
          <w:sz w:val="24"/>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893"/>
      <w:bookmarkEnd w:id="894"/>
    </w:p>
    <w:bookmarkEnd w:id="890"/>
    <w:bookmarkEnd w:id="891"/>
    <w:bookmarkEnd w:id="892"/>
    <w:p>
      <w:pPr>
        <w:spacing w:line="560" w:lineRule="exact"/>
        <w:ind w:firstLine="482" w:firstLineChars="200"/>
        <w:outlineLvl w:val="0"/>
        <w:rPr>
          <w:rFonts w:ascii="楷体" w:hAnsi="楷体" w:eastAsia="楷体"/>
          <w:b/>
          <w:sz w:val="24"/>
          <w:highlight w:val="none"/>
        </w:rPr>
      </w:pPr>
      <w:bookmarkStart w:id="895" w:name="_Toc20808"/>
      <w:bookmarkStart w:id="896" w:name="_Toc24382"/>
      <w:bookmarkStart w:id="897" w:name="_Toc28906"/>
      <w:bookmarkStart w:id="898" w:name="_Toc27644"/>
      <w:bookmarkStart w:id="899" w:name="_Toc32372"/>
      <w:bookmarkStart w:id="900" w:name="_Toc487900373"/>
      <w:bookmarkStart w:id="901" w:name="_Toc259093692"/>
      <w:bookmarkStart w:id="902" w:name="_Toc279701263"/>
      <w:bookmarkStart w:id="903" w:name="_Toc5063"/>
      <w:bookmarkStart w:id="904" w:name="_Toc27065"/>
      <w:bookmarkStart w:id="905" w:name="_Toc12254"/>
      <w:r>
        <w:rPr>
          <w:rFonts w:ascii="楷体" w:hAnsi="楷体" w:eastAsia="楷体"/>
          <w:b/>
          <w:sz w:val="24"/>
          <w:highlight w:val="none"/>
        </w:rPr>
        <w:t xml:space="preserve">2.17 </w:t>
      </w:r>
      <w:r>
        <w:rPr>
          <w:rFonts w:hint="eastAsia" w:ascii="楷体" w:hAnsi="楷体" w:eastAsia="楷体"/>
          <w:b/>
          <w:sz w:val="24"/>
          <w:highlight w:val="none"/>
        </w:rPr>
        <w:t>合同使用的文字和适用的法律</w:t>
      </w:r>
      <w:bookmarkEnd w:id="895"/>
      <w:bookmarkEnd w:id="896"/>
      <w:bookmarkEnd w:id="897"/>
      <w:bookmarkEnd w:id="898"/>
      <w:bookmarkEnd w:id="899"/>
      <w:bookmarkEnd w:id="900"/>
      <w:bookmarkEnd w:id="901"/>
      <w:bookmarkEnd w:id="902"/>
      <w:bookmarkEnd w:id="903"/>
      <w:bookmarkEnd w:id="904"/>
      <w:bookmarkEnd w:id="905"/>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2.17.1 </w:t>
      </w:r>
      <w:r>
        <w:rPr>
          <w:rFonts w:hint="eastAsia" w:ascii="楷体" w:hAnsi="楷体" w:eastAsia="楷体"/>
          <w:sz w:val="24"/>
          <w:highlight w:val="none"/>
        </w:rPr>
        <w:t>合同使用汉语书就、变更和解释；</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2.17.2 </w:t>
      </w:r>
      <w:r>
        <w:rPr>
          <w:rFonts w:hint="eastAsia" w:ascii="楷体" w:hAnsi="楷体" w:eastAsia="楷体"/>
          <w:sz w:val="24"/>
          <w:highlight w:val="none"/>
        </w:rPr>
        <w:t>合同适用中华人民共和国法律。</w:t>
      </w:r>
    </w:p>
    <w:p>
      <w:pPr>
        <w:spacing w:line="560" w:lineRule="exact"/>
        <w:ind w:firstLine="482" w:firstLineChars="200"/>
        <w:outlineLvl w:val="0"/>
        <w:rPr>
          <w:rFonts w:ascii="楷体" w:hAnsi="楷体" w:eastAsia="楷体"/>
          <w:b/>
          <w:sz w:val="24"/>
          <w:highlight w:val="none"/>
        </w:rPr>
      </w:pPr>
      <w:bookmarkStart w:id="906" w:name="_Toc279701264"/>
      <w:bookmarkStart w:id="907" w:name="_Toc27127"/>
      <w:bookmarkStart w:id="908" w:name="_Toc19819"/>
      <w:bookmarkStart w:id="909" w:name="_Toc14032"/>
      <w:bookmarkStart w:id="910" w:name="_Toc1492"/>
      <w:bookmarkStart w:id="911" w:name="_Toc27403"/>
      <w:bookmarkStart w:id="912" w:name="_Toc22266"/>
      <w:bookmarkStart w:id="913" w:name="_Toc259093693"/>
      <w:bookmarkStart w:id="914" w:name="_Toc30096"/>
      <w:bookmarkStart w:id="915" w:name="_Toc31424"/>
      <w:bookmarkStart w:id="916" w:name="_Toc487900374"/>
      <w:r>
        <w:rPr>
          <w:rFonts w:ascii="楷体" w:hAnsi="楷体" w:eastAsia="楷体"/>
          <w:b/>
          <w:sz w:val="24"/>
          <w:highlight w:val="none"/>
        </w:rPr>
        <w:t xml:space="preserve">2.18 </w:t>
      </w:r>
      <w:r>
        <w:rPr>
          <w:rFonts w:hint="eastAsia" w:ascii="楷体" w:hAnsi="楷体" w:eastAsia="楷体"/>
          <w:b/>
          <w:sz w:val="24"/>
          <w:highlight w:val="none"/>
        </w:rPr>
        <w:t>履约保证金</w:t>
      </w:r>
      <w:bookmarkEnd w:id="906"/>
      <w:bookmarkEnd w:id="907"/>
      <w:bookmarkEnd w:id="908"/>
      <w:bookmarkEnd w:id="909"/>
      <w:bookmarkEnd w:id="910"/>
      <w:bookmarkEnd w:id="911"/>
      <w:bookmarkEnd w:id="912"/>
      <w:bookmarkEnd w:id="913"/>
      <w:bookmarkEnd w:id="914"/>
      <w:bookmarkEnd w:id="915"/>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2.18.1 </w:t>
      </w:r>
      <w:r>
        <w:rPr>
          <w:rFonts w:hint="eastAsia" w:ascii="楷体" w:hAnsi="楷体" w:eastAsia="楷体"/>
          <w:sz w:val="24"/>
          <w:highlight w:val="none"/>
        </w:rPr>
        <w:t>采购文件要求乙方提交履约保证金的，乙方应按</w:t>
      </w:r>
      <w:r>
        <w:rPr>
          <w:rFonts w:hint="eastAsia" w:ascii="楷体" w:hAnsi="楷体" w:eastAsia="楷体"/>
          <w:b/>
          <w:i/>
          <w:sz w:val="24"/>
          <w:highlight w:val="none"/>
          <w:u w:val="single"/>
        </w:rPr>
        <w:t>合同专用条款</w:t>
      </w:r>
      <w:r>
        <w:rPr>
          <w:rFonts w:hint="eastAsia" w:ascii="楷体" w:hAnsi="楷体" w:eastAsia="楷体"/>
          <w:sz w:val="24"/>
          <w:highlight w:val="none"/>
        </w:rPr>
        <w:t>约定的方式，以支票、汇票、本票或者金融机构、担保机构出具的保函等非现金形式，提交不超过合同价</w:t>
      </w:r>
      <w:r>
        <w:rPr>
          <w:rFonts w:ascii="楷体" w:hAnsi="楷体" w:eastAsia="楷体"/>
          <w:sz w:val="24"/>
          <w:highlight w:val="none"/>
        </w:rPr>
        <w:t>10%</w:t>
      </w:r>
      <w:r>
        <w:rPr>
          <w:rFonts w:hint="eastAsia" w:ascii="楷体" w:hAnsi="楷体" w:eastAsia="楷体"/>
          <w:sz w:val="24"/>
          <w:highlight w:val="none"/>
        </w:rPr>
        <w:t>的履约保证金；</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2.18.2 </w:t>
      </w:r>
      <w:r>
        <w:rPr>
          <w:rFonts w:hint="eastAsia" w:ascii="楷体" w:hAnsi="楷体" w:eastAsia="楷体"/>
          <w:sz w:val="24"/>
          <w:highlight w:val="none"/>
        </w:rPr>
        <w:t>履约保证金在</w:t>
      </w:r>
      <w:r>
        <w:rPr>
          <w:rFonts w:hint="eastAsia" w:ascii="楷体" w:hAnsi="楷体" w:eastAsia="楷体"/>
          <w:b/>
          <w:i/>
          <w:sz w:val="24"/>
          <w:highlight w:val="none"/>
          <w:u w:val="single"/>
        </w:rPr>
        <w:t>合同专用条款</w:t>
      </w:r>
      <w:r>
        <w:rPr>
          <w:rFonts w:hint="eastAsia" w:ascii="楷体" w:hAnsi="楷体" w:eastAsia="楷体"/>
          <w:sz w:val="24"/>
          <w:highlight w:val="none"/>
        </w:rPr>
        <w:t>约定期间内不予退还或者应完全有效，前述约定期间届满之日起</w:t>
      </w:r>
      <w:r>
        <w:rPr>
          <w:rFonts w:ascii="楷体" w:hAnsi="楷体" w:eastAsia="楷体"/>
          <w:sz w:val="24"/>
          <w:highlight w:val="none"/>
          <w:u w:val="single"/>
        </w:rPr>
        <w:t xml:space="preserve">    </w:t>
      </w:r>
      <w:r>
        <w:rPr>
          <w:rFonts w:hint="eastAsia" w:ascii="楷体" w:hAnsi="楷体" w:eastAsia="楷体"/>
          <w:sz w:val="24"/>
          <w:highlight w:val="none"/>
        </w:rPr>
        <w:t>个工作日内，甲方应将履约保证金退还乙方；</w:t>
      </w:r>
    </w:p>
    <w:p>
      <w:pPr>
        <w:spacing w:line="560" w:lineRule="exact"/>
        <w:ind w:firstLine="480" w:firstLineChars="200"/>
        <w:rPr>
          <w:rFonts w:ascii="楷体" w:hAnsi="楷体" w:eastAsia="楷体"/>
          <w:sz w:val="24"/>
          <w:highlight w:val="none"/>
        </w:rPr>
      </w:pPr>
      <w:r>
        <w:rPr>
          <w:rFonts w:ascii="楷体" w:hAnsi="楷体" w:eastAsia="楷体"/>
          <w:sz w:val="24"/>
          <w:highlight w:val="none"/>
        </w:rPr>
        <w:t xml:space="preserve">2.18.3 </w:t>
      </w:r>
      <w:r>
        <w:rPr>
          <w:rFonts w:hint="eastAsia" w:ascii="楷体" w:hAnsi="楷体" w:eastAsia="楷体"/>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916"/>
    <w:p>
      <w:pPr>
        <w:spacing w:line="560" w:lineRule="exact"/>
        <w:ind w:firstLine="482" w:firstLineChars="200"/>
        <w:rPr>
          <w:rFonts w:ascii="楷体" w:hAnsi="楷体" w:eastAsia="楷体"/>
          <w:b/>
          <w:sz w:val="24"/>
          <w:highlight w:val="none"/>
        </w:rPr>
      </w:pPr>
      <w:r>
        <w:rPr>
          <w:rFonts w:ascii="楷体" w:hAnsi="楷体" w:eastAsia="楷体"/>
          <w:b/>
          <w:sz w:val="24"/>
          <w:highlight w:val="none"/>
        </w:rPr>
        <w:t xml:space="preserve">2.19 </w:t>
      </w:r>
      <w:r>
        <w:rPr>
          <w:rFonts w:hint="eastAsia" w:ascii="楷体" w:hAnsi="楷体" w:eastAsia="楷体"/>
          <w:b/>
          <w:sz w:val="24"/>
          <w:highlight w:val="none"/>
        </w:rPr>
        <w:t>合同份数</w:t>
      </w:r>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合同份数按</w:t>
      </w:r>
      <w:r>
        <w:rPr>
          <w:rFonts w:hint="eastAsia" w:ascii="楷体" w:hAnsi="楷体" w:eastAsia="楷体"/>
          <w:b/>
          <w:i/>
          <w:sz w:val="24"/>
          <w:highlight w:val="none"/>
          <w:u w:val="single"/>
        </w:rPr>
        <w:t>合同专用条款</w:t>
      </w:r>
      <w:r>
        <w:rPr>
          <w:rFonts w:hint="eastAsia" w:ascii="楷体" w:hAnsi="楷体" w:eastAsia="楷体"/>
          <w:sz w:val="24"/>
          <w:highlight w:val="none"/>
        </w:rPr>
        <w:t>规定，每份均具有同等法律效力。</w:t>
      </w:r>
    </w:p>
    <w:p>
      <w:pPr>
        <w:pStyle w:val="63"/>
        <w:spacing w:line="560" w:lineRule="exact"/>
        <w:ind w:firstLine="0"/>
        <w:jc w:val="center"/>
        <w:rPr>
          <w:rFonts w:ascii="楷体" w:hAnsi="楷体" w:eastAsia="楷体"/>
          <w:b/>
          <w:szCs w:val="24"/>
          <w:highlight w:val="none"/>
        </w:rPr>
      </w:pPr>
      <w:r>
        <w:rPr>
          <w:rFonts w:ascii="楷体" w:hAnsi="楷体" w:eastAsia="楷体"/>
          <w:szCs w:val="24"/>
          <w:highlight w:val="none"/>
        </w:rPr>
        <w:br w:type="page"/>
      </w:r>
      <w:bookmarkStart w:id="917" w:name="_Toc331685784"/>
      <w:r>
        <w:rPr>
          <w:rFonts w:hint="eastAsia" w:ascii="楷体" w:hAnsi="楷体" w:eastAsia="楷体"/>
          <w:b/>
          <w:szCs w:val="24"/>
          <w:highlight w:val="none"/>
        </w:rPr>
        <w:t>第三部分</w:t>
      </w:r>
      <w:r>
        <w:rPr>
          <w:rFonts w:ascii="楷体" w:hAnsi="楷体" w:eastAsia="楷体"/>
          <w:b/>
          <w:szCs w:val="24"/>
          <w:highlight w:val="none"/>
        </w:rPr>
        <w:t xml:space="preserve">  </w:t>
      </w:r>
      <w:r>
        <w:rPr>
          <w:rFonts w:hint="eastAsia" w:ascii="楷体" w:hAnsi="楷体" w:eastAsia="楷体"/>
          <w:b/>
          <w:szCs w:val="24"/>
          <w:highlight w:val="none"/>
        </w:rPr>
        <w:t>合同专用条款</w:t>
      </w:r>
      <w:bookmarkEnd w:id="917"/>
    </w:p>
    <w:p>
      <w:pPr>
        <w:spacing w:line="560" w:lineRule="exact"/>
        <w:ind w:firstLine="480" w:firstLineChars="200"/>
        <w:rPr>
          <w:rFonts w:ascii="楷体" w:hAnsi="楷体" w:eastAsia="楷体"/>
          <w:sz w:val="24"/>
          <w:highlight w:val="none"/>
        </w:rPr>
      </w:pPr>
      <w:r>
        <w:rPr>
          <w:rFonts w:hint="eastAsia" w:ascii="楷体" w:hAnsi="楷体" w:eastAsia="楷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highlight w:val="none"/>
              </w:rPr>
            </w:pPr>
            <w:r>
              <w:rPr>
                <w:rFonts w:hint="eastAsia" w:ascii="楷体" w:hAnsi="楷体" w:eastAsia="楷体"/>
                <w:b/>
                <w:sz w:val="24"/>
                <w:highlight w:val="none"/>
              </w:rPr>
              <w:t>条款号</w:t>
            </w:r>
          </w:p>
        </w:tc>
        <w:tc>
          <w:tcPr>
            <w:tcW w:w="7633" w:type="dxa"/>
            <w:noWrap w:val="0"/>
            <w:vAlign w:val="center"/>
          </w:tcPr>
          <w:p>
            <w:pPr>
              <w:spacing w:line="560" w:lineRule="exact"/>
              <w:jc w:val="center"/>
              <w:rPr>
                <w:rFonts w:ascii="楷体" w:hAnsi="楷体" w:eastAsia="楷体"/>
                <w:b/>
                <w:sz w:val="24"/>
                <w:highlight w:val="none"/>
              </w:rPr>
            </w:pPr>
            <w:r>
              <w:rPr>
                <w:rFonts w:hint="eastAsia" w:ascii="楷体" w:hAnsi="楷体" w:eastAsia="楷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highlight w:val="none"/>
              </w:rPr>
            </w:pPr>
          </w:p>
        </w:tc>
        <w:tc>
          <w:tcPr>
            <w:tcW w:w="7633" w:type="dxa"/>
            <w:noWrap w:val="0"/>
            <w:vAlign w:val="center"/>
          </w:tcPr>
          <w:p>
            <w:pPr>
              <w:spacing w:line="560" w:lineRule="exact"/>
              <w:rPr>
                <w:rFonts w:ascii="楷体" w:hAnsi="楷体" w:eastAsia="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highlight w:val="none"/>
              </w:rPr>
            </w:pPr>
          </w:p>
        </w:tc>
        <w:tc>
          <w:tcPr>
            <w:tcW w:w="7633" w:type="dxa"/>
            <w:noWrap w:val="0"/>
            <w:vAlign w:val="center"/>
          </w:tcPr>
          <w:p>
            <w:pPr>
              <w:spacing w:line="560" w:lineRule="exact"/>
              <w:rPr>
                <w:rFonts w:ascii="楷体" w:hAnsi="楷体" w:eastAsia="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highlight w:val="none"/>
              </w:rPr>
            </w:pPr>
          </w:p>
        </w:tc>
        <w:tc>
          <w:tcPr>
            <w:tcW w:w="7633" w:type="dxa"/>
            <w:noWrap w:val="0"/>
            <w:vAlign w:val="center"/>
          </w:tcPr>
          <w:p>
            <w:pPr>
              <w:spacing w:line="560" w:lineRule="exact"/>
              <w:rPr>
                <w:rFonts w:ascii="楷体" w:hAnsi="楷体" w:eastAsia="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highlight w:val="none"/>
              </w:rPr>
            </w:pPr>
          </w:p>
        </w:tc>
        <w:tc>
          <w:tcPr>
            <w:tcW w:w="7633" w:type="dxa"/>
            <w:noWrap w:val="0"/>
            <w:vAlign w:val="center"/>
          </w:tcPr>
          <w:p>
            <w:pPr>
              <w:spacing w:line="560" w:lineRule="exact"/>
              <w:rPr>
                <w:rFonts w:ascii="楷体" w:hAnsi="楷体" w:eastAsia="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highlight w:val="none"/>
              </w:rPr>
            </w:pPr>
          </w:p>
        </w:tc>
        <w:tc>
          <w:tcPr>
            <w:tcW w:w="7633" w:type="dxa"/>
            <w:noWrap w:val="0"/>
            <w:vAlign w:val="center"/>
          </w:tcPr>
          <w:p>
            <w:pPr>
              <w:spacing w:line="560" w:lineRule="exact"/>
              <w:rPr>
                <w:rFonts w:ascii="楷体" w:hAnsi="楷体" w:eastAsia="楷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highlight w:val="none"/>
              </w:rPr>
            </w:pPr>
          </w:p>
        </w:tc>
        <w:tc>
          <w:tcPr>
            <w:tcW w:w="7633" w:type="dxa"/>
            <w:noWrap w:val="0"/>
            <w:vAlign w:val="center"/>
          </w:tcPr>
          <w:p>
            <w:pPr>
              <w:spacing w:line="560" w:lineRule="exact"/>
              <w:rPr>
                <w:rFonts w:ascii="楷体" w:hAnsi="楷体" w:eastAsia="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highlight w:val="none"/>
              </w:rPr>
            </w:pPr>
          </w:p>
        </w:tc>
        <w:tc>
          <w:tcPr>
            <w:tcW w:w="7633" w:type="dxa"/>
            <w:noWrap w:val="0"/>
            <w:vAlign w:val="center"/>
          </w:tcPr>
          <w:p>
            <w:pPr>
              <w:spacing w:line="560" w:lineRule="exact"/>
              <w:rPr>
                <w:rFonts w:ascii="楷体" w:hAnsi="楷体" w:eastAsia="楷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highlight w:val="none"/>
              </w:rPr>
            </w:pPr>
          </w:p>
        </w:tc>
        <w:tc>
          <w:tcPr>
            <w:tcW w:w="7633" w:type="dxa"/>
            <w:noWrap w:val="0"/>
            <w:vAlign w:val="center"/>
          </w:tcPr>
          <w:p>
            <w:pPr>
              <w:spacing w:line="560" w:lineRule="exact"/>
              <w:rPr>
                <w:rFonts w:ascii="楷体" w:hAnsi="楷体" w:eastAsia="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highlight w:val="none"/>
              </w:rPr>
            </w:pPr>
          </w:p>
        </w:tc>
        <w:tc>
          <w:tcPr>
            <w:tcW w:w="7633" w:type="dxa"/>
            <w:noWrap w:val="0"/>
            <w:vAlign w:val="center"/>
          </w:tcPr>
          <w:p>
            <w:pPr>
              <w:spacing w:line="560" w:lineRule="exact"/>
              <w:rPr>
                <w:rFonts w:ascii="楷体" w:hAnsi="楷体" w:eastAsia="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highlight w:val="none"/>
              </w:rPr>
            </w:pPr>
          </w:p>
        </w:tc>
        <w:tc>
          <w:tcPr>
            <w:tcW w:w="7633" w:type="dxa"/>
            <w:noWrap w:val="0"/>
            <w:vAlign w:val="center"/>
          </w:tcPr>
          <w:p>
            <w:pPr>
              <w:spacing w:line="560" w:lineRule="exact"/>
              <w:rPr>
                <w:rFonts w:ascii="楷体" w:hAnsi="楷体" w:eastAsia="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highlight w:val="none"/>
              </w:rPr>
            </w:pPr>
          </w:p>
        </w:tc>
        <w:tc>
          <w:tcPr>
            <w:tcW w:w="7633" w:type="dxa"/>
            <w:noWrap w:val="0"/>
            <w:vAlign w:val="center"/>
          </w:tcPr>
          <w:p>
            <w:pPr>
              <w:spacing w:line="560" w:lineRule="exact"/>
              <w:rPr>
                <w:rFonts w:ascii="楷体" w:hAnsi="楷体" w:eastAsia="楷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highlight w:val="none"/>
              </w:rPr>
            </w:pPr>
          </w:p>
        </w:tc>
        <w:tc>
          <w:tcPr>
            <w:tcW w:w="7633" w:type="dxa"/>
            <w:noWrap w:val="0"/>
            <w:vAlign w:val="center"/>
          </w:tcPr>
          <w:p>
            <w:pPr>
              <w:spacing w:line="560" w:lineRule="exact"/>
              <w:rPr>
                <w:rFonts w:ascii="楷体" w:hAnsi="楷体" w:eastAsia="楷体"/>
                <w:sz w:val="24"/>
                <w:highlight w:val="none"/>
              </w:rPr>
            </w:pPr>
          </w:p>
        </w:tc>
      </w:tr>
    </w:tbl>
    <w:p>
      <w:pPr>
        <w:spacing w:after="156" w:line="560" w:lineRule="exact"/>
        <w:ind w:firstLine="480"/>
        <w:rPr>
          <w:highlight w:val="none"/>
        </w:rPr>
      </w:pPr>
    </w:p>
    <w:p>
      <w:pPr>
        <w:pStyle w:val="9"/>
        <w:spacing w:line="240" w:lineRule="atLeast"/>
        <w:ind w:firstLine="0"/>
        <w:rPr>
          <w:rFonts w:hint="eastAsia" w:ascii="仿宋_GB2312" w:eastAsia="仿宋_GB2312"/>
          <w:highlight w:val="none"/>
        </w:rPr>
      </w:pP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6"/>
        <w:rPr>
          <w:rFonts w:asciiTheme="minorEastAsia" w:hAnsiTheme="minorEastAsia" w:eastAsiaTheme="minorEastAsia"/>
        </w:rPr>
      </w:pPr>
    </w:p>
    <w:p/>
    <w:sectPr>
      <w:headerReference r:id="rId27" w:type="default"/>
      <w:footerReference r:id="rId28"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8"/>
      </w:rPr>
    </w:pPr>
    <w:r>
      <w:fldChar w:fldCharType="begin"/>
    </w:r>
    <w:r>
      <w:rPr>
        <w:rStyle w:val="48"/>
      </w:rPr>
      <w:instrText xml:space="preserve">PAGE  </w:instrText>
    </w:r>
    <w:r>
      <w:fldChar w:fldCharType="end"/>
    </w:r>
  </w:p>
  <w:p>
    <w:pPr>
      <w:pStyle w:val="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22"/>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fldChar w:fldCharType="begin"/>
                          </w:r>
                          <w:r>
                            <w:instrText xml:space="preserve">PAGE   \* MERGEFORMAT</w:instrText>
                          </w:r>
                          <w:r>
                            <w:fldChar w:fldCharType="separate"/>
                          </w:r>
                          <w:r>
                            <w:rPr>
                              <w:lang w:val="zh-CN"/>
                            </w:rPr>
                            <w:t>47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22"/>
                      <w:jc w:val="center"/>
                    </w:pPr>
                    <w:r>
                      <w:fldChar w:fldCharType="begin"/>
                    </w:r>
                    <w:r>
                      <w:instrText xml:space="preserve">PAGE   \* MERGEFORMAT</w:instrText>
                    </w:r>
                    <w:r>
                      <w:fldChar w:fldCharType="separate"/>
                    </w:r>
                    <w:r>
                      <w:rPr>
                        <w:lang w:val="zh-CN"/>
                      </w:rPr>
                      <w:t>47</w:t>
                    </w:r>
                    <w:r>
                      <w:rPr>
                        <w:lang w:val="zh-CN"/>
                      </w:rPr>
                      <w:fldChar w:fldCharType="end"/>
                    </w:r>
                  </w:p>
                </w:txbxContent>
              </v:textbox>
            </v:shape>
          </w:pict>
        </mc:Fallback>
      </mc:AlternateContent>
    </w:r>
  </w:p>
  <w:p>
    <w:pPr>
      <w:pStyle w:val="22"/>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2"/>
                            <w:rPr>
                              <w:rStyle w:val="48"/>
                            </w:rPr>
                          </w:pPr>
                          <w:r>
                            <w:fldChar w:fldCharType="begin"/>
                          </w:r>
                          <w:r>
                            <w:rPr>
                              <w:rStyle w:val="48"/>
                            </w:rPr>
                            <w:instrText xml:space="preserve">PAGE  </w:instrText>
                          </w:r>
                          <w:r>
                            <w:fldChar w:fldCharType="separate"/>
                          </w:r>
                          <w:r>
                            <w:rPr>
                              <w:rStyle w:val="48"/>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22"/>
                      <w:rPr>
                        <w:rStyle w:val="48"/>
                      </w:rPr>
                    </w:pPr>
                    <w:r>
                      <w:fldChar w:fldCharType="begin"/>
                    </w:r>
                    <w:r>
                      <w:rPr>
                        <w:rStyle w:val="48"/>
                      </w:rPr>
                      <w:instrText xml:space="preserve">PAGE  </w:instrText>
                    </w:r>
                    <w:r>
                      <w:fldChar w:fldCharType="separate"/>
                    </w:r>
                    <w:r>
                      <w:rPr>
                        <w:rStyle w:val="48"/>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8"/>
      </w:rPr>
    </w:pPr>
    <w:r>
      <w:fldChar w:fldCharType="begin"/>
    </w:r>
    <w:r>
      <w:rPr>
        <w:rStyle w:val="48"/>
      </w:rPr>
      <w:instrText xml:space="preserve">PAGE  </w:instrText>
    </w:r>
    <w:r>
      <w:fldChar w:fldCharType="separate"/>
    </w:r>
    <w:r>
      <w:rPr>
        <w:rStyle w:val="48"/>
      </w:rPr>
      <w:t>42</w:t>
    </w:r>
    <w:r>
      <w:fldChar w:fldCharType="end"/>
    </w:r>
  </w:p>
  <w:p>
    <w:pPr>
      <w:pStyle w:val="2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48"/>
      </w:rPr>
    </w:pPr>
  </w:p>
  <w:p>
    <w:pPr>
      <w:pStyle w:val="22"/>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8"/>
      </w:rPr>
    </w:pPr>
    <w:r>
      <w:fldChar w:fldCharType="begin"/>
    </w:r>
    <w:r>
      <w:rPr>
        <w:rStyle w:val="48"/>
      </w:rPr>
      <w:instrText xml:space="preserve">PAGE  </w:instrText>
    </w:r>
    <w:r>
      <w:fldChar w:fldCharType="end"/>
    </w:r>
  </w:p>
  <w:p>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double" w:color="auto" w:sz="8"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thinThickSmallGap" w:color="auto" w:sz="12" w:space="0"/>
      </w:pBdr>
      <w:tabs>
        <w:tab w:val="left" w:pos="1959"/>
        <w:tab w:val="clear" w:pos="4153"/>
      </w:tabs>
      <w:jc w:val="both"/>
    </w:pPr>
    <w:r>
      <w:rPr>
        <w:rFonts w:hint="eastAsia"/>
      </w:rPr>
      <w:tab/>
    </w:r>
  </w:p>
  <w:p>
    <w:pPr>
      <w:pStyle w:val="23"/>
      <w:pBdr>
        <w:bottom w:val="thinThickSmallGap" w:color="auto" w:sz="12" w:space="0"/>
      </w:pBdr>
      <w:tabs>
        <w:tab w:val="left" w:pos="1959"/>
        <w:tab w:val="clear" w:pos="4153"/>
      </w:tabs>
      <w:jc w:val="both"/>
    </w:pPr>
  </w:p>
  <w:p>
    <w:pPr>
      <w:pStyle w:val="23"/>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3949D2A"/>
    <w:multiLevelType w:val="singleLevel"/>
    <w:tmpl w:val="C3949D2A"/>
    <w:lvl w:ilvl="0" w:tentative="0">
      <w:start w:val="1"/>
      <w:numFmt w:val="decimal"/>
      <w:lvlText w:val="%1)"/>
      <w:lvlJc w:val="left"/>
      <w:pPr>
        <w:tabs>
          <w:tab w:val="left" w:pos="312"/>
        </w:tabs>
      </w:pPr>
    </w:lvl>
  </w:abstractNum>
  <w:abstractNum w:abstractNumId="2">
    <w:nsid w:val="C986EB5F"/>
    <w:multiLevelType w:val="singleLevel"/>
    <w:tmpl w:val="C986EB5F"/>
    <w:lvl w:ilvl="0" w:tentative="0">
      <w:start w:val="2"/>
      <w:numFmt w:val="chineseCounting"/>
      <w:suff w:val="nothing"/>
      <w:lvlText w:val="%1、"/>
      <w:lvlJc w:val="left"/>
      <w:rPr>
        <w:rFonts w:hint="eastAsia"/>
      </w:rPr>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singleLevel"/>
    <w:tmpl w:val="00000002"/>
    <w:lvl w:ilvl="0" w:tentative="0">
      <w:start w:val="2"/>
      <w:numFmt w:val="decimal"/>
      <w:suff w:val="nothing"/>
      <w:lvlText w:val="%1、"/>
      <w:lvlJc w:val="left"/>
      <w:pPr>
        <w:ind w:left="-478"/>
      </w:pPr>
    </w:lvl>
  </w:abstractNum>
  <w:abstractNum w:abstractNumId="5">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8">
    <w:nsid w:val="4E4C90BC"/>
    <w:multiLevelType w:val="singleLevel"/>
    <w:tmpl w:val="4E4C90BC"/>
    <w:lvl w:ilvl="0" w:tentative="0">
      <w:start w:val="1"/>
      <w:numFmt w:val="chineseCounting"/>
      <w:suff w:val="nothing"/>
      <w:lvlText w:val="%1、"/>
      <w:lvlJc w:val="left"/>
      <w:pPr>
        <w:tabs>
          <w:tab w:val="left" w:pos="0"/>
        </w:tabs>
        <w:ind w:left="0" w:firstLine="0"/>
      </w:pPr>
      <w:rPr>
        <w:rFonts w:hint="eastAsia"/>
      </w:rPr>
    </w:lvl>
  </w:abstractNum>
  <w:abstractNum w:abstractNumId="9">
    <w:nsid w:val="50669979"/>
    <w:multiLevelType w:val="singleLevel"/>
    <w:tmpl w:val="50669979"/>
    <w:lvl w:ilvl="0" w:tentative="0">
      <w:start w:val="1"/>
      <w:numFmt w:val="decimal"/>
      <w:suff w:val="nothing"/>
      <w:lvlText w:val="%1、"/>
      <w:lvlJc w:val="left"/>
    </w:lvl>
  </w:abstractNum>
  <w:abstractNum w:abstractNumId="10">
    <w:nsid w:val="5679940E"/>
    <w:multiLevelType w:val="singleLevel"/>
    <w:tmpl w:val="5679940E"/>
    <w:lvl w:ilvl="0" w:tentative="0">
      <w:start w:val="1"/>
      <w:numFmt w:val="decimal"/>
      <w:suff w:val="nothing"/>
      <w:lvlText w:val="%1、"/>
      <w:lvlJc w:val="left"/>
    </w:lvl>
  </w:abstractNum>
  <w:abstractNum w:abstractNumId="11">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1"/>
  </w:num>
  <w:num w:numId="2">
    <w:abstractNumId w:val="6"/>
  </w:num>
  <w:num w:numId="3">
    <w:abstractNumId w:val="7"/>
  </w:num>
  <w:num w:numId="4">
    <w:abstractNumId w:val="5"/>
  </w:num>
  <w:num w:numId="5">
    <w:abstractNumId w:val="4"/>
  </w:num>
  <w:num w:numId="6">
    <w:abstractNumId w:val="0"/>
  </w:num>
  <w:num w:numId="7">
    <w:abstractNumId w:val="3"/>
  </w:num>
  <w:num w:numId="8">
    <w:abstractNumId w:val="2"/>
  </w:num>
  <w:num w:numId="9">
    <w:abstractNumId w:val="9"/>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YTAzZDZiODQzZTMzODUxMTJhNjhhZWM2YTE0OGMifQ=="/>
  </w:docVars>
  <w:rsids>
    <w:rsidRoot w:val="00A5025E"/>
    <w:rsid w:val="00000614"/>
    <w:rsid w:val="000141BE"/>
    <w:rsid w:val="0007543B"/>
    <w:rsid w:val="000E1928"/>
    <w:rsid w:val="001F75B9"/>
    <w:rsid w:val="002C5149"/>
    <w:rsid w:val="003600C8"/>
    <w:rsid w:val="00365489"/>
    <w:rsid w:val="003C3B5E"/>
    <w:rsid w:val="003C7AF8"/>
    <w:rsid w:val="003F7ABF"/>
    <w:rsid w:val="00411E09"/>
    <w:rsid w:val="004428BC"/>
    <w:rsid w:val="005855A0"/>
    <w:rsid w:val="005A1EB8"/>
    <w:rsid w:val="005F0ACC"/>
    <w:rsid w:val="00666D84"/>
    <w:rsid w:val="00745D83"/>
    <w:rsid w:val="007B05D8"/>
    <w:rsid w:val="00821A30"/>
    <w:rsid w:val="008D019A"/>
    <w:rsid w:val="008F1E9F"/>
    <w:rsid w:val="00947F08"/>
    <w:rsid w:val="00954306"/>
    <w:rsid w:val="00996275"/>
    <w:rsid w:val="00A429D6"/>
    <w:rsid w:val="00A5025E"/>
    <w:rsid w:val="00AC3793"/>
    <w:rsid w:val="00AD5849"/>
    <w:rsid w:val="00AF7E74"/>
    <w:rsid w:val="00B13095"/>
    <w:rsid w:val="00B517BF"/>
    <w:rsid w:val="00CE6E7F"/>
    <w:rsid w:val="00DF56A2"/>
    <w:rsid w:val="00F247C9"/>
    <w:rsid w:val="01472CDB"/>
    <w:rsid w:val="015010AB"/>
    <w:rsid w:val="015E7D92"/>
    <w:rsid w:val="018D1970"/>
    <w:rsid w:val="01A36139"/>
    <w:rsid w:val="01FA6004"/>
    <w:rsid w:val="02094863"/>
    <w:rsid w:val="022D5F56"/>
    <w:rsid w:val="02916703"/>
    <w:rsid w:val="02A6711D"/>
    <w:rsid w:val="02F82571"/>
    <w:rsid w:val="033F1861"/>
    <w:rsid w:val="03442F4A"/>
    <w:rsid w:val="03703C4C"/>
    <w:rsid w:val="03941396"/>
    <w:rsid w:val="03C915BA"/>
    <w:rsid w:val="040516DB"/>
    <w:rsid w:val="04192115"/>
    <w:rsid w:val="04286A2C"/>
    <w:rsid w:val="042C49E6"/>
    <w:rsid w:val="048346AF"/>
    <w:rsid w:val="04860654"/>
    <w:rsid w:val="04873A46"/>
    <w:rsid w:val="04D71736"/>
    <w:rsid w:val="04E10D08"/>
    <w:rsid w:val="04EA162B"/>
    <w:rsid w:val="05090A18"/>
    <w:rsid w:val="05183E1B"/>
    <w:rsid w:val="05205A09"/>
    <w:rsid w:val="0546541E"/>
    <w:rsid w:val="055200FB"/>
    <w:rsid w:val="059E483A"/>
    <w:rsid w:val="059F3086"/>
    <w:rsid w:val="05B252A3"/>
    <w:rsid w:val="062C0380"/>
    <w:rsid w:val="06377C85"/>
    <w:rsid w:val="06975764"/>
    <w:rsid w:val="06BB7780"/>
    <w:rsid w:val="06D55558"/>
    <w:rsid w:val="06DC43B2"/>
    <w:rsid w:val="06E80B45"/>
    <w:rsid w:val="07006BED"/>
    <w:rsid w:val="07085B68"/>
    <w:rsid w:val="074A3C4B"/>
    <w:rsid w:val="077E07E1"/>
    <w:rsid w:val="079D69A1"/>
    <w:rsid w:val="07B97CA2"/>
    <w:rsid w:val="07F02425"/>
    <w:rsid w:val="081831DA"/>
    <w:rsid w:val="083F0BCA"/>
    <w:rsid w:val="087416D4"/>
    <w:rsid w:val="08A07B0D"/>
    <w:rsid w:val="08A71F12"/>
    <w:rsid w:val="08CA4B48"/>
    <w:rsid w:val="08F2696F"/>
    <w:rsid w:val="0913191F"/>
    <w:rsid w:val="095249D3"/>
    <w:rsid w:val="095C26FE"/>
    <w:rsid w:val="09642EB4"/>
    <w:rsid w:val="097C01EF"/>
    <w:rsid w:val="09B86559"/>
    <w:rsid w:val="09E5606A"/>
    <w:rsid w:val="0A387B0A"/>
    <w:rsid w:val="0A5B1BB3"/>
    <w:rsid w:val="0A881B1D"/>
    <w:rsid w:val="0AAA230B"/>
    <w:rsid w:val="0AB1686A"/>
    <w:rsid w:val="0AFC2388"/>
    <w:rsid w:val="0B182E23"/>
    <w:rsid w:val="0B1B2C26"/>
    <w:rsid w:val="0B307ACE"/>
    <w:rsid w:val="0B4A3340"/>
    <w:rsid w:val="0B6906AA"/>
    <w:rsid w:val="0B7E6116"/>
    <w:rsid w:val="0BA341BF"/>
    <w:rsid w:val="0BB329A8"/>
    <w:rsid w:val="0C38783A"/>
    <w:rsid w:val="0C8B3619"/>
    <w:rsid w:val="0C8C208F"/>
    <w:rsid w:val="0CD638BB"/>
    <w:rsid w:val="0CF268EB"/>
    <w:rsid w:val="0D2850F2"/>
    <w:rsid w:val="0D4A0173"/>
    <w:rsid w:val="0D533658"/>
    <w:rsid w:val="0D635D5C"/>
    <w:rsid w:val="0D706B58"/>
    <w:rsid w:val="0DA86917"/>
    <w:rsid w:val="0DAB048E"/>
    <w:rsid w:val="0DDD3149"/>
    <w:rsid w:val="0DF32E73"/>
    <w:rsid w:val="0E1D0DA5"/>
    <w:rsid w:val="0E586C7B"/>
    <w:rsid w:val="0E82013C"/>
    <w:rsid w:val="0EC87C61"/>
    <w:rsid w:val="0EDA7D85"/>
    <w:rsid w:val="0EE472DF"/>
    <w:rsid w:val="0EFA0EBB"/>
    <w:rsid w:val="0F02611B"/>
    <w:rsid w:val="0F39381D"/>
    <w:rsid w:val="0F457CE8"/>
    <w:rsid w:val="0F4B41BB"/>
    <w:rsid w:val="0FBD0479"/>
    <w:rsid w:val="0FD7494D"/>
    <w:rsid w:val="0FDE0FEA"/>
    <w:rsid w:val="0FF501C7"/>
    <w:rsid w:val="0FFE195E"/>
    <w:rsid w:val="100C1AE0"/>
    <w:rsid w:val="10473E6F"/>
    <w:rsid w:val="108E1C7E"/>
    <w:rsid w:val="10EA333E"/>
    <w:rsid w:val="10F57AD2"/>
    <w:rsid w:val="1118255B"/>
    <w:rsid w:val="116A2FEE"/>
    <w:rsid w:val="11EF2BBD"/>
    <w:rsid w:val="12216843"/>
    <w:rsid w:val="124F4F89"/>
    <w:rsid w:val="125457F4"/>
    <w:rsid w:val="125E5DDF"/>
    <w:rsid w:val="126967B3"/>
    <w:rsid w:val="12A9382B"/>
    <w:rsid w:val="12DC2072"/>
    <w:rsid w:val="12F71113"/>
    <w:rsid w:val="13096C23"/>
    <w:rsid w:val="13477EED"/>
    <w:rsid w:val="139F23F7"/>
    <w:rsid w:val="13AD64E5"/>
    <w:rsid w:val="14233444"/>
    <w:rsid w:val="143B7F26"/>
    <w:rsid w:val="144435AB"/>
    <w:rsid w:val="144E46F9"/>
    <w:rsid w:val="145862E3"/>
    <w:rsid w:val="148C4FD2"/>
    <w:rsid w:val="148F64BF"/>
    <w:rsid w:val="14A03739"/>
    <w:rsid w:val="14A46317"/>
    <w:rsid w:val="14AC2803"/>
    <w:rsid w:val="14B13342"/>
    <w:rsid w:val="14C56CDB"/>
    <w:rsid w:val="14D70619"/>
    <w:rsid w:val="14DE206C"/>
    <w:rsid w:val="152B5806"/>
    <w:rsid w:val="156F7B86"/>
    <w:rsid w:val="1575228A"/>
    <w:rsid w:val="15CF19FA"/>
    <w:rsid w:val="15F16A9A"/>
    <w:rsid w:val="15F77C50"/>
    <w:rsid w:val="16174847"/>
    <w:rsid w:val="1641446F"/>
    <w:rsid w:val="16706A2E"/>
    <w:rsid w:val="16C0495F"/>
    <w:rsid w:val="179F3A1B"/>
    <w:rsid w:val="17B272EF"/>
    <w:rsid w:val="17DF66DE"/>
    <w:rsid w:val="17EA3591"/>
    <w:rsid w:val="17EF3217"/>
    <w:rsid w:val="17EF533B"/>
    <w:rsid w:val="1820242C"/>
    <w:rsid w:val="18476121"/>
    <w:rsid w:val="1865223F"/>
    <w:rsid w:val="186C2542"/>
    <w:rsid w:val="187D3481"/>
    <w:rsid w:val="18867086"/>
    <w:rsid w:val="18F56825"/>
    <w:rsid w:val="19191E7E"/>
    <w:rsid w:val="1964750F"/>
    <w:rsid w:val="19844475"/>
    <w:rsid w:val="19A43F2E"/>
    <w:rsid w:val="19CD504F"/>
    <w:rsid w:val="1A0C7F7F"/>
    <w:rsid w:val="1A744557"/>
    <w:rsid w:val="1A7F13ED"/>
    <w:rsid w:val="1A8B27F6"/>
    <w:rsid w:val="1A942D5E"/>
    <w:rsid w:val="1A9E28C8"/>
    <w:rsid w:val="1ADB6024"/>
    <w:rsid w:val="1ADD6D65"/>
    <w:rsid w:val="1B1C6D90"/>
    <w:rsid w:val="1B3B6F88"/>
    <w:rsid w:val="1B6B1F26"/>
    <w:rsid w:val="1B6D0D27"/>
    <w:rsid w:val="1BB0006D"/>
    <w:rsid w:val="1BD2353F"/>
    <w:rsid w:val="1BD82893"/>
    <w:rsid w:val="1C121B47"/>
    <w:rsid w:val="1C4056FD"/>
    <w:rsid w:val="1CEE0848"/>
    <w:rsid w:val="1CFE36B2"/>
    <w:rsid w:val="1D110BF5"/>
    <w:rsid w:val="1D1F2F14"/>
    <w:rsid w:val="1D2C01B2"/>
    <w:rsid w:val="1D337526"/>
    <w:rsid w:val="1D5801D4"/>
    <w:rsid w:val="1D7B3963"/>
    <w:rsid w:val="1DC92878"/>
    <w:rsid w:val="1E1C2EE0"/>
    <w:rsid w:val="1E2D718E"/>
    <w:rsid w:val="1E503F0D"/>
    <w:rsid w:val="1E551DFA"/>
    <w:rsid w:val="1F0A2960"/>
    <w:rsid w:val="1F237F59"/>
    <w:rsid w:val="1F775599"/>
    <w:rsid w:val="1F9C1CE4"/>
    <w:rsid w:val="1F9F64A3"/>
    <w:rsid w:val="1F9F7EE2"/>
    <w:rsid w:val="1FCA3912"/>
    <w:rsid w:val="1FFF138F"/>
    <w:rsid w:val="2009453A"/>
    <w:rsid w:val="200C442A"/>
    <w:rsid w:val="20140C3B"/>
    <w:rsid w:val="20787608"/>
    <w:rsid w:val="20850A82"/>
    <w:rsid w:val="20DB5F99"/>
    <w:rsid w:val="20F508CB"/>
    <w:rsid w:val="211F4EDF"/>
    <w:rsid w:val="21536A7E"/>
    <w:rsid w:val="21596DDD"/>
    <w:rsid w:val="217E237C"/>
    <w:rsid w:val="21C44F74"/>
    <w:rsid w:val="21E2159F"/>
    <w:rsid w:val="220A6DFB"/>
    <w:rsid w:val="22277F6E"/>
    <w:rsid w:val="22607C42"/>
    <w:rsid w:val="22815E6E"/>
    <w:rsid w:val="22E279D3"/>
    <w:rsid w:val="22F8092A"/>
    <w:rsid w:val="23205D86"/>
    <w:rsid w:val="232F02B2"/>
    <w:rsid w:val="234F6E7B"/>
    <w:rsid w:val="23512BA2"/>
    <w:rsid w:val="23533CD0"/>
    <w:rsid w:val="23786FA6"/>
    <w:rsid w:val="23962431"/>
    <w:rsid w:val="239D2913"/>
    <w:rsid w:val="23B660CC"/>
    <w:rsid w:val="23CA32C9"/>
    <w:rsid w:val="23EB56FE"/>
    <w:rsid w:val="23F77EB1"/>
    <w:rsid w:val="244C03C3"/>
    <w:rsid w:val="2461365F"/>
    <w:rsid w:val="24624BE9"/>
    <w:rsid w:val="24832224"/>
    <w:rsid w:val="2489379E"/>
    <w:rsid w:val="249A7538"/>
    <w:rsid w:val="24A426B1"/>
    <w:rsid w:val="24A67F0C"/>
    <w:rsid w:val="250D1E87"/>
    <w:rsid w:val="25136A12"/>
    <w:rsid w:val="258D72BA"/>
    <w:rsid w:val="25960A46"/>
    <w:rsid w:val="25960B87"/>
    <w:rsid w:val="25CC70D1"/>
    <w:rsid w:val="2657503E"/>
    <w:rsid w:val="267011E6"/>
    <w:rsid w:val="26BA490E"/>
    <w:rsid w:val="26CE04BC"/>
    <w:rsid w:val="273967E4"/>
    <w:rsid w:val="27650140"/>
    <w:rsid w:val="276A496A"/>
    <w:rsid w:val="27A350EA"/>
    <w:rsid w:val="27C21152"/>
    <w:rsid w:val="27DC26F2"/>
    <w:rsid w:val="280A3719"/>
    <w:rsid w:val="28143D90"/>
    <w:rsid w:val="281F05A8"/>
    <w:rsid w:val="28396AC9"/>
    <w:rsid w:val="28435124"/>
    <w:rsid w:val="289E5D1B"/>
    <w:rsid w:val="28B70805"/>
    <w:rsid w:val="28CF7770"/>
    <w:rsid w:val="290070C7"/>
    <w:rsid w:val="29051210"/>
    <w:rsid w:val="29134911"/>
    <w:rsid w:val="2920004A"/>
    <w:rsid w:val="292259BA"/>
    <w:rsid w:val="292D34F1"/>
    <w:rsid w:val="29423E8B"/>
    <w:rsid w:val="295223F6"/>
    <w:rsid w:val="29962107"/>
    <w:rsid w:val="2A291FC9"/>
    <w:rsid w:val="2A314E4B"/>
    <w:rsid w:val="2A417FDC"/>
    <w:rsid w:val="2A443FBA"/>
    <w:rsid w:val="2A664DE6"/>
    <w:rsid w:val="2A9410B6"/>
    <w:rsid w:val="2AB8143C"/>
    <w:rsid w:val="2ABA0FFB"/>
    <w:rsid w:val="2AC94D8A"/>
    <w:rsid w:val="2AE82D10"/>
    <w:rsid w:val="2AFD02C8"/>
    <w:rsid w:val="2B3F4BA4"/>
    <w:rsid w:val="2B493687"/>
    <w:rsid w:val="2B576A40"/>
    <w:rsid w:val="2BE0761E"/>
    <w:rsid w:val="2BE138DB"/>
    <w:rsid w:val="2BF05131"/>
    <w:rsid w:val="2C0A1914"/>
    <w:rsid w:val="2C6F54FE"/>
    <w:rsid w:val="2C8B2BC2"/>
    <w:rsid w:val="2CC77032"/>
    <w:rsid w:val="2CF45893"/>
    <w:rsid w:val="2D5874E9"/>
    <w:rsid w:val="2DC165B2"/>
    <w:rsid w:val="2E0103AF"/>
    <w:rsid w:val="2ECC4C73"/>
    <w:rsid w:val="2F09602F"/>
    <w:rsid w:val="2F375E6B"/>
    <w:rsid w:val="2F484C45"/>
    <w:rsid w:val="2F557F65"/>
    <w:rsid w:val="2F6E2D76"/>
    <w:rsid w:val="2F7010F8"/>
    <w:rsid w:val="2F7475C9"/>
    <w:rsid w:val="2F9120BF"/>
    <w:rsid w:val="2FAE1590"/>
    <w:rsid w:val="2FEC4291"/>
    <w:rsid w:val="2FF95CBC"/>
    <w:rsid w:val="30090215"/>
    <w:rsid w:val="301C03DC"/>
    <w:rsid w:val="307B0895"/>
    <w:rsid w:val="30AE3E4E"/>
    <w:rsid w:val="30DA1C03"/>
    <w:rsid w:val="30DC3F4B"/>
    <w:rsid w:val="30FC78F2"/>
    <w:rsid w:val="31143681"/>
    <w:rsid w:val="31202994"/>
    <w:rsid w:val="312F2DFF"/>
    <w:rsid w:val="318A4203"/>
    <w:rsid w:val="31CE5E3B"/>
    <w:rsid w:val="31D528AF"/>
    <w:rsid w:val="321A0AA2"/>
    <w:rsid w:val="322873F3"/>
    <w:rsid w:val="322C4F5F"/>
    <w:rsid w:val="32326DEE"/>
    <w:rsid w:val="32954FA2"/>
    <w:rsid w:val="32C81AA6"/>
    <w:rsid w:val="32EC50D1"/>
    <w:rsid w:val="32FF7EFF"/>
    <w:rsid w:val="33204B29"/>
    <w:rsid w:val="33291417"/>
    <w:rsid w:val="33612954"/>
    <w:rsid w:val="33C64AD9"/>
    <w:rsid w:val="33C81463"/>
    <w:rsid w:val="33EE5634"/>
    <w:rsid w:val="341C3351"/>
    <w:rsid w:val="343E7EEC"/>
    <w:rsid w:val="34654056"/>
    <w:rsid w:val="34BE4457"/>
    <w:rsid w:val="34D73DF5"/>
    <w:rsid w:val="34E23003"/>
    <w:rsid w:val="352D1FED"/>
    <w:rsid w:val="358F297C"/>
    <w:rsid w:val="35DA3A24"/>
    <w:rsid w:val="35FE497A"/>
    <w:rsid w:val="36420B37"/>
    <w:rsid w:val="365E6AB0"/>
    <w:rsid w:val="36BD1D48"/>
    <w:rsid w:val="36BF4266"/>
    <w:rsid w:val="36D84D32"/>
    <w:rsid w:val="37042FAF"/>
    <w:rsid w:val="3710696F"/>
    <w:rsid w:val="374D2C1B"/>
    <w:rsid w:val="37637359"/>
    <w:rsid w:val="379248A0"/>
    <w:rsid w:val="37AE210E"/>
    <w:rsid w:val="37E013FA"/>
    <w:rsid w:val="37E83018"/>
    <w:rsid w:val="383279FC"/>
    <w:rsid w:val="388365F5"/>
    <w:rsid w:val="388603C8"/>
    <w:rsid w:val="38B714FF"/>
    <w:rsid w:val="38CF088C"/>
    <w:rsid w:val="38E31511"/>
    <w:rsid w:val="39004832"/>
    <w:rsid w:val="3933325D"/>
    <w:rsid w:val="39512EA8"/>
    <w:rsid w:val="39DC5FBD"/>
    <w:rsid w:val="39DF4E9C"/>
    <w:rsid w:val="39EC03D3"/>
    <w:rsid w:val="3A1B194A"/>
    <w:rsid w:val="3A305784"/>
    <w:rsid w:val="3A4F6E02"/>
    <w:rsid w:val="3A5679A8"/>
    <w:rsid w:val="3AB605BC"/>
    <w:rsid w:val="3AC75C48"/>
    <w:rsid w:val="3B215059"/>
    <w:rsid w:val="3B4B19FF"/>
    <w:rsid w:val="3B4D642A"/>
    <w:rsid w:val="3B75543E"/>
    <w:rsid w:val="3B8B5A4A"/>
    <w:rsid w:val="3B8C6111"/>
    <w:rsid w:val="3BAD4103"/>
    <w:rsid w:val="3BED3712"/>
    <w:rsid w:val="3BF15392"/>
    <w:rsid w:val="3C1A2B1F"/>
    <w:rsid w:val="3C266C7D"/>
    <w:rsid w:val="3C2D78C9"/>
    <w:rsid w:val="3C466B39"/>
    <w:rsid w:val="3C536552"/>
    <w:rsid w:val="3CC46CE0"/>
    <w:rsid w:val="3D450D14"/>
    <w:rsid w:val="3DBD6779"/>
    <w:rsid w:val="3DCC5CB2"/>
    <w:rsid w:val="3DE74CF1"/>
    <w:rsid w:val="3E126736"/>
    <w:rsid w:val="3E2058F7"/>
    <w:rsid w:val="3E2152F1"/>
    <w:rsid w:val="3E254F74"/>
    <w:rsid w:val="3E37297D"/>
    <w:rsid w:val="3E765532"/>
    <w:rsid w:val="3E7E4C29"/>
    <w:rsid w:val="3E834AA1"/>
    <w:rsid w:val="3E9A01AB"/>
    <w:rsid w:val="3ECA2721"/>
    <w:rsid w:val="3EDA33A8"/>
    <w:rsid w:val="3F1246D0"/>
    <w:rsid w:val="3F4D4DFB"/>
    <w:rsid w:val="3F9A5EB8"/>
    <w:rsid w:val="3FA52951"/>
    <w:rsid w:val="3FB7388A"/>
    <w:rsid w:val="3FBE0E8C"/>
    <w:rsid w:val="3FD51AD6"/>
    <w:rsid w:val="3FE70617"/>
    <w:rsid w:val="40023787"/>
    <w:rsid w:val="401376C2"/>
    <w:rsid w:val="4089252E"/>
    <w:rsid w:val="409262C6"/>
    <w:rsid w:val="40CC2102"/>
    <w:rsid w:val="40E6543D"/>
    <w:rsid w:val="40E7153F"/>
    <w:rsid w:val="40EC6619"/>
    <w:rsid w:val="41160359"/>
    <w:rsid w:val="413555A6"/>
    <w:rsid w:val="41841772"/>
    <w:rsid w:val="41AC140F"/>
    <w:rsid w:val="41AD7743"/>
    <w:rsid w:val="41EF2E47"/>
    <w:rsid w:val="424A7D66"/>
    <w:rsid w:val="4277622B"/>
    <w:rsid w:val="427D1C6D"/>
    <w:rsid w:val="42886E4E"/>
    <w:rsid w:val="429E2FDE"/>
    <w:rsid w:val="429F7E96"/>
    <w:rsid w:val="42BA091A"/>
    <w:rsid w:val="42D54C4D"/>
    <w:rsid w:val="42E348E7"/>
    <w:rsid w:val="42F92708"/>
    <w:rsid w:val="43133472"/>
    <w:rsid w:val="43B11096"/>
    <w:rsid w:val="43EB1DEE"/>
    <w:rsid w:val="443B1BA5"/>
    <w:rsid w:val="4457749C"/>
    <w:rsid w:val="44953313"/>
    <w:rsid w:val="44D4228E"/>
    <w:rsid w:val="44DD798D"/>
    <w:rsid w:val="44F119A0"/>
    <w:rsid w:val="453E3EEA"/>
    <w:rsid w:val="453F5F31"/>
    <w:rsid w:val="459A37A7"/>
    <w:rsid w:val="45A952B4"/>
    <w:rsid w:val="45CF7C8A"/>
    <w:rsid w:val="45D644FA"/>
    <w:rsid w:val="45ED740E"/>
    <w:rsid w:val="461C1F98"/>
    <w:rsid w:val="46220F5F"/>
    <w:rsid w:val="46266C74"/>
    <w:rsid w:val="463C6FBB"/>
    <w:rsid w:val="463D7A54"/>
    <w:rsid w:val="46946A17"/>
    <w:rsid w:val="46B671E1"/>
    <w:rsid w:val="46F37018"/>
    <w:rsid w:val="477345AF"/>
    <w:rsid w:val="479573E8"/>
    <w:rsid w:val="47B11952"/>
    <w:rsid w:val="47CB4133"/>
    <w:rsid w:val="47DE37DF"/>
    <w:rsid w:val="48152DDA"/>
    <w:rsid w:val="481C0FB9"/>
    <w:rsid w:val="485E1720"/>
    <w:rsid w:val="488726F9"/>
    <w:rsid w:val="48951C3A"/>
    <w:rsid w:val="48CD2F48"/>
    <w:rsid w:val="48EB41D1"/>
    <w:rsid w:val="48EC61C7"/>
    <w:rsid w:val="493F03A6"/>
    <w:rsid w:val="4983784B"/>
    <w:rsid w:val="498D790E"/>
    <w:rsid w:val="499B4168"/>
    <w:rsid w:val="49E8151D"/>
    <w:rsid w:val="49EB7B56"/>
    <w:rsid w:val="49F32C6E"/>
    <w:rsid w:val="4A1F6D79"/>
    <w:rsid w:val="4A2E724F"/>
    <w:rsid w:val="4A2F4DA6"/>
    <w:rsid w:val="4A3571B5"/>
    <w:rsid w:val="4A6B379A"/>
    <w:rsid w:val="4AA61D6D"/>
    <w:rsid w:val="4AE51B52"/>
    <w:rsid w:val="4AEF0708"/>
    <w:rsid w:val="4AF057F4"/>
    <w:rsid w:val="4AF6697E"/>
    <w:rsid w:val="4AFD0C3F"/>
    <w:rsid w:val="4B01564D"/>
    <w:rsid w:val="4B2923E0"/>
    <w:rsid w:val="4B2F4CC2"/>
    <w:rsid w:val="4B517C5D"/>
    <w:rsid w:val="4B552F2D"/>
    <w:rsid w:val="4B64002A"/>
    <w:rsid w:val="4B67503C"/>
    <w:rsid w:val="4B691A5E"/>
    <w:rsid w:val="4B8E5703"/>
    <w:rsid w:val="4B96734D"/>
    <w:rsid w:val="4B9B775B"/>
    <w:rsid w:val="4BB672A6"/>
    <w:rsid w:val="4BBC00F3"/>
    <w:rsid w:val="4C141988"/>
    <w:rsid w:val="4C1B4AE3"/>
    <w:rsid w:val="4C461CE3"/>
    <w:rsid w:val="4C612351"/>
    <w:rsid w:val="4C9953A9"/>
    <w:rsid w:val="4C9F2E01"/>
    <w:rsid w:val="4CAE04B3"/>
    <w:rsid w:val="4CE258DD"/>
    <w:rsid w:val="4CF3280B"/>
    <w:rsid w:val="4D451792"/>
    <w:rsid w:val="4D482286"/>
    <w:rsid w:val="4D4E65C8"/>
    <w:rsid w:val="4D8A6D95"/>
    <w:rsid w:val="4DA61F88"/>
    <w:rsid w:val="4DB32D47"/>
    <w:rsid w:val="4DC26064"/>
    <w:rsid w:val="4DC74685"/>
    <w:rsid w:val="4E297FD3"/>
    <w:rsid w:val="4ED7702B"/>
    <w:rsid w:val="4F310DC5"/>
    <w:rsid w:val="4F501D26"/>
    <w:rsid w:val="4F8D0A94"/>
    <w:rsid w:val="4FEF2861"/>
    <w:rsid w:val="4FF43F30"/>
    <w:rsid w:val="4FF8102F"/>
    <w:rsid w:val="4FFD3C93"/>
    <w:rsid w:val="501651D3"/>
    <w:rsid w:val="503254B6"/>
    <w:rsid w:val="50413516"/>
    <w:rsid w:val="504D49B4"/>
    <w:rsid w:val="50646BE5"/>
    <w:rsid w:val="50AD59A2"/>
    <w:rsid w:val="50BF504F"/>
    <w:rsid w:val="50CC6549"/>
    <w:rsid w:val="50D74B6F"/>
    <w:rsid w:val="51122FEA"/>
    <w:rsid w:val="5113060E"/>
    <w:rsid w:val="511E3D1B"/>
    <w:rsid w:val="51290EFC"/>
    <w:rsid w:val="513121BD"/>
    <w:rsid w:val="51713A22"/>
    <w:rsid w:val="5175312A"/>
    <w:rsid w:val="51B0561D"/>
    <w:rsid w:val="51C5417A"/>
    <w:rsid w:val="51D96FAA"/>
    <w:rsid w:val="520A3E6F"/>
    <w:rsid w:val="521B327B"/>
    <w:rsid w:val="5243281F"/>
    <w:rsid w:val="52914A9E"/>
    <w:rsid w:val="5338665D"/>
    <w:rsid w:val="53415089"/>
    <w:rsid w:val="53574C37"/>
    <w:rsid w:val="53672993"/>
    <w:rsid w:val="537938ED"/>
    <w:rsid w:val="5382012B"/>
    <w:rsid w:val="53883045"/>
    <w:rsid w:val="538F5343"/>
    <w:rsid w:val="53A626B6"/>
    <w:rsid w:val="53B32621"/>
    <w:rsid w:val="53CD3436"/>
    <w:rsid w:val="5404133F"/>
    <w:rsid w:val="54277B0C"/>
    <w:rsid w:val="54467194"/>
    <w:rsid w:val="54681F80"/>
    <w:rsid w:val="54693D4B"/>
    <w:rsid w:val="54806D26"/>
    <w:rsid w:val="54D93004"/>
    <w:rsid w:val="54DE0C8F"/>
    <w:rsid w:val="54E75F75"/>
    <w:rsid w:val="55310341"/>
    <w:rsid w:val="555057DB"/>
    <w:rsid w:val="558A4BAA"/>
    <w:rsid w:val="55970BB6"/>
    <w:rsid w:val="55A22A6D"/>
    <w:rsid w:val="55AC0589"/>
    <w:rsid w:val="55BC1BF5"/>
    <w:rsid w:val="55E7031F"/>
    <w:rsid w:val="56187F25"/>
    <w:rsid w:val="564358F6"/>
    <w:rsid w:val="56926074"/>
    <w:rsid w:val="56D211BD"/>
    <w:rsid w:val="571A7A8C"/>
    <w:rsid w:val="5726041F"/>
    <w:rsid w:val="57324B88"/>
    <w:rsid w:val="57362BA2"/>
    <w:rsid w:val="577128DB"/>
    <w:rsid w:val="578B41F1"/>
    <w:rsid w:val="578C0965"/>
    <w:rsid w:val="580F6E87"/>
    <w:rsid w:val="583A2309"/>
    <w:rsid w:val="58800A97"/>
    <w:rsid w:val="58AA4946"/>
    <w:rsid w:val="58AF76AF"/>
    <w:rsid w:val="58B14A34"/>
    <w:rsid w:val="59372AC7"/>
    <w:rsid w:val="59625009"/>
    <w:rsid w:val="596A2BEE"/>
    <w:rsid w:val="596F04FF"/>
    <w:rsid w:val="59916628"/>
    <w:rsid w:val="59931F3C"/>
    <w:rsid w:val="59C75A20"/>
    <w:rsid w:val="59ED5C6E"/>
    <w:rsid w:val="5A0617E3"/>
    <w:rsid w:val="5A116935"/>
    <w:rsid w:val="5A331189"/>
    <w:rsid w:val="5A4D51B1"/>
    <w:rsid w:val="5A6C5F1D"/>
    <w:rsid w:val="5A6F4908"/>
    <w:rsid w:val="5AA02300"/>
    <w:rsid w:val="5B31034C"/>
    <w:rsid w:val="5B646496"/>
    <w:rsid w:val="5B6C7E8E"/>
    <w:rsid w:val="5B733855"/>
    <w:rsid w:val="5B792EE8"/>
    <w:rsid w:val="5BB176CB"/>
    <w:rsid w:val="5BB3525D"/>
    <w:rsid w:val="5BF85B63"/>
    <w:rsid w:val="5C235097"/>
    <w:rsid w:val="5CDA7285"/>
    <w:rsid w:val="5D606B34"/>
    <w:rsid w:val="5DA9161B"/>
    <w:rsid w:val="5DB5176B"/>
    <w:rsid w:val="5DDC18AA"/>
    <w:rsid w:val="5DDE4634"/>
    <w:rsid w:val="5DE83338"/>
    <w:rsid w:val="5E07729E"/>
    <w:rsid w:val="5E0B21C9"/>
    <w:rsid w:val="5E106FE8"/>
    <w:rsid w:val="5E5076DB"/>
    <w:rsid w:val="5E763B28"/>
    <w:rsid w:val="5E7C6E12"/>
    <w:rsid w:val="5EA900EE"/>
    <w:rsid w:val="5EBA7DA6"/>
    <w:rsid w:val="5EE55F22"/>
    <w:rsid w:val="5F3E2B94"/>
    <w:rsid w:val="5F4E641B"/>
    <w:rsid w:val="5F815228"/>
    <w:rsid w:val="5F8F0D79"/>
    <w:rsid w:val="5F9173C8"/>
    <w:rsid w:val="5F9B6D78"/>
    <w:rsid w:val="5FF6379A"/>
    <w:rsid w:val="603B0C6D"/>
    <w:rsid w:val="60563B24"/>
    <w:rsid w:val="60825A40"/>
    <w:rsid w:val="60A2735E"/>
    <w:rsid w:val="60CF4739"/>
    <w:rsid w:val="61204699"/>
    <w:rsid w:val="613F6380"/>
    <w:rsid w:val="617839D3"/>
    <w:rsid w:val="618B2914"/>
    <w:rsid w:val="619C5535"/>
    <w:rsid w:val="61B8543B"/>
    <w:rsid w:val="62540D47"/>
    <w:rsid w:val="627B3800"/>
    <w:rsid w:val="62C43069"/>
    <w:rsid w:val="62E11C40"/>
    <w:rsid w:val="6301497A"/>
    <w:rsid w:val="63182269"/>
    <w:rsid w:val="631A647E"/>
    <w:rsid w:val="632E1DAF"/>
    <w:rsid w:val="63614687"/>
    <w:rsid w:val="63844B2D"/>
    <w:rsid w:val="63DF4FE5"/>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C0A1C"/>
    <w:rsid w:val="65AC4A3A"/>
    <w:rsid w:val="65BD12A3"/>
    <w:rsid w:val="65D250F3"/>
    <w:rsid w:val="66393AC7"/>
    <w:rsid w:val="66474E49"/>
    <w:rsid w:val="66630D48"/>
    <w:rsid w:val="66650F64"/>
    <w:rsid w:val="66810BAB"/>
    <w:rsid w:val="669920DF"/>
    <w:rsid w:val="66BA451C"/>
    <w:rsid w:val="66D95088"/>
    <w:rsid w:val="67153C4F"/>
    <w:rsid w:val="6779667A"/>
    <w:rsid w:val="67980F98"/>
    <w:rsid w:val="67E42DE3"/>
    <w:rsid w:val="680E1AEF"/>
    <w:rsid w:val="680F35AD"/>
    <w:rsid w:val="681B47DD"/>
    <w:rsid w:val="683C5B59"/>
    <w:rsid w:val="68746D29"/>
    <w:rsid w:val="68BA6245"/>
    <w:rsid w:val="68CD4BF1"/>
    <w:rsid w:val="68CF0BBE"/>
    <w:rsid w:val="68FB7E69"/>
    <w:rsid w:val="694133B6"/>
    <w:rsid w:val="6945663E"/>
    <w:rsid w:val="6951757E"/>
    <w:rsid w:val="695E5625"/>
    <w:rsid w:val="697A2F79"/>
    <w:rsid w:val="69823CED"/>
    <w:rsid w:val="69B227A4"/>
    <w:rsid w:val="69B87C37"/>
    <w:rsid w:val="69BB33CD"/>
    <w:rsid w:val="69C32790"/>
    <w:rsid w:val="69CD4A5E"/>
    <w:rsid w:val="69E81A82"/>
    <w:rsid w:val="69FB330B"/>
    <w:rsid w:val="6A440D73"/>
    <w:rsid w:val="6A48088C"/>
    <w:rsid w:val="6A62713F"/>
    <w:rsid w:val="6A916D3D"/>
    <w:rsid w:val="6AA96C71"/>
    <w:rsid w:val="6AB824CE"/>
    <w:rsid w:val="6ADE6F27"/>
    <w:rsid w:val="6AE62CF1"/>
    <w:rsid w:val="6AFB18D2"/>
    <w:rsid w:val="6AFB4205"/>
    <w:rsid w:val="6B5775E2"/>
    <w:rsid w:val="6C070C78"/>
    <w:rsid w:val="6C1E52DC"/>
    <w:rsid w:val="6C510124"/>
    <w:rsid w:val="6C63376F"/>
    <w:rsid w:val="6CCB443B"/>
    <w:rsid w:val="6CD03FF3"/>
    <w:rsid w:val="6CD13A76"/>
    <w:rsid w:val="6CE61656"/>
    <w:rsid w:val="6D143528"/>
    <w:rsid w:val="6D171791"/>
    <w:rsid w:val="6D6B3A4A"/>
    <w:rsid w:val="6D7F1566"/>
    <w:rsid w:val="6DA57E98"/>
    <w:rsid w:val="6DAB3296"/>
    <w:rsid w:val="6DB50664"/>
    <w:rsid w:val="6DBF3470"/>
    <w:rsid w:val="6DEB37CE"/>
    <w:rsid w:val="6E0539CA"/>
    <w:rsid w:val="6E1B027F"/>
    <w:rsid w:val="6E474F30"/>
    <w:rsid w:val="6E4B5A6B"/>
    <w:rsid w:val="6E717AD1"/>
    <w:rsid w:val="6E9F3D28"/>
    <w:rsid w:val="6EA36ACE"/>
    <w:rsid w:val="6EBB2453"/>
    <w:rsid w:val="6ECC1D7D"/>
    <w:rsid w:val="6ED058F5"/>
    <w:rsid w:val="6EFC4430"/>
    <w:rsid w:val="6F0B7373"/>
    <w:rsid w:val="6F11155D"/>
    <w:rsid w:val="6F1F6C2C"/>
    <w:rsid w:val="6F795D04"/>
    <w:rsid w:val="6F8C18B0"/>
    <w:rsid w:val="6FBA36B9"/>
    <w:rsid w:val="6FBA67EB"/>
    <w:rsid w:val="6FF44C21"/>
    <w:rsid w:val="700D41B0"/>
    <w:rsid w:val="7058021D"/>
    <w:rsid w:val="70D533D8"/>
    <w:rsid w:val="70DF29A1"/>
    <w:rsid w:val="70F20AE9"/>
    <w:rsid w:val="710E1A7C"/>
    <w:rsid w:val="711841BB"/>
    <w:rsid w:val="712150B6"/>
    <w:rsid w:val="71767ADD"/>
    <w:rsid w:val="71AE6E4F"/>
    <w:rsid w:val="71B418F8"/>
    <w:rsid w:val="72736772"/>
    <w:rsid w:val="72B04752"/>
    <w:rsid w:val="72B4536B"/>
    <w:rsid w:val="72BD6398"/>
    <w:rsid w:val="72C1247E"/>
    <w:rsid w:val="73D16770"/>
    <w:rsid w:val="743772C5"/>
    <w:rsid w:val="743C156A"/>
    <w:rsid w:val="7449604D"/>
    <w:rsid w:val="74566752"/>
    <w:rsid w:val="747E78A1"/>
    <w:rsid w:val="74886964"/>
    <w:rsid w:val="74B22400"/>
    <w:rsid w:val="75721DF1"/>
    <w:rsid w:val="758D193E"/>
    <w:rsid w:val="75997CC6"/>
    <w:rsid w:val="759D7430"/>
    <w:rsid w:val="75A751E0"/>
    <w:rsid w:val="75B44349"/>
    <w:rsid w:val="75E91CE8"/>
    <w:rsid w:val="75EC1791"/>
    <w:rsid w:val="763931DE"/>
    <w:rsid w:val="7671679B"/>
    <w:rsid w:val="76716B5F"/>
    <w:rsid w:val="767F5A29"/>
    <w:rsid w:val="76B750A1"/>
    <w:rsid w:val="76C90347"/>
    <w:rsid w:val="76E27503"/>
    <w:rsid w:val="76ED5091"/>
    <w:rsid w:val="77335598"/>
    <w:rsid w:val="7736545B"/>
    <w:rsid w:val="773E2058"/>
    <w:rsid w:val="773E6738"/>
    <w:rsid w:val="774553B7"/>
    <w:rsid w:val="77AF7427"/>
    <w:rsid w:val="7808185B"/>
    <w:rsid w:val="78353199"/>
    <w:rsid w:val="78392496"/>
    <w:rsid w:val="78765F72"/>
    <w:rsid w:val="789B123B"/>
    <w:rsid w:val="78AB6FE1"/>
    <w:rsid w:val="78AF0701"/>
    <w:rsid w:val="78B26DFF"/>
    <w:rsid w:val="78C943A2"/>
    <w:rsid w:val="78D163BC"/>
    <w:rsid w:val="78F74D1A"/>
    <w:rsid w:val="7921264D"/>
    <w:rsid w:val="79535359"/>
    <w:rsid w:val="797307EF"/>
    <w:rsid w:val="799123FF"/>
    <w:rsid w:val="79A635CD"/>
    <w:rsid w:val="79B07DDC"/>
    <w:rsid w:val="7A074A44"/>
    <w:rsid w:val="7A282F39"/>
    <w:rsid w:val="7A343531"/>
    <w:rsid w:val="7A9725D4"/>
    <w:rsid w:val="7AA04369"/>
    <w:rsid w:val="7AAC4588"/>
    <w:rsid w:val="7AE85DD4"/>
    <w:rsid w:val="7AED1F94"/>
    <w:rsid w:val="7AF30C33"/>
    <w:rsid w:val="7AFF2092"/>
    <w:rsid w:val="7B1277B8"/>
    <w:rsid w:val="7B134203"/>
    <w:rsid w:val="7B4D4962"/>
    <w:rsid w:val="7B893410"/>
    <w:rsid w:val="7B9C3965"/>
    <w:rsid w:val="7BA944C5"/>
    <w:rsid w:val="7BC538AF"/>
    <w:rsid w:val="7BE30826"/>
    <w:rsid w:val="7BEE5A62"/>
    <w:rsid w:val="7C09257B"/>
    <w:rsid w:val="7C70329D"/>
    <w:rsid w:val="7C7A19AF"/>
    <w:rsid w:val="7C814C9E"/>
    <w:rsid w:val="7CCA41E8"/>
    <w:rsid w:val="7CD82038"/>
    <w:rsid w:val="7CE21D5D"/>
    <w:rsid w:val="7D433B59"/>
    <w:rsid w:val="7D75093D"/>
    <w:rsid w:val="7DC105E8"/>
    <w:rsid w:val="7DCB089E"/>
    <w:rsid w:val="7DD16DBF"/>
    <w:rsid w:val="7E27682C"/>
    <w:rsid w:val="7E3241A4"/>
    <w:rsid w:val="7E724D5A"/>
    <w:rsid w:val="7EAC722A"/>
    <w:rsid w:val="7F0F3B31"/>
    <w:rsid w:val="7F1B6B79"/>
    <w:rsid w:val="7F4D7768"/>
    <w:rsid w:val="7F8E547D"/>
    <w:rsid w:val="7FD80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4"/>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6">
    <w:name w:val="heading 4"/>
    <w:basedOn w:val="1"/>
    <w:next w:val="1"/>
    <w:unhideWhenUsed/>
    <w:qFormat/>
    <w:uiPriority w:val="99"/>
    <w:pPr>
      <w:keepNext/>
      <w:keepLines/>
      <w:spacing w:before="280" w:beforeLines="0" w:after="290" w:afterLines="0" w:line="376" w:lineRule="auto"/>
      <w:outlineLvl w:val="3"/>
    </w:pPr>
    <w:rPr>
      <w:rFonts w:hint="eastAsia" w:ascii="Arial" w:hAnsi="Arial" w:eastAsia="黑体"/>
      <w:b/>
      <w:sz w:val="28"/>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6">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8">
    <w:name w:val="toc 7"/>
    <w:basedOn w:val="1"/>
    <w:next w:val="1"/>
    <w:qFormat/>
    <w:uiPriority w:val="0"/>
    <w:pPr>
      <w:ind w:left="2520" w:leftChars="1200"/>
    </w:pPr>
  </w:style>
  <w:style w:type="paragraph" w:styleId="9">
    <w:name w:val="Normal Indent"/>
    <w:basedOn w:val="1"/>
    <w:next w:val="10"/>
    <w:qFormat/>
    <w:uiPriority w:val="0"/>
    <w:pPr>
      <w:autoSpaceDE w:val="0"/>
      <w:autoSpaceDN w:val="0"/>
      <w:adjustRightInd w:val="0"/>
      <w:ind w:firstLine="420"/>
      <w:jc w:val="left"/>
    </w:pPr>
    <w:rPr>
      <w:rFonts w:ascii="宋体"/>
      <w:kern w:val="0"/>
      <w:sz w:val="24"/>
      <w:szCs w:val="20"/>
    </w:rPr>
  </w:style>
  <w:style w:type="paragraph" w:styleId="10">
    <w:name w:val="toa heading"/>
    <w:basedOn w:val="1"/>
    <w:next w:val="1"/>
    <w:qFormat/>
    <w:uiPriority w:val="0"/>
    <w:pPr>
      <w:spacing w:before="120"/>
    </w:pPr>
    <w:rPr>
      <w:rFonts w:ascii="Arial" w:hAnsi="Arial" w:eastAsia="宋体" w:cs="Arial"/>
      <w:sz w:val="24"/>
    </w:rPr>
  </w:style>
  <w:style w:type="paragraph" w:styleId="11">
    <w:name w:val="Document Map"/>
    <w:basedOn w:val="1"/>
    <w:link w:val="104"/>
    <w:semiHidden/>
    <w:unhideWhenUsed/>
    <w:qFormat/>
    <w:uiPriority w:val="99"/>
    <w:rPr>
      <w:rFonts w:ascii="宋体"/>
      <w:sz w:val="18"/>
      <w:szCs w:val="18"/>
    </w:rPr>
  </w:style>
  <w:style w:type="paragraph" w:styleId="12">
    <w:name w:val="annotation text"/>
    <w:basedOn w:val="1"/>
    <w:link w:val="74"/>
    <w:unhideWhenUsed/>
    <w:qFormat/>
    <w:uiPriority w:val="0"/>
    <w:pPr>
      <w:jc w:val="left"/>
    </w:pPr>
  </w:style>
  <w:style w:type="paragraph" w:styleId="13">
    <w:name w:val="Body Text"/>
    <w:basedOn w:val="1"/>
    <w:next w:val="1"/>
    <w:link w:val="61"/>
    <w:qFormat/>
    <w:uiPriority w:val="0"/>
    <w:pPr>
      <w:tabs>
        <w:tab w:val="left" w:pos="567"/>
      </w:tabs>
      <w:spacing w:before="120" w:line="22" w:lineRule="atLeast"/>
    </w:pPr>
    <w:rPr>
      <w:rFonts w:ascii="宋体" w:hAnsi="宋体"/>
      <w:sz w:val="24"/>
    </w:rPr>
  </w:style>
  <w:style w:type="paragraph" w:styleId="14">
    <w:name w:val="Body Text Indent"/>
    <w:basedOn w:val="1"/>
    <w:next w:val="6"/>
    <w:link w:val="79"/>
    <w:qFormat/>
    <w:uiPriority w:val="0"/>
    <w:pPr>
      <w:spacing w:line="360" w:lineRule="auto"/>
      <w:ind w:firstLine="570"/>
    </w:pPr>
    <w:rPr>
      <w:sz w:val="24"/>
    </w:rPr>
  </w:style>
  <w:style w:type="paragraph" w:styleId="15">
    <w:name w:val="toc 5"/>
    <w:basedOn w:val="1"/>
    <w:next w:val="1"/>
    <w:qFormat/>
    <w:uiPriority w:val="0"/>
    <w:pPr>
      <w:ind w:left="1680" w:leftChars="800"/>
    </w:pPr>
  </w:style>
  <w:style w:type="paragraph" w:styleId="16">
    <w:name w:val="toc 3"/>
    <w:basedOn w:val="1"/>
    <w:next w:val="1"/>
    <w:qFormat/>
    <w:uiPriority w:val="0"/>
    <w:pPr>
      <w:tabs>
        <w:tab w:val="left" w:pos="1260"/>
        <w:tab w:val="right" w:leader="dot" w:pos="8630"/>
      </w:tabs>
      <w:ind w:left="840" w:leftChars="400"/>
    </w:pPr>
  </w:style>
  <w:style w:type="paragraph" w:styleId="17">
    <w:name w:val="Plain Text"/>
    <w:basedOn w:val="1"/>
    <w:link w:val="73"/>
    <w:qFormat/>
    <w:uiPriority w:val="0"/>
    <w:rPr>
      <w:rFonts w:ascii="宋体" w:hAnsi="Courier New"/>
      <w:szCs w:val="22"/>
    </w:rPr>
  </w:style>
  <w:style w:type="paragraph" w:styleId="18">
    <w:name w:val="toc 8"/>
    <w:basedOn w:val="1"/>
    <w:next w:val="1"/>
    <w:qFormat/>
    <w:uiPriority w:val="0"/>
    <w:pPr>
      <w:ind w:left="2940" w:leftChars="1400"/>
    </w:pPr>
  </w:style>
  <w:style w:type="paragraph" w:styleId="19">
    <w:name w:val="Date"/>
    <w:basedOn w:val="1"/>
    <w:next w:val="1"/>
    <w:link w:val="57"/>
    <w:qFormat/>
    <w:uiPriority w:val="0"/>
    <w:pPr>
      <w:ind w:left="100" w:leftChars="2500"/>
    </w:pPr>
    <w:rPr>
      <w:rFonts w:ascii="仿宋_GB2312" w:hAnsi="宋体" w:eastAsia="仿宋_GB2312"/>
      <w:color w:val="000000"/>
      <w:sz w:val="24"/>
    </w:rPr>
  </w:style>
  <w:style w:type="paragraph" w:styleId="20">
    <w:name w:val="Body Text Indent 2"/>
    <w:basedOn w:val="1"/>
    <w:link w:val="80"/>
    <w:qFormat/>
    <w:uiPriority w:val="0"/>
    <w:pPr>
      <w:ind w:firstLine="480" w:firstLineChars="200"/>
    </w:pPr>
    <w:rPr>
      <w:rFonts w:ascii="仿宋_GB2312" w:eastAsia="仿宋_GB2312"/>
      <w:sz w:val="24"/>
    </w:rPr>
  </w:style>
  <w:style w:type="paragraph" w:styleId="21">
    <w:name w:val="Balloon Text"/>
    <w:basedOn w:val="1"/>
    <w:link w:val="59"/>
    <w:qFormat/>
    <w:uiPriority w:val="0"/>
    <w:rPr>
      <w:sz w:val="18"/>
      <w:szCs w:val="18"/>
    </w:rPr>
  </w:style>
  <w:style w:type="paragraph" w:styleId="22">
    <w:name w:val="footer"/>
    <w:basedOn w:val="1"/>
    <w:link w:val="60"/>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3">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footnote text"/>
    <w:basedOn w:val="1"/>
    <w:link w:val="77"/>
    <w:qFormat/>
    <w:uiPriority w:val="0"/>
    <w:pPr>
      <w:snapToGrid w:val="0"/>
      <w:jc w:val="left"/>
    </w:pPr>
    <w:rPr>
      <w:sz w:val="18"/>
    </w:rPr>
  </w:style>
  <w:style w:type="paragraph" w:styleId="27">
    <w:name w:val="toc 6"/>
    <w:basedOn w:val="1"/>
    <w:next w:val="1"/>
    <w:qFormat/>
    <w:uiPriority w:val="0"/>
    <w:pPr>
      <w:ind w:left="2100" w:leftChars="1000"/>
    </w:pPr>
  </w:style>
  <w:style w:type="paragraph" w:styleId="28">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0"/>
    <w:pPr>
      <w:ind w:left="420" w:leftChars="200"/>
    </w:pPr>
  </w:style>
  <w:style w:type="paragraph" w:styleId="30">
    <w:name w:val="toc 9"/>
    <w:basedOn w:val="1"/>
    <w:next w:val="1"/>
    <w:qFormat/>
    <w:uiPriority w:val="0"/>
    <w:pPr>
      <w:ind w:left="3360" w:leftChars="1600"/>
    </w:pPr>
  </w:style>
  <w:style w:type="paragraph" w:styleId="31">
    <w:name w:val="Body Text 2"/>
    <w:basedOn w:val="1"/>
    <w:qFormat/>
    <w:uiPriority w:val="0"/>
    <w:pPr>
      <w:spacing w:after="120" w:line="480" w:lineRule="auto"/>
    </w:pPr>
    <w:rPr>
      <w:rFonts w:ascii="Arial" w:hAnsi="Arial"/>
      <w:sz w:val="24"/>
    </w:rPr>
  </w:style>
  <w:style w:type="paragraph" w:styleId="32">
    <w:name w:val="Normal (Web)"/>
    <w:basedOn w:val="1"/>
    <w:next w:val="33"/>
    <w:qFormat/>
    <w:uiPriority w:val="0"/>
    <w:pPr>
      <w:widowControl/>
      <w:spacing w:before="100" w:beforeAutospacing="1" w:after="100" w:afterAutospacing="1"/>
      <w:jc w:val="left"/>
    </w:pPr>
    <w:rPr>
      <w:rFonts w:ascii="宋体" w:hAnsi="宋体" w:cs="宋体"/>
      <w:kern w:val="0"/>
      <w:sz w:val="24"/>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4">
    <w:name w:val="index 1"/>
    <w:basedOn w:val="1"/>
    <w:next w:val="1"/>
    <w:qFormat/>
    <w:uiPriority w:val="0"/>
    <w:rPr>
      <w:szCs w:val="20"/>
    </w:rPr>
  </w:style>
  <w:style w:type="paragraph" w:styleId="35">
    <w:name w:val="annotation subject"/>
    <w:basedOn w:val="12"/>
    <w:next w:val="12"/>
    <w:link w:val="69"/>
    <w:qFormat/>
    <w:uiPriority w:val="0"/>
    <w:rPr>
      <w:b/>
      <w:bCs/>
    </w:rPr>
  </w:style>
  <w:style w:type="paragraph" w:styleId="36">
    <w:name w:val="Body Text First Indent"/>
    <w:basedOn w:val="13"/>
    <w:qFormat/>
    <w:uiPriority w:val="0"/>
    <w:pPr>
      <w:ind w:firstLine="420" w:firstLineChars="100"/>
    </w:pPr>
    <w:rPr>
      <w:rFonts w:ascii="Times New Roman" w:hAnsi="Times New Roman"/>
      <w:sz w:val="18"/>
      <w:szCs w:val="18"/>
    </w:rPr>
  </w:style>
  <w:style w:type="paragraph" w:styleId="37">
    <w:name w:val="Body Text First Indent 2"/>
    <w:basedOn w:val="14"/>
    <w:link w:val="88"/>
    <w:qFormat/>
    <w:uiPriority w:val="0"/>
    <w:pPr>
      <w:ind w:firstLine="420" w:firstLineChars="200"/>
    </w:pPr>
  </w:style>
  <w:style w:type="table" w:styleId="39">
    <w:name w:val="Table Grid"/>
    <w:basedOn w:val="3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0">
    <w:name w:val="Medium Grid 3 Accent 1"/>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1">
    <w:name w:val="Medium Grid 3 Accent 2"/>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2">
    <w:name w:val="Medium Grid 3 Accent 3"/>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3">
    <w:name w:val="Medium Grid 3 Accent 4"/>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4">
    <w:name w:val="Medium Grid 3 Accent 5"/>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5">
    <w:name w:val="Medium Grid 3 Accent 6"/>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7">
    <w:name w:val="Strong"/>
    <w:qFormat/>
    <w:uiPriority w:val="0"/>
    <w:rPr>
      <w:b/>
      <w:bCs/>
      <w:szCs w:val="21"/>
    </w:rPr>
  </w:style>
  <w:style w:type="character" w:styleId="48">
    <w:name w:val="page number"/>
    <w:basedOn w:val="46"/>
    <w:qFormat/>
    <w:uiPriority w:val="0"/>
    <w:rPr>
      <w:rFonts w:ascii="Times New Roman" w:hAnsi="Times New Roman" w:eastAsia="宋体" w:cs="Times New Roman"/>
    </w:rPr>
  </w:style>
  <w:style w:type="character" w:styleId="49">
    <w:name w:val="Hyperlink"/>
    <w:qFormat/>
    <w:uiPriority w:val="0"/>
    <w:rPr>
      <w:rFonts w:ascii="Times New Roman" w:hAnsi="Times New Roman" w:eastAsia="宋体" w:cs="Times New Roman"/>
      <w:color w:val="0000FF"/>
      <w:u w:val="single"/>
    </w:rPr>
  </w:style>
  <w:style w:type="character" w:styleId="50">
    <w:name w:val="annotation reference"/>
    <w:qFormat/>
    <w:uiPriority w:val="0"/>
    <w:rPr>
      <w:rFonts w:ascii="Times New Roman" w:hAnsi="Times New Roman" w:eastAsia="宋体" w:cs="Times New Roman"/>
      <w:sz w:val="21"/>
      <w:szCs w:val="21"/>
    </w:rPr>
  </w:style>
  <w:style w:type="paragraph" w:customStyle="1" w:styleId="51">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标题 1 Char"/>
    <w:basedOn w:val="46"/>
    <w:link w:val="3"/>
    <w:qFormat/>
    <w:uiPriority w:val="0"/>
    <w:rPr>
      <w:rFonts w:ascii="宋体" w:hAnsi="Times New Roman" w:eastAsia="宋体" w:cs="Times New Roman"/>
      <w:b/>
      <w:kern w:val="44"/>
      <w:sz w:val="32"/>
      <w:szCs w:val="20"/>
    </w:rPr>
  </w:style>
  <w:style w:type="character" w:customStyle="1" w:styleId="53">
    <w:name w:val="标题 2 Char"/>
    <w:basedOn w:val="46"/>
    <w:link w:val="4"/>
    <w:qFormat/>
    <w:uiPriority w:val="0"/>
    <w:rPr>
      <w:rFonts w:ascii="Arial" w:hAnsi="Arial" w:eastAsia="黑体" w:cs="Times New Roman"/>
      <w:b/>
      <w:kern w:val="0"/>
      <w:sz w:val="30"/>
      <w:szCs w:val="20"/>
    </w:rPr>
  </w:style>
  <w:style w:type="character" w:customStyle="1" w:styleId="54">
    <w:name w:val="标题 3 Char"/>
    <w:basedOn w:val="46"/>
    <w:link w:val="5"/>
    <w:qFormat/>
    <w:uiPriority w:val="0"/>
    <w:rPr>
      <w:rFonts w:ascii="宋体" w:hAnsi="Times New Roman" w:eastAsia="宋体" w:cs="Times New Roman"/>
      <w:b/>
      <w:kern w:val="0"/>
      <w:sz w:val="24"/>
      <w:szCs w:val="20"/>
      <w:u w:val="single"/>
    </w:rPr>
  </w:style>
  <w:style w:type="character" w:customStyle="1" w:styleId="55">
    <w:name w:val="font01"/>
    <w:qFormat/>
    <w:uiPriority w:val="0"/>
    <w:rPr>
      <w:rFonts w:hint="eastAsia" w:ascii="宋体" w:hAnsi="宋体" w:eastAsia="宋体" w:cs="宋体"/>
      <w:color w:val="000000"/>
      <w:sz w:val="24"/>
      <w:szCs w:val="24"/>
      <w:u w:val="none"/>
    </w:rPr>
  </w:style>
  <w:style w:type="character" w:customStyle="1" w:styleId="56">
    <w:name w:val="批注文字 Char1"/>
    <w:qFormat/>
    <w:uiPriority w:val="0"/>
    <w:rPr>
      <w:rFonts w:ascii="Times New Roman" w:hAnsi="Times New Roman" w:eastAsia="宋体" w:cs="Times New Roman"/>
      <w:kern w:val="2"/>
      <w:sz w:val="21"/>
      <w:szCs w:val="24"/>
    </w:rPr>
  </w:style>
  <w:style w:type="character" w:customStyle="1" w:styleId="57">
    <w:name w:val="日期 Char"/>
    <w:link w:val="19"/>
    <w:qFormat/>
    <w:uiPriority w:val="0"/>
    <w:rPr>
      <w:rFonts w:ascii="仿宋_GB2312" w:hAnsi="宋体" w:eastAsia="仿宋_GB2312" w:cs="Times New Roman"/>
      <w:color w:val="000000"/>
      <w:sz w:val="24"/>
      <w:szCs w:val="24"/>
    </w:rPr>
  </w:style>
  <w:style w:type="character" w:customStyle="1" w:styleId="58">
    <w:name w:val="font31"/>
    <w:basedOn w:val="46"/>
    <w:qFormat/>
    <w:uiPriority w:val="0"/>
    <w:rPr>
      <w:rFonts w:hint="default" w:ascii="Times New Roman" w:hAnsi="Times New Roman" w:cs="Times New Roman"/>
      <w:color w:val="000000"/>
      <w:sz w:val="20"/>
      <w:szCs w:val="20"/>
      <w:u w:val="none"/>
    </w:rPr>
  </w:style>
  <w:style w:type="character" w:customStyle="1" w:styleId="59">
    <w:name w:val="批注框文本 Char"/>
    <w:link w:val="21"/>
    <w:qFormat/>
    <w:uiPriority w:val="0"/>
    <w:rPr>
      <w:rFonts w:ascii="Times New Roman" w:hAnsi="Times New Roman" w:eastAsia="宋体" w:cs="Times New Roman"/>
      <w:sz w:val="18"/>
      <w:szCs w:val="18"/>
    </w:rPr>
  </w:style>
  <w:style w:type="character" w:customStyle="1" w:styleId="60">
    <w:name w:val="页脚 Char"/>
    <w:link w:val="22"/>
    <w:qFormat/>
    <w:uiPriority w:val="0"/>
    <w:rPr>
      <w:rFonts w:ascii="宋体" w:hAnsi="Times New Roman" w:eastAsia="宋体" w:cs="Times New Roman"/>
      <w:sz w:val="18"/>
    </w:rPr>
  </w:style>
  <w:style w:type="character" w:customStyle="1" w:styleId="61">
    <w:name w:val="正文文本 Char"/>
    <w:link w:val="13"/>
    <w:qFormat/>
    <w:uiPriority w:val="0"/>
    <w:rPr>
      <w:rFonts w:ascii="宋体" w:hAnsi="宋体" w:eastAsia="宋体" w:cs="Times New Roman"/>
      <w:sz w:val="24"/>
      <w:szCs w:val="24"/>
    </w:rPr>
  </w:style>
  <w:style w:type="character" w:customStyle="1" w:styleId="62">
    <w:name w:val="正文缩进 Char1"/>
    <w:link w:val="63"/>
    <w:qFormat/>
    <w:uiPriority w:val="0"/>
    <w:rPr>
      <w:rFonts w:ascii="宋体" w:hAnsi="Times New Roman" w:eastAsia="宋体" w:cs="Times New Roman"/>
      <w:sz w:val="24"/>
    </w:rPr>
  </w:style>
  <w:style w:type="paragraph" w:customStyle="1" w:styleId="63">
    <w:name w:val="正文缩进1"/>
    <w:basedOn w:val="1"/>
    <w:link w:val="62"/>
    <w:qFormat/>
    <w:uiPriority w:val="0"/>
    <w:pPr>
      <w:autoSpaceDE w:val="0"/>
      <w:autoSpaceDN w:val="0"/>
      <w:adjustRightInd w:val="0"/>
      <w:ind w:firstLine="420"/>
      <w:jc w:val="left"/>
    </w:pPr>
    <w:rPr>
      <w:rFonts w:ascii="宋体"/>
      <w:sz w:val="24"/>
      <w:szCs w:val="22"/>
    </w:rPr>
  </w:style>
  <w:style w:type="character" w:customStyle="1" w:styleId="64">
    <w:name w:val="批注文字 Char"/>
    <w:qFormat/>
    <w:uiPriority w:val="0"/>
    <w:rPr>
      <w:rFonts w:ascii="Times New Roman" w:hAnsi="Times New Roman" w:eastAsia="宋体" w:cs="Times New Roman"/>
      <w:kern w:val="2"/>
      <w:sz w:val="21"/>
      <w:szCs w:val="24"/>
    </w:rPr>
  </w:style>
  <w:style w:type="character" w:customStyle="1" w:styleId="65">
    <w:name w:val="font41"/>
    <w:qFormat/>
    <w:uiPriority w:val="0"/>
    <w:rPr>
      <w:rFonts w:hint="eastAsia" w:ascii="宋体" w:hAnsi="宋体" w:eastAsia="宋体"/>
      <w:color w:val="000000"/>
      <w:sz w:val="20"/>
      <w:szCs w:val="20"/>
      <w:u w:val="none"/>
    </w:rPr>
  </w:style>
  <w:style w:type="character" w:customStyle="1" w:styleId="66">
    <w:name w:val="批注框文本 Char1"/>
    <w:qFormat/>
    <w:uiPriority w:val="0"/>
    <w:rPr>
      <w:rFonts w:ascii="Times New Roman" w:hAnsi="Times New Roman" w:eastAsia="宋体" w:cs="Times New Roman"/>
      <w:kern w:val="2"/>
      <w:sz w:val="18"/>
      <w:szCs w:val="18"/>
    </w:rPr>
  </w:style>
  <w:style w:type="character" w:customStyle="1" w:styleId="67">
    <w:name w:val="页眉 Char"/>
    <w:link w:val="23"/>
    <w:qFormat/>
    <w:uiPriority w:val="0"/>
    <w:rPr>
      <w:rFonts w:ascii="Times New Roman" w:hAnsi="Times New Roman" w:eastAsia="宋体" w:cs="Times New Roman"/>
      <w:sz w:val="18"/>
      <w:szCs w:val="18"/>
    </w:rPr>
  </w:style>
  <w:style w:type="character" w:customStyle="1" w:styleId="68">
    <w:name w:val="页眉 Char1"/>
    <w:qFormat/>
    <w:uiPriority w:val="0"/>
    <w:rPr>
      <w:rFonts w:ascii="Times New Roman" w:hAnsi="Times New Roman" w:eastAsia="宋体" w:cs="Times New Roman"/>
      <w:kern w:val="2"/>
      <w:sz w:val="18"/>
      <w:szCs w:val="18"/>
    </w:rPr>
  </w:style>
  <w:style w:type="character" w:customStyle="1" w:styleId="69">
    <w:name w:val="批注主题 Char"/>
    <w:link w:val="35"/>
    <w:qFormat/>
    <w:uiPriority w:val="0"/>
    <w:rPr>
      <w:rFonts w:ascii="Times New Roman" w:hAnsi="Times New Roman" w:eastAsia="宋体" w:cs="Times New Roman"/>
      <w:b/>
      <w:bCs/>
      <w:szCs w:val="24"/>
    </w:rPr>
  </w:style>
  <w:style w:type="character" w:customStyle="1" w:styleId="70">
    <w:name w:val="纯文本 Char1"/>
    <w:link w:val="71"/>
    <w:qFormat/>
    <w:uiPriority w:val="99"/>
    <w:rPr>
      <w:rFonts w:ascii="宋体" w:hAnsi="Courier New" w:eastAsia="宋体" w:cs="Times New Roman"/>
    </w:rPr>
  </w:style>
  <w:style w:type="paragraph" w:customStyle="1" w:styleId="71">
    <w:name w:val="纯文本1"/>
    <w:basedOn w:val="1"/>
    <w:link w:val="70"/>
    <w:qFormat/>
    <w:uiPriority w:val="99"/>
    <w:rPr>
      <w:rFonts w:ascii="宋体" w:hAnsi="Courier New"/>
      <w:szCs w:val="22"/>
    </w:rPr>
  </w:style>
  <w:style w:type="character" w:customStyle="1" w:styleId="72">
    <w:name w:val="批注主题 Char1"/>
    <w:qFormat/>
    <w:uiPriority w:val="0"/>
    <w:rPr>
      <w:rFonts w:ascii="Times New Roman" w:hAnsi="Times New Roman" w:eastAsia="宋体" w:cs="Times New Roman"/>
      <w:b/>
      <w:bCs/>
      <w:kern w:val="2"/>
      <w:sz w:val="21"/>
      <w:szCs w:val="24"/>
    </w:rPr>
  </w:style>
  <w:style w:type="character" w:customStyle="1" w:styleId="73">
    <w:name w:val="纯文本 Char"/>
    <w:link w:val="17"/>
    <w:qFormat/>
    <w:uiPriority w:val="0"/>
    <w:rPr>
      <w:rFonts w:ascii="宋体" w:hAnsi="Courier New" w:eastAsia="宋体" w:cs="Times New Roman"/>
    </w:rPr>
  </w:style>
  <w:style w:type="character" w:customStyle="1" w:styleId="74">
    <w:name w:val="批注文字 Char2"/>
    <w:basedOn w:val="46"/>
    <w:link w:val="12"/>
    <w:semiHidden/>
    <w:qFormat/>
    <w:uiPriority w:val="99"/>
    <w:rPr>
      <w:rFonts w:ascii="Times New Roman" w:hAnsi="Times New Roman" w:eastAsia="宋体" w:cs="Times New Roman"/>
      <w:szCs w:val="24"/>
    </w:rPr>
  </w:style>
  <w:style w:type="character" w:customStyle="1" w:styleId="75">
    <w:name w:val="批注主题 Char2"/>
    <w:basedOn w:val="74"/>
    <w:semiHidden/>
    <w:qFormat/>
    <w:uiPriority w:val="99"/>
    <w:rPr>
      <w:rFonts w:ascii="Times New Roman" w:hAnsi="Times New Roman" w:eastAsia="宋体" w:cs="Times New Roman"/>
      <w:b/>
      <w:bCs/>
      <w:szCs w:val="24"/>
    </w:rPr>
  </w:style>
  <w:style w:type="character" w:customStyle="1" w:styleId="76">
    <w:name w:val="纯文本 Char2"/>
    <w:basedOn w:val="46"/>
    <w:semiHidden/>
    <w:qFormat/>
    <w:uiPriority w:val="99"/>
    <w:rPr>
      <w:rFonts w:ascii="宋体" w:hAnsi="Courier New" w:eastAsia="宋体" w:cs="Courier New"/>
      <w:szCs w:val="21"/>
    </w:rPr>
  </w:style>
  <w:style w:type="character" w:customStyle="1" w:styleId="77">
    <w:name w:val="脚注文本 Char"/>
    <w:basedOn w:val="46"/>
    <w:link w:val="26"/>
    <w:qFormat/>
    <w:uiPriority w:val="0"/>
    <w:rPr>
      <w:rFonts w:ascii="Times New Roman" w:hAnsi="Times New Roman" w:eastAsia="宋体" w:cs="Times New Roman"/>
      <w:sz w:val="18"/>
      <w:szCs w:val="24"/>
    </w:rPr>
  </w:style>
  <w:style w:type="character" w:customStyle="1" w:styleId="78">
    <w:name w:val="正文文本 Char1"/>
    <w:basedOn w:val="46"/>
    <w:semiHidden/>
    <w:qFormat/>
    <w:uiPriority w:val="99"/>
    <w:rPr>
      <w:rFonts w:ascii="Times New Roman" w:hAnsi="Times New Roman" w:eastAsia="宋体" w:cs="Times New Roman"/>
      <w:szCs w:val="24"/>
    </w:rPr>
  </w:style>
  <w:style w:type="character" w:customStyle="1" w:styleId="79">
    <w:name w:val="正文文本缩进 Char"/>
    <w:basedOn w:val="46"/>
    <w:link w:val="14"/>
    <w:qFormat/>
    <w:uiPriority w:val="0"/>
    <w:rPr>
      <w:rFonts w:ascii="Times New Roman" w:hAnsi="Times New Roman" w:eastAsia="宋体" w:cs="Times New Roman"/>
      <w:sz w:val="24"/>
      <w:szCs w:val="24"/>
    </w:rPr>
  </w:style>
  <w:style w:type="character" w:customStyle="1" w:styleId="80">
    <w:name w:val="正文文本缩进 2 Char"/>
    <w:basedOn w:val="46"/>
    <w:link w:val="20"/>
    <w:qFormat/>
    <w:uiPriority w:val="0"/>
    <w:rPr>
      <w:rFonts w:ascii="仿宋_GB2312" w:hAnsi="Times New Roman" w:eastAsia="仿宋_GB2312" w:cs="Times New Roman"/>
      <w:sz w:val="24"/>
      <w:szCs w:val="24"/>
    </w:rPr>
  </w:style>
  <w:style w:type="character" w:customStyle="1" w:styleId="81">
    <w:name w:val="正文文本缩进 3 Char"/>
    <w:basedOn w:val="46"/>
    <w:link w:val="28"/>
    <w:qFormat/>
    <w:uiPriority w:val="0"/>
    <w:rPr>
      <w:rFonts w:ascii="宋体" w:hAnsi="Times New Roman" w:eastAsia="宋体" w:cs="Times New Roman"/>
      <w:kern w:val="0"/>
      <w:sz w:val="24"/>
      <w:szCs w:val="20"/>
    </w:rPr>
  </w:style>
  <w:style w:type="character" w:customStyle="1" w:styleId="82">
    <w:name w:val="日期 Char1"/>
    <w:basedOn w:val="46"/>
    <w:semiHidden/>
    <w:qFormat/>
    <w:uiPriority w:val="99"/>
    <w:rPr>
      <w:rFonts w:ascii="Times New Roman" w:hAnsi="Times New Roman" w:eastAsia="宋体" w:cs="Times New Roman"/>
      <w:szCs w:val="24"/>
    </w:rPr>
  </w:style>
  <w:style w:type="character" w:customStyle="1" w:styleId="83">
    <w:name w:val="批注框文本 Char2"/>
    <w:basedOn w:val="46"/>
    <w:semiHidden/>
    <w:qFormat/>
    <w:uiPriority w:val="99"/>
    <w:rPr>
      <w:rFonts w:ascii="Times New Roman" w:hAnsi="Times New Roman" w:eastAsia="宋体" w:cs="Times New Roman"/>
      <w:sz w:val="18"/>
      <w:szCs w:val="18"/>
    </w:rPr>
  </w:style>
  <w:style w:type="character" w:customStyle="1" w:styleId="84">
    <w:name w:val="页脚 Char1"/>
    <w:basedOn w:val="46"/>
    <w:semiHidden/>
    <w:qFormat/>
    <w:uiPriority w:val="99"/>
    <w:rPr>
      <w:rFonts w:ascii="Times New Roman" w:hAnsi="Times New Roman" w:eastAsia="宋体" w:cs="Times New Roman"/>
      <w:sz w:val="18"/>
      <w:szCs w:val="18"/>
    </w:rPr>
  </w:style>
  <w:style w:type="character" w:customStyle="1" w:styleId="85">
    <w:name w:val="页眉 Char2"/>
    <w:basedOn w:val="46"/>
    <w:semiHidden/>
    <w:qFormat/>
    <w:uiPriority w:val="99"/>
    <w:rPr>
      <w:rFonts w:ascii="Times New Roman" w:hAnsi="Times New Roman" w:eastAsia="宋体" w:cs="Times New Roman"/>
      <w:sz w:val="18"/>
      <w:szCs w:val="18"/>
    </w:rPr>
  </w:style>
  <w:style w:type="paragraph" w:styleId="8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自定义正文"/>
    <w:basedOn w:val="1"/>
    <w:qFormat/>
    <w:uiPriority w:val="0"/>
    <w:pPr>
      <w:spacing w:afterLines="50"/>
      <w:ind w:firstLine="200" w:firstLineChars="200"/>
    </w:pPr>
    <w:rPr>
      <w:rFonts w:ascii="Calibri" w:hAnsi="Calibri"/>
    </w:rPr>
  </w:style>
  <w:style w:type="character" w:customStyle="1" w:styleId="88">
    <w:name w:val="正文首行缩进 2 Char"/>
    <w:basedOn w:val="79"/>
    <w:link w:val="37"/>
    <w:qFormat/>
    <w:uiPriority w:val="0"/>
    <w:rPr>
      <w:rFonts w:ascii="Times New Roman" w:hAnsi="Times New Roman" w:eastAsia="宋体" w:cs="Times New Roman"/>
      <w:sz w:val="24"/>
      <w:szCs w:val="24"/>
    </w:rPr>
  </w:style>
  <w:style w:type="paragraph" w:customStyle="1" w:styleId="8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0">
    <w:name w:val="图例"/>
    <w:basedOn w:val="1"/>
    <w:qFormat/>
    <w:uiPriority w:val="0"/>
    <w:pPr>
      <w:spacing w:before="120" w:after="120"/>
      <w:jc w:val="center"/>
    </w:pPr>
    <w:rPr>
      <w:rFonts w:eastAsia="仿宋_GB2312"/>
      <w:b/>
      <w:szCs w:val="20"/>
    </w:rPr>
  </w:style>
  <w:style w:type="paragraph" w:customStyle="1" w:styleId="91">
    <w:name w:val="_Style 3"/>
    <w:basedOn w:val="1"/>
    <w:qFormat/>
    <w:uiPriority w:val="0"/>
    <w:pPr>
      <w:ind w:firstLine="420" w:firstLineChars="200"/>
    </w:pPr>
    <w:rPr>
      <w:rFonts w:ascii="Calibri" w:hAnsi="Calibri"/>
      <w:szCs w:val="22"/>
    </w:rPr>
  </w:style>
  <w:style w:type="paragraph" w:customStyle="1" w:styleId="92">
    <w:name w:val="WPSOffice手动目录 1"/>
    <w:qFormat/>
    <w:uiPriority w:val="0"/>
    <w:rPr>
      <w:rFonts w:ascii="Times New Roman" w:hAnsi="Times New Roman" w:eastAsia="宋体" w:cs="Times New Roman"/>
      <w:lang w:val="en-US" w:eastAsia="zh-CN" w:bidi="ar-SA"/>
    </w:rPr>
  </w:style>
  <w:style w:type="paragraph" w:customStyle="1" w:styleId="93">
    <w:name w:val="索引 11"/>
    <w:basedOn w:val="1"/>
    <w:next w:val="1"/>
    <w:qFormat/>
    <w:uiPriority w:val="0"/>
    <w:pPr>
      <w:spacing w:line="360" w:lineRule="auto"/>
    </w:pPr>
    <w:rPr>
      <w:rFonts w:ascii="仿宋_GB2312" w:eastAsia="仿宋_GB2312"/>
      <w:sz w:val="24"/>
      <w:szCs w:val="20"/>
    </w:rPr>
  </w:style>
  <w:style w:type="paragraph" w:customStyle="1" w:styleId="94">
    <w:name w:val="Char Char Char Char"/>
    <w:basedOn w:val="1"/>
    <w:qFormat/>
    <w:uiPriority w:val="0"/>
    <w:pPr>
      <w:tabs>
        <w:tab w:val="left" w:pos="360"/>
      </w:tabs>
      <w:ind w:firstLine="420" w:firstLineChars="150"/>
    </w:pPr>
  </w:style>
  <w:style w:type="paragraph" w:styleId="95">
    <w:name w:val="List Paragraph"/>
    <w:basedOn w:val="1"/>
    <w:qFormat/>
    <w:uiPriority w:val="0"/>
    <w:pPr>
      <w:widowControl/>
      <w:ind w:firstLine="420" w:firstLineChars="200"/>
      <w:jc w:val="left"/>
    </w:pPr>
    <w:rPr>
      <w:kern w:val="0"/>
      <w:sz w:val="24"/>
    </w:rPr>
  </w:style>
  <w:style w:type="paragraph" w:customStyle="1" w:styleId="96">
    <w:name w:val="Char"/>
    <w:basedOn w:val="1"/>
    <w:qFormat/>
    <w:uiPriority w:val="0"/>
    <w:pPr>
      <w:tabs>
        <w:tab w:val="left" w:pos="360"/>
      </w:tabs>
    </w:pPr>
    <w:rPr>
      <w:sz w:val="24"/>
    </w:rPr>
  </w:style>
  <w:style w:type="paragraph" w:customStyle="1" w:styleId="97">
    <w:name w:val="列出段落1"/>
    <w:basedOn w:val="1"/>
    <w:qFormat/>
    <w:uiPriority w:val="0"/>
    <w:pPr>
      <w:ind w:firstLine="420" w:firstLineChars="200"/>
    </w:pPr>
    <w:rPr>
      <w:rFonts w:ascii="Calibri" w:hAnsi="Calibri"/>
      <w:szCs w:val="22"/>
    </w:rPr>
  </w:style>
  <w:style w:type="table" w:customStyle="1" w:styleId="98">
    <w:name w:val="中等深浅网格 31"/>
    <w:basedOn w:val="38"/>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9">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0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01">
    <w:name w:val="font51"/>
    <w:basedOn w:val="46"/>
    <w:qFormat/>
    <w:uiPriority w:val="0"/>
    <w:rPr>
      <w:rFonts w:hint="eastAsia" w:ascii="宋体" w:hAnsi="宋体" w:eastAsia="宋体" w:cs="宋体"/>
      <w:color w:val="FF0000"/>
      <w:sz w:val="18"/>
      <w:szCs w:val="18"/>
      <w:u w:val="none"/>
    </w:rPr>
  </w:style>
  <w:style w:type="paragraph" w:customStyle="1" w:styleId="10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样式 标题 6 + 黑色"/>
    <w:basedOn w:val="7"/>
    <w:qFormat/>
    <w:uiPriority w:val="0"/>
    <w:pPr>
      <w:spacing w:before="120" w:after="60"/>
    </w:pPr>
    <w:rPr>
      <w:color w:val="000000"/>
      <w:sz w:val="28"/>
    </w:rPr>
  </w:style>
  <w:style w:type="character" w:customStyle="1" w:styleId="104">
    <w:name w:val="文档结构图 Char"/>
    <w:basedOn w:val="46"/>
    <w:link w:val="11"/>
    <w:semiHidden/>
    <w:qFormat/>
    <w:uiPriority w:val="99"/>
    <w:rPr>
      <w:rFonts w:ascii="宋体" w:hAnsi="Times New Roman"/>
      <w:kern w:val="2"/>
      <w:sz w:val="18"/>
      <w:szCs w:val="18"/>
    </w:rPr>
  </w:style>
  <w:style w:type="paragraph" w:customStyle="1" w:styleId="105">
    <w:name w:val="Normal"/>
    <w:qFormat/>
    <w:uiPriority w:val="0"/>
    <w:rPr>
      <w:rFonts w:ascii="Times New Roman" w:hAnsi="Times New Roman" w:eastAsia="Times New Roman" w:cs="Times New Roman"/>
      <w:sz w:val="24"/>
      <w:szCs w:val="24"/>
      <w:lang w:bidi="ar-SA"/>
    </w:rPr>
  </w:style>
  <w:style w:type="paragraph" w:customStyle="1" w:styleId="106">
    <w:name w:val="NOTE_Normal"/>
    <w:basedOn w:val="1"/>
    <w:next w:val="13"/>
    <w:qFormat/>
    <w:uiPriority w:val="0"/>
  </w:style>
  <w:style w:type="paragraph" w:customStyle="1" w:styleId="107">
    <w:name w:val="Table Paragraph"/>
    <w:basedOn w:val="1"/>
    <w:qFormat/>
    <w:uiPriority w:val="1"/>
    <w:rPr>
      <w:rFonts w:ascii="宋体" w:hAnsi="宋体" w:eastAsia="宋体" w:cs="宋体"/>
      <w:lang w:val="zh-CN" w:eastAsia="zh-CN" w:bidi="zh-CN"/>
    </w:rPr>
  </w:style>
  <w:style w:type="character" w:customStyle="1" w:styleId="108">
    <w:name w:val="font21"/>
    <w:basedOn w:val="46"/>
    <w:qFormat/>
    <w:uiPriority w:val="0"/>
    <w:rPr>
      <w:rFonts w:hint="eastAsia" w:ascii="仿宋_GB2312" w:eastAsia="仿宋_GB2312" w:cs="仿宋_GB2312"/>
      <w:color w:val="000000"/>
      <w:sz w:val="24"/>
      <w:szCs w:val="24"/>
      <w:u w:val="none"/>
    </w:rPr>
  </w:style>
  <w:style w:type="paragraph" w:customStyle="1" w:styleId="109">
    <w:name w:val="Normal_8"/>
    <w:qFormat/>
    <w:uiPriority w:val="0"/>
    <w:rPr>
      <w:rFonts w:ascii="黑体" w:hAnsi="黑体" w:eastAsia="黑体" w:cs="Times New Roman"/>
      <w:b/>
      <w:sz w:val="32"/>
      <w:szCs w:val="24"/>
      <w:lang w:val="en-US" w:eastAsia="zh-CN" w:bidi="ar-SA"/>
    </w:rPr>
  </w:style>
  <w:style w:type="paragraph" w:customStyle="1" w:styleId="110">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1">
    <w:name w:val="Body Text"/>
    <w:basedOn w:val="110"/>
    <w:qFormat/>
    <w:uiPriority w:val="1"/>
    <w:pPr>
      <w:ind w:left="220"/>
    </w:pPr>
    <w:rPr>
      <w:rFonts w:eastAsia="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42748</Words>
  <Characters>45035</Characters>
  <Lines>311</Lines>
  <Paragraphs>87</Paragraphs>
  <TotalTime>3</TotalTime>
  <ScaleCrop>false</ScaleCrop>
  <LinksUpToDate>false</LinksUpToDate>
  <CharactersWithSpaces>47432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哈哈哈哈哈</cp:lastModifiedBy>
  <cp:lastPrinted>2022-06-17T03:12:00Z</cp:lastPrinted>
  <dcterms:modified xsi:type="dcterms:W3CDTF">2022-06-21T11:48:43Z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F8E3B77E7DAB4264BBD7C2EBA6A5A67C</vt:lpwstr>
  </property>
</Properties>
</file>