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ascii="黑体" w:hAnsi="黑体" w:eastAsia="黑体"/>
          <w:sz w:val="10"/>
          <w:szCs w:val="10"/>
        </w:rPr>
      </w:pPr>
    </w:p>
    <w:p>
      <w:pPr>
        <w:spacing w:before="120" w:beforeLines="50" w:after="240" w:afterLines="100"/>
        <w:jc w:val="center"/>
        <w:rPr>
          <w:rFonts w:hint="eastAsia" w:ascii="宋体" w:hAnsi="宋体" w:eastAsia="宋体" w:cs="宋体"/>
          <w:b/>
          <w:sz w:val="56"/>
          <w:szCs w:val="48"/>
          <w:lang w:val="en-US" w:eastAsia="zh-CN"/>
        </w:rPr>
      </w:pPr>
      <w:r>
        <w:rPr>
          <w:rFonts w:hint="eastAsia" w:ascii="宋体" w:hAnsi="宋体" w:eastAsia="宋体" w:cs="宋体"/>
          <w:b/>
          <w:sz w:val="56"/>
          <w:szCs w:val="48"/>
          <w:lang w:val="en-US" w:eastAsia="zh-CN"/>
        </w:rPr>
        <w:t>木垒县英格堡乡菜籽沟村变压器附属设施建设项目</w:t>
      </w:r>
    </w:p>
    <w:p>
      <w:pPr>
        <w:spacing w:before="120" w:beforeLines="50" w:after="240" w:afterLines="100"/>
        <w:jc w:val="center"/>
        <w:rPr>
          <w:rFonts w:hint="eastAsia" w:ascii="宋体" w:hAnsi="宋体" w:eastAsia="宋体" w:cs="宋体"/>
          <w:b/>
          <w:sz w:val="40"/>
          <w:szCs w:val="32"/>
          <w:lang w:eastAsia="zh-CN"/>
        </w:rPr>
      </w:pPr>
    </w:p>
    <w:p>
      <w:pPr>
        <w:spacing w:before="120" w:beforeLines="50" w:after="240" w:afterLines="100"/>
        <w:jc w:val="center"/>
        <w:rPr>
          <w:rFonts w:hint="eastAsia" w:ascii="宋体" w:hAnsi="宋体" w:eastAsia="宋体" w:cs="宋体"/>
          <w:b/>
          <w:sz w:val="40"/>
          <w:szCs w:val="32"/>
          <w:lang w:eastAsia="zh-CN"/>
        </w:rPr>
      </w:pPr>
    </w:p>
    <w:p>
      <w:pPr>
        <w:spacing w:before="120" w:beforeLines="50" w:after="240" w:afterLines="100"/>
        <w:jc w:val="center"/>
        <w:rPr>
          <w:rFonts w:ascii="宋体" w:hAnsi="宋体" w:cs="宋体"/>
          <w:b/>
          <w:sz w:val="32"/>
          <w:szCs w:val="32"/>
        </w:rPr>
      </w:pPr>
    </w:p>
    <w:p>
      <w:pPr>
        <w:spacing w:before="120" w:beforeLines="50" w:after="240" w:afterLines="100"/>
        <w:jc w:val="center"/>
        <w:rPr>
          <w:rFonts w:ascii="宋体" w:hAnsi="宋体" w:cs="宋体"/>
          <w:b/>
          <w:sz w:val="32"/>
          <w:szCs w:val="32"/>
        </w:rPr>
      </w:pPr>
      <w:r>
        <w:rPr>
          <w:rFonts w:hint="eastAsia" w:ascii="宋体" w:hAnsi="宋体" w:cs="宋体"/>
          <w:b/>
          <w:sz w:val="32"/>
          <w:szCs w:val="32"/>
        </w:rPr>
        <w:t>编号：</w:t>
      </w:r>
      <w:r>
        <w:rPr>
          <w:rFonts w:hint="eastAsia" w:ascii="宋体" w:hAnsi="宋体" w:cs="宋体"/>
          <w:b/>
          <w:sz w:val="32"/>
          <w:szCs w:val="32"/>
          <w:lang w:val="en-US" w:eastAsia="zh-CN"/>
        </w:rPr>
        <w:t>YSXZB-2022-13-SG</w:t>
      </w:r>
    </w:p>
    <w:p>
      <w:pPr>
        <w:adjustRightInd w:val="0"/>
        <w:snapToGrid w:val="0"/>
        <w:spacing w:line="400" w:lineRule="exact"/>
        <w:jc w:val="center"/>
        <w:rPr>
          <w:rFonts w:ascii="宋体" w:hAnsi="宋体" w:cs="宋体"/>
        </w:rPr>
      </w:pPr>
    </w:p>
    <w:p>
      <w:pPr>
        <w:pStyle w:val="33"/>
        <w:ind w:firstLine="1126"/>
        <w:rPr>
          <w:rFonts w:ascii="宋体" w:hAnsi="宋体" w:eastAsia="宋体" w:cs="宋体"/>
        </w:rPr>
      </w:pPr>
    </w:p>
    <w:p>
      <w:pPr>
        <w:pStyle w:val="33"/>
        <w:ind w:firstLine="1126"/>
        <w:rPr>
          <w:rFonts w:ascii="宋体" w:hAnsi="宋体" w:eastAsia="宋体" w:cs="宋体"/>
        </w:rPr>
      </w:pPr>
    </w:p>
    <w:p>
      <w:pPr>
        <w:pStyle w:val="33"/>
        <w:ind w:firstLine="1126"/>
        <w:rPr>
          <w:rFonts w:ascii="宋体" w:hAnsi="宋体" w:eastAsia="宋体" w:cs="宋体"/>
        </w:rPr>
      </w:pPr>
    </w:p>
    <w:p>
      <w:pPr>
        <w:adjustRightInd w:val="0"/>
        <w:snapToGrid w:val="0"/>
        <w:jc w:val="center"/>
        <w:rPr>
          <w:rFonts w:ascii="宋体" w:hAnsi="宋体" w:cs="宋体"/>
          <w:b/>
          <w:bCs/>
          <w:sz w:val="96"/>
          <w:szCs w:val="36"/>
        </w:rPr>
      </w:pPr>
      <w:r>
        <w:rPr>
          <w:rFonts w:hint="eastAsia" w:ascii="宋体" w:hAnsi="宋体" w:cs="宋体"/>
          <w:b/>
          <w:bCs/>
          <w:sz w:val="72"/>
          <w:szCs w:val="32"/>
        </w:rPr>
        <w:t>竞争性磋商文件</w:t>
      </w:r>
    </w:p>
    <w:p>
      <w:pPr>
        <w:adjustRightInd w:val="0"/>
        <w:snapToGrid w:val="0"/>
        <w:spacing w:line="400" w:lineRule="exact"/>
        <w:jc w:val="center"/>
        <w:rPr>
          <w:rFonts w:ascii="宋体" w:hAnsi="宋体" w:cs="宋体"/>
          <w:b/>
          <w:bCs/>
          <w:kern w:val="0"/>
          <w:sz w:val="28"/>
          <w:szCs w:val="28"/>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3"/>
        <w:ind w:firstLine="0" w:firstLineChars="0"/>
        <w:rPr>
          <w:rFonts w:ascii="宋体" w:hAnsi="宋体" w:eastAsia="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3"/>
        <w:ind w:firstLine="1126"/>
        <w:rPr>
          <w:rFonts w:ascii="宋体" w:hAnsi="宋体" w:eastAsia="宋体" w:cs="宋体"/>
        </w:rPr>
      </w:pPr>
    </w:p>
    <w:p>
      <w:pPr>
        <w:pStyle w:val="33"/>
        <w:ind w:firstLine="1126"/>
        <w:rPr>
          <w:rFonts w:ascii="宋体" w:hAnsi="宋体" w:eastAsia="宋体" w:cs="宋体"/>
        </w:rPr>
      </w:pPr>
    </w:p>
    <w:p>
      <w:pPr>
        <w:adjustRightInd w:val="0"/>
        <w:snapToGrid w:val="0"/>
        <w:spacing w:line="400" w:lineRule="exact"/>
        <w:rPr>
          <w:rFonts w:ascii="宋体" w:hAnsi="宋体" w:cs="宋体"/>
        </w:rPr>
      </w:pPr>
    </w:p>
    <w:p>
      <w:pPr>
        <w:adjustRightInd w:val="0"/>
        <w:snapToGrid w:val="0"/>
        <w:spacing w:line="400" w:lineRule="exact"/>
        <w:jc w:val="center"/>
        <w:rPr>
          <w:rFonts w:ascii="宋体" w:hAnsi="宋体" w:cs="宋体"/>
        </w:rPr>
      </w:pPr>
    </w:p>
    <w:p>
      <w:pPr>
        <w:spacing w:line="360" w:lineRule="auto"/>
        <w:ind w:firstLine="1285" w:firstLineChars="400"/>
        <w:rPr>
          <w:rFonts w:hint="eastAsia" w:ascii="宋体" w:hAnsi="宋体" w:cs="宋体"/>
          <w:b/>
          <w:sz w:val="32"/>
          <w:szCs w:val="24"/>
          <w:lang w:eastAsia="zh-CN"/>
        </w:rPr>
      </w:pPr>
      <w:r>
        <w:rPr>
          <w:rFonts w:hint="eastAsia" w:ascii="宋体" w:hAnsi="宋体" w:cs="宋体"/>
          <w:b/>
          <w:sz w:val="32"/>
          <w:szCs w:val="24"/>
        </w:rPr>
        <w:t>采购人：</w:t>
      </w:r>
      <w:r>
        <w:rPr>
          <w:rFonts w:hint="eastAsia" w:ascii="宋体" w:hAnsi="宋体" w:cs="宋体"/>
          <w:b/>
          <w:sz w:val="32"/>
          <w:szCs w:val="24"/>
          <w:lang w:eastAsia="zh-CN"/>
        </w:rPr>
        <w:t>木垒县英格堡乡人民政府</w:t>
      </w:r>
    </w:p>
    <w:p>
      <w:pPr>
        <w:spacing w:line="360" w:lineRule="auto"/>
        <w:ind w:firstLine="1285" w:firstLineChars="400"/>
        <w:rPr>
          <w:rFonts w:hint="eastAsia" w:ascii="宋体" w:hAnsi="宋体" w:cs="宋体"/>
          <w:b/>
          <w:sz w:val="32"/>
          <w:szCs w:val="24"/>
          <w:lang w:val="en-US" w:eastAsia="zh-CN"/>
        </w:rPr>
      </w:pPr>
      <w:r>
        <w:rPr>
          <w:rFonts w:hint="eastAsia" w:ascii="宋体" w:hAnsi="宋体" w:cs="宋体"/>
          <w:b/>
          <w:sz w:val="32"/>
          <w:szCs w:val="24"/>
        </w:rPr>
        <w:t>采购代理机构：</w:t>
      </w:r>
      <w:r>
        <w:rPr>
          <w:rFonts w:hint="eastAsia" w:ascii="宋体" w:hAnsi="宋体" w:cs="宋体"/>
          <w:b/>
          <w:sz w:val="32"/>
          <w:szCs w:val="24"/>
          <w:lang w:val="en-US" w:eastAsia="zh-CN"/>
        </w:rPr>
        <w:t>新疆永盛祥工程招标代理有限公司</w:t>
      </w:r>
    </w:p>
    <w:p>
      <w:pPr>
        <w:spacing w:line="360" w:lineRule="auto"/>
        <w:ind w:firstLine="4176" w:firstLineChars="1300"/>
        <w:rPr>
          <w:rFonts w:hint="eastAsia" w:ascii="宋体" w:hAnsi="宋体" w:cs="宋体"/>
          <w:b/>
          <w:sz w:val="32"/>
          <w:szCs w:val="24"/>
        </w:rPr>
      </w:pPr>
      <w:r>
        <w:rPr>
          <w:rFonts w:hint="eastAsia" w:ascii="宋体" w:hAnsi="宋体" w:cs="宋体"/>
          <w:b/>
          <w:sz w:val="32"/>
          <w:szCs w:val="24"/>
        </w:rPr>
        <w:t>二〇二</w:t>
      </w:r>
      <w:r>
        <w:rPr>
          <w:rFonts w:hint="eastAsia" w:ascii="宋体" w:hAnsi="宋体" w:cs="宋体"/>
          <w:b/>
          <w:sz w:val="32"/>
          <w:szCs w:val="24"/>
          <w:lang w:eastAsia="zh-CN"/>
        </w:rPr>
        <w:t>二</w:t>
      </w:r>
      <w:r>
        <w:rPr>
          <w:rFonts w:hint="eastAsia" w:ascii="宋体" w:hAnsi="宋体" w:cs="宋体"/>
          <w:b/>
          <w:sz w:val="32"/>
          <w:szCs w:val="24"/>
        </w:rPr>
        <w:t>年</w:t>
      </w:r>
      <w:r>
        <w:rPr>
          <w:rFonts w:hint="eastAsia" w:ascii="宋体" w:hAnsi="宋体" w:cs="宋体"/>
          <w:b/>
          <w:sz w:val="32"/>
          <w:szCs w:val="24"/>
          <w:lang w:eastAsia="zh-CN"/>
        </w:rPr>
        <w:t>六</w:t>
      </w:r>
      <w:r>
        <w:rPr>
          <w:rFonts w:hint="eastAsia" w:ascii="宋体" w:hAnsi="宋体" w:cs="宋体"/>
          <w:b/>
          <w:sz w:val="32"/>
          <w:szCs w:val="24"/>
        </w:rPr>
        <w:t>月</w:t>
      </w:r>
    </w:p>
    <w:p>
      <w:pPr>
        <w:jc w:val="center"/>
        <w:rPr>
          <w:rFonts w:hAnsi="宋体"/>
          <w:b/>
          <w:color w:val="000000"/>
          <w:sz w:val="48"/>
          <w:szCs w:val="48"/>
        </w:rPr>
      </w:pPr>
      <w:r>
        <w:rPr>
          <w:rFonts w:hint="eastAsia" w:hAnsi="宋体"/>
          <w:b/>
          <w:color w:val="000000"/>
          <w:sz w:val="48"/>
          <w:szCs w:val="48"/>
        </w:rPr>
        <w:t>竞争性磋商文件</w:t>
      </w:r>
    </w:p>
    <w:p>
      <w:pPr>
        <w:spacing w:line="600" w:lineRule="exact"/>
        <w:jc w:val="left"/>
        <w:rPr>
          <w:rFonts w:hAnsi="宋体"/>
          <w:b/>
          <w:sz w:val="32"/>
          <w:szCs w:val="32"/>
        </w:rPr>
      </w:pPr>
    </w:p>
    <w:p>
      <w:pPr>
        <w:spacing w:line="600" w:lineRule="exact"/>
        <w:jc w:val="left"/>
        <w:rPr>
          <w:rFonts w:hint="eastAsia" w:ascii="宋体" w:hAnsi="宋体" w:cs="宋体"/>
          <w:b/>
          <w:sz w:val="28"/>
          <w:szCs w:val="28"/>
        </w:rPr>
      </w:pPr>
    </w:p>
    <w:p>
      <w:pPr>
        <w:spacing w:line="600" w:lineRule="exact"/>
        <w:ind w:firstLine="281" w:firstLineChars="100"/>
        <w:jc w:val="left"/>
        <w:rPr>
          <w:rFonts w:hint="eastAsia" w:ascii="宋体" w:hAnsi="宋体" w:cs="宋体"/>
          <w:b/>
          <w:sz w:val="28"/>
          <w:szCs w:val="28"/>
          <w:lang w:val="en-US" w:eastAsia="zh-CN"/>
        </w:rPr>
      </w:pPr>
      <w:r>
        <w:rPr>
          <w:rFonts w:hint="eastAsia" w:ascii="宋体" w:hAnsi="宋体" w:cs="宋体"/>
          <w:b/>
          <w:sz w:val="28"/>
          <w:szCs w:val="28"/>
        </w:rPr>
        <w:t>项目名称：</w:t>
      </w:r>
      <w:r>
        <w:rPr>
          <w:rFonts w:hint="eastAsia" w:ascii="宋体" w:hAnsi="宋体" w:cs="宋体"/>
          <w:b/>
          <w:sz w:val="28"/>
          <w:szCs w:val="28"/>
          <w:lang w:val="en-US" w:eastAsia="zh-CN"/>
        </w:rPr>
        <w:t>木垒县英格堡乡菜籽沟村变压器附属设施建设项目</w:t>
      </w:r>
    </w:p>
    <w:p>
      <w:pPr>
        <w:spacing w:line="600" w:lineRule="exact"/>
        <w:ind w:firstLine="281" w:firstLineChars="100"/>
        <w:jc w:val="left"/>
        <w:rPr>
          <w:rFonts w:hint="eastAsia" w:ascii="宋体" w:hAnsi="宋体" w:cs="宋体"/>
          <w:b/>
          <w:sz w:val="28"/>
          <w:szCs w:val="28"/>
          <w:lang w:eastAsia="zh-CN"/>
        </w:rPr>
      </w:pP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 xml:space="preserve"> </w:t>
      </w:r>
    </w:p>
    <w:p>
      <w:pPr>
        <w:spacing w:line="600" w:lineRule="exact"/>
        <w:ind w:firstLine="281" w:firstLineChars="100"/>
        <w:jc w:val="left"/>
        <w:rPr>
          <w:rFonts w:hint="eastAsia" w:ascii="宋体" w:hAnsi="宋体" w:cs="宋体"/>
          <w:b/>
          <w:sz w:val="28"/>
          <w:szCs w:val="28"/>
        </w:rPr>
      </w:pP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招 标 人：</w:t>
      </w:r>
      <w:r>
        <w:rPr>
          <w:rFonts w:hint="eastAsia" w:ascii="宋体" w:hAnsi="宋体" w:cs="宋体"/>
          <w:b/>
          <w:sz w:val="28"/>
          <w:szCs w:val="28"/>
          <w:lang w:eastAsia="zh-CN"/>
        </w:rPr>
        <w:t>木垒县英格堡乡人民政府</w:t>
      </w:r>
    </w:p>
    <w:p>
      <w:pPr>
        <w:spacing w:line="600" w:lineRule="exact"/>
        <w:ind w:firstLine="281" w:firstLineChars="100"/>
        <w:rPr>
          <w:rFonts w:ascii="宋体" w:hAnsi="宋体" w:cs="宋体"/>
          <w:b/>
          <w:sz w:val="28"/>
          <w:szCs w:val="28"/>
        </w:rPr>
      </w:pPr>
      <w:r>
        <w:rPr>
          <w:rFonts w:hint="eastAsia" w:ascii="宋体" w:hAnsi="宋体" w:cs="宋体"/>
          <w:b/>
          <w:sz w:val="28"/>
          <w:szCs w:val="28"/>
        </w:rPr>
        <w:t xml:space="preserve">法定代表人或授权委托人（签章）： </w:t>
      </w:r>
    </w:p>
    <w:p>
      <w:pPr>
        <w:widowControl/>
        <w:spacing w:line="700" w:lineRule="exact"/>
        <w:ind w:firstLine="281" w:firstLineChars="100"/>
        <w:jc w:val="left"/>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杨再君</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联系电话：</w:t>
      </w:r>
      <w:r>
        <w:rPr>
          <w:rFonts w:ascii="宋体" w:hAnsi="宋体" w:cs="宋体"/>
          <w:b/>
          <w:sz w:val="28"/>
          <w:szCs w:val="28"/>
        </w:rPr>
        <w:t xml:space="preserve"> </w:t>
      </w:r>
      <w:r>
        <w:rPr>
          <w:rFonts w:hint="eastAsia" w:ascii="宋体" w:hAnsi="宋体" w:cs="宋体"/>
          <w:b/>
          <w:sz w:val="28"/>
          <w:szCs w:val="28"/>
          <w:lang w:val="en-US" w:eastAsia="zh-CN"/>
        </w:rPr>
        <w:t>13779250555</w:t>
      </w:r>
    </w:p>
    <w:p>
      <w:pPr>
        <w:spacing w:line="480" w:lineRule="exact"/>
        <w:rPr>
          <w:rFonts w:ascii="宋体" w:hAnsi="宋体" w:cs="宋体"/>
          <w:b/>
          <w:sz w:val="28"/>
          <w:szCs w:val="28"/>
        </w:rPr>
      </w:pPr>
    </w:p>
    <w:p>
      <w:pPr>
        <w:pStyle w:val="12"/>
        <w:ind w:firstLine="562"/>
        <w:rPr>
          <w:rFonts w:ascii="宋体" w:hAnsi="宋体" w:cs="宋体"/>
          <w:b/>
          <w:sz w:val="28"/>
          <w:szCs w:val="28"/>
        </w:rPr>
      </w:pPr>
    </w:p>
    <w:p>
      <w:pPr>
        <w:pStyle w:val="12"/>
        <w:ind w:firstLine="562"/>
        <w:rPr>
          <w:rFonts w:ascii="宋体" w:hAnsi="宋体" w:cs="宋体"/>
          <w:b/>
          <w:sz w:val="28"/>
          <w:szCs w:val="28"/>
        </w:rPr>
      </w:pPr>
    </w:p>
    <w:p>
      <w:pPr>
        <w:spacing w:line="700" w:lineRule="exact"/>
        <w:ind w:firstLine="281" w:firstLineChars="100"/>
        <w:rPr>
          <w:rFonts w:hint="eastAsia" w:ascii="宋体" w:hAnsi="宋体" w:eastAsia="宋体" w:cs="宋体"/>
          <w:b/>
          <w:sz w:val="28"/>
          <w:szCs w:val="28"/>
        </w:rPr>
      </w:pPr>
      <w:r>
        <w:rPr>
          <w:rFonts w:hint="eastAsia" w:ascii="宋体" w:hAnsi="宋体" w:cs="宋体"/>
          <w:b/>
          <w:sz w:val="28"/>
          <w:szCs w:val="28"/>
        </w:rPr>
        <w:t>招标代理机构：</w:t>
      </w:r>
      <w:r>
        <w:rPr>
          <w:rFonts w:hint="eastAsia" w:ascii="宋体" w:hAnsi="宋体" w:eastAsia="宋体" w:cs="宋体"/>
          <w:b/>
          <w:sz w:val="28"/>
          <w:szCs w:val="28"/>
          <w:lang w:val="en-US" w:eastAsia="zh-CN"/>
        </w:rPr>
        <w:t>新疆永盛祥工程招标代理有限公司</w:t>
      </w:r>
      <w:r>
        <w:rPr>
          <w:rFonts w:hint="eastAsia" w:ascii="宋体" w:hAnsi="宋体" w:eastAsia="宋体" w:cs="宋体"/>
          <w:b/>
          <w:sz w:val="28"/>
          <w:szCs w:val="28"/>
        </w:rPr>
        <w:t xml:space="preserve"> </w:t>
      </w:r>
    </w:p>
    <w:p>
      <w:pPr>
        <w:spacing w:line="700" w:lineRule="exact"/>
        <w:ind w:firstLine="281" w:firstLineChars="100"/>
        <w:rPr>
          <w:rFonts w:ascii="宋体" w:hAnsi="宋体" w:cs="宋体"/>
          <w:b/>
          <w:sz w:val="28"/>
          <w:szCs w:val="28"/>
        </w:rPr>
      </w:pPr>
      <w:r>
        <w:rPr>
          <w:rFonts w:hint="eastAsia" w:ascii="宋体" w:hAnsi="宋体" w:cs="宋体"/>
          <w:b/>
          <w:sz w:val="28"/>
          <w:szCs w:val="28"/>
        </w:rPr>
        <w:t>法定代表人或授权委托人（签章）：</w:t>
      </w:r>
    </w:p>
    <w:p>
      <w:pPr>
        <w:spacing w:line="700" w:lineRule="exact"/>
        <w:ind w:firstLine="281" w:firstLineChars="100"/>
        <w:rPr>
          <w:rFonts w:hint="eastAsia" w:ascii="宋体" w:hAnsi="宋体" w:eastAsia="宋体" w:cs="宋体"/>
          <w:b/>
          <w:sz w:val="28"/>
          <w:szCs w:val="28"/>
          <w:lang w:eastAsia="zh-CN"/>
        </w:rPr>
      </w:pPr>
      <w:r>
        <w:rPr>
          <w:rFonts w:hint="eastAsia" w:ascii="宋体" w:hAnsi="宋体" w:cs="宋体"/>
          <w:b/>
          <w:sz w:val="28"/>
          <w:szCs w:val="28"/>
        </w:rPr>
        <w:t xml:space="preserve">联 系 人： </w:t>
      </w:r>
      <w:r>
        <w:rPr>
          <w:rFonts w:hint="eastAsia" w:ascii="宋体" w:hAnsi="宋体" w:cs="宋体"/>
          <w:b/>
          <w:sz w:val="28"/>
          <w:szCs w:val="28"/>
          <w:lang w:eastAsia="zh-CN"/>
        </w:rPr>
        <w:t>罗勇建</w:t>
      </w:r>
    </w:p>
    <w:p>
      <w:pPr>
        <w:spacing w:line="700" w:lineRule="exact"/>
        <w:ind w:firstLine="281" w:firstLineChars="100"/>
        <w:rPr>
          <w:rFonts w:hint="default" w:ascii="宋体" w:hAnsi="宋体" w:eastAsia="宋体" w:cs="宋体"/>
          <w:b/>
          <w:sz w:val="28"/>
          <w:szCs w:val="28"/>
          <w:lang w:val="en-US" w:eastAsia="zh-CN"/>
        </w:rPr>
      </w:pPr>
      <w:r>
        <w:rPr>
          <w:rFonts w:hint="eastAsia" w:ascii="宋体" w:hAnsi="宋体" w:cs="宋体"/>
          <w:b/>
          <w:sz w:val="28"/>
          <w:szCs w:val="28"/>
        </w:rPr>
        <w:t>电    话：</w:t>
      </w:r>
      <w:r>
        <w:rPr>
          <w:rFonts w:hint="eastAsia" w:ascii="宋体" w:hAnsi="宋体" w:cs="宋体"/>
          <w:b/>
          <w:sz w:val="28"/>
          <w:szCs w:val="28"/>
          <w:lang w:val="en-US" w:eastAsia="zh-CN"/>
        </w:rPr>
        <w:t>0994-2363698 18196151648</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联系地址：</w:t>
      </w:r>
      <w:r>
        <w:rPr>
          <w:rFonts w:hint="eastAsia" w:ascii="宋体" w:hAnsi="宋体" w:cs="宋体"/>
          <w:b/>
          <w:color w:val="000000"/>
          <w:sz w:val="28"/>
          <w:szCs w:val="28"/>
        </w:rPr>
        <w:t xml:space="preserve"> </w:t>
      </w:r>
      <w:r>
        <w:rPr>
          <w:rFonts w:hint="eastAsia" w:ascii="宋体" w:hAnsi="宋体" w:cs="宋体"/>
          <w:b/>
          <w:color w:val="000000"/>
          <w:sz w:val="28"/>
          <w:szCs w:val="28"/>
          <w:lang w:val="en-US" w:eastAsia="zh-CN"/>
        </w:rPr>
        <w:t>昌吉市乌伊东路199号时代广场C座1123室</w:t>
      </w:r>
    </w:p>
    <w:p>
      <w:pPr>
        <w:widowControl/>
        <w:spacing w:line="700" w:lineRule="exact"/>
        <w:ind w:firstLine="281" w:firstLineChars="100"/>
        <w:jc w:val="left"/>
        <w:rPr>
          <w:rFonts w:ascii="宋体" w:hAnsi="宋体" w:cs="宋体"/>
          <w:b/>
          <w:sz w:val="28"/>
          <w:szCs w:val="28"/>
        </w:rPr>
      </w:pPr>
    </w:p>
    <w:p>
      <w:pPr>
        <w:spacing w:line="480" w:lineRule="exact"/>
        <w:rPr>
          <w:rFonts w:ascii="宋体" w:hAnsi="宋体" w:cs="宋体"/>
          <w:b/>
          <w:sz w:val="28"/>
          <w:szCs w:val="28"/>
        </w:rPr>
      </w:pPr>
    </w:p>
    <w:p>
      <w:pPr>
        <w:spacing w:line="480" w:lineRule="auto"/>
        <w:jc w:val="center"/>
        <w:rPr>
          <w:rFonts w:hAnsi="宋体"/>
          <w:color w:val="000000"/>
          <w:sz w:val="36"/>
          <w:szCs w:val="36"/>
        </w:rPr>
      </w:pPr>
      <w:bookmarkStart w:id="0" w:name="_Toc7510"/>
      <w:r>
        <w:rPr>
          <w:rFonts w:hint="eastAsia" w:ascii="宋体" w:hAnsi="宋体" w:cs="宋体"/>
          <w:b/>
          <w:bCs/>
          <w:color w:val="000000"/>
          <w:sz w:val="28"/>
          <w:szCs w:val="28"/>
        </w:rPr>
        <w:t>二〇二</w:t>
      </w:r>
      <w:r>
        <w:rPr>
          <w:rFonts w:hint="eastAsia" w:ascii="宋体" w:hAnsi="宋体" w:cs="宋体"/>
          <w:b/>
          <w:bCs/>
          <w:color w:val="000000"/>
          <w:sz w:val="28"/>
          <w:szCs w:val="28"/>
          <w:lang w:eastAsia="zh-CN"/>
        </w:rPr>
        <w:t>二</w:t>
      </w:r>
      <w:r>
        <w:rPr>
          <w:rFonts w:hint="eastAsia" w:ascii="宋体" w:hAnsi="宋体" w:cs="宋体"/>
          <w:b/>
          <w:bCs/>
          <w:color w:val="000000"/>
          <w:sz w:val="28"/>
          <w:szCs w:val="28"/>
        </w:rPr>
        <w:t>年</w:t>
      </w:r>
      <w:r>
        <w:rPr>
          <w:rFonts w:hint="eastAsia" w:ascii="宋体" w:hAnsi="宋体" w:cs="宋体"/>
          <w:b/>
          <w:bCs/>
          <w:color w:val="000000"/>
          <w:sz w:val="28"/>
          <w:szCs w:val="28"/>
          <w:lang w:eastAsia="zh-CN"/>
        </w:rPr>
        <w:t>六</w:t>
      </w:r>
      <w:r>
        <w:rPr>
          <w:rFonts w:hint="eastAsia" w:ascii="宋体" w:hAnsi="宋体" w:cs="宋体"/>
          <w:b/>
          <w:bCs/>
          <w:color w:val="000000"/>
          <w:sz w:val="28"/>
          <w:szCs w:val="28"/>
        </w:rPr>
        <w:t>月</w:t>
      </w:r>
      <w:bookmarkEnd w:id="0"/>
    </w:p>
    <w:p>
      <w:pPr>
        <w:jc w:val="center"/>
        <w:rPr>
          <w:rFonts w:ascii="宋体" w:hAnsi="宋体" w:cs="宋体"/>
          <w:bCs/>
          <w:sz w:val="28"/>
          <w:szCs w:val="28"/>
        </w:rPr>
      </w:pPr>
    </w:p>
    <w:p>
      <w:pPr>
        <w:pStyle w:val="33"/>
        <w:ind w:firstLine="986"/>
        <w:rPr>
          <w:rFonts w:ascii="宋体" w:hAnsi="宋体" w:eastAsia="宋体" w:cs="宋体"/>
          <w:bCs/>
          <w:sz w:val="28"/>
          <w:szCs w:val="28"/>
        </w:rPr>
      </w:pPr>
    </w:p>
    <w:p>
      <w:pPr>
        <w:pStyle w:val="33"/>
        <w:ind w:left="0" w:leftChars="0" w:firstLine="0" w:firstLineChars="0"/>
        <w:rPr>
          <w:rFonts w:ascii="宋体" w:hAnsi="宋体"/>
          <w:b/>
          <w:sz w:val="44"/>
          <w:highlight w:val="white"/>
          <w:lang w:val="zh-CN"/>
        </w:rPr>
        <w:sectPr>
          <w:footerReference r:id="rId3" w:type="default"/>
          <w:pgSz w:w="11906" w:h="16838"/>
          <w:pgMar w:top="1440" w:right="1080" w:bottom="1440" w:left="1080" w:header="851" w:footer="992" w:gutter="0"/>
          <w:pgNumType w:start="1"/>
          <w:cols w:space="425" w:num="1"/>
          <w:docGrid w:linePitch="312" w:charSpace="0"/>
        </w:sectPr>
      </w:pPr>
    </w:p>
    <w:p>
      <w:pPr>
        <w:pStyle w:val="21"/>
        <w:adjustRightInd w:val="0"/>
        <w:snapToGrid w:val="0"/>
        <w:spacing w:line="360" w:lineRule="auto"/>
        <w:jc w:val="center"/>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sdt>
      <w:sdtPr>
        <w:rPr>
          <w:rFonts w:ascii="宋体" w:hAnsi="宋体" w:eastAsia="仿宋_GB2312"/>
          <w:sz w:val="32"/>
          <w:szCs w:val="20"/>
        </w:rPr>
        <w:id w:val="147460987"/>
        <w15:color w:val="DBDBDB"/>
        <w:docPartObj>
          <w:docPartGallery w:val="Table of Contents"/>
          <w:docPartUnique/>
        </w:docPartObj>
      </w:sdtPr>
      <w:sdtEndPr>
        <w:rPr>
          <w:rFonts w:hint="eastAsia" w:ascii="宋体" w:hAnsi="宋体" w:eastAsia="仿宋_GB2312" w:cs="宋体"/>
          <w:spacing w:val="160"/>
          <w:sz w:val="32"/>
          <w:szCs w:val="24"/>
        </w:rPr>
      </w:sdtEndPr>
      <w:sdtContent>
        <w:p>
          <w:pPr>
            <w:jc w:val="center"/>
          </w:pPr>
        </w:p>
        <w:p>
          <w:pPr>
            <w:pStyle w:val="96"/>
            <w:tabs>
              <w:tab w:val="right" w:leader="dot" w:pos="9746"/>
            </w:tabs>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0"/>
              <w:sz w:val="28"/>
              <w:szCs w:val="28"/>
            </w:rPr>
            <w:fldChar w:fldCharType="begin"/>
          </w:r>
          <w:r>
            <w:rPr>
              <w:rFonts w:hint="eastAsia" w:asciiTheme="minorEastAsia" w:hAnsiTheme="minorEastAsia" w:eastAsiaTheme="minorEastAsia" w:cstheme="minorEastAsia"/>
              <w:spacing w:val="160"/>
              <w:sz w:val="28"/>
              <w:szCs w:val="28"/>
            </w:rPr>
            <w:instrText xml:space="preserve">TOC \o "1-1" \h \u </w:instrText>
          </w:r>
          <w:r>
            <w:rPr>
              <w:rFonts w:hint="eastAsia" w:asciiTheme="minorEastAsia" w:hAnsiTheme="minorEastAsia" w:eastAsiaTheme="minorEastAsia" w:cstheme="minorEastAsia"/>
              <w:spacing w:val="160"/>
              <w:sz w:val="28"/>
              <w:szCs w:val="28"/>
            </w:rPr>
            <w:fldChar w:fldCharType="separate"/>
          </w:r>
          <w:r>
            <w:fldChar w:fldCharType="begin"/>
          </w:r>
          <w:r>
            <w:instrText xml:space="preserve"> HYPERLINK \l "_Toc28491" </w:instrText>
          </w:r>
          <w: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96"/>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"_Toc19733"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p>
          <w:pPr>
            <w:pStyle w:val="96"/>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"_Toc10016" </w:instrText>
          </w:r>
          <w:r>
            <w:fldChar w:fldCharType="separate"/>
          </w:r>
          <w:r>
            <w:rPr>
              <w:rFonts w:hint="eastAsia" w:asciiTheme="minorEastAsia" w:hAnsiTheme="minorEastAsia" w:eastAsiaTheme="minorEastAsia" w:cstheme="minorEastAsia"/>
              <w:sz w:val="28"/>
              <w:szCs w:val="28"/>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1</w:t>
          </w:r>
        </w:p>
        <w:p>
          <w:pPr>
            <w:pStyle w:val="96"/>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"_Toc10229" </w:instrText>
          </w:r>
          <w:r>
            <w:fldChar w:fldCharType="separate"/>
          </w:r>
          <w:r>
            <w:rPr>
              <w:rFonts w:hint="eastAsia" w:asciiTheme="minorEastAsia" w:hAnsiTheme="minorEastAsia" w:eastAsiaTheme="minorEastAsia" w:cstheme="minorEastAsia"/>
              <w:sz w:val="28"/>
              <w:szCs w:val="28"/>
            </w:rPr>
            <w:t>第四章 评审方法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2</w:t>
          </w:r>
        </w:p>
        <w:p>
          <w:pPr>
            <w:pStyle w:val="96"/>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"_Toc32004" </w:instrText>
          </w:r>
          <w:r>
            <w:fldChar w:fldCharType="separate"/>
          </w:r>
          <w:r>
            <w:rPr>
              <w:rFonts w:hint="eastAsia" w:asciiTheme="minorEastAsia" w:hAnsiTheme="minorEastAsia" w:eastAsiaTheme="minorEastAsia" w:cstheme="minorEastAsia"/>
              <w:sz w:val="28"/>
              <w:szCs w:val="28"/>
            </w:rPr>
            <w:t>第五章 合同格式及合同条款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pPr>
            <w:pStyle w:val="96"/>
            <w:tabs>
              <w:tab w:val="right" w:leader="dot" w:pos="9746"/>
            </w:tabs>
            <w:spacing w:line="600" w:lineRule="exact"/>
            <w:rPr>
              <w:rFonts w:hint="eastAsia" w:asciiTheme="minorEastAsia" w:hAnsiTheme="minorEastAsia" w:eastAsiaTheme="minorEastAsia" w:cstheme="minorEastAsia"/>
              <w:color w:val="0000FF"/>
              <w:sz w:val="28"/>
              <w:szCs w:val="28"/>
              <w:lang w:val="en-US" w:eastAsia="zh-CN"/>
            </w:rPr>
          </w:pPr>
          <w:r>
            <w:fldChar w:fldCharType="begin"/>
          </w:r>
          <w:r>
            <w:instrText xml:space="preserve"> HYPERLINK \l "_Toc10721" </w:instrText>
          </w:r>
          <w: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pPr>
            <w:pStyle w:val="96"/>
            <w:tabs>
              <w:tab w:val="right" w:leader="dot" w:pos="9746"/>
            </w:tabs>
            <w:spacing w:line="600" w:lineRule="exact"/>
            <w:rPr>
              <w:rFonts w:asciiTheme="minorEastAsia" w:hAnsiTheme="minorEastAsia" w:eastAsiaTheme="minorEastAsia" w:cstheme="minorEastAsia"/>
              <w:sz w:val="28"/>
              <w:szCs w:val="28"/>
            </w:rPr>
          </w:pPr>
        </w:p>
        <w:p>
          <w:pPr>
            <w:pStyle w:val="33"/>
            <w:spacing w:line="600" w:lineRule="exact"/>
            <w:ind w:firstLine="0" w:firstLineChars="0"/>
            <w:rPr>
              <w:rFonts w:ascii="宋体" w:hAnsi="宋体" w:cs="宋体"/>
              <w:spacing w:val="160"/>
              <w:szCs w:val="24"/>
            </w:rPr>
          </w:pPr>
          <w:r>
            <w:rPr>
              <w:rFonts w:hint="eastAsia" w:asciiTheme="minorEastAsia" w:hAnsiTheme="minorEastAsia" w:eastAsiaTheme="minorEastAsia" w:cstheme="minorEastAsia"/>
              <w:spacing w:val="160"/>
              <w:sz w:val="28"/>
              <w:szCs w:val="28"/>
            </w:rPr>
            <w:fldChar w:fldCharType="end"/>
          </w:r>
        </w:p>
      </w:sdtContent>
    </w:sdt>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
        <w:numPr>
          <w:ilvl w:val="0"/>
          <w:numId w:val="1"/>
        </w:numPr>
        <w:spacing w:before="0" w:after="0" w:line="240" w:lineRule="auto"/>
        <w:sectPr>
          <w:footerReference r:id="rId4" w:type="default"/>
          <w:pgSz w:w="11906" w:h="16838"/>
          <w:pgMar w:top="1440" w:right="1080" w:bottom="1440" w:left="1080" w:header="851" w:footer="992" w:gutter="0"/>
          <w:pgNumType w:start="1"/>
          <w:cols w:space="425" w:num="1"/>
          <w:docGrid w:linePitch="312" w:charSpace="0"/>
        </w:sectPr>
      </w:pPr>
      <w:bookmarkStart w:id="1" w:name="_Toc21151"/>
      <w:bookmarkStart w:id="2" w:name="_Toc456718476"/>
    </w:p>
    <w:p>
      <w:pPr>
        <w:pStyle w:val="3"/>
        <w:numPr>
          <w:ilvl w:val="0"/>
          <w:numId w:val="1"/>
        </w:numPr>
        <w:spacing w:before="0" w:after="0" w:line="240" w:lineRule="auto"/>
      </w:pPr>
      <w:r>
        <w:rPr>
          <w:rFonts w:hint="eastAsia"/>
        </w:rPr>
        <w:t xml:space="preserve"> </w:t>
      </w:r>
      <w:bookmarkStart w:id="3" w:name="_Toc4209"/>
      <w:bookmarkStart w:id="4" w:name="_Toc28491"/>
      <w:bookmarkStart w:id="5" w:name="_Toc6006"/>
      <w:r>
        <w:rPr>
          <w:rFonts w:hint="eastAsia"/>
        </w:rPr>
        <w:t>竞争性磋商</w:t>
      </w:r>
      <w:bookmarkEnd w:id="1"/>
      <w:r>
        <w:rPr>
          <w:rFonts w:hint="eastAsia"/>
        </w:rPr>
        <w:t>公告</w:t>
      </w:r>
      <w:bookmarkEnd w:id="3"/>
      <w:bookmarkEnd w:id="4"/>
      <w:bookmarkEnd w:id="5"/>
    </w:p>
    <w:p>
      <w:pPr>
        <w:spacing w:line="500" w:lineRule="exact"/>
        <w:ind w:firstLine="843" w:firstLineChars="300"/>
        <w:jc w:val="center"/>
        <w:rPr>
          <w:rFonts w:hint="eastAsia" w:hAnsi="宋体" w:cs="宋体"/>
          <w:b/>
          <w:bCs/>
          <w:sz w:val="28"/>
          <w:szCs w:val="28"/>
          <w:lang w:eastAsia="zh-CN"/>
        </w:rPr>
      </w:pPr>
      <w:bookmarkStart w:id="6" w:name="_Toc1347"/>
      <w:bookmarkStart w:id="7" w:name="_Toc10571"/>
      <w:r>
        <w:rPr>
          <w:rFonts w:hint="eastAsia" w:hAnsi="宋体" w:cs="宋体"/>
          <w:b/>
          <w:bCs/>
          <w:sz w:val="28"/>
          <w:szCs w:val="28"/>
          <w:lang w:val="en-US" w:eastAsia="zh-CN"/>
        </w:rPr>
        <w:t>木垒县英格堡乡菜籽沟村变压器附属设施建设项目</w:t>
      </w:r>
    </w:p>
    <w:p>
      <w:pPr>
        <w:spacing w:line="500" w:lineRule="exact"/>
        <w:ind w:firstLine="843" w:firstLineChars="300"/>
        <w:jc w:val="center"/>
        <w:rPr>
          <w:rFonts w:hAnsi="宋体" w:cs="宋体"/>
          <w:b/>
          <w:bCs/>
          <w:sz w:val="28"/>
          <w:szCs w:val="28"/>
        </w:rPr>
      </w:pPr>
      <w:r>
        <w:rPr>
          <w:rFonts w:hint="eastAsia" w:hAnsi="宋体" w:cs="宋体"/>
          <w:b/>
          <w:bCs/>
          <w:sz w:val="28"/>
          <w:szCs w:val="28"/>
        </w:rPr>
        <w:t>竞争性磋商公告</w:t>
      </w:r>
    </w:p>
    <w:tbl>
      <w:tblPr>
        <w:tblStyle w:val="34"/>
        <w:tblW w:w="9846" w:type="dxa"/>
        <w:tblInd w:w="-98" w:type="dxa"/>
        <w:tblLayout w:type="fixed"/>
        <w:tblCellMar>
          <w:top w:w="15" w:type="dxa"/>
          <w:left w:w="15" w:type="dxa"/>
          <w:bottom w:w="15" w:type="dxa"/>
          <w:right w:w="15" w:type="dxa"/>
        </w:tblCellMar>
      </w:tblPr>
      <w:tblGrid>
        <w:gridCol w:w="9846"/>
      </w:tblGrid>
      <w:tr>
        <w:tblPrEx>
          <w:tblCellMar>
            <w:top w:w="15" w:type="dxa"/>
            <w:left w:w="15" w:type="dxa"/>
            <w:bottom w:w="15" w:type="dxa"/>
            <w:right w:w="15" w:type="dxa"/>
          </w:tblCellMar>
        </w:tblPrEx>
        <w:trPr>
          <w:trHeight w:val="1305" w:hRule="atLeast"/>
        </w:trPr>
        <w:tc>
          <w:tcPr>
            <w:tcW w:w="98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00" w:lineRule="exact"/>
              <w:rPr>
                <w:rFonts w:cs="宋体"/>
                <w:color w:val="000000"/>
                <w:sz w:val="24"/>
                <w:szCs w:val="24"/>
              </w:rPr>
            </w:pPr>
            <w:r>
              <w:rPr>
                <w:rFonts w:hint="eastAsia" w:cs="宋体"/>
                <w:color w:val="000000"/>
                <w:sz w:val="24"/>
                <w:szCs w:val="24"/>
              </w:rPr>
              <w:t>项目概况：</w:t>
            </w:r>
          </w:p>
          <w:p>
            <w:pPr>
              <w:spacing w:line="500" w:lineRule="exact"/>
              <w:ind w:firstLine="480" w:firstLineChars="200"/>
              <w:rPr>
                <w:rFonts w:ascii="宋体" w:hAnsi="Times New Roman" w:cs="宋体"/>
                <w:color w:val="000000"/>
                <w:sz w:val="24"/>
                <w:szCs w:val="24"/>
              </w:rPr>
            </w:pPr>
            <w:r>
              <w:rPr>
                <w:rFonts w:hint="eastAsia" w:hAnsi="Times New Roman" w:cs="宋体"/>
                <w:sz w:val="24"/>
                <w:szCs w:val="24"/>
                <w:lang w:val="en-US" w:eastAsia="zh-CN"/>
              </w:rPr>
              <w:t>木垒县英格堡乡菜籽沟村变压器附属设施建设项目</w:t>
            </w:r>
            <w:r>
              <w:rPr>
                <w:rFonts w:hint="eastAsia" w:hAnsi="Times New Roman" w:cs="宋体"/>
                <w:sz w:val="24"/>
                <w:szCs w:val="24"/>
              </w:rPr>
              <w:t>的</w:t>
            </w:r>
            <w:r>
              <w:rPr>
                <w:rFonts w:hint="eastAsia" w:cs="宋体"/>
                <w:sz w:val="24"/>
                <w:szCs w:val="24"/>
              </w:rPr>
              <w:t>潜在供应商应</w:t>
            </w:r>
            <w:r>
              <w:rPr>
                <w:rFonts w:hint="eastAsia" w:cs="宋体"/>
                <w:color w:val="000000"/>
                <w:sz w:val="24"/>
                <w:szCs w:val="24"/>
              </w:rPr>
              <w:t>在政采云平台报名成功后获取采购文件，并于</w:t>
            </w:r>
            <w:r>
              <w:rPr>
                <w:rFonts w:hint="eastAsia"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07</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4</w:t>
            </w:r>
            <w:r>
              <w:rPr>
                <w:rFonts w:hint="eastAsia" w:cs="宋体"/>
                <w:color w:val="000000" w:themeColor="text1"/>
                <w:sz w:val="24"/>
                <w:szCs w:val="24"/>
                <w14:textFill>
                  <w14:solidFill>
                    <w14:schemeClr w14:val="tx1"/>
                  </w14:solidFill>
                </w14:textFill>
              </w:rPr>
              <w:t>日</w:t>
            </w:r>
            <w:r>
              <w:rPr>
                <w:rFonts w:hint="eastAsia" w:cs="宋体"/>
                <w:color w:val="000000" w:themeColor="text1"/>
                <w:sz w:val="24"/>
                <w:szCs w:val="24"/>
                <w:lang w:val="en-US" w:eastAsia="zh-CN"/>
                <w14:textFill>
                  <w14:solidFill>
                    <w14:schemeClr w14:val="tx1"/>
                  </w14:solidFill>
                </w14:textFill>
              </w:rPr>
              <w:t>17</w:t>
            </w:r>
            <w:r>
              <w:rPr>
                <w:rFonts w:hint="eastAsia" w:cs="宋体"/>
                <w:color w:val="000000" w:themeColor="text1"/>
                <w:sz w:val="24"/>
                <w:szCs w:val="24"/>
                <w14:textFill>
                  <w14:solidFill>
                    <w14:schemeClr w14:val="tx1"/>
                  </w14:solidFill>
                </w14:textFill>
              </w:rPr>
              <w:t>点</w:t>
            </w:r>
            <w:r>
              <w:rPr>
                <w:rFonts w:hint="eastAsia" w:cs="宋体"/>
                <w:color w:val="000000" w:themeColor="text1"/>
                <w:sz w:val="24"/>
                <w:szCs w:val="24"/>
                <w:lang w:val="en-US" w:eastAsia="zh-CN"/>
                <w14:textFill>
                  <w14:solidFill>
                    <w14:schemeClr w14:val="tx1"/>
                  </w14:solidFill>
                </w14:textFill>
              </w:rPr>
              <w:t>00</w:t>
            </w:r>
            <w:r>
              <w:rPr>
                <w:rFonts w:hint="eastAsia" w:cs="宋体"/>
                <w:color w:val="000000" w:themeColor="text1"/>
                <w:sz w:val="24"/>
                <w:szCs w:val="24"/>
                <w14:textFill>
                  <w14:solidFill>
                    <w14:schemeClr w14:val="tx1"/>
                  </w14:solidFill>
                </w14:textFill>
              </w:rPr>
              <w:t>分（北京时间）</w:t>
            </w:r>
            <w:r>
              <w:rPr>
                <w:rFonts w:hint="eastAsia" w:cs="宋体"/>
                <w:color w:val="000000"/>
                <w:sz w:val="24"/>
                <w:szCs w:val="24"/>
              </w:rPr>
              <w:t>前提交响应文件。</w:t>
            </w:r>
          </w:p>
        </w:tc>
      </w:tr>
    </w:tbl>
    <w:p>
      <w:pPr>
        <w:spacing w:line="400" w:lineRule="exact"/>
        <w:rPr>
          <w:rFonts w:cs="宋体"/>
          <w:b/>
          <w:bCs/>
          <w:color w:val="000000"/>
          <w:sz w:val="24"/>
          <w:szCs w:val="24"/>
        </w:rPr>
      </w:pPr>
      <w:r>
        <w:rPr>
          <w:rFonts w:hint="eastAsia" w:cs="宋体"/>
          <w:b/>
          <w:bCs/>
          <w:color w:val="000000"/>
          <w:sz w:val="24"/>
          <w:szCs w:val="24"/>
        </w:rPr>
        <w:t>一、项目基本情况</w:t>
      </w:r>
    </w:p>
    <w:p>
      <w:pPr>
        <w:spacing w:line="400" w:lineRule="exact"/>
        <w:ind w:firstLine="480" w:firstLineChars="200"/>
        <w:rPr>
          <w:rFonts w:hint="default" w:hAnsi="Times New Roman" w:cs="宋体"/>
          <w:color w:val="000000"/>
          <w:sz w:val="24"/>
          <w:szCs w:val="24"/>
          <w:lang w:val="en-US"/>
        </w:rPr>
      </w:pPr>
      <w:r>
        <w:rPr>
          <w:rFonts w:hint="eastAsia" w:cs="宋体"/>
          <w:color w:val="000000"/>
          <w:sz w:val="24"/>
          <w:szCs w:val="24"/>
        </w:rPr>
        <w:t>项目编</w:t>
      </w:r>
      <w:r>
        <w:rPr>
          <w:rFonts w:hint="eastAsia" w:hAnsi="Times New Roman" w:cs="宋体"/>
          <w:color w:val="000000"/>
          <w:sz w:val="24"/>
          <w:szCs w:val="24"/>
        </w:rPr>
        <w:t>号：</w:t>
      </w:r>
      <w:r>
        <w:rPr>
          <w:rFonts w:hint="eastAsia" w:hAnsi="Times New Roman" w:cs="宋体"/>
          <w:color w:val="000000"/>
          <w:sz w:val="24"/>
          <w:szCs w:val="24"/>
          <w:lang w:val="en-US" w:eastAsia="zh-CN"/>
        </w:rPr>
        <w:t>YSXZB-2022-13-SG</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项目名称：</w:t>
      </w:r>
      <w:r>
        <w:rPr>
          <w:rFonts w:hint="eastAsia" w:cs="宋体"/>
          <w:color w:val="000000"/>
          <w:sz w:val="24"/>
          <w:szCs w:val="24"/>
          <w:lang w:val="en-US" w:eastAsia="zh-CN"/>
        </w:rPr>
        <w:t>木垒县英格堡乡菜籽沟村变压器附属设施建设项目</w:t>
      </w:r>
    </w:p>
    <w:p>
      <w:pPr>
        <w:spacing w:line="400" w:lineRule="exact"/>
        <w:ind w:firstLine="480" w:firstLineChars="200"/>
        <w:rPr>
          <w:rFonts w:cs="宋体"/>
          <w:color w:val="000000"/>
          <w:sz w:val="24"/>
          <w:szCs w:val="24"/>
        </w:rPr>
      </w:pPr>
      <w:r>
        <w:rPr>
          <w:rFonts w:hint="eastAsia" w:cs="宋体"/>
          <w:color w:val="000000"/>
          <w:sz w:val="24"/>
          <w:szCs w:val="24"/>
        </w:rPr>
        <w:t>采购方式：竞争性磋商 </w:t>
      </w:r>
    </w:p>
    <w:p>
      <w:pPr>
        <w:spacing w:line="400" w:lineRule="exact"/>
        <w:ind w:firstLine="480" w:firstLineChars="200"/>
        <w:rPr>
          <w:rFonts w:cs="宋体"/>
          <w:color w:val="000000"/>
          <w:sz w:val="24"/>
          <w:szCs w:val="24"/>
        </w:rPr>
      </w:pPr>
      <w:r>
        <w:rPr>
          <w:rFonts w:hint="eastAsia" w:cs="宋体"/>
          <w:color w:val="000000"/>
          <w:sz w:val="24"/>
          <w:szCs w:val="24"/>
        </w:rPr>
        <w:t>预算金额（元）：</w:t>
      </w:r>
      <w:r>
        <w:rPr>
          <w:rFonts w:hint="eastAsia" w:cs="宋体"/>
          <w:color w:val="000000"/>
          <w:sz w:val="24"/>
          <w:szCs w:val="24"/>
          <w:highlight w:val="none"/>
          <w:lang w:val="en-US" w:eastAsia="zh-CN"/>
        </w:rPr>
        <w:t>500000.00</w:t>
      </w:r>
      <w:r>
        <w:rPr>
          <w:rFonts w:hint="eastAsia" w:cs="宋体"/>
          <w:color w:val="000000"/>
          <w:sz w:val="24"/>
          <w:szCs w:val="24"/>
          <w:highlight w:val="none"/>
        </w:rPr>
        <w:t>元（大写：</w:t>
      </w:r>
      <w:r>
        <w:rPr>
          <w:rFonts w:hint="eastAsia" w:cs="宋体"/>
          <w:color w:val="000000"/>
          <w:sz w:val="24"/>
          <w:szCs w:val="24"/>
          <w:highlight w:val="none"/>
          <w:lang w:eastAsia="zh-CN"/>
        </w:rPr>
        <w:t>伍拾万元整</w:t>
      </w:r>
      <w:r>
        <w:rPr>
          <w:rFonts w:hint="eastAsia" w:cs="宋体"/>
          <w:color w:val="000000"/>
          <w:sz w:val="24"/>
          <w:szCs w:val="24"/>
          <w:highlight w:val="none"/>
        </w:rPr>
        <w:t>）</w:t>
      </w:r>
    </w:p>
    <w:p>
      <w:pPr>
        <w:spacing w:line="400" w:lineRule="exact"/>
        <w:ind w:firstLine="480" w:firstLineChars="200"/>
        <w:rPr>
          <w:rFonts w:cs="宋体"/>
          <w:color w:val="000000"/>
          <w:sz w:val="24"/>
          <w:szCs w:val="24"/>
        </w:rPr>
      </w:pPr>
      <w:r>
        <w:rPr>
          <w:rFonts w:hint="eastAsia" w:cs="宋体"/>
          <w:color w:val="000000"/>
          <w:sz w:val="24"/>
          <w:szCs w:val="24"/>
        </w:rPr>
        <w:t>最高限价（元）：</w:t>
      </w:r>
      <w:r>
        <w:rPr>
          <w:rFonts w:hint="eastAsia" w:cs="宋体"/>
          <w:color w:val="000000"/>
          <w:sz w:val="24"/>
          <w:szCs w:val="24"/>
          <w:highlight w:val="none"/>
          <w:lang w:val="en-US" w:eastAsia="zh-CN"/>
        </w:rPr>
        <w:t xml:space="preserve"> 499991.75 </w:t>
      </w:r>
      <w:r>
        <w:rPr>
          <w:rFonts w:hint="eastAsia" w:cs="宋体"/>
          <w:color w:val="000000"/>
          <w:sz w:val="24"/>
          <w:szCs w:val="24"/>
          <w:highlight w:val="none"/>
        </w:rPr>
        <w:t>元（大写：</w:t>
      </w:r>
      <w:r>
        <w:rPr>
          <w:rFonts w:hint="eastAsia" w:cs="宋体"/>
          <w:color w:val="000000"/>
          <w:sz w:val="24"/>
          <w:szCs w:val="24"/>
          <w:highlight w:val="none"/>
          <w:lang w:eastAsia="zh-CN"/>
        </w:rPr>
        <w:t>肆拾玖万玖仟玖佰玖拾壹元柒角伍分</w:t>
      </w:r>
      <w:r>
        <w:rPr>
          <w:rFonts w:hint="eastAsia" w:cs="宋体"/>
          <w:color w:val="000000"/>
          <w:sz w:val="24"/>
          <w:szCs w:val="24"/>
          <w:highlight w:val="none"/>
        </w:rPr>
        <w:t>）</w:t>
      </w:r>
    </w:p>
    <w:tbl>
      <w:tblPr>
        <w:tblStyle w:val="34"/>
        <w:tblW w:w="9761" w:type="dxa"/>
        <w:tblInd w:w="0" w:type="dxa"/>
        <w:tblLayout w:type="fixed"/>
        <w:tblCellMar>
          <w:top w:w="15" w:type="dxa"/>
          <w:left w:w="15" w:type="dxa"/>
          <w:bottom w:w="15" w:type="dxa"/>
          <w:right w:w="15" w:type="dxa"/>
        </w:tblCellMar>
      </w:tblPr>
      <w:tblGrid>
        <w:gridCol w:w="1093"/>
        <w:gridCol w:w="3030"/>
        <w:gridCol w:w="1050"/>
        <w:gridCol w:w="1020"/>
        <w:gridCol w:w="3568"/>
      </w:tblGrid>
      <w:tr>
        <w:tblPrEx>
          <w:tblCellMar>
            <w:top w:w="15" w:type="dxa"/>
            <w:left w:w="15" w:type="dxa"/>
            <w:bottom w:w="15" w:type="dxa"/>
            <w:right w:w="15" w:type="dxa"/>
          </w:tblCellMar>
        </w:tblPrEx>
        <w:trPr>
          <w:trHeight w:val="581"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标项序号</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标项名称</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数量</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单位</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简要规格描述</w:t>
            </w:r>
          </w:p>
        </w:tc>
      </w:tr>
      <w:tr>
        <w:tblPrEx>
          <w:tblCellMar>
            <w:top w:w="15" w:type="dxa"/>
            <w:left w:w="15" w:type="dxa"/>
            <w:bottom w:w="15" w:type="dxa"/>
            <w:right w:w="15" w:type="dxa"/>
          </w:tblCellMar>
        </w:tblPrEx>
        <w:trPr>
          <w:cantSplit/>
          <w:trHeight w:val="910"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rPr>
                <w:rFonts w:hint="eastAsia" w:ascii="宋体" w:hAnsi="Times New Roman" w:eastAsia="宋体" w:cs="宋体"/>
                <w:color w:val="000000"/>
                <w:sz w:val="24"/>
                <w:szCs w:val="24"/>
                <w:lang w:eastAsia="zh-CN"/>
              </w:rPr>
            </w:pPr>
            <w:r>
              <w:rPr>
                <w:rFonts w:hint="eastAsia" w:ascii="宋体" w:hAnsi="Times New Roman" w:eastAsia="宋体" w:cs="宋体"/>
                <w:color w:val="000000"/>
                <w:sz w:val="24"/>
                <w:szCs w:val="24"/>
                <w:lang w:val="en-US" w:eastAsia="zh-CN"/>
              </w:rPr>
              <w:t>木垒县英格堡乡菜籽沟村变压器附属设施建设项目</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000000"/>
                <w:sz w:val="24"/>
                <w:szCs w:val="24"/>
                <w:lang w:eastAsia="zh-CN"/>
              </w:rPr>
            </w:pPr>
            <w:r>
              <w:rPr>
                <w:rFonts w:hint="eastAsia" w:ascii="宋体" w:hAnsi="Times New Roman" w:cs="宋体"/>
                <w:color w:val="000000"/>
                <w:sz w:val="24"/>
                <w:szCs w:val="24"/>
                <w:lang w:eastAsia="zh-CN"/>
              </w:rPr>
              <w:t>米</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left"/>
              <w:rPr>
                <w:rFonts w:hint="eastAsia" w:ascii="宋体" w:hAnsi="Times New Roman" w:eastAsia="宋体" w:cs="宋体"/>
                <w:color w:val="000000"/>
                <w:sz w:val="24"/>
                <w:szCs w:val="24"/>
                <w:lang w:val="en-US" w:eastAsia="zh-CN"/>
              </w:rPr>
            </w:pPr>
            <w:r>
              <w:rPr>
                <w:rFonts w:hint="eastAsia" w:ascii="宋体" w:hAnsi="Times New Roman" w:eastAsia="宋体" w:cs="宋体"/>
                <w:color w:val="000000"/>
                <w:sz w:val="24"/>
                <w:szCs w:val="24"/>
                <w:lang w:val="en-US" w:eastAsia="zh-CN"/>
              </w:rPr>
              <w:t>780米砖围墙，5000平方房屋粉刷乳胶漆</w:t>
            </w:r>
          </w:p>
        </w:tc>
      </w:tr>
    </w:tbl>
    <w:p>
      <w:pPr>
        <w:adjustRightInd w:val="0"/>
        <w:snapToGrid w:val="0"/>
        <w:spacing w:before="120" w:beforeLines="50"/>
        <w:jc w:val="left"/>
        <w:rPr>
          <w:rFonts w:cs="宋体"/>
          <w:color w:val="000000"/>
          <w:sz w:val="24"/>
          <w:szCs w:val="24"/>
        </w:rPr>
      </w:pPr>
      <w:r>
        <w:rPr>
          <w:rFonts w:hint="eastAsia" w:cs="宋体"/>
          <w:color w:val="000000"/>
          <w:sz w:val="24"/>
          <w:szCs w:val="24"/>
        </w:rPr>
        <w:t>合同履行期限：</w:t>
      </w:r>
      <w:r>
        <w:rPr>
          <w:rFonts w:hint="eastAsia" w:ascii="宋体" w:hAnsi="宋体" w:cs="宋体"/>
          <w:b/>
          <w:bCs/>
          <w:sz w:val="24"/>
          <w:szCs w:val="24"/>
        </w:rPr>
        <w:t>2022年0</w:t>
      </w:r>
      <w:r>
        <w:rPr>
          <w:rFonts w:hint="eastAsia" w:ascii="宋体" w:hAnsi="宋体" w:cs="宋体"/>
          <w:b/>
          <w:bCs/>
          <w:sz w:val="24"/>
          <w:szCs w:val="24"/>
          <w:lang w:val="en-US" w:eastAsia="zh-CN"/>
        </w:rPr>
        <w:t>7</w:t>
      </w:r>
      <w:r>
        <w:rPr>
          <w:rFonts w:hint="eastAsia" w:ascii="宋体" w:hAnsi="宋体" w:cs="宋体"/>
          <w:b/>
          <w:bCs/>
          <w:sz w:val="24"/>
          <w:szCs w:val="24"/>
        </w:rPr>
        <w:t>月</w:t>
      </w:r>
      <w:r>
        <w:rPr>
          <w:rFonts w:hint="eastAsia" w:ascii="宋体" w:hAnsi="宋体" w:cs="宋体"/>
          <w:b/>
          <w:bCs/>
          <w:sz w:val="24"/>
          <w:szCs w:val="24"/>
          <w:lang w:val="en-US" w:eastAsia="zh-CN"/>
        </w:rPr>
        <w:t>8</w:t>
      </w:r>
      <w:r>
        <w:rPr>
          <w:rFonts w:hint="eastAsia" w:ascii="宋体" w:hAnsi="宋体" w:cs="宋体"/>
          <w:b/>
          <w:bCs/>
          <w:sz w:val="24"/>
          <w:szCs w:val="24"/>
        </w:rPr>
        <w:t>日开工，2022年</w:t>
      </w:r>
      <w:r>
        <w:rPr>
          <w:rFonts w:hint="eastAsia" w:ascii="宋体" w:hAnsi="宋体" w:cs="宋体"/>
          <w:b/>
          <w:bCs/>
          <w:sz w:val="24"/>
          <w:szCs w:val="24"/>
          <w:lang w:val="en-US" w:eastAsia="zh-CN"/>
        </w:rPr>
        <w:t>07</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日竣工。工期：</w:t>
      </w:r>
      <w:r>
        <w:rPr>
          <w:rFonts w:hint="eastAsia" w:ascii="宋体" w:hAnsi="宋体" w:cs="宋体"/>
          <w:b/>
          <w:bCs/>
          <w:sz w:val="24"/>
          <w:szCs w:val="24"/>
          <w:lang w:val="en-US" w:eastAsia="zh-CN"/>
        </w:rPr>
        <w:t>15</w:t>
      </w:r>
      <w:r>
        <w:rPr>
          <w:rFonts w:hint="eastAsia" w:ascii="宋体" w:hAnsi="宋体" w:cs="宋体"/>
          <w:b/>
          <w:bCs/>
          <w:sz w:val="24"/>
          <w:szCs w:val="24"/>
        </w:rPr>
        <w:t>天日历日。</w:t>
      </w:r>
    </w:p>
    <w:p>
      <w:pPr>
        <w:spacing w:line="400" w:lineRule="exact"/>
        <w:rPr>
          <w:rFonts w:hint="eastAsia" w:eastAsia="宋体" w:cs="宋体"/>
          <w:b/>
          <w:bCs/>
          <w:color w:val="000000"/>
          <w:sz w:val="24"/>
          <w:szCs w:val="24"/>
          <w:lang w:eastAsia="zh-CN"/>
        </w:rPr>
      </w:pPr>
      <w:r>
        <w:rPr>
          <w:rFonts w:hint="eastAsia" w:cs="宋体"/>
          <w:b/>
          <w:bCs/>
          <w:color w:val="000000"/>
          <w:sz w:val="24"/>
          <w:szCs w:val="24"/>
        </w:rPr>
        <w:t>二、申请人的资格要求：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4"/>
        <w:ind w:firstLine="720" w:firstLineChars="300"/>
        <w:rPr>
          <w:rFonts w:hint="eastAsia" w:eastAsia="宋体"/>
          <w:lang w:eastAsia="zh-CN"/>
        </w:rPr>
      </w:pPr>
      <w:r>
        <w:rPr>
          <w:rFonts w:hint="eastAsia" w:cs="宋体"/>
          <w:color w:val="000000"/>
          <w:sz w:val="24"/>
          <w:szCs w:val="24"/>
          <w:lang w:eastAsia="zh-CN"/>
        </w:rPr>
        <w:t>注：投标报名时需提供上述证件扫描件。</w:t>
      </w:r>
    </w:p>
    <w:p>
      <w:pPr>
        <w:spacing w:line="400" w:lineRule="exact"/>
        <w:rPr>
          <w:rFonts w:cs="宋体"/>
          <w:b/>
          <w:bCs/>
          <w:color w:val="000000"/>
          <w:sz w:val="24"/>
          <w:szCs w:val="24"/>
        </w:rPr>
      </w:pPr>
      <w:r>
        <w:rPr>
          <w:rFonts w:hint="eastAsia" w:cs="宋体"/>
          <w:b/>
          <w:bCs/>
          <w:color w:val="000000"/>
          <w:sz w:val="24"/>
          <w:szCs w:val="24"/>
        </w:rPr>
        <w:t>三、获取竞争性磋商文件方式：</w:t>
      </w:r>
    </w:p>
    <w:p>
      <w:pPr>
        <w:spacing w:line="400" w:lineRule="exact"/>
        <w:ind w:firstLine="480" w:firstLineChars="200"/>
        <w:rPr>
          <w:rFonts w:cs="宋体"/>
          <w:color w:val="FF0000"/>
          <w:sz w:val="24"/>
          <w:szCs w:val="24"/>
        </w:rPr>
      </w:pPr>
      <w:r>
        <w:rPr>
          <w:rFonts w:hint="eastAsia" w:cs="宋体"/>
          <w:color w:val="000000"/>
          <w:sz w:val="24"/>
          <w:szCs w:val="24"/>
        </w:rPr>
        <w:t>时间：</w:t>
      </w:r>
      <w:r>
        <w:rPr>
          <w:rFonts w:hint="eastAsia" w:cs="宋体"/>
          <w:color w:val="000000"/>
          <w:sz w:val="24"/>
          <w:szCs w:val="24"/>
          <w:lang w:val="en-US" w:eastAsia="zh-CN"/>
        </w:rPr>
        <w:t>2022年06月24日10:00(北京时间)至2022年07月1日19:30（北京时间）</w:t>
      </w:r>
      <w:r>
        <w:rPr>
          <w:rFonts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地 点：</w:t>
      </w:r>
      <w:r>
        <w:rPr>
          <w:rFonts w:hint="eastAsia" w:cs="宋体"/>
          <w:color w:val="000000"/>
          <w:sz w:val="24"/>
          <w:szCs w:val="24"/>
          <w:lang w:val="en-US" w:eastAsia="zh-CN"/>
        </w:rPr>
        <w:t xml:space="preserve">新疆永盛祥工程招标代理有限公司（昌吉市乌伊东路199号时代广场C座1123室） </w:t>
      </w:r>
      <w:r>
        <w:rPr>
          <w:rFonts w:hint="eastAsia"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方 式：</w:t>
      </w:r>
      <w:r>
        <w:rPr>
          <w:rFonts w:hint="eastAsia" w:cs="宋体"/>
          <w:color w:val="000000"/>
          <w:sz w:val="24"/>
          <w:szCs w:val="24"/>
          <w:lang w:eastAsia="zh-CN"/>
        </w:rPr>
        <w:t>政采云线上购买</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售价（元）：</w:t>
      </w:r>
      <w:r>
        <w:rPr>
          <w:rFonts w:hint="eastAsia" w:cs="宋体"/>
          <w:color w:val="000000"/>
          <w:sz w:val="24"/>
          <w:szCs w:val="24"/>
          <w:lang w:val="en-US" w:eastAsia="zh-CN"/>
        </w:rPr>
        <w:t>200</w:t>
      </w:r>
    </w:p>
    <w:p>
      <w:pPr>
        <w:spacing w:line="400" w:lineRule="exact"/>
        <w:rPr>
          <w:rFonts w:cs="宋体"/>
          <w:b/>
          <w:bCs/>
          <w:color w:val="000000"/>
          <w:sz w:val="24"/>
          <w:szCs w:val="24"/>
        </w:rPr>
      </w:pPr>
      <w:r>
        <w:rPr>
          <w:rFonts w:hint="eastAsia" w:cs="宋体"/>
          <w:b/>
          <w:bCs/>
          <w:color w:val="000000"/>
          <w:sz w:val="24"/>
          <w:szCs w:val="24"/>
        </w:rPr>
        <w:t>四、响应文件提交</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2022年07月4日17:00（北京时间）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五、响应文件开启</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2022年07月4日17:00（北京时间）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六、公告期限</w:t>
      </w:r>
    </w:p>
    <w:p>
      <w:pPr>
        <w:spacing w:line="400" w:lineRule="exact"/>
        <w:ind w:firstLine="480" w:firstLineChars="200"/>
        <w:rPr>
          <w:rFonts w:cs="宋体"/>
          <w:color w:val="000000"/>
          <w:sz w:val="24"/>
          <w:szCs w:val="24"/>
        </w:rPr>
      </w:pPr>
      <w:r>
        <w:rPr>
          <w:rFonts w:hint="eastAsia" w:cs="宋体"/>
          <w:color w:val="000000"/>
          <w:sz w:val="24"/>
          <w:szCs w:val="24"/>
        </w:rPr>
        <w:t>自</w:t>
      </w:r>
      <w:r>
        <w:rPr>
          <w:rFonts w:hint="eastAsia" w:cs="宋体"/>
          <w:color w:val="000000"/>
          <w:sz w:val="24"/>
          <w:szCs w:val="24"/>
          <w:lang w:eastAsia="zh-CN"/>
        </w:rPr>
        <w:t>本公告发布之日起5个工作日</w:t>
      </w:r>
      <w:r>
        <w:rPr>
          <w:rFonts w:hint="eastAsia" w:cs="宋体"/>
          <w:color w:val="000000"/>
          <w:sz w:val="24"/>
          <w:szCs w:val="24"/>
        </w:rPr>
        <w:t>。</w:t>
      </w:r>
    </w:p>
    <w:p>
      <w:pPr>
        <w:spacing w:line="400" w:lineRule="exact"/>
        <w:rPr>
          <w:rFonts w:cs="宋体"/>
          <w:b/>
          <w:bCs/>
          <w:color w:val="000000"/>
          <w:sz w:val="24"/>
          <w:szCs w:val="24"/>
        </w:rPr>
      </w:pPr>
      <w:r>
        <w:rPr>
          <w:rFonts w:hint="eastAsia" w:cs="宋体"/>
          <w:b/>
          <w:bCs/>
          <w:color w:val="000000"/>
          <w:sz w:val="24"/>
          <w:szCs w:val="24"/>
        </w:rPr>
        <w:t>七、其他补充事宜</w:t>
      </w:r>
    </w:p>
    <w:p>
      <w:pPr>
        <w:spacing w:line="400" w:lineRule="exact"/>
        <w:ind w:firstLine="480" w:firstLineChars="200"/>
        <w:rPr>
          <w:rFonts w:hint="eastAsia" w:eastAsia="宋体" w:cs="宋体"/>
          <w:color w:val="000000"/>
          <w:sz w:val="24"/>
          <w:szCs w:val="24"/>
          <w:lang w:val="en-US" w:eastAsia="zh-CN"/>
        </w:rPr>
      </w:pPr>
      <w:r>
        <w:rPr>
          <w:rFonts w:hint="eastAsia" w:cs="宋体"/>
          <w:color w:val="000000"/>
          <w:sz w:val="24"/>
          <w:szCs w:val="24"/>
        </w:rPr>
        <w:t>1.发布媒介：</w:t>
      </w:r>
      <w:r>
        <w:rPr>
          <w:rFonts w:hint="eastAsia" w:cs="宋体"/>
          <w:color w:val="000000"/>
          <w:sz w:val="24"/>
          <w:szCs w:val="24"/>
          <w:lang w:val="en-US" w:eastAsia="zh-CN"/>
        </w:rPr>
        <w:t>新疆政府采购网、</w:t>
      </w:r>
      <w:r>
        <w:rPr>
          <w:rFonts w:hint="eastAsia" w:cs="宋体"/>
          <w:color w:val="000000"/>
          <w:sz w:val="24"/>
          <w:szCs w:val="24"/>
          <w:lang w:eastAsia="zh-CN"/>
        </w:rPr>
        <w:t>昌吉州公共资源交易网</w:t>
      </w:r>
    </w:p>
    <w:p>
      <w:pPr>
        <w:spacing w:line="400" w:lineRule="exact"/>
        <w:rPr>
          <w:rFonts w:hint="eastAsia" w:cs="宋体"/>
          <w:color w:val="000000"/>
          <w:sz w:val="24"/>
          <w:szCs w:val="24"/>
        </w:rPr>
      </w:pPr>
      <w:r>
        <w:rPr>
          <w:rFonts w:hint="eastAsia" w:cs="宋体"/>
          <w:color w:val="000000"/>
          <w:sz w:val="24"/>
          <w:szCs w:val="24"/>
        </w:rPr>
        <w:t>2.请投标单位随时关注本项目的澄清、答疑、变更事项。</w:t>
      </w:r>
    </w:p>
    <w:p>
      <w:pPr>
        <w:spacing w:line="400" w:lineRule="exact"/>
        <w:rPr>
          <w:rFonts w:cs="宋体"/>
          <w:b/>
          <w:bCs/>
          <w:color w:val="000000"/>
          <w:sz w:val="24"/>
          <w:szCs w:val="24"/>
        </w:rPr>
      </w:pPr>
      <w:r>
        <w:rPr>
          <w:rFonts w:hint="eastAsia" w:cs="宋体"/>
          <w:b/>
          <w:bCs/>
          <w:color w:val="000000"/>
          <w:sz w:val="24"/>
          <w:szCs w:val="24"/>
        </w:rPr>
        <w:t xml:space="preserve">八、对本次采购提出询问，请按以下方式联系 </w:t>
      </w:r>
    </w:p>
    <w:p>
      <w:pPr>
        <w:spacing w:line="400" w:lineRule="exact"/>
        <w:ind w:firstLine="480" w:firstLineChars="200"/>
        <w:rPr>
          <w:rFonts w:cs="宋体"/>
          <w:color w:val="000000"/>
          <w:sz w:val="24"/>
          <w:szCs w:val="24"/>
        </w:rPr>
      </w:pPr>
      <w:r>
        <w:rPr>
          <w:rFonts w:hint="eastAsia" w:cs="宋体"/>
          <w:color w:val="000000"/>
          <w:sz w:val="24"/>
          <w:szCs w:val="24"/>
        </w:rPr>
        <w:t>1、采购人信息</w:t>
      </w:r>
    </w:p>
    <w:p>
      <w:pPr>
        <w:spacing w:line="400" w:lineRule="exact"/>
        <w:ind w:firstLine="480" w:firstLineChars="200"/>
        <w:rPr>
          <w:rFonts w:hint="eastAsia" w:cs="宋体"/>
          <w:color w:val="000000"/>
          <w:sz w:val="24"/>
          <w:szCs w:val="24"/>
        </w:rPr>
      </w:pPr>
      <w:r>
        <w:rPr>
          <w:rFonts w:hint="eastAsia" w:cs="宋体"/>
          <w:color w:val="000000"/>
          <w:sz w:val="24"/>
          <w:szCs w:val="24"/>
          <w:lang w:eastAsia="zh-CN"/>
        </w:rPr>
        <w:t>名称：木垒县英格堡乡人民政府</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杨再君</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联系电话：</w:t>
      </w:r>
      <w:r>
        <w:rPr>
          <w:rFonts w:hint="eastAsia" w:cs="宋体"/>
          <w:color w:val="000000"/>
          <w:sz w:val="24"/>
          <w:szCs w:val="24"/>
          <w:lang w:val="en-US" w:eastAsia="zh-CN"/>
        </w:rPr>
        <w:t>13779250555</w:t>
      </w:r>
    </w:p>
    <w:p>
      <w:pPr>
        <w:spacing w:line="400" w:lineRule="exact"/>
        <w:ind w:firstLine="480" w:firstLineChars="200"/>
        <w:rPr>
          <w:rFonts w:cs="宋体"/>
          <w:color w:val="000000"/>
          <w:sz w:val="24"/>
          <w:szCs w:val="24"/>
        </w:rPr>
      </w:pPr>
      <w:r>
        <w:rPr>
          <w:rFonts w:hint="eastAsia" w:cs="宋体"/>
          <w:color w:val="000000"/>
          <w:sz w:val="24"/>
          <w:szCs w:val="24"/>
        </w:rPr>
        <w:t>2、采购代理机构信息</w:t>
      </w:r>
    </w:p>
    <w:p>
      <w:pPr>
        <w:spacing w:line="400" w:lineRule="exact"/>
        <w:ind w:firstLine="480" w:firstLineChars="200"/>
        <w:rPr>
          <w:rFonts w:cs="宋体"/>
          <w:color w:val="000000"/>
          <w:sz w:val="24"/>
          <w:szCs w:val="24"/>
        </w:rPr>
      </w:pPr>
      <w:r>
        <w:rPr>
          <w:rFonts w:hint="eastAsia" w:cs="宋体"/>
          <w:color w:val="000000"/>
          <w:sz w:val="24"/>
          <w:szCs w:val="24"/>
          <w:lang w:eastAsia="zh-CN"/>
        </w:rPr>
        <w:t>名称</w:t>
      </w:r>
      <w:r>
        <w:rPr>
          <w:rFonts w:hint="eastAsia" w:cs="宋体"/>
          <w:color w:val="000000"/>
          <w:sz w:val="24"/>
          <w:szCs w:val="24"/>
        </w:rPr>
        <w:t>：</w:t>
      </w:r>
      <w:r>
        <w:rPr>
          <w:rFonts w:hint="eastAsia" w:cs="宋体"/>
          <w:color w:val="000000"/>
          <w:sz w:val="24"/>
          <w:szCs w:val="24"/>
          <w:lang w:val="en-US" w:eastAsia="zh-CN"/>
        </w:rPr>
        <w:t>新疆永盛祥工程招标代理有限公司</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罗勇建</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电    话：</w:t>
      </w:r>
      <w:r>
        <w:rPr>
          <w:rFonts w:hint="eastAsia" w:cs="宋体"/>
          <w:color w:val="000000"/>
          <w:sz w:val="24"/>
          <w:szCs w:val="24"/>
          <w:lang w:val="en-US" w:eastAsia="zh-CN"/>
        </w:rPr>
        <w:t>0994-2363698     18196151648</w:t>
      </w:r>
    </w:p>
    <w:p>
      <w:pPr>
        <w:spacing w:line="400" w:lineRule="exact"/>
        <w:ind w:firstLine="480" w:firstLineChars="200"/>
        <w:rPr>
          <w:rFonts w:cs="宋体"/>
          <w:color w:val="FF0000"/>
          <w:sz w:val="24"/>
          <w:szCs w:val="24"/>
        </w:rPr>
      </w:pPr>
      <w:r>
        <w:rPr>
          <w:rFonts w:hint="eastAsia" w:cs="宋体"/>
          <w:color w:val="000000"/>
          <w:sz w:val="24"/>
          <w:szCs w:val="24"/>
        </w:rPr>
        <w:t>联系地址：</w:t>
      </w:r>
      <w:r>
        <w:rPr>
          <w:rFonts w:hint="eastAsia" w:cs="宋体"/>
          <w:color w:val="000000"/>
          <w:sz w:val="24"/>
          <w:szCs w:val="24"/>
          <w:lang w:val="en-US" w:eastAsia="zh-CN"/>
        </w:rPr>
        <w:t>昌吉市乌伊东路199号时代广场C座1123室</w:t>
      </w:r>
    </w:p>
    <w:p>
      <w:pPr>
        <w:pStyle w:val="3"/>
        <w:numPr>
          <w:ilvl w:val="0"/>
          <w:numId w:val="1"/>
        </w:numPr>
        <w:spacing w:before="0" w:after="0" w:line="240" w:lineRule="auto"/>
      </w:pPr>
      <w:bookmarkStart w:id="8" w:name="_Toc21077"/>
      <w:bookmarkStart w:id="9" w:name="_Toc136"/>
      <w:bookmarkStart w:id="10" w:name="_Toc19733"/>
      <w:r>
        <w:rPr>
          <w:rFonts w:hint="eastAsia"/>
        </w:rPr>
        <w:t>供应商须知</w:t>
      </w:r>
      <w:bookmarkEnd w:id="6"/>
      <w:bookmarkEnd w:id="7"/>
      <w:bookmarkEnd w:id="8"/>
      <w:bookmarkEnd w:id="9"/>
      <w:bookmarkEnd w:id="10"/>
      <w:bookmarkStart w:id="11" w:name="_Toc21720"/>
    </w:p>
    <w:p>
      <w:pPr>
        <w:pStyle w:val="4"/>
      </w:pPr>
      <w:r>
        <w:rPr>
          <w:rFonts w:hint="eastAsia"/>
        </w:rPr>
        <w:t>供应商须知前附表</w:t>
      </w:r>
      <w:bookmarkEnd w:id="11"/>
    </w:p>
    <w:tbl>
      <w:tblPr>
        <w:tblStyle w:val="34"/>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11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序列号</w:t>
            </w:r>
          </w:p>
        </w:tc>
        <w:tc>
          <w:tcPr>
            <w:tcW w:w="264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条款名称</w:t>
            </w:r>
          </w:p>
        </w:tc>
        <w:tc>
          <w:tcPr>
            <w:tcW w:w="6038"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项目名称</w:t>
            </w:r>
          </w:p>
        </w:tc>
        <w:tc>
          <w:tcPr>
            <w:tcW w:w="6038" w:type="dxa"/>
            <w:vAlign w:val="center"/>
          </w:tcPr>
          <w:p>
            <w:pPr>
              <w:adjustRightInd w:val="0"/>
              <w:snapToGrid w:val="0"/>
              <w:spacing w:before="120" w:beforeLines="5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木垒县英格堡乡菜籽沟村变压器附属设施建设项目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采购人</w:t>
            </w:r>
          </w:p>
        </w:tc>
        <w:tc>
          <w:tcPr>
            <w:tcW w:w="6038" w:type="dxa"/>
            <w:vAlign w:val="center"/>
          </w:tcPr>
          <w:p>
            <w:pPr>
              <w:adjustRightInd w:val="0"/>
              <w:snapToGrid w:val="0"/>
              <w:spacing w:before="120" w:beforeLines="50"/>
              <w:jc w:val="left"/>
              <w:rPr>
                <w:rFonts w:hint="eastAsia" w:cs="宋体"/>
                <w:color w:val="000000"/>
                <w:sz w:val="24"/>
                <w:szCs w:val="24"/>
              </w:rPr>
            </w:pPr>
            <w:r>
              <w:rPr>
                <w:rFonts w:hint="eastAsia" w:cs="宋体"/>
                <w:color w:val="000000"/>
                <w:sz w:val="24"/>
                <w:szCs w:val="24"/>
                <w:lang w:eastAsia="zh-CN"/>
              </w:rPr>
              <w:t>名称：木垒县英格堡乡人民政府</w:t>
            </w:r>
          </w:p>
          <w:p>
            <w:pPr>
              <w:adjustRightInd w:val="0"/>
              <w:snapToGrid w:val="0"/>
              <w:spacing w:before="120" w:beforeLines="50"/>
              <w:jc w:val="left"/>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杨再君</w:t>
            </w:r>
          </w:p>
          <w:p>
            <w:pPr>
              <w:adjustRightInd w:val="0"/>
              <w:snapToGrid w:val="0"/>
              <w:spacing w:before="120" w:beforeLines="50"/>
              <w:jc w:val="left"/>
              <w:rPr>
                <w:rFonts w:ascii="宋体" w:hAnsi="宋体" w:cs="宋体"/>
                <w:sz w:val="24"/>
                <w:szCs w:val="24"/>
              </w:rPr>
            </w:pPr>
            <w:r>
              <w:rPr>
                <w:rFonts w:hint="eastAsia" w:cs="宋体"/>
                <w:color w:val="000000"/>
                <w:sz w:val="24"/>
                <w:szCs w:val="24"/>
              </w:rPr>
              <w:t>联系电话：</w:t>
            </w:r>
            <w:r>
              <w:rPr>
                <w:rFonts w:hint="eastAsia" w:ascii="宋体" w:hAnsi="宋体" w:cs="宋体"/>
                <w:sz w:val="24"/>
                <w:szCs w:val="24"/>
                <w:lang w:val="en-US" w:eastAsia="zh-CN"/>
              </w:rPr>
              <w:t>13779250555</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采购代理机构</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lang w:val="en-US" w:eastAsia="zh-CN"/>
              </w:rPr>
              <w:t>新疆永盛祥工程招标代理有限公司</w:t>
            </w:r>
          </w:p>
          <w:p>
            <w:pPr>
              <w:adjustRightInd w:val="0"/>
              <w:snapToGrid w:val="0"/>
              <w:spacing w:before="120" w:beforeLines="50"/>
              <w:jc w:val="left"/>
              <w:rPr>
                <w:rFonts w:hint="eastAsia" w:ascii="宋体" w:hAnsi="宋体" w:cs="宋体"/>
                <w:sz w:val="24"/>
                <w:szCs w:val="24"/>
                <w:lang w:eastAsia="zh-CN"/>
              </w:rPr>
            </w:pPr>
            <w:r>
              <w:rPr>
                <w:rFonts w:hint="eastAsia" w:ascii="宋体" w:hAnsi="宋体" w:cs="宋体"/>
                <w:sz w:val="24"/>
                <w:szCs w:val="24"/>
              </w:rPr>
              <w:t xml:space="preserve">联 系 人： </w:t>
            </w:r>
            <w:r>
              <w:rPr>
                <w:rFonts w:hint="eastAsia" w:ascii="宋体" w:hAnsi="宋体" w:cs="宋体"/>
                <w:sz w:val="24"/>
                <w:szCs w:val="24"/>
                <w:lang w:eastAsia="zh-CN"/>
              </w:rPr>
              <w:t>罗勇建</w:t>
            </w:r>
          </w:p>
          <w:p>
            <w:pPr>
              <w:adjustRightInd w:val="0"/>
              <w:snapToGrid w:val="0"/>
              <w:spacing w:before="120" w:beforeLines="50"/>
              <w:jc w:val="left"/>
              <w:rPr>
                <w:rFonts w:hint="default" w:ascii="宋体" w:hAnsi="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0994-2363698 18196151648</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联系地址：</w:t>
            </w:r>
            <w:r>
              <w:rPr>
                <w:rFonts w:hint="eastAsia" w:ascii="宋体" w:hAnsi="宋体" w:cs="宋体"/>
                <w:sz w:val="24"/>
                <w:szCs w:val="24"/>
                <w:lang w:val="en-US" w:eastAsia="zh-CN"/>
              </w:rPr>
              <w:t>昌吉市乌伊东路199号时代广场C座1123室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供应商资格条件</w:t>
            </w:r>
          </w:p>
        </w:tc>
        <w:tc>
          <w:tcPr>
            <w:tcW w:w="6038" w:type="dxa"/>
            <w:vAlign w:val="center"/>
          </w:tcPr>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rPr>
                <w:rFonts w:ascii="宋体" w:hAnsi="宋体" w:cs="宋体"/>
                <w:sz w:val="24"/>
                <w:szCs w:val="24"/>
              </w:rPr>
            </w:pPr>
            <w:r>
              <w:rPr>
                <w:rFonts w:hint="eastAsia" w:cs="宋体"/>
                <w:color w:val="000000"/>
                <w:sz w:val="24"/>
                <w:szCs w:val="24"/>
                <w:lang w:eastAsia="zh-CN"/>
              </w:rPr>
              <w:t>注：投标报名时需提供上述证件扫描件。</w:t>
            </w:r>
            <w:r>
              <w:rPr>
                <w:rFonts w:hint="eastAsia" w:cs="宋体"/>
                <w:color w:val="000000"/>
                <w:sz w:val="24"/>
                <w:szCs w:val="24"/>
              </w:rPr>
              <w:t xml:space="preserve">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1.9.1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现场考察</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分包</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实质性要求和条件是否允许偏离</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3.4.8</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★预算金额</w:t>
            </w:r>
          </w:p>
        </w:tc>
        <w:tc>
          <w:tcPr>
            <w:tcW w:w="6038" w:type="dxa"/>
            <w:vAlign w:val="center"/>
          </w:tcPr>
          <w:p>
            <w:pPr>
              <w:adjustRightInd w:val="0"/>
              <w:snapToGrid w:val="0"/>
              <w:spacing w:before="120" w:beforeLines="50"/>
              <w:jc w:val="left"/>
              <w:rPr>
                <w:rFonts w:ascii="宋体" w:hAnsi="宋体" w:cs="宋体"/>
                <w:sz w:val="24"/>
                <w:szCs w:val="24"/>
                <w:lang w:val="zh-CN"/>
              </w:rPr>
            </w:pPr>
            <w:r>
              <w:rPr>
                <w:rFonts w:hint="eastAsia" w:ascii="宋体" w:hAnsi="宋体" w:cs="宋体"/>
                <w:sz w:val="24"/>
                <w:szCs w:val="24"/>
                <w:lang w:val="zh-CN"/>
              </w:rPr>
              <w:t>金额（小写）：</w:t>
            </w:r>
            <w:r>
              <w:rPr>
                <w:rFonts w:hint="eastAsia" w:ascii="宋体" w:hAnsi="宋体" w:cs="宋体"/>
                <w:sz w:val="24"/>
                <w:szCs w:val="24"/>
                <w:lang w:val="en-US" w:eastAsia="zh-CN"/>
              </w:rPr>
              <w:t>500000.00元</w:t>
            </w:r>
            <w:r>
              <w:rPr>
                <w:rFonts w:hint="eastAsia" w:ascii="宋体" w:hAnsi="宋体" w:cs="宋体"/>
                <w:sz w:val="24"/>
                <w:szCs w:val="24"/>
              </w:rPr>
              <w:t xml:space="preserve"> </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val="zh-CN"/>
              </w:rPr>
              <w:t>金额（大写）：伍拾万元整</w:t>
            </w:r>
          </w:p>
          <w:p>
            <w:pPr>
              <w:adjustRightInd w:val="0"/>
              <w:snapToGrid w:val="0"/>
              <w:spacing w:before="120" w:beforeLines="50"/>
              <w:jc w:val="left"/>
              <w:rPr>
                <w:rFonts w:hint="eastAsia" w:ascii="宋体" w:hAnsi="宋体" w:eastAsia="宋体" w:cs="宋体"/>
                <w:sz w:val="24"/>
                <w:szCs w:val="24"/>
                <w:lang w:val="en-US" w:eastAsia="zh-CN"/>
              </w:rPr>
            </w:pPr>
            <w:r>
              <w:rPr>
                <w:rFonts w:hint="eastAsia" w:ascii="宋体" w:hAnsi="宋体" w:cs="宋体"/>
                <w:b/>
                <w:bCs/>
                <w:sz w:val="24"/>
                <w:szCs w:val="24"/>
              </w:rPr>
              <w:t>本项目设有最高限价</w:t>
            </w:r>
            <w:r>
              <w:rPr>
                <w:rFonts w:hint="eastAsia" w:ascii="宋体" w:hAnsi="宋体" w:cs="宋体"/>
                <w:sz w:val="24"/>
                <w:szCs w:val="24"/>
              </w:rPr>
              <w:t>：</w:t>
            </w:r>
            <w:r>
              <w:rPr>
                <w:rFonts w:hint="eastAsia" w:ascii="宋体" w:hAnsi="宋体" w:cs="宋体"/>
                <w:sz w:val="24"/>
                <w:szCs w:val="24"/>
                <w:lang w:val="en-US" w:eastAsia="zh-CN"/>
              </w:rPr>
              <w:t>499991.75 元</w:t>
            </w:r>
            <w:r>
              <w:rPr>
                <w:rFonts w:hint="eastAsia" w:cs="宋体"/>
                <w:color w:val="000000"/>
                <w:sz w:val="24"/>
                <w:szCs w:val="24"/>
              </w:rPr>
              <w:t>（大写：</w:t>
            </w:r>
            <w:r>
              <w:rPr>
                <w:rFonts w:hint="eastAsia" w:cs="宋体"/>
                <w:color w:val="000000"/>
                <w:sz w:val="24"/>
                <w:szCs w:val="24"/>
                <w:lang w:eastAsia="zh-CN"/>
              </w:rPr>
              <w:t>肆拾玖万玖仟玖佰玖拾壹元柒角伍分</w:t>
            </w:r>
            <w:r>
              <w:rPr>
                <w:rFonts w:hint="eastAsia" w:cs="宋体"/>
                <w:color w:val="000000"/>
                <w:sz w:val="24"/>
                <w:szCs w:val="24"/>
              </w:rPr>
              <w:t>）</w:t>
            </w:r>
            <w:r>
              <w:rPr>
                <w:rFonts w:hint="eastAsia" w:ascii="宋体" w:hAnsi="宋体" w:cs="宋体"/>
                <w:sz w:val="24"/>
                <w:szCs w:val="24"/>
                <w:lang w:val="en-US" w:eastAsia="zh-CN"/>
              </w:rPr>
              <w:t>（超出最高限价做废标处理）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3.4.9</w:t>
            </w:r>
          </w:p>
        </w:tc>
        <w:tc>
          <w:tcPr>
            <w:tcW w:w="2647" w:type="dxa"/>
            <w:vAlign w:val="center"/>
          </w:tcPr>
          <w:p>
            <w:pPr>
              <w:adjustRightInd w:val="0"/>
              <w:snapToGrid w:val="0"/>
              <w:spacing w:before="120" w:beforeLines="50"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工期要求</w:t>
            </w:r>
          </w:p>
        </w:tc>
        <w:tc>
          <w:tcPr>
            <w:tcW w:w="6038" w:type="dxa"/>
            <w:vAlign w:val="center"/>
          </w:tcPr>
          <w:p>
            <w:pPr>
              <w:adjustRightInd w:val="0"/>
              <w:snapToGrid w:val="0"/>
              <w:spacing w:before="120" w:beforeLines="50"/>
              <w:jc w:val="left"/>
              <w:rPr>
                <w:rFonts w:hint="eastAsia" w:ascii="宋体" w:hAnsi="宋体" w:cs="宋体"/>
                <w:b/>
                <w:bCs/>
                <w:sz w:val="24"/>
                <w:szCs w:val="24"/>
              </w:rPr>
            </w:pPr>
            <w:r>
              <w:rPr>
                <w:rFonts w:hint="eastAsia" w:ascii="宋体" w:hAnsi="宋体" w:cs="宋体"/>
                <w:b/>
                <w:bCs/>
                <w:sz w:val="24"/>
                <w:szCs w:val="24"/>
              </w:rPr>
              <w:t>计划：2022年0</w:t>
            </w:r>
            <w:r>
              <w:rPr>
                <w:rFonts w:hint="eastAsia" w:ascii="宋体" w:hAnsi="宋体" w:cs="宋体"/>
                <w:b/>
                <w:bCs/>
                <w:sz w:val="24"/>
                <w:szCs w:val="24"/>
                <w:lang w:val="en-US" w:eastAsia="zh-CN"/>
              </w:rPr>
              <w:t>7</w:t>
            </w:r>
            <w:r>
              <w:rPr>
                <w:rFonts w:hint="eastAsia" w:ascii="宋体" w:hAnsi="宋体" w:cs="宋体"/>
                <w:b/>
                <w:bCs/>
                <w:sz w:val="24"/>
                <w:szCs w:val="24"/>
              </w:rPr>
              <w:t>月</w:t>
            </w:r>
            <w:r>
              <w:rPr>
                <w:rFonts w:hint="eastAsia" w:ascii="宋体" w:hAnsi="宋体" w:cs="宋体"/>
                <w:b/>
                <w:bCs/>
                <w:sz w:val="24"/>
                <w:szCs w:val="24"/>
                <w:lang w:val="en-US" w:eastAsia="zh-CN"/>
              </w:rPr>
              <w:t>8</w:t>
            </w:r>
            <w:r>
              <w:rPr>
                <w:rFonts w:hint="eastAsia" w:ascii="宋体" w:hAnsi="宋体" w:cs="宋体"/>
                <w:b/>
                <w:bCs/>
                <w:sz w:val="24"/>
                <w:szCs w:val="24"/>
              </w:rPr>
              <w:t>日开工，2022年</w:t>
            </w:r>
            <w:r>
              <w:rPr>
                <w:rFonts w:hint="eastAsia" w:ascii="宋体" w:hAnsi="宋体" w:cs="宋体"/>
                <w:b/>
                <w:bCs/>
                <w:sz w:val="24"/>
                <w:szCs w:val="24"/>
                <w:lang w:val="en-US" w:eastAsia="zh-CN"/>
              </w:rPr>
              <w:t>07</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日竣工。</w:t>
            </w:r>
          </w:p>
          <w:p>
            <w:pPr>
              <w:adjustRightInd w:val="0"/>
              <w:snapToGrid w:val="0"/>
              <w:spacing w:before="120" w:beforeLines="50"/>
              <w:jc w:val="left"/>
              <w:rPr>
                <w:rFonts w:ascii="宋体" w:hAnsi="宋体" w:cs="宋体"/>
                <w:b/>
                <w:bCs/>
                <w:sz w:val="24"/>
                <w:szCs w:val="24"/>
              </w:rPr>
            </w:pPr>
            <w:r>
              <w:rPr>
                <w:rFonts w:hint="eastAsia" w:ascii="宋体" w:hAnsi="宋体" w:cs="宋体"/>
                <w:b/>
                <w:bCs/>
                <w:sz w:val="24"/>
                <w:szCs w:val="24"/>
              </w:rPr>
              <w:t>工期：</w:t>
            </w:r>
            <w:r>
              <w:rPr>
                <w:rFonts w:hint="eastAsia" w:ascii="宋体" w:hAnsi="宋体" w:cs="宋体"/>
                <w:b/>
                <w:bCs/>
                <w:sz w:val="24"/>
                <w:szCs w:val="24"/>
                <w:lang w:val="en-US" w:eastAsia="zh-CN"/>
              </w:rPr>
              <w:t>15</w:t>
            </w:r>
            <w:r>
              <w:rPr>
                <w:rFonts w:hint="eastAsia" w:ascii="宋体" w:hAnsi="宋体" w:cs="宋体"/>
                <w:b/>
                <w:bCs/>
                <w:sz w:val="24"/>
                <w:szCs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备选方案</w:t>
            </w:r>
          </w:p>
        </w:tc>
        <w:tc>
          <w:tcPr>
            <w:tcW w:w="6038" w:type="dxa"/>
            <w:vAlign w:val="center"/>
          </w:tcPr>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不接受            </w:t>
            </w:r>
          </w:p>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3.6.1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磋商保证金</w:t>
            </w:r>
          </w:p>
        </w:tc>
        <w:tc>
          <w:tcPr>
            <w:tcW w:w="6038" w:type="dxa"/>
            <w:vAlign w:val="center"/>
          </w:tcPr>
          <w:p>
            <w:pPr>
              <w:pStyle w:val="4"/>
              <w:jc w:val="left"/>
              <w:rPr>
                <w:rFonts w:hint="eastAsia"/>
                <w:color w:val="auto"/>
                <w:sz w:val="24"/>
                <w:szCs w:val="24"/>
                <w:lang w:val="en-US" w:eastAsia="zh-CN"/>
              </w:rPr>
            </w:pPr>
            <w:r>
              <w:rPr>
                <w:rFonts w:hint="eastAsia"/>
                <w:color w:val="auto"/>
                <w:sz w:val="24"/>
                <w:szCs w:val="24"/>
                <w:lang w:val="en-US" w:eastAsia="zh-CN"/>
              </w:rPr>
              <w:t>磋商保证金的金额：10000.00元（人民币）。</w:t>
            </w:r>
          </w:p>
          <w:p>
            <w:pPr>
              <w:pStyle w:val="4"/>
              <w:jc w:val="left"/>
              <w:rPr>
                <w:rFonts w:hint="eastAsia"/>
                <w:color w:val="auto"/>
                <w:sz w:val="24"/>
                <w:szCs w:val="24"/>
                <w:lang w:val="en-US" w:eastAsia="zh-CN"/>
              </w:rPr>
            </w:pPr>
            <w:r>
              <w:rPr>
                <w:rFonts w:hint="eastAsia"/>
                <w:color w:val="auto"/>
                <w:sz w:val="24"/>
                <w:szCs w:val="24"/>
                <w:lang w:val="en-US" w:eastAsia="zh-CN"/>
              </w:rPr>
              <w:t xml:space="preserve">投标保证金的形式：电汇（由投标人基本帐户一次性汇入） </w:t>
            </w:r>
          </w:p>
          <w:p>
            <w:pPr>
              <w:pStyle w:val="4"/>
              <w:jc w:val="left"/>
              <w:rPr>
                <w:rFonts w:hint="eastAsia"/>
                <w:color w:val="auto"/>
                <w:sz w:val="24"/>
                <w:szCs w:val="24"/>
                <w:lang w:val="en-US" w:eastAsia="zh-CN"/>
              </w:rPr>
            </w:pPr>
            <w:r>
              <w:rPr>
                <w:rFonts w:hint="eastAsia"/>
                <w:color w:val="auto"/>
                <w:sz w:val="24"/>
                <w:szCs w:val="24"/>
                <w:lang w:val="en-US" w:eastAsia="zh-CN"/>
              </w:rPr>
              <w:t>投标保证金的递交截止时间为：2022年07月04日17时00分（该时间为投标保证金最终到账时间）</w:t>
            </w:r>
          </w:p>
          <w:p>
            <w:pPr>
              <w:pStyle w:val="4"/>
              <w:jc w:val="left"/>
              <w:rPr>
                <w:rFonts w:hint="eastAsia"/>
                <w:color w:val="auto"/>
                <w:sz w:val="24"/>
                <w:szCs w:val="24"/>
                <w:lang w:val="en-US" w:eastAsia="zh-CN"/>
              </w:rPr>
            </w:pPr>
            <w:r>
              <w:rPr>
                <w:rFonts w:hint="eastAsia"/>
                <w:color w:val="auto"/>
                <w:sz w:val="24"/>
                <w:szCs w:val="24"/>
                <w:lang w:val="en-US" w:eastAsia="zh-CN"/>
              </w:rPr>
              <w:t>户名：新疆永盛祥工程招标代理有限公司</w:t>
            </w:r>
          </w:p>
          <w:p>
            <w:pPr>
              <w:pStyle w:val="4"/>
              <w:jc w:val="left"/>
              <w:rPr>
                <w:rFonts w:hint="eastAsia"/>
                <w:color w:val="auto"/>
                <w:sz w:val="24"/>
                <w:szCs w:val="24"/>
                <w:lang w:val="en-US" w:eastAsia="zh-CN"/>
              </w:rPr>
            </w:pPr>
            <w:r>
              <w:rPr>
                <w:rFonts w:hint="eastAsia"/>
                <w:color w:val="auto"/>
                <w:sz w:val="24"/>
                <w:szCs w:val="24"/>
                <w:lang w:val="en-US" w:eastAsia="zh-CN"/>
              </w:rPr>
              <w:t>账号：65050110180100000274</w:t>
            </w:r>
          </w:p>
          <w:p>
            <w:pPr>
              <w:pStyle w:val="4"/>
              <w:jc w:val="left"/>
              <w:rPr>
                <w:rFonts w:hint="eastAsia"/>
                <w:color w:val="auto"/>
                <w:lang w:val="en-US" w:eastAsia="zh-CN"/>
              </w:rPr>
            </w:pPr>
            <w:r>
              <w:rPr>
                <w:rFonts w:hint="eastAsia"/>
                <w:color w:val="auto"/>
                <w:sz w:val="24"/>
                <w:szCs w:val="24"/>
                <w:lang w:val="en-US" w:eastAsia="zh-CN"/>
              </w:rPr>
              <w:t>开户行名称：中国建设银行股份有限公司昌吉屯河路支行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3.7.1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sz w:val="28"/>
                <w:szCs w:val="28"/>
              </w:rPr>
              <w:t>★</w:t>
            </w:r>
            <w:r>
              <w:rPr>
                <w:rFonts w:hint="eastAsia" w:ascii="宋体" w:hAnsi="宋体" w:cs="宋体"/>
                <w:b/>
                <w:bCs/>
                <w:sz w:val="24"/>
                <w:szCs w:val="24"/>
              </w:rPr>
              <w:t>磋商有效期</w:t>
            </w:r>
          </w:p>
        </w:tc>
        <w:tc>
          <w:tcPr>
            <w:tcW w:w="6038" w:type="dxa"/>
            <w:vAlign w:val="center"/>
          </w:tcPr>
          <w:p>
            <w:pPr>
              <w:ind w:left="520" w:leftChars="1" w:hanging="518" w:hangingChars="216"/>
              <w:rPr>
                <w:rFonts w:ascii="宋体" w:hAnsi="宋体" w:cs="宋体"/>
                <w:color w:val="auto"/>
                <w:sz w:val="24"/>
                <w:szCs w:val="24"/>
              </w:rPr>
            </w:pPr>
            <w:r>
              <w:rPr>
                <w:rFonts w:hint="eastAsia" w:ascii="宋体" w:hAnsi="宋体" w:cs="宋体"/>
                <w:color w:val="auto"/>
                <w:sz w:val="24"/>
                <w:szCs w:val="24"/>
              </w:rPr>
              <w:t xml:space="preserve"> 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4.1.1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cs="宋体"/>
                <w:b/>
                <w:bCs/>
                <w:sz w:val="24"/>
                <w:szCs w:val="24"/>
              </w:rPr>
              <w:t>响应文件份数</w:t>
            </w:r>
          </w:p>
        </w:tc>
        <w:tc>
          <w:tcPr>
            <w:tcW w:w="6038" w:type="dxa"/>
            <w:vAlign w:val="center"/>
          </w:tcPr>
          <w:p>
            <w:pPr>
              <w:autoSpaceDE w:val="0"/>
              <w:autoSpaceDN w:val="0"/>
              <w:adjustRightInd w:val="0"/>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电子版投标文件政采云网上上传。</w:t>
            </w:r>
          </w:p>
          <w:p>
            <w:pPr>
              <w:autoSpaceDE w:val="0"/>
              <w:autoSpaceDN w:val="0"/>
              <w:adjustRightInd w:val="0"/>
              <w:rPr>
                <w:rFonts w:ascii="宋体" w:hAnsi="宋体" w:cs="宋体"/>
                <w:color w:val="auto"/>
                <w:sz w:val="24"/>
                <w:szCs w:val="24"/>
              </w:rPr>
            </w:pPr>
            <w:r>
              <w:rPr>
                <w:rFonts w:hint="eastAsia" w:ascii="宋体" w:hAnsi="宋体" w:cs="宋体"/>
                <w:b w:val="0"/>
                <w:bCs w:val="0"/>
                <w:color w:val="auto"/>
                <w:kern w:val="0"/>
                <w:sz w:val="24"/>
                <w:szCs w:val="24"/>
                <w:lang w:eastAsia="zh-CN"/>
              </w:rPr>
              <w:t>项目开标结束后，前三名中标候选人需提供叁份纸质投标文件至招标代理机构（可邮寄）；</w:t>
            </w:r>
            <w:r>
              <w:rPr>
                <w:rFonts w:hint="eastAsia" w:ascii="宋体" w:hAnsi="宋体" w:cs="宋体"/>
                <w:color w:val="auto"/>
                <w:kern w:val="0"/>
                <w:sz w:val="24"/>
                <w:szCs w:val="24"/>
              </w:rPr>
              <w:t>注：不分册装订，采用</w:t>
            </w:r>
            <w:r>
              <w:rPr>
                <w:rFonts w:hint="eastAsia" w:ascii="宋体" w:hAnsi="宋体" w:cs="宋体"/>
                <w:b/>
                <w:bCs/>
                <w:color w:val="auto"/>
                <w:kern w:val="0"/>
                <w:sz w:val="24"/>
                <w:szCs w:val="24"/>
                <w:u w:val="single"/>
              </w:rPr>
              <w:t>死页胶装</w:t>
            </w:r>
            <w:r>
              <w:rPr>
                <w:rFonts w:hint="eastAsia" w:ascii="宋体" w:hAnsi="宋体" w:cs="宋体"/>
                <w:color w:val="auto"/>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磋商时间及地点</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val="en-US" w:eastAsia="zh-CN"/>
              </w:rPr>
              <w:t>2022年07月4日17:00（北京时间）</w:t>
            </w:r>
            <w:r>
              <w:rPr>
                <w:rFonts w:ascii="宋体" w:hAnsi="宋体" w:cs="宋体"/>
                <w:sz w:val="24"/>
                <w:szCs w:val="24"/>
              </w:rPr>
              <w:t xml:space="preserve"> </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政采云网上全流程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117" w:type="dxa"/>
            <w:vMerge w:val="restart"/>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查验内容</w:t>
            </w:r>
          </w:p>
        </w:tc>
        <w:tc>
          <w:tcPr>
            <w:tcW w:w="6038" w:type="dxa"/>
            <w:vAlign w:val="center"/>
          </w:tcPr>
          <w:p>
            <w:pPr>
              <w:spacing w:line="400" w:lineRule="exact"/>
              <w:rPr>
                <w:rFonts w:hint="eastAsia" w:ascii="宋体" w:hAnsi="宋体" w:cs="宋体"/>
                <w:sz w:val="24"/>
                <w:lang w:eastAsia="zh-CN"/>
              </w:rPr>
            </w:pPr>
            <w:r>
              <w:rPr>
                <w:rFonts w:hint="eastAsia" w:ascii="宋体" w:hAnsi="宋体" w:cs="宋体"/>
                <w:sz w:val="24"/>
                <w:lang w:eastAsia="zh-CN"/>
              </w:rPr>
              <w:t>政采云网上验证：</w:t>
            </w:r>
          </w:p>
          <w:p>
            <w:pPr>
              <w:spacing w:line="400" w:lineRule="exact"/>
              <w:rPr>
                <w:rFonts w:ascii="宋体" w:hAnsi="宋体" w:cs="宋体"/>
                <w:sz w:val="24"/>
                <w:szCs w:val="24"/>
              </w:rPr>
            </w:pPr>
            <w:r>
              <w:rPr>
                <w:rFonts w:hint="eastAsia" w:ascii="宋体" w:hAnsi="Times New Roman" w:cs="宋体"/>
                <w:color w:val="000000"/>
                <w:sz w:val="24"/>
                <w:szCs w:val="24"/>
              </w:rPr>
              <w:t>（1）营业执照；（2）法人代表或其委托代理人身份证，《法人代表授权委托书》（3）</w:t>
            </w:r>
            <w:r>
              <w:rPr>
                <w:rFonts w:hint="eastAsia" w:ascii="宋体" w:hAnsi="Times New Roman" w:cs="宋体"/>
                <w:color w:val="000000"/>
                <w:sz w:val="24"/>
                <w:szCs w:val="24"/>
                <w:lang w:eastAsia="zh-CN"/>
              </w:rPr>
              <w:t>市政公用工程</w:t>
            </w:r>
            <w:r>
              <w:rPr>
                <w:rFonts w:hint="eastAsia" w:cs="宋体"/>
                <w:color w:val="000000"/>
                <w:sz w:val="24"/>
                <w:szCs w:val="24"/>
                <w:lang w:eastAsia="zh-CN"/>
              </w:rPr>
              <w:t>施工总承包叁</w:t>
            </w:r>
            <w:r>
              <w:rPr>
                <w:rFonts w:hint="eastAsia" w:cs="宋体"/>
                <w:color w:val="000000"/>
                <w:sz w:val="24"/>
                <w:szCs w:val="24"/>
              </w:rPr>
              <w:t>级及以上资质</w:t>
            </w:r>
            <w:r>
              <w:rPr>
                <w:rFonts w:hint="eastAsia" w:cs="宋体"/>
                <w:color w:val="000000"/>
                <w:sz w:val="24"/>
                <w:szCs w:val="24"/>
                <w:lang w:eastAsia="zh-CN"/>
              </w:rPr>
              <w:t>证书、安全生产许可证、建造师</w:t>
            </w:r>
            <w:r>
              <w:rPr>
                <w:rFonts w:hint="eastAsia" w:cs="宋体"/>
                <w:color w:val="000000"/>
                <w:sz w:val="24"/>
                <w:szCs w:val="24"/>
                <w:lang w:val="en-US" w:eastAsia="zh-CN"/>
              </w:rPr>
              <w:t>注册</w:t>
            </w:r>
            <w:r>
              <w:rPr>
                <w:rFonts w:hint="eastAsia" w:cs="宋体"/>
                <w:color w:val="000000"/>
                <w:sz w:val="24"/>
                <w:szCs w:val="24"/>
                <w:lang w:eastAsia="zh-CN"/>
              </w:rPr>
              <w:t>证、建造师</w:t>
            </w:r>
            <w:r>
              <w:rPr>
                <w:rFonts w:hint="eastAsia" w:cs="宋体"/>
                <w:color w:val="000000"/>
                <w:sz w:val="24"/>
                <w:szCs w:val="24"/>
                <w:lang w:val="en-US" w:eastAsia="zh-CN"/>
              </w:rPr>
              <w:t>在本单位注册且具备有效的安全生产考核合格证书（B类）</w:t>
            </w:r>
            <w:r>
              <w:rPr>
                <w:rFonts w:hint="eastAsia" w:cs="宋体"/>
                <w:color w:val="000000"/>
                <w:sz w:val="24"/>
                <w:szCs w:val="24"/>
              </w:rPr>
              <w:t>；</w:t>
            </w:r>
            <w:r>
              <w:rPr>
                <w:rFonts w:hint="eastAsia" w:ascii="宋体" w:hAnsi="Times New Roman" w:cs="宋体"/>
                <w:color w:val="000000"/>
                <w:sz w:val="24"/>
                <w:szCs w:val="24"/>
              </w:rPr>
              <w:t>（4）盖有社保局公章的社保缴纳证明（需有</w:t>
            </w:r>
            <w:r>
              <w:rPr>
                <w:rFonts w:hint="eastAsia" w:ascii="宋体" w:hAnsi="Times New Roman" w:cs="宋体"/>
                <w:color w:val="000000"/>
                <w:sz w:val="24"/>
                <w:szCs w:val="24"/>
                <w:lang w:val="en-US" w:eastAsia="zh-CN"/>
              </w:rPr>
              <w:t>建造师</w:t>
            </w:r>
            <w:r>
              <w:rPr>
                <w:rFonts w:hint="eastAsia" w:ascii="宋体" w:hAnsi="Times New Roman" w:cs="宋体"/>
                <w:color w:val="000000"/>
                <w:sz w:val="24"/>
                <w:szCs w:val="24"/>
              </w:rPr>
              <w:t>近6个月的社保缴纳明细）；（5）“信用中国”网站和中国政府采购网的查询结果的截图打印件加盖公章（打印时间须在报名至开标截止时间内）。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7" w:type="dxa"/>
            <w:vMerge w:val="continue"/>
            <w:vAlign w:val="center"/>
          </w:tcPr>
          <w:p>
            <w:pPr>
              <w:adjustRightInd w:val="0"/>
              <w:snapToGrid w:val="0"/>
              <w:spacing w:before="120" w:beforeLines="50"/>
              <w:jc w:val="center"/>
              <w:rPr>
                <w:rFonts w:ascii="宋体" w:hAnsi="宋体" w:cs="宋体"/>
                <w:b/>
                <w:bCs/>
                <w:sz w:val="24"/>
                <w:szCs w:val="24"/>
              </w:rPr>
            </w:pPr>
          </w:p>
        </w:tc>
        <w:tc>
          <w:tcPr>
            <w:tcW w:w="2647" w:type="dxa"/>
            <w:vAlign w:val="center"/>
          </w:tcPr>
          <w:p>
            <w:pPr>
              <w:spacing w:before="120" w:line="360" w:lineRule="auto"/>
              <w:jc w:val="center"/>
              <w:rPr>
                <w:rFonts w:ascii="宋体" w:hAnsi="宋体" w:cs="宋体"/>
                <w:b/>
                <w:bCs/>
                <w:sz w:val="24"/>
                <w:szCs w:val="24"/>
              </w:rPr>
            </w:pPr>
            <w:r>
              <w:rPr>
                <w:rFonts w:hint="eastAsia" w:ascii="宋体" w:hAnsi="宋体" w:cs="宋体"/>
                <w:b/>
                <w:bCs/>
                <w:sz w:val="24"/>
                <w:szCs w:val="24"/>
              </w:rPr>
              <w:t>是否公开开启响应文件</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b/>
                <w:bCs/>
                <w:color w:val="auto"/>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6.1.1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磋商小组的组建及确定方式</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招标采购单位依法组建磋商小组共</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 xml:space="preserve"> </w:t>
            </w:r>
            <w:r>
              <w:rPr>
                <w:rFonts w:hint="eastAsia" w:ascii="宋体" w:hAnsi="宋体" w:cs="宋体"/>
                <w:color w:val="auto"/>
                <w:sz w:val="24"/>
                <w:szCs w:val="24"/>
              </w:rPr>
              <w:t>人组成，其中采购人代表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 xml:space="preserve"> </w:t>
            </w:r>
            <w:r>
              <w:rPr>
                <w:rFonts w:hint="eastAsia" w:ascii="宋体" w:hAnsi="宋体" w:cs="宋体"/>
                <w:color w:val="auto"/>
                <w:sz w:val="24"/>
                <w:szCs w:val="24"/>
              </w:rPr>
              <w:t>人和专家评委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5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人。</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小组确定方式：</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政府采购云平台线上自行抽取 </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1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7.1.3</w:t>
            </w:r>
          </w:p>
        </w:tc>
        <w:tc>
          <w:tcPr>
            <w:tcW w:w="264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成网交结果公告媒介</w:t>
            </w:r>
          </w:p>
        </w:tc>
        <w:tc>
          <w:tcPr>
            <w:tcW w:w="6038" w:type="dxa"/>
            <w:vAlign w:val="center"/>
          </w:tcPr>
          <w:p>
            <w:pPr>
              <w:adjustRightInd w:val="0"/>
              <w:snapToGrid w:val="0"/>
              <w:spacing w:before="120" w:beforeLines="50"/>
              <w:jc w:val="left"/>
              <w:rPr>
                <w:rFonts w:hint="default" w:ascii="宋体" w:hAnsi="宋体" w:eastAsia="宋体" w:cs="宋体"/>
                <w:sz w:val="24"/>
                <w:szCs w:val="24"/>
                <w:highlight w:val="none"/>
                <w:lang w:val="en-US" w:eastAsia="zh-CN"/>
              </w:rPr>
            </w:pPr>
            <w:r>
              <w:rPr>
                <w:rFonts w:hint="eastAsia"/>
                <w:sz w:val="24"/>
                <w:highlight w:val="none"/>
              </w:rPr>
              <w:t>新疆政府采购网</w:t>
            </w:r>
            <w:r>
              <w:rPr>
                <w:rFonts w:hint="eastAsia"/>
                <w:sz w:val="24"/>
                <w:highlight w:val="none"/>
                <w:lang w:eastAsia="zh-CN"/>
              </w:rPr>
              <w:t>、</w:t>
            </w:r>
            <w:r>
              <w:rPr>
                <w:rFonts w:hint="eastAsia"/>
                <w:sz w:val="24"/>
                <w:highlight w:val="none"/>
                <w:lang w:val="en-US" w:eastAsia="zh-CN"/>
              </w:rPr>
              <w:t>昌吉州公共资源交易网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7" w:type="dxa"/>
          </w:tcPr>
          <w:p>
            <w:pPr>
              <w:spacing w:line="440" w:lineRule="exact"/>
              <w:rPr>
                <w:rFonts w:ascii="宋体" w:hAnsi="宋体" w:cs="宋体"/>
                <w:b/>
                <w:bCs/>
                <w:sz w:val="24"/>
              </w:rPr>
            </w:pPr>
          </w:p>
          <w:p>
            <w:pPr>
              <w:pStyle w:val="32"/>
              <w:ind w:firstLine="210"/>
            </w:pPr>
          </w:p>
          <w:p>
            <w:pPr>
              <w:spacing w:line="440" w:lineRule="exact"/>
              <w:jc w:val="center"/>
              <w:rPr>
                <w:rFonts w:ascii="宋体" w:hAnsi="宋体" w:cs="宋体"/>
                <w:b/>
                <w:bCs/>
                <w:sz w:val="24"/>
                <w:szCs w:val="24"/>
              </w:rPr>
            </w:pPr>
            <w:r>
              <w:rPr>
                <w:rFonts w:hint="eastAsia" w:ascii="宋体" w:hAnsi="宋体" w:cs="宋体"/>
                <w:b/>
                <w:bCs/>
                <w:sz w:val="24"/>
              </w:rPr>
              <w:t>7.2.1</w:t>
            </w:r>
          </w:p>
        </w:tc>
        <w:tc>
          <w:tcPr>
            <w:tcW w:w="8685"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ascii="宋体" w:hAnsi="宋体" w:cs="宋体"/>
                <w:kern w:val="0"/>
                <w:sz w:val="24"/>
                <w:szCs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17" w:type="dxa"/>
          </w:tcPr>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szCs w:val="24"/>
              </w:rPr>
            </w:pPr>
            <w:r>
              <w:rPr>
                <w:rFonts w:hint="eastAsia" w:ascii="宋体" w:hAnsi="宋体" w:cs="宋体"/>
                <w:b/>
                <w:bCs/>
                <w:sz w:val="24"/>
              </w:rPr>
              <w:t>7.2.2</w:t>
            </w:r>
          </w:p>
        </w:tc>
        <w:tc>
          <w:tcPr>
            <w:tcW w:w="8685" w:type="dxa"/>
            <w:gridSpan w:val="2"/>
          </w:tcPr>
          <w:p>
            <w:pPr>
              <w:spacing w:line="440" w:lineRule="exact"/>
              <w:rPr>
                <w:rFonts w:ascii="宋体" w:hAnsi="宋体" w:cs="宋体"/>
                <w:b/>
                <w:sz w:val="24"/>
              </w:rPr>
            </w:pPr>
            <w:r>
              <w:rPr>
                <w:rFonts w:hint="eastAsia" w:ascii="宋体" w:hAnsi="宋体" w:cs="宋体"/>
                <w:b/>
                <w:sz w:val="24"/>
              </w:rPr>
              <w:t>解释权:</w:t>
            </w:r>
          </w:p>
          <w:p>
            <w:pPr>
              <w:spacing w:line="440" w:lineRule="exact"/>
              <w:rPr>
                <w:rFonts w:ascii="宋体" w:hAnsi="宋体" w:cs="宋体"/>
                <w:kern w:val="0"/>
                <w:sz w:val="24"/>
                <w:szCs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7.2.3</w:t>
            </w:r>
          </w:p>
        </w:tc>
        <w:tc>
          <w:tcPr>
            <w:tcW w:w="8685" w:type="dxa"/>
            <w:gridSpan w:val="2"/>
          </w:tcPr>
          <w:p>
            <w:pPr>
              <w:spacing w:line="440" w:lineRule="exact"/>
              <w:jc w:val="left"/>
              <w:rPr>
                <w:rFonts w:ascii="宋体" w:hAnsi="宋体" w:cs="宋体"/>
                <w:sz w:val="24"/>
              </w:rPr>
            </w:pPr>
            <w:r>
              <w:rPr>
                <w:rFonts w:hint="eastAsia" w:ascii="宋体" w:hAnsi="宋体" w:cs="宋体"/>
                <w:sz w:val="24"/>
              </w:rPr>
              <w:t>重大违法记录：</w:t>
            </w:r>
          </w:p>
          <w:p>
            <w:pPr>
              <w:numPr>
                <w:ilvl w:val="0"/>
                <w:numId w:val="2"/>
              </w:numPr>
              <w:spacing w:line="440" w:lineRule="exact"/>
              <w:jc w:val="left"/>
            </w:pPr>
            <w:r>
              <w:rPr>
                <w:rFonts w:hint="eastAsia" w:ascii="宋体" w:hAnsi="宋体" w:cs="宋体"/>
                <w:sz w:val="24"/>
              </w:rPr>
              <w:t>供应商因违法经营受到刑事处罚或者责令停产停业、吊销许可证或者执照、较大数额罚款等行政处罚；</w:t>
            </w:r>
          </w:p>
          <w:p>
            <w:pPr>
              <w:numPr>
                <w:ilvl w:val="0"/>
                <w:numId w:val="2"/>
              </w:numPr>
              <w:spacing w:line="440" w:lineRule="exact"/>
              <w:jc w:val="left"/>
              <w:rPr>
                <w:rFonts w:ascii="宋体" w:hAnsi="宋体" w:cs="宋体"/>
                <w:sz w:val="24"/>
              </w:rPr>
            </w:pPr>
            <w:r>
              <w:rPr>
                <w:rFonts w:hint="eastAsia" w:ascii="宋体" w:hAnsi="宋体" w:cs="宋体"/>
                <w:sz w:val="24"/>
              </w:rPr>
              <w:t>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w:t>
            </w:r>
          </w:p>
          <w:p>
            <w:pPr>
              <w:spacing w:line="440" w:lineRule="exact"/>
              <w:jc w:val="left"/>
              <w:rPr>
                <w:rFonts w:ascii="宋体" w:hAnsi="宋体" w:cs="宋体"/>
                <w:kern w:val="0"/>
                <w:sz w:val="24"/>
                <w:szCs w:val="24"/>
              </w:rPr>
            </w:pPr>
            <w:r>
              <w:rPr>
                <w:rFonts w:hint="eastAsia" w:ascii="宋体" w:hAnsi="宋体" w:cs="宋体"/>
                <w:sz w:val="24"/>
              </w:rPr>
              <w:t>3、县级及以上行政主管部门文件明确记《不良行为记录》的情形。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7.2.4</w:t>
            </w:r>
          </w:p>
        </w:tc>
        <w:tc>
          <w:tcPr>
            <w:tcW w:w="8685" w:type="dxa"/>
            <w:gridSpan w:val="2"/>
          </w:tcPr>
          <w:p>
            <w:pPr>
              <w:spacing w:line="440" w:lineRule="exact"/>
              <w:rPr>
                <w:rFonts w:ascii="宋体" w:hAnsi="宋体" w:cs="宋体"/>
                <w:color w:val="000000"/>
                <w:sz w:val="24"/>
              </w:rPr>
            </w:pPr>
            <w:r>
              <w:rPr>
                <w:rFonts w:hint="eastAsia" w:ascii="宋体" w:hAnsi="宋体" w:cs="宋体"/>
                <w:color w:val="000000"/>
                <w:sz w:val="24"/>
              </w:rPr>
              <w:t>履约担保的形式：支票、汇票、银行转账或银行保函、工程保证保险等</w:t>
            </w:r>
          </w:p>
          <w:p>
            <w:pPr>
              <w:spacing w:line="440" w:lineRule="exact"/>
              <w:jc w:val="left"/>
              <w:rPr>
                <w:rFonts w:ascii="宋体" w:hAnsi="宋体" w:cs="宋体"/>
                <w:kern w:val="0"/>
                <w:sz w:val="24"/>
                <w:szCs w:val="24"/>
              </w:rPr>
            </w:pPr>
            <w:r>
              <w:rPr>
                <w:rFonts w:hint="eastAsia" w:ascii="宋体" w:hAnsi="宋体" w:cs="宋体"/>
                <w:color w:val="auto"/>
                <w:sz w:val="24"/>
              </w:rPr>
              <w:t>履约保证金：合同价款的</w:t>
            </w:r>
            <w:r>
              <w:rPr>
                <w:rFonts w:hint="eastAsia" w:ascii="宋体" w:hAnsi="宋体" w:cs="宋体"/>
                <w:color w:val="auto"/>
                <w:sz w:val="24"/>
                <w:lang w:val="en-US" w:eastAsia="zh-CN"/>
              </w:rPr>
              <w:t>10</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kern w:val="0"/>
                <w:sz w:val="24"/>
              </w:rPr>
              <w:t>注意事项</w:t>
            </w:r>
          </w:p>
        </w:tc>
        <w:tc>
          <w:tcPr>
            <w:tcW w:w="8685" w:type="dxa"/>
            <w:gridSpan w:val="2"/>
            <w:vAlign w:val="center"/>
          </w:tcPr>
          <w:p>
            <w:pPr>
              <w:spacing w:line="440" w:lineRule="exact"/>
              <w:jc w:val="center"/>
              <w:rPr>
                <w:rFonts w:hint="eastAsia" w:ascii="宋体" w:hAnsi="宋体" w:cs="宋体"/>
                <w:bCs/>
                <w:sz w:val="24"/>
              </w:rPr>
            </w:pPr>
            <w:r>
              <w:rPr>
                <w:rFonts w:hint="eastAsia" w:ascii="宋体" w:hAnsi="宋体" w:cs="宋体"/>
                <w:bCs/>
                <w:sz w:val="24"/>
              </w:rPr>
              <w:t>注：无论何种原因，即使投标人开标时携带了证书材料的，但在投标文件中未提供与之内容完全一致的扫描</w:t>
            </w:r>
            <w:r>
              <w:rPr>
                <w:rFonts w:ascii="宋体" w:hAnsi="宋体" w:cs="宋体"/>
                <w:bCs/>
                <w:sz w:val="24"/>
              </w:rPr>
              <w:t>复印</w:t>
            </w:r>
            <w:r>
              <w:rPr>
                <w:rFonts w:hint="eastAsia" w:ascii="宋体" w:hAnsi="宋体" w:cs="宋体"/>
                <w:bCs/>
                <w:sz w:val="24"/>
              </w:rPr>
              <w:t>件的，评标委员会可以视同其未提供。</w:t>
            </w:r>
          </w:p>
          <w:p>
            <w:pPr>
              <w:spacing w:line="440" w:lineRule="exact"/>
              <w:jc w:val="both"/>
              <w:rPr>
                <w:rFonts w:hint="eastAsia" w:ascii="宋体" w:hAnsi="宋体" w:eastAsia="宋体" w:cs="宋体"/>
                <w:kern w:val="0"/>
                <w:sz w:val="24"/>
                <w:szCs w:val="24"/>
                <w:lang w:eastAsia="zh-CN"/>
              </w:rPr>
            </w:pPr>
            <w:r>
              <w:rPr>
                <w:rFonts w:hint="eastAsia" w:ascii="宋体" w:hAnsi="宋体" w:cs="宋体"/>
                <w:b/>
                <w:bCs w:val="0"/>
                <w:sz w:val="24"/>
                <w:lang w:eastAsia="zh-CN"/>
              </w:rPr>
              <w:t>本次磋商共有两次报价机会，以最终报价为准，按照比例调整工程量清单各子项。</w:t>
            </w:r>
          </w:p>
        </w:tc>
      </w:tr>
    </w:tbl>
    <w:p>
      <w:pPr>
        <w:spacing w:line="440" w:lineRule="exact"/>
        <w:rPr>
          <w:rFonts w:ascii="宋体" w:hAnsi="宋体" w:cs="宋体"/>
          <w:b/>
          <w:bCs/>
          <w:kern w:val="0"/>
          <w:sz w:val="24"/>
        </w:rPr>
      </w:pPr>
    </w:p>
    <w:p>
      <w:pPr>
        <w:spacing w:line="440" w:lineRule="exact"/>
        <w:rPr>
          <w:rFonts w:ascii="宋体" w:hAnsi="宋体" w:cs="宋体"/>
          <w:kern w:val="0"/>
          <w:sz w:val="24"/>
        </w:r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p>
    <w:p>
      <w:pPr>
        <w:rPr>
          <w:sz w:val="32"/>
          <w:szCs w:val="32"/>
        </w:rPr>
        <w:sectPr>
          <w:footerReference r:id="rId5" w:type="default"/>
          <w:pgSz w:w="11906" w:h="16838"/>
          <w:pgMar w:top="1440" w:right="1080" w:bottom="1440" w:left="1080" w:header="851" w:footer="992" w:gutter="0"/>
          <w:pgNumType w:start="1"/>
          <w:cols w:space="425" w:num="1"/>
          <w:docGrid w:linePitch="312" w:charSpace="0"/>
        </w:sect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2"/>
    <w:p>
      <w:pPr>
        <w:pStyle w:val="4"/>
        <w:spacing w:line="400" w:lineRule="exact"/>
      </w:pPr>
      <w:bookmarkStart w:id="12" w:name="_Toc16938518"/>
      <w:bookmarkEnd w:id="12"/>
      <w:bookmarkStart w:id="13" w:name="_Toc20823274"/>
      <w:bookmarkEnd w:id="13"/>
      <w:bookmarkStart w:id="14" w:name="_Toc455227390"/>
      <w:bookmarkEnd w:id="14"/>
      <w:bookmarkStart w:id="15" w:name="_Toc513029202"/>
      <w:bookmarkEnd w:id="15"/>
      <w:bookmarkStart w:id="16" w:name="_Toc120614213"/>
      <w:bookmarkEnd w:id="16"/>
      <w:bookmarkStart w:id="17" w:name="_Toc20759"/>
      <w:bookmarkStart w:id="18" w:name="_Toc1621"/>
      <w:r>
        <w:rPr>
          <w:rFonts w:hint="eastAsia"/>
        </w:rPr>
        <w:t>一、说明</w:t>
      </w:r>
      <w:bookmarkEnd w:id="17"/>
      <w:bookmarkEnd w:id="18"/>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1.3服务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1.3.1“服务”是指：除货物和工程以外的其他政府采购对象。包括：政府自身需要的服务和政府向社会公众提供的公共服务。</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1.4.1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1.4.2凡为本采购项目提供整体设计、规范编制或者项目管理、监理、检测等服务的供应商，不得参加报价。</w:t>
      </w:r>
    </w:p>
    <w:p>
      <w:pPr>
        <w:spacing w:line="360" w:lineRule="auto"/>
        <w:ind w:firstLine="420"/>
        <w:rPr>
          <w:rFonts w:ascii="宋体" w:hAnsi="宋体" w:cs="宋体"/>
          <w:sz w:val="24"/>
        </w:rPr>
      </w:pPr>
      <w:r>
        <w:rPr>
          <w:rFonts w:hint="eastAsia" w:ascii="宋体" w:hAnsi="宋体" w:cs="宋体"/>
          <w:sz w:val="24"/>
        </w:rPr>
        <w:t>1.4.3一个供应商只能提交一个响应文件。但如果不同供应商之间的单位负责人为同一人或者存在直接控股、管理关系的，均作无效报价处理。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1.4.4供应商存在下列情形之一的，将被认定为围标串标串通报价行为并作无效报价处理：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spacing w:line="360" w:lineRule="auto"/>
        <w:ind w:firstLine="420"/>
        <w:rPr>
          <w:rFonts w:ascii="宋体" w:hAnsi="宋体" w:cs="宋体"/>
          <w:sz w:val="24"/>
        </w:rPr>
      </w:pPr>
      <w:r>
        <w:rPr>
          <w:rFonts w:hint="eastAsia" w:ascii="宋体" w:hAnsi="宋体" w:cs="宋体"/>
          <w:sz w:val="24"/>
        </w:rPr>
        <w:t>（3）有关法律、法规或规章规定的其他围标串标行为。</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1.5本项目不接受联合体</w:t>
      </w:r>
      <w:r>
        <w:rPr>
          <w:rFonts w:hAnsi="宋体" w:cs="宋体"/>
          <w:b/>
          <w:sz w:val="24"/>
          <w:szCs w:val="24"/>
        </w:rPr>
        <w:t>投标</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供应商一旦购买了本竞争性磋商文件并决定参加竞争性磋商，即被认为接受了本竞争性磋商文件的规定和约束。</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1.9.3除非有特殊要求，招标文件不单独提供供货使用地的自然环境、气候条件、公用设施等情况，投标人被视为熟悉上述与履行合同有关的一切情况。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1.12.4如采用投标人所不拥有的知识产权，则在磋商报价中必须包括合法获取该知识产权的相关费用。</w:t>
      </w:r>
    </w:p>
    <w:p>
      <w:pPr>
        <w:pStyle w:val="4"/>
        <w:spacing w:line="400" w:lineRule="exact"/>
      </w:pPr>
      <w:bookmarkStart w:id="19" w:name="_Toc293738992"/>
      <w:bookmarkStart w:id="20" w:name="_Toc446599311"/>
      <w:bookmarkStart w:id="21" w:name="_Toc293736054"/>
      <w:bookmarkStart w:id="22" w:name="_Toc18317"/>
      <w:bookmarkStart w:id="23" w:name="_Toc3092"/>
      <w:bookmarkStart w:id="24" w:name="_Toc293736011"/>
      <w:r>
        <w:rPr>
          <w:rFonts w:hint="eastAsia"/>
        </w:rPr>
        <w:t>二、磋商文件</w:t>
      </w:r>
      <w:bookmarkEnd w:id="19"/>
      <w:bookmarkEnd w:id="20"/>
      <w:bookmarkEnd w:id="21"/>
      <w:bookmarkEnd w:id="22"/>
      <w:bookmarkEnd w:id="23"/>
      <w:bookmarkEnd w:id="24"/>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(5)合同格式及合同条款；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(7)在磋商过程中由采购单位发出的澄清和补充文件等。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2"/>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2.3.2澄清或者修改的内容是磋商文件的组成部分，将以</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4"/>
        <w:spacing w:line="400" w:lineRule="exact"/>
      </w:pPr>
      <w:bookmarkStart w:id="25" w:name="_Toc293736012"/>
      <w:bookmarkStart w:id="26" w:name="_Toc293738993"/>
      <w:bookmarkStart w:id="27" w:name="_Toc13231"/>
      <w:bookmarkStart w:id="28" w:name="_Toc1735"/>
      <w:bookmarkStart w:id="29" w:name="_Toc293736055"/>
      <w:bookmarkStart w:id="30" w:name="_Toc446599312"/>
      <w:r>
        <w:rPr>
          <w:rFonts w:hint="eastAsia"/>
        </w:rPr>
        <w:t>三、响应文件的编制和数量</w:t>
      </w:r>
      <w:bookmarkEnd w:id="25"/>
      <w:bookmarkEnd w:id="26"/>
      <w:bookmarkEnd w:id="27"/>
      <w:bookmarkEnd w:id="28"/>
      <w:bookmarkEnd w:id="29"/>
      <w:bookmarkEnd w:id="30"/>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3.2.1供应商编制的响应文件应包括但不少于下列内容：</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w:t>
      </w:r>
      <w:r>
        <w:rPr>
          <w:rFonts w:hint="eastAsia" w:ascii="宋体" w:hAnsi="宋体" w:cs="宋体"/>
          <w:spacing w:val="-6"/>
          <w:sz w:val="24"/>
          <w:szCs w:val="24"/>
        </w:rPr>
        <w:t>资格证明文件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w:t>
      </w:r>
      <w:r>
        <w:rPr>
          <w:rFonts w:hint="eastAsia" w:ascii="宋体" w:hAnsi="宋体" w:cs="宋体"/>
          <w:spacing w:val="-6"/>
          <w:sz w:val="24"/>
          <w:szCs w:val="24"/>
        </w:rPr>
        <w:t>商务</w:t>
      </w:r>
      <w:r>
        <w:rPr>
          <w:rFonts w:hint="eastAsia" w:ascii="宋体" w:hAnsi="宋体" w:cs="宋体"/>
          <w:sz w:val="24"/>
          <w:szCs w:val="24"/>
        </w:rPr>
        <w:t>文件</w:t>
      </w:r>
    </w:p>
    <w:p>
      <w:pPr>
        <w:pStyle w:val="12"/>
        <w:spacing w:line="40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专业技术</w:t>
      </w:r>
      <w:r>
        <w:rPr>
          <w:rFonts w:hint="eastAsia" w:ascii="宋体" w:hAnsi="宋体" w:cs="宋体"/>
          <w:b/>
          <w:bCs/>
          <w:color w:val="auto"/>
          <w:sz w:val="24"/>
          <w:szCs w:val="24"/>
          <w:highlight w:val="none"/>
        </w:rPr>
        <w:t>服务文件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具体内容要求详见第六章“响应文件格式”。供应商在磋商和评审过程中做出的符合磋商文件要求的澄清、说明或补正，构成响应文件的组成部分。</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3.3.2响应文件应当对磋商文件有关供货期、投标有效期、供货要求、招标范围等实质性内容作出响应。响应文件满足磋商文件实质性要求的基础上，可以提出比磋商文件要求更有利于采购人的承诺。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 xml:space="preserve">3.3.7供应商必须保证响应文件所提供的全部资料真实可靠，并接受采购单位对其中任何资料进一步核实的要求。 </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3.4磋商报价要求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3.4.1供应商所提供的服务均以人民币报价。</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kern w:val="0"/>
          <w:sz w:val="24"/>
          <w:szCs w:val="24"/>
        </w:rPr>
        <w:t>3.4.2供商应按照“第三章 采购需求”规定的服务内容、责任范围以及合同条款进行报价。并按《磋商报价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w:t>
      </w:r>
      <w:r>
        <w:rPr>
          <w:rFonts w:hint="eastAsia" w:ascii="宋体" w:hAnsi="宋体" w:cs="宋体"/>
          <w:color w:val="auto"/>
          <w:kern w:val="0"/>
          <w:sz w:val="24"/>
          <w:szCs w:val="24"/>
        </w:rPr>
        <w:t>在评审时将被视为已包含在磋商报价中。</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3.4.3《竞争性磋商报价明细表》填写时应响应下列要求：</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（1）对于报价免费的项目应标明“免费”</w:t>
      </w:r>
      <w:r>
        <w:rPr>
          <w:rFonts w:ascii="宋体" w:hAnsi="宋体" w:cs="宋体"/>
          <w:color w:val="auto"/>
          <w:kern w:val="0"/>
          <w:sz w:val="24"/>
          <w:szCs w:val="24"/>
        </w:rPr>
        <w:t>，未标明</w:t>
      </w:r>
      <w:r>
        <w:rPr>
          <w:rFonts w:hint="eastAsia" w:ascii="宋体" w:hAnsi="宋体" w:cs="宋体"/>
          <w:color w:val="auto"/>
          <w:kern w:val="0"/>
          <w:sz w:val="24"/>
          <w:szCs w:val="24"/>
        </w:rPr>
        <w:t>“免费”</w:t>
      </w:r>
      <w:r>
        <w:rPr>
          <w:rFonts w:ascii="宋体" w:hAnsi="宋体" w:cs="宋体"/>
          <w:color w:val="auto"/>
          <w:kern w:val="0"/>
          <w:sz w:val="24"/>
          <w:szCs w:val="24"/>
        </w:rPr>
        <w:t>的视为无效文件</w:t>
      </w:r>
      <w:r>
        <w:rPr>
          <w:rFonts w:hint="eastAsia" w:ascii="宋体" w:hAnsi="宋体" w:cs="宋体"/>
          <w:color w:val="auto"/>
          <w:kern w:val="0"/>
          <w:sz w:val="24"/>
          <w:szCs w:val="24"/>
        </w:rPr>
        <w:t>；</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（2）所有根据合同或其它原因应由供应商支付的税款和其它应交纳的费用都要包括在供应商提交的磋商总价中；</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（3）应包含货物运至最终目的地的运输、保险和伴随货物服务的有关费用。</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3.4.5每一种服务只允许有一个报价，否则将被视为无效投标。</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3.4.6供应商所报的总价在合同执行过程中是固定不变的，不得以任何理由予以变更。</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3.4.7供应商的最后磋商报价超过项目采购预算的为无效报价。</w:t>
      </w:r>
    </w:p>
    <w:p>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3.4.8本项目预算金额见供应商须知前附表。采购人设有最高限价的，供应商的报价不得超过最高限价，否则其投标无效，最高限价在供应商须知前附表中载明。</w:t>
      </w:r>
    </w:p>
    <w:p>
      <w:pPr>
        <w:spacing w:line="40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3.4.</w:t>
      </w:r>
      <w:r>
        <w:rPr>
          <w:rFonts w:hint="eastAsia" w:ascii="宋体" w:hAnsi="宋体" w:cs="宋体"/>
          <w:color w:val="auto"/>
          <w:sz w:val="24"/>
          <w:szCs w:val="24"/>
          <w:lang w:val="en-US" w:eastAsia="zh-CN"/>
        </w:rPr>
        <w:t>9 分项报价合计数与总报价不符将视为无效投标。</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本项目磋商保证金收取要求见供应商须知前附表，磋商保证金应在磋商有效期内有效。保证金缴纳时间以该项目所对应的保证金收取账号中显示的到账时间为准。</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3.6.2对于未能按要求提交保证金的将视为未响应磋商文件的要求，其响应文件无效。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3.6.4成交供应商的磋商保证金,在供应商与采购人签订合同，并将合同报采购代理机构后5个工作日内，按照保证金的来款渠道原路退还至供应商缴纳保证金的企业银行账户内。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3.6.5有下列情形之一的，保证金将被没收：</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（1）磋商供应商在磋商有效期内无正当理由撤回其磋商响应文件或者在磋商过程中无正当理由退出磋商活动；</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3.7磋商的有效期</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3.7.1磋商有效期详见供应商须知前附表。供应商响应文件中有效期不足的将被视为无效文件。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4"/>
        <w:spacing w:line="400" w:lineRule="exact"/>
      </w:pPr>
      <w:bookmarkStart w:id="31" w:name="_Toc446599313"/>
      <w:bookmarkStart w:id="32" w:name="_Toc293736013"/>
      <w:bookmarkStart w:id="33" w:name="_Toc293738994"/>
      <w:bookmarkStart w:id="34" w:name="_Toc293736056"/>
      <w:r>
        <w:rPr>
          <w:rFonts w:hint="eastAsia"/>
        </w:rPr>
        <w:t>四、响应文件的递交</w:t>
      </w:r>
      <w:bookmarkEnd w:id="31"/>
      <w:bookmarkEnd w:id="32"/>
      <w:bookmarkEnd w:id="33"/>
      <w:bookmarkEnd w:id="34"/>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w:t>
      </w:r>
      <w:r>
        <w:rPr>
          <w:rFonts w:hint="eastAsia" w:ascii="宋体" w:hAnsi="宋体" w:cs="宋体"/>
          <w:kern w:val="0"/>
          <w:sz w:val="24"/>
          <w:szCs w:val="24"/>
          <w:lang w:eastAsia="zh-CN"/>
        </w:rPr>
        <w:t>响应文件应当政采云网上上传，整体加盖电子签章，保持内容完整清晰</w:t>
      </w:r>
      <w:r>
        <w:rPr>
          <w:rFonts w:hint="eastAsia" w:ascii="宋体" w:hAnsi="宋体" w:cs="宋体"/>
          <w:kern w:val="0"/>
          <w:sz w:val="24"/>
          <w:szCs w:val="24"/>
        </w:rPr>
        <w:t>。</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4.</w:t>
      </w:r>
      <w:r>
        <w:rPr>
          <w:rFonts w:hint="eastAsia" w:hAnsi="宋体" w:cs="宋体"/>
          <w:b/>
          <w:sz w:val="24"/>
          <w:szCs w:val="24"/>
          <w:lang w:val="en-US" w:eastAsia="zh-CN"/>
        </w:rPr>
        <w:t>2</w:t>
      </w:r>
      <w:r>
        <w:rPr>
          <w:rFonts w:hint="eastAsia" w:hAnsi="宋体" w:cs="宋体"/>
          <w:b/>
          <w:sz w:val="24"/>
          <w:szCs w:val="24"/>
        </w:rPr>
        <w:t>响应文件的递交</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w:t>
      </w:r>
      <w:r>
        <w:rPr>
          <w:rFonts w:hint="eastAsia" w:ascii="宋体" w:hAnsi="宋体" w:cs="宋体"/>
          <w:kern w:val="0"/>
          <w:sz w:val="24"/>
          <w:szCs w:val="24"/>
          <w:lang w:eastAsia="zh-CN"/>
        </w:rPr>
        <w:t>响应文件应当政采云网上上传，整体加盖电子签章，保持内容完整清晰。</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1"/>
        <w:spacing w:line="400" w:lineRule="exact"/>
        <w:ind w:firstLine="484" w:firstLineChars="201"/>
        <w:contextualSpacing/>
        <w:jc w:val="left"/>
        <w:rPr>
          <w:rFonts w:hAnsi="宋体" w:cs="宋体"/>
          <w:kern w:val="0"/>
          <w:sz w:val="24"/>
          <w:szCs w:val="24"/>
        </w:rPr>
      </w:pPr>
      <w:r>
        <w:rPr>
          <w:rFonts w:hint="eastAsia" w:hAnsi="宋体" w:cs="宋体"/>
          <w:b/>
          <w:sz w:val="24"/>
          <w:szCs w:val="24"/>
        </w:rPr>
        <w:t>4.4响应文件的修改和撤回</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4"/>
        <w:spacing w:line="400" w:lineRule="exact"/>
      </w:pPr>
      <w:r>
        <w:rPr>
          <w:rFonts w:hint="eastAsia"/>
        </w:rPr>
        <w:t>五、开启响应文件</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hint="eastAsia" w:ascii="宋体" w:hAnsi="宋体" w:eastAsia="宋体" w:cs="宋体"/>
          <w:b/>
          <w:bCs/>
          <w:sz w:val="24"/>
          <w:szCs w:val="24"/>
          <w:lang w:eastAsia="zh-CN"/>
        </w:rPr>
      </w:pPr>
      <w:r>
        <w:rPr>
          <w:rFonts w:hint="eastAsia" w:ascii="宋体" w:hAnsi="宋体" w:cs="宋体"/>
          <w:b/>
          <w:bCs/>
          <w:sz w:val="24"/>
          <w:szCs w:val="24"/>
        </w:rPr>
        <w:t>5.2主持人按下列程序主持仪式：</w:t>
      </w:r>
      <w:r>
        <w:rPr>
          <w:rFonts w:hint="eastAsia" w:ascii="宋体" w:hAnsi="宋体" w:cs="宋体"/>
          <w:b/>
          <w:bCs/>
          <w:sz w:val="24"/>
          <w:szCs w:val="24"/>
          <w:lang w:eastAsia="zh-CN"/>
        </w:rPr>
        <w:t>会议流程见政采云网上开标流程。</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4"/>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w:t>
      </w:r>
      <w:r>
        <w:rPr>
          <w:rFonts w:hint="eastAsia" w:ascii="宋体" w:hAnsi="宋体" w:cs="宋体"/>
          <w:sz w:val="24"/>
          <w:szCs w:val="24"/>
        </w:rPr>
        <w:t>采购人</w:t>
      </w:r>
      <w:r>
        <w:rPr>
          <w:rFonts w:ascii="宋体" w:hAnsi="宋体" w:cs="宋体"/>
          <w:sz w:val="24"/>
          <w:szCs w:val="24"/>
        </w:rPr>
        <w:t>根据本项目的特点，依照《中华人民共和国政府采购法》、</w:t>
      </w:r>
      <w:r>
        <w:rPr>
          <w:rFonts w:hint="eastAsia" w:ascii="宋体" w:hAnsi="宋体" w:cs="宋体"/>
          <w:sz w:val="24"/>
          <w:szCs w:val="24"/>
        </w:rPr>
        <w:t>《</w:t>
      </w:r>
      <w:r>
        <w:rPr>
          <w:rFonts w:ascii="宋体" w:hAnsi="宋体" w:cs="宋体"/>
          <w:sz w:val="24"/>
          <w:szCs w:val="24"/>
        </w:rPr>
        <w:t>政府采购货物和服务招标投标管理办法</w:t>
      </w:r>
      <w:r>
        <w:rPr>
          <w:rFonts w:hint="eastAsia" w:ascii="宋体" w:hAnsi="宋体" w:cs="宋体"/>
          <w:sz w:val="24"/>
          <w:szCs w:val="24"/>
        </w:rPr>
        <w:t>》</w:t>
      </w:r>
      <w:r>
        <w:rPr>
          <w:rFonts w:ascii="宋体" w:hAnsi="宋体" w:cs="宋体"/>
          <w:sz w:val="24"/>
          <w:szCs w:val="24"/>
        </w:rPr>
        <w:t>《政府采购非招标采购方式管理办法》</w:t>
      </w:r>
      <w:r>
        <w:rPr>
          <w:rFonts w:hint="eastAsia" w:ascii="宋体" w:hAnsi="宋体" w:cs="宋体"/>
          <w:sz w:val="24"/>
          <w:szCs w:val="24"/>
        </w:rPr>
        <w:t>、</w:t>
      </w:r>
      <w:r>
        <w:rPr>
          <w:rFonts w:ascii="宋体" w:hAnsi="宋体" w:cs="宋体"/>
          <w:sz w:val="24"/>
          <w:szCs w:val="24"/>
        </w:rPr>
        <w:t>的有关规定组建</w:t>
      </w:r>
      <w:r>
        <w:rPr>
          <w:rFonts w:hint="eastAsia" w:ascii="宋体" w:hAnsi="宋体" w:cs="宋体"/>
          <w:sz w:val="24"/>
          <w:szCs w:val="24"/>
        </w:rPr>
        <w:t>磋商</w:t>
      </w:r>
      <w:r>
        <w:rPr>
          <w:rFonts w:ascii="宋体" w:hAnsi="宋体" w:cs="宋体"/>
          <w:sz w:val="24"/>
          <w:szCs w:val="24"/>
        </w:rPr>
        <w:t>小组，其成员由使用单位代表和有关技术、经济等方面的5位评委专家组成。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5" w:name="_Toc10373"/>
      <w:bookmarkStart w:id="36" w:name="_Toc293738996"/>
      <w:bookmarkStart w:id="37" w:name="_Toc293736015"/>
      <w:bookmarkStart w:id="38" w:name="_Toc446599315"/>
      <w:bookmarkStart w:id="39" w:name="_Toc21441"/>
      <w:bookmarkStart w:id="40" w:name="_Toc293736058"/>
      <w:r>
        <w:rPr>
          <w:rFonts w:hint="eastAsia" w:ascii="宋体" w:hAnsi="宋体" w:cs="宋体"/>
          <w:sz w:val="24"/>
          <w:szCs w:val="24"/>
        </w:rPr>
        <w:t>6.2.1初步评审</w:t>
      </w:r>
    </w:p>
    <w:p>
      <w:pPr>
        <w:spacing w:line="400" w:lineRule="exact"/>
        <w:ind w:firstLine="480" w:firstLineChars="200"/>
        <w:jc w:val="left"/>
        <w:rPr>
          <w:color w:val="auto"/>
        </w:rPr>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w:t>
      </w:r>
      <w:r>
        <w:rPr>
          <w:rFonts w:hint="eastAsia" w:ascii="宋体" w:hAnsi="宋体" w:cs="宋体"/>
          <w:color w:val="auto"/>
          <w:sz w:val="24"/>
          <w:szCs w:val="24"/>
        </w:rPr>
        <w:t>过初步评审。</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6.2.2磋商</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磋商小组按照第四章“评审办法”规定的评审程序和评审标准对供应商递交的响应文件进行评审和比较，第四章“评审办法”没有规定的内容，不作为评审依据。</w:t>
      </w:r>
    </w:p>
    <w:p>
      <w:pPr>
        <w:pStyle w:val="4"/>
        <w:spacing w:line="400" w:lineRule="exact"/>
        <w:rPr>
          <w:color w:val="auto"/>
        </w:rPr>
      </w:pPr>
      <w:bookmarkStart w:id="41" w:name="_Toc29411"/>
      <w:bookmarkStart w:id="42" w:name="_Toc456291348"/>
      <w:bookmarkStart w:id="43" w:name="_Toc456291531"/>
      <w:bookmarkStart w:id="44" w:name="_Toc456291274"/>
      <w:bookmarkStart w:id="45" w:name="_Toc456291159"/>
      <w:bookmarkStart w:id="46" w:name="_Toc456291254"/>
      <w:bookmarkStart w:id="47" w:name="_Toc456291473"/>
      <w:bookmarkStart w:id="48" w:name="_Toc2"/>
      <w:r>
        <w:rPr>
          <w:rFonts w:hint="eastAsia"/>
          <w:color w:val="auto"/>
        </w:rPr>
        <w:t>七、推荐成交供应商</w:t>
      </w:r>
      <w:bookmarkEnd w:id="41"/>
      <w:bookmarkEnd w:id="42"/>
      <w:bookmarkEnd w:id="43"/>
      <w:bookmarkEnd w:id="44"/>
      <w:bookmarkEnd w:id="45"/>
      <w:bookmarkEnd w:id="46"/>
      <w:bookmarkEnd w:id="47"/>
      <w:bookmarkEnd w:id="48"/>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4"/>
        <w:spacing w:line="400" w:lineRule="exact"/>
        <w:rPr>
          <w:b/>
          <w:sz w:val="28"/>
          <w:highlight w:val="green"/>
        </w:rPr>
      </w:pPr>
      <w:r>
        <w:rPr>
          <w:rFonts w:hint="eastAsia"/>
        </w:rPr>
        <w:t>八、签订合同</w:t>
      </w:r>
      <w:bookmarkEnd w:id="35"/>
      <w:bookmarkEnd w:id="36"/>
      <w:bookmarkEnd w:id="37"/>
      <w:bookmarkEnd w:id="38"/>
      <w:bookmarkEnd w:id="39"/>
      <w:bookmarkEnd w:id="40"/>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4"/>
        <w:spacing w:line="400" w:lineRule="exact"/>
      </w:pPr>
      <w:bookmarkStart w:id="49" w:name="_Toc456291276"/>
      <w:bookmarkStart w:id="50" w:name="_Toc7269"/>
      <w:bookmarkStart w:id="51" w:name="_Toc5694"/>
      <w:bookmarkStart w:id="52" w:name="_Toc456291475"/>
      <w:bookmarkStart w:id="53" w:name="_Toc456291350"/>
      <w:bookmarkStart w:id="54" w:name="_Toc456291533"/>
      <w:bookmarkStart w:id="55" w:name="_Toc456291256"/>
      <w:bookmarkStart w:id="56" w:name="_Toc456291161"/>
      <w:r>
        <w:rPr>
          <w:rFonts w:hint="eastAsia"/>
        </w:rPr>
        <w:t>九、质疑</w:t>
      </w:r>
      <w:bookmarkEnd w:id="49"/>
      <w:bookmarkEnd w:id="50"/>
      <w:bookmarkEnd w:id="51"/>
      <w:bookmarkEnd w:id="52"/>
      <w:bookmarkEnd w:id="53"/>
      <w:bookmarkEnd w:id="54"/>
      <w:bookmarkEnd w:id="55"/>
      <w:bookmarkEnd w:id="56"/>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4"/>
        <w:spacing w:line="400" w:lineRule="exact"/>
      </w:pPr>
      <w:bookmarkStart w:id="57" w:name="_Toc456291351"/>
      <w:bookmarkStart w:id="58" w:name="_Toc456291257"/>
      <w:bookmarkStart w:id="59" w:name="_Toc456291277"/>
      <w:bookmarkStart w:id="60" w:name="_Toc11180"/>
      <w:bookmarkStart w:id="61" w:name="_Toc456291476"/>
      <w:bookmarkStart w:id="62" w:name="_Toc456291534"/>
      <w:bookmarkStart w:id="63" w:name="_Toc456291162"/>
      <w:bookmarkStart w:id="64" w:name="_Toc25716"/>
      <w:r>
        <w:rPr>
          <w:rFonts w:hint="eastAsia"/>
        </w:rPr>
        <w:t>十、</w:t>
      </w:r>
      <w:bookmarkEnd w:id="57"/>
      <w:bookmarkEnd w:id="58"/>
      <w:bookmarkEnd w:id="59"/>
      <w:bookmarkEnd w:id="60"/>
      <w:bookmarkEnd w:id="61"/>
      <w:bookmarkEnd w:id="62"/>
      <w:bookmarkEnd w:id="63"/>
      <w:bookmarkEnd w:id="64"/>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4"/>
        <w:spacing w:line="400" w:lineRule="exact"/>
      </w:pPr>
      <w:r>
        <w:rPr>
          <w:rFonts w:hint="eastAsia"/>
        </w:rPr>
        <w:t>十一、需要补充的其他内容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需要补充的其他内容：详见供应商须知前附表。</w:t>
      </w:r>
    </w:p>
    <w:p>
      <w:pPr>
        <w:pStyle w:val="12"/>
        <w:spacing w:line="500" w:lineRule="exact"/>
        <w:ind w:firstLine="565" w:firstLineChars="202"/>
        <w:jc w:val="left"/>
        <w:rPr>
          <w:rFonts w:ascii="宋体" w:hAnsi="宋体"/>
          <w:sz w:val="28"/>
          <w:szCs w:val="28"/>
        </w:rPr>
      </w:pPr>
    </w:p>
    <w:p>
      <w:r>
        <w:rPr>
          <w:rFonts w:hint="eastAsia"/>
        </w:rPr>
        <w:br w:type="page"/>
      </w:r>
    </w:p>
    <w:p>
      <w:pPr>
        <w:pStyle w:val="32"/>
        <w:ind w:firstLine="210"/>
      </w:pPr>
    </w:p>
    <w:p>
      <w:pPr>
        <w:pStyle w:val="80"/>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2"/>
        <w:spacing w:line="500" w:lineRule="exact"/>
        <w:ind w:firstLine="0" w:firstLineChars="0"/>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pStyle w:val="3"/>
        <w:numPr>
          <w:ilvl w:val="0"/>
          <w:numId w:val="1"/>
        </w:numPr>
        <w:spacing w:before="0" w:after="0" w:line="240" w:lineRule="auto"/>
      </w:pPr>
      <w:bookmarkStart w:id="65" w:name="_Toc293736062"/>
      <w:bookmarkStart w:id="66" w:name="_Toc293736019"/>
      <w:bookmarkStart w:id="67" w:name="_Toc293739000"/>
      <w:bookmarkStart w:id="68" w:name="_Toc28752"/>
      <w:bookmarkStart w:id="69" w:name="_Toc446599321"/>
      <w:bookmarkStart w:id="70" w:name="_Toc28105"/>
      <w:bookmarkStart w:id="71" w:name="_Toc293736063"/>
      <w:bookmarkStart w:id="72" w:name="_Toc293736020"/>
      <w:bookmarkStart w:id="73" w:name="_Toc293739001"/>
      <w:bookmarkStart w:id="74" w:name="_Toc446599322"/>
      <w:r>
        <w:rPr>
          <w:rFonts w:hint="eastAsia"/>
        </w:rPr>
        <w:t xml:space="preserve"> </w:t>
      </w:r>
      <w:bookmarkStart w:id="75" w:name="_Toc21897"/>
      <w:bookmarkStart w:id="76" w:name="_Toc10016"/>
      <w:bookmarkStart w:id="77" w:name="_Toc15716"/>
      <w:r>
        <w:rPr>
          <w:rFonts w:hint="eastAsia"/>
        </w:rPr>
        <w:t>采购</w:t>
      </w:r>
      <w:bookmarkEnd w:id="65"/>
      <w:bookmarkEnd w:id="66"/>
      <w:bookmarkEnd w:id="67"/>
      <w:bookmarkStart w:id="78" w:name="_Toc294515580"/>
      <w:r>
        <w:rPr>
          <w:rFonts w:hint="eastAsia"/>
        </w:rPr>
        <w:t>需求</w:t>
      </w:r>
      <w:bookmarkEnd w:id="68"/>
      <w:bookmarkEnd w:id="69"/>
      <w:bookmarkEnd w:id="70"/>
      <w:bookmarkEnd w:id="75"/>
      <w:bookmarkEnd w:id="76"/>
      <w:bookmarkEnd w:id="77"/>
    </w:p>
    <w:p>
      <w:pPr>
        <w:pStyle w:val="33"/>
        <w:spacing w:line="500" w:lineRule="exact"/>
        <w:ind w:firstLine="562" w:firstLineChars="200"/>
        <w:jc w:val="left"/>
        <w:rPr>
          <w:rFonts w:hAnsi="宋体" w:eastAsia="宋体" w:cs="宋体"/>
          <w:b/>
          <w:bCs/>
          <w:sz w:val="28"/>
          <w:szCs w:val="28"/>
        </w:rPr>
      </w:pPr>
      <w:r>
        <w:rPr>
          <w:rFonts w:hint="eastAsia" w:hAnsi="宋体" w:eastAsia="宋体" w:cs="宋体"/>
          <w:b/>
          <w:bCs/>
          <w:sz w:val="28"/>
          <w:szCs w:val="28"/>
        </w:rPr>
        <w:t>一、确权机构资质要求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jc w:val="left"/>
        <w:rPr>
          <w:rFonts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sz w:val="24"/>
          <w:szCs w:val="24"/>
        </w:rPr>
        <w:t xml:space="preserve">     </w:t>
      </w:r>
    </w:p>
    <w:p>
      <w:pPr>
        <w:pStyle w:val="33"/>
        <w:spacing w:line="500" w:lineRule="exact"/>
        <w:ind w:firstLine="480" w:firstLineChars="200"/>
        <w:jc w:val="left"/>
        <w:rPr>
          <w:rFonts w:hAnsi="宋体" w:eastAsia="宋体" w:cs="宋体"/>
          <w:b/>
          <w:bCs/>
          <w:sz w:val="24"/>
          <w:szCs w:val="24"/>
        </w:rPr>
      </w:pPr>
      <w:r>
        <w:rPr>
          <w:rFonts w:hint="eastAsia" w:ascii="宋体" w:hAnsi="宋体" w:cs="宋体"/>
          <w:sz w:val="24"/>
          <w:szCs w:val="24"/>
        </w:rPr>
        <w:t xml:space="preserve">              </w:t>
      </w:r>
    </w:p>
    <w:p>
      <w:pPr>
        <w:ind w:firstLine="562" w:firstLineChars="200"/>
        <w:rPr>
          <w:rFonts w:hAnsi="宋体" w:cs="宋体"/>
          <w:b/>
          <w:bCs/>
          <w:sz w:val="28"/>
          <w:szCs w:val="28"/>
        </w:rPr>
      </w:pPr>
      <w:r>
        <w:rPr>
          <w:rFonts w:hint="eastAsia" w:hAnsi="宋体" w:cs="宋体"/>
          <w:b/>
          <w:bCs/>
          <w:sz w:val="28"/>
          <w:szCs w:val="28"/>
        </w:rPr>
        <w:t>二、目标任务</w:t>
      </w:r>
    </w:p>
    <w:p>
      <w:pPr>
        <w:pStyle w:val="12"/>
        <w:spacing w:line="400" w:lineRule="exact"/>
        <w:ind w:firstLine="484" w:firstLineChars="202"/>
        <w:jc w:val="left"/>
        <w:rPr>
          <w:rFonts w:hint="eastAsia" w:ascii="宋体" w:hAnsi="宋体" w:cs="宋体"/>
          <w:color w:val="auto"/>
          <w:sz w:val="24"/>
          <w:szCs w:val="24"/>
        </w:rPr>
      </w:pPr>
      <w:r>
        <w:rPr>
          <w:rFonts w:hint="eastAsia" w:ascii="宋体" w:hAnsi="宋体" w:cs="宋体"/>
          <w:color w:val="auto"/>
          <w:sz w:val="24"/>
          <w:szCs w:val="24"/>
          <w:lang w:eastAsia="zh-CN"/>
        </w:rPr>
        <w:t>详见工程量清单</w:t>
      </w:r>
      <w:r>
        <w:rPr>
          <w:rFonts w:hint="eastAsia" w:ascii="宋体" w:hAnsi="宋体" w:cs="宋体"/>
          <w:color w:val="auto"/>
          <w:sz w:val="24"/>
          <w:szCs w:val="24"/>
        </w:rPr>
        <w:t>。</w:t>
      </w:r>
    </w:p>
    <w:p>
      <w:pPr>
        <w:pStyle w:val="12"/>
        <w:spacing w:line="400" w:lineRule="exact"/>
        <w:ind w:firstLine="484" w:firstLineChars="202"/>
        <w:jc w:val="left"/>
        <w:rPr>
          <w:rFonts w:hint="eastAsia" w:ascii="宋体" w:hAnsi="宋体" w:cs="宋体"/>
          <w:color w:val="auto"/>
          <w:sz w:val="24"/>
          <w:szCs w:val="24"/>
        </w:rPr>
      </w:pPr>
    </w:p>
    <w:p>
      <w:pPr>
        <w:ind w:firstLine="562" w:firstLineChars="200"/>
        <w:rPr>
          <w:color w:val="auto"/>
          <w:sz w:val="28"/>
          <w:szCs w:val="28"/>
        </w:rPr>
      </w:pPr>
      <w:r>
        <w:rPr>
          <w:rFonts w:hint="eastAsia"/>
          <w:b/>
          <w:bCs/>
          <w:color w:val="auto"/>
          <w:sz w:val="28"/>
          <w:szCs w:val="28"/>
        </w:rPr>
        <w:t>三、详细要求</w:t>
      </w:r>
    </w:p>
    <w:p>
      <w:pPr>
        <w:pStyle w:val="12"/>
        <w:spacing w:line="400" w:lineRule="exact"/>
        <w:ind w:firstLine="484" w:firstLineChars="202"/>
        <w:jc w:val="left"/>
        <w:rPr>
          <w:rFonts w:cs="宋体"/>
          <w:color w:val="auto"/>
          <w:sz w:val="24"/>
          <w:szCs w:val="24"/>
        </w:rPr>
      </w:pPr>
      <w:r>
        <w:rPr>
          <w:rFonts w:hint="eastAsia" w:cs="宋体"/>
          <w:color w:val="auto"/>
          <w:sz w:val="24"/>
          <w:szCs w:val="24"/>
          <w:lang w:eastAsia="zh-CN"/>
        </w:rPr>
        <w:t>详见工程量清单</w:t>
      </w:r>
      <w:r>
        <w:rPr>
          <w:rFonts w:hint="eastAsia" w:cs="宋体"/>
          <w:color w:val="auto"/>
          <w:sz w:val="24"/>
          <w:szCs w:val="24"/>
        </w:rPr>
        <w:t>。</w:t>
      </w:r>
    </w:p>
    <w:p>
      <w:pPr>
        <w:pStyle w:val="33"/>
        <w:spacing w:line="500" w:lineRule="exact"/>
        <w:ind w:firstLine="480" w:firstLineChars="200"/>
        <w:jc w:val="left"/>
        <w:rPr>
          <w:rFonts w:ascii="Calibri" w:eastAsia="宋体" w:cs="宋体"/>
          <w:color w:val="000000"/>
          <w:sz w:val="24"/>
          <w:szCs w:val="24"/>
        </w:rPr>
      </w:pPr>
    </w:p>
    <w:p>
      <w:pPr>
        <w:ind w:firstLine="562" w:firstLineChars="200"/>
        <w:rPr>
          <w:b/>
          <w:bCs/>
          <w:sz w:val="28"/>
          <w:szCs w:val="28"/>
        </w:rPr>
      </w:pPr>
      <w:r>
        <w:rPr>
          <w:rFonts w:hint="eastAsia"/>
          <w:b/>
          <w:bCs/>
          <w:sz w:val="28"/>
          <w:szCs w:val="28"/>
        </w:rPr>
        <w:t>四、付款方式及其它</w:t>
      </w:r>
    </w:p>
    <w:p>
      <w:pPr>
        <w:ind w:firstLine="480" w:firstLineChars="200"/>
      </w:pPr>
      <w:bookmarkStart w:id="79" w:name="_Toc491251293"/>
      <w:r>
        <w:rPr>
          <w:rFonts w:hint="eastAsia" w:cs="宋体"/>
          <w:color w:val="000000"/>
          <w:sz w:val="24"/>
          <w:szCs w:val="24"/>
        </w:rPr>
        <w:t>由采</w:t>
      </w:r>
      <w:r>
        <w:rPr>
          <w:rFonts w:hint="eastAsia"/>
        </w:rPr>
        <w:t>购方和供应商共同商定。</w:t>
      </w:r>
    </w:p>
    <w:bookmarkEnd w:id="79"/>
    <w:p>
      <w:pPr>
        <w:ind w:firstLine="420" w:firstLineChars="200"/>
        <w:rPr>
          <w:rFonts w:cs="宋体"/>
          <w:color w:val="000000"/>
          <w:sz w:val="24"/>
          <w:szCs w:val="24"/>
        </w:rPr>
      </w:pPr>
      <w:r>
        <w:rPr>
          <w:rFonts w:hint="eastAsia"/>
        </w:rPr>
        <w:t>（一）供应</w:t>
      </w:r>
      <w:r>
        <w:rPr>
          <w:rFonts w:hint="eastAsia" w:cs="宋体"/>
          <w:color w:val="000000"/>
          <w:sz w:val="24"/>
          <w:szCs w:val="24"/>
        </w:rPr>
        <w:t>商在响应文件中的承诺内容必须达到本篇及磋商文件其他条款的要求。</w:t>
      </w:r>
    </w:p>
    <w:p>
      <w:pPr>
        <w:spacing w:line="400" w:lineRule="exact"/>
        <w:ind w:firstLine="480" w:firstLineChars="200"/>
        <w:rPr>
          <w:rFonts w:cs="宋体"/>
          <w:color w:val="000000"/>
          <w:sz w:val="24"/>
          <w:szCs w:val="24"/>
        </w:rPr>
      </w:pPr>
      <w:r>
        <w:rPr>
          <w:rFonts w:hint="eastAsia" w:cs="宋体"/>
          <w:color w:val="000000"/>
          <w:sz w:val="24"/>
          <w:szCs w:val="24"/>
        </w:rPr>
        <w:t>（二）其他未尽事宜由供需双方在采购合同中详细约定。</w:t>
      </w:r>
    </w:p>
    <w:bookmarkEnd w:id="78"/>
    <w:p>
      <w:pPr>
        <w:pStyle w:val="3"/>
        <w:numPr>
          <w:ilvl w:val="0"/>
          <w:numId w:val="1"/>
        </w:numPr>
        <w:spacing w:before="0" w:after="0" w:line="240" w:lineRule="auto"/>
      </w:pPr>
      <w:bookmarkStart w:id="80" w:name="_Toc10724"/>
      <w:bookmarkStart w:id="81" w:name="_Toc20816"/>
      <w:r>
        <w:rPr>
          <w:rFonts w:hint="eastAsia"/>
        </w:rPr>
        <w:t xml:space="preserve"> </w:t>
      </w:r>
      <w:bookmarkStart w:id="82" w:name="_Toc10229"/>
      <w:bookmarkStart w:id="83" w:name="_Toc5472"/>
      <w:bookmarkStart w:id="84" w:name="_Toc23076"/>
      <w:r>
        <w:rPr>
          <w:rFonts w:hint="eastAsia"/>
        </w:rPr>
        <w:t>评审方法</w:t>
      </w:r>
      <w:bookmarkEnd w:id="71"/>
      <w:bookmarkEnd w:id="72"/>
      <w:bookmarkEnd w:id="73"/>
      <w:bookmarkEnd w:id="74"/>
      <w:bookmarkEnd w:id="80"/>
      <w:bookmarkEnd w:id="81"/>
      <w:bookmarkEnd w:id="82"/>
      <w:bookmarkEnd w:id="83"/>
      <w:bookmarkEnd w:id="84"/>
    </w:p>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bookmarkStart w:id="85" w:name="_Toc293736024"/>
      <w:bookmarkStart w:id="86" w:name="_Toc293739005"/>
      <w:bookmarkStart w:id="87" w:name="_Toc293736067"/>
      <w:bookmarkStart w:id="88" w:name="_Toc446599330"/>
    </w:p>
    <w:p>
      <w:pPr>
        <w:pStyle w:val="12"/>
        <w:spacing w:line="400" w:lineRule="exact"/>
        <w:ind w:firstLine="487" w:firstLineChars="202"/>
        <w:jc w:val="left"/>
        <w:rPr>
          <w:rFonts w:ascii="宋体" w:hAnsi="宋体" w:cs="宋体"/>
          <w:b/>
          <w:bCs/>
          <w:color w:val="auto"/>
          <w:sz w:val="24"/>
          <w:szCs w:val="24"/>
        </w:rPr>
      </w:pPr>
      <w:r>
        <w:rPr>
          <w:rFonts w:hint="eastAsia" w:ascii="宋体" w:hAnsi="宋体" w:cs="宋体"/>
          <w:b/>
          <w:bCs/>
          <w:color w:val="auto"/>
          <w:sz w:val="24"/>
          <w:szCs w:val="24"/>
        </w:rPr>
        <w:t>采购政策功能落实：</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1、小微型企业价格扣除</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（1）本项目对小型和微型企业产品给予6%的扣除价格，用扣除后的价格参与评审。</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（2）供应商需按照采购文件的要求提供相应的《企业声明函》。</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（3）企业标准请参照《关于印发中小企业划型标准规定的通知》（工信部联企业[2011]300号）文件规定自行填写。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（1）本项目对残疾人福利性单位视同小型、微型企业，给予6%的价格扣除，用扣除后的价格参与评审。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（2）残疾人福利单位需按照采购文件的要求提供《残疾人福利性单位声明函》。</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3、监狱和戒毒企业价格扣除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（1）本项目对监狱和戒毒企业（简称监狱企业）视同小型、微型企业，给予6%的价格扣除，用扣除后的价格参与评审。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w:t>
      </w:r>
      <w:bookmarkStart w:id="146" w:name="_GoBack"/>
      <w:bookmarkEnd w:id="146"/>
      <w:r>
        <w:rPr>
          <w:rFonts w:hint="eastAsia" w:ascii="宋体" w:hAnsi="宋体" w:cs="宋体"/>
          <w:sz w:val="24"/>
          <w:szCs w:val="24"/>
        </w:rPr>
        <w:t>如不提供上述证明文件，价格将不做相应扣除。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4、残疾人福利单位、监狱企业属于小型、微型企业的，不重复享受政策。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6、联合体各方均为小型、微型企业（残疾人福利单位、监狱企业）的，联合体享受6%价格扣除，用扣除后的价格参与评审。</w:t>
      </w:r>
    </w:p>
    <w:p>
      <w:pPr>
        <w:pStyle w:val="12"/>
        <w:spacing w:line="400" w:lineRule="exact"/>
        <w:ind w:firstLine="484" w:firstLineChars="202"/>
        <w:jc w:val="left"/>
        <w:rPr>
          <w:rFonts w:ascii="宋体" w:hAnsi="宋体" w:cs="宋体"/>
          <w:sz w:val="24"/>
          <w:szCs w:val="24"/>
        </w:rPr>
      </w:pPr>
    </w:p>
    <w:p>
      <w:r>
        <w:rPr>
          <w:rFonts w:hint="eastAsia"/>
        </w:rPr>
        <w:br w:type="page"/>
      </w:r>
    </w:p>
    <w:p>
      <w:pPr>
        <w:pStyle w:val="97"/>
        <w:numPr>
          <w:ilvl w:val="0"/>
          <w:numId w:val="3"/>
        </w:numPr>
        <w:spacing w:line="500" w:lineRule="exact"/>
        <w:ind w:firstLineChars="0"/>
        <w:outlineLvl w:val="1"/>
        <w:rPr>
          <w:rFonts w:ascii="宋体" w:hAnsi="宋体" w:cs="宋体"/>
          <w:b/>
          <w:color w:val="auto"/>
          <w:sz w:val="28"/>
          <w:szCs w:val="28"/>
        </w:rPr>
      </w:pPr>
      <w:bookmarkStart w:id="89" w:name="_Toc16809"/>
      <w:bookmarkStart w:id="90" w:name="_Toc12926"/>
      <w:r>
        <w:rPr>
          <w:rFonts w:hint="eastAsia" w:ascii="宋体" w:hAnsi="宋体" w:cs="宋体"/>
          <w:b/>
          <w:color w:val="auto"/>
          <w:sz w:val="28"/>
          <w:szCs w:val="28"/>
        </w:rPr>
        <w:t>评审办法</w:t>
      </w:r>
      <w:r>
        <w:rPr>
          <w:rFonts w:ascii="宋体" w:hAnsi="宋体" w:cs="宋体"/>
          <w:b/>
          <w:color w:val="auto"/>
          <w:sz w:val="28"/>
          <w:szCs w:val="28"/>
        </w:rPr>
        <w:t>（</w:t>
      </w:r>
      <w:r>
        <w:rPr>
          <w:rFonts w:hint="eastAsia" w:ascii="宋体" w:hAnsi="宋体" w:cs="宋体"/>
          <w:b/>
          <w:color w:val="auto"/>
          <w:sz w:val="28"/>
          <w:szCs w:val="28"/>
        </w:rPr>
        <w:t>附表</w:t>
      </w:r>
      <w:r>
        <w:rPr>
          <w:rFonts w:ascii="宋体" w:hAnsi="宋体" w:cs="宋体"/>
          <w:b/>
          <w:color w:val="auto"/>
          <w:sz w:val="28"/>
          <w:szCs w:val="28"/>
        </w:rPr>
        <w:t>一、二）</w:t>
      </w:r>
      <w:bookmarkEnd w:id="89"/>
      <w:bookmarkEnd w:id="90"/>
    </w:p>
    <w:p>
      <w:pPr>
        <w:pStyle w:val="80"/>
        <w:rPr>
          <w:rFonts w:ascii="宋体" w:hAnsi="宋体" w:cs="宋体"/>
          <w:sz w:val="22"/>
          <w:szCs w:val="22"/>
          <w:highlight w:val="white"/>
        </w:rPr>
      </w:pPr>
    </w:p>
    <w:p>
      <w:pPr>
        <w:pStyle w:val="80"/>
        <w:rPr>
          <w:rFonts w:ascii="宋体" w:hAnsi="宋体" w:cs="宋体"/>
          <w:sz w:val="22"/>
          <w:szCs w:val="22"/>
          <w:highlight w:val="white"/>
        </w:rPr>
      </w:pPr>
      <w:r>
        <w:rPr>
          <w:rFonts w:hint="eastAsia" w:ascii="宋体" w:hAnsi="宋体" w:cs="宋体"/>
          <w:sz w:val="22"/>
          <w:szCs w:val="22"/>
          <w:highlight w:val="white"/>
        </w:rPr>
        <w:t>附表一：</w:t>
      </w:r>
    </w:p>
    <w:p>
      <w:pPr>
        <w:pStyle w:val="80"/>
        <w:jc w:val="center"/>
        <w:rPr>
          <w:rFonts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3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提供法人或者其他组织的营业执照等证明文件，自然人的身份证明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提供近三年财务审计报告或财务状况表（成立不足一年的提供成立至今的财务报表）：包括资产负债表、利润表、现金流量表或开户银行出具的资信证明；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提供企业的缴纳税收的电子回单或税务部门出具的纳税证明或完税证明或有效的证明材料；提供</w:t>
            </w:r>
            <w:r>
              <w:rPr>
                <w:rFonts w:hint="eastAsia" w:ascii="宋体" w:hAnsi="宋体" w:cs="宋体"/>
                <w:szCs w:val="21"/>
                <w:lang w:eastAsia="zh-CN"/>
              </w:rPr>
              <w:t>相</w:t>
            </w:r>
            <w:r>
              <w:rPr>
                <w:rFonts w:hint="eastAsia" w:ascii="宋体" w:hAnsi="宋体" w:cs="宋体"/>
                <w:szCs w:val="21"/>
              </w:rPr>
              <w:t>关人员缴纳社保的银行电子回单或社保部门出具的社保缴纳证明材料或有效的证明材料；</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提供信用中国、中国政府采购网信用信息查询记录；</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p>
            <w:pPr>
              <w:pStyle w:val="33"/>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供应商名称与购买文件时一致且有有效变更证明的；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pStyle w:val="33"/>
              <w:ind w:firstLine="739"/>
              <w:rPr>
                <w:rFonts w:ascii="宋体" w:hAnsi="宋体" w:eastAsia="宋体" w:cs="宋体"/>
                <w:sz w:val="21"/>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按照磋商文件要求交纳磋商保证金的；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响应文件按照磋商文件规定要求密封、签署、盖章的；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报价的完整性：工程量清单应有法人代表或委托代理人亲笔签字，标书整洁字迹基本清晰有个别涂改，商务报价无涂改 。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top"/>
          </w:tcPr>
          <w:p>
            <w:pPr>
              <w:pStyle w:val="12"/>
              <w:ind w:firstLine="0" w:firstLineChars="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报价的合理性：报价分析依据充分、修正报价有分析说明，并附有修正报价清单，或者报价完整无修正，对报价中的总价承包项目按分项进行报价。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hint="eastAsia" w:ascii="宋体" w:hAnsi="宋体" w:eastAsia="宋体" w:cs="宋体"/>
                <w:szCs w:val="21"/>
              </w:rPr>
            </w:pPr>
            <w:r>
              <w:rPr>
                <w:rFonts w:hint="eastAsia" w:ascii="宋体" w:hAnsi="宋体" w:eastAsia="宋体" w:cs="宋体"/>
                <w:szCs w:val="21"/>
              </w:rPr>
              <w:t>磋商有效期符合磋商文件中规定的；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符合磋商文件中规定的实质性要求和条件的（磋商文件中标注“★”符号的条款）；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没有串通投标或弄虚作假或有其他违法行为的；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响应文件中没有采购人不能接受的附加条件的；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符合法律、法规和磋商文件中规定的其他实质性要求的；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符合法律、法规及本磋商文件规定的其他情形。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pStyle w:val="33"/>
        <w:ind w:left="0" w:leftChars="0" w:firstLine="0" w:firstLineChars="0"/>
      </w:pPr>
    </w:p>
    <w:p>
      <w:pPr>
        <w:pStyle w:val="80"/>
        <w:rPr>
          <w:rFonts w:ascii="宋体" w:hAnsi="宋体" w:cs="宋体"/>
          <w:sz w:val="22"/>
          <w:szCs w:val="22"/>
          <w:highlight w:val="white"/>
        </w:rPr>
      </w:pPr>
    </w:p>
    <w:p>
      <w:pPr>
        <w:pStyle w:val="80"/>
        <w:rPr>
          <w:rFonts w:ascii="宋体" w:hAnsi="宋体" w:cs="宋体"/>
          <w:sz w:val="22"/>
          <w:szCs w:val="22"/>
          <w:highlight w:val="white"/>
        </w:rPr>
      </w:pPr>
      <w:r>
        <w:rPr>
          <w:rFonts w:hint="eastAsia" w:ascii="宋体" w:hAnsi="宋体" w:cs="宋体"/>
          <w:sz w:val="22"/>
          <w:szCs w:val="22"/>
          <w:highlight w:val="white"/>
        </w:rPr>
        <w:t>附表二：</w:t>
      </w:r>
    </w:p>
    <w:p>
      <w:pPr>
        <w:pStyle w:val="80"/>
        <w:jc w:val="center"/>
        <w:rPr>
          <w:rFonts w:hint="default" w:ascii="宋体" w:hAnsi="宋体" w:eastAsia="宋体" w:cs="宋体"/>
          <w:b/>
          <w:bCs/>
          <w:sz w:val="28"/>
          <w:szCs w:val="32"/>
          <w:highlight w:val="white"/>
          <w:lang w:val="en-US" w:eastAsia="zh-CN"/>
        </w:rPr>
      </w:pPr>
      <w:r>
        <w:rPr>
          <w:rFonts w:hint="eastAsia" w:ascii="宋体" w:hAnsi="宋体" w:cs="宋体"/>
          <w:b/>
          <w:bCs/>
          <w:sz w:val="28"/>
          <w:szCs w:val="32"/>
          <w:highlight w:val="white"/>
          <w:lang w:val="en-US" w:eastAsia="zh-CN"/>
        </w:rPr>
        <w:t>商务</w:t>
      </w:r>
      <w:r>
        <w:rPr>
          <w:rFonts w:hint="eastAsia" w:ascii="宋体" w:hAnsi="宋体" w:cs="宋体"/>
          <w:b/>
          <w:bCs/>
          <w:sz w:val="28"/>
          <w:szCs w:val="32"/>
          <w:highlight w:val="white"/>
          <w:lang w:eastAsia="zh-CN"/>
        </w:rPr>
        <w:t>技术部分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K1=70%</w:t>
      </w:r>
    </w:p>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rPr>
      </w:pPr>
    </w:p>
    <w:tbl>
      <w:tblPr>
        <w:tblStyle w:val="34"/>
        <w:tblW w:w="9580" w:type="dxa"/>
        <w:tblInd w:w="93" w:type="dxa"/>
        <w:tblLayout w:type="fixed"/>
        <w:tblCellMar>
          <w:top w:w="0" w:type="dxa"/>
          <w:left w:w="108" w:type="dxa"/>
          <w:bottom w:w="0" w:type="dxa"/>
          <w:right w:w="108" w:type="dxa"/>
        </w:tblCellMar>
      </w:tblPr>
      <w:tblGrid>
        <w:gridCol w:w="683"/>
        <w:gridCol w:w="2062"/>
        <w:gridCol w:w="5973"/>
        <w:gridCol w:w="862"/>
      </w:tblGrid>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序号</w:t>
            </w:r>
          </w:p>
        </w:tc>
        <w:tc>
          <w:tcPr>
            <w:tcW w:w="20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项   目</w:t>
            </w:r>
          </w:p>
        </w:tc>
        <w:tc>
          <w:tcPr>
            <w:tcW w:w="597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评标内容</w:t>
            </w:r>
          </w:p>
        </w:tc>
        <w:tc>
          <w:tcPr>
            <w:tcW w:w="8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分值</w:t>
            </w:r>
          </w:p>
        </w:tc>
      </w:tr>
      <w:tr>
        <w:tblPrEx>
          <w:tblCellMar>
            <w:top w:w="0" w:type="dxa"/>
            <w:left w:w="108" w:type="dxa"/>
            <w:bottom w:w="0" w:type="dxa"/>
            <w:right w:w="108" w:type="dxa"/>
          </w:tblCellMar>
        </w:tblPrEx>
        <w:trPr>
          <w:trHeight w:val="397"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商务部分30分</w:t>
            </w: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企业实力</w:t>
            </w:r>
            <w:r>
              <w:rPr>
                <w:rFonts w:hint="eastAsia" w:ascii="仿宋" w:hAnsi="仿宋" w:eastAsia="仿宋" w:cs="宋体"/>
                <w:color w:val="000000"/>
                <w:kern w:val="0"/>
                <w:sz w:val="22"/>
                <w:szCs w:val="22"/>
                <w:lang w:val="en-US" w:eastAsia="zh-CN"/>
              </w:rPr>
              <w:t>（15分）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企业经营稳定，业绩稳步增长，市场占有率高（类似业绩每增加一个得</w:t>
            </w:r>
            <w:r>
              <w:rPr>
                <w:rFonts w:hint="eastAsia" w:ascii="仿宋" w:hAnsi="仿宋" w:eastAsia="仿宋" w:cs="宋体"/>
                <w:color w:val="000000"/>
                <w:kern w:val="0"/>
                <w:sz w:val="22"/>
                <w:szCs w:val="22"/>
                <w:lang w:val="en-US" w:eastAsia="zh-CN"/>
              </w:rPr>
              <w:t>3</w:t>
            </w:r>
            <w:r>
              <w:rPr>
                <w:rFonts w:hint="default" w:ascii="仿宋" w:hAnsi="仿宋" w:eastAsia="仿宋" w:cs="宋体"/>
                <w:color w:val="000000"/>
                <w:kern w:val="0"/>
                <w:sz w:val="22"/>
                <w:szCs w:val="22"/>
                <w:lang w:val="en-US" w:eastAsia="zh-CN"/>
              </w:rPr>
              <w:t>分，满分1</w:t>
            </w:r>
            <w:r>
              <w:rPr>
                <w:rFonts w:hint="eastAsia" w:ascii="仿宋" w:hAnsi="仿宋" w:eastAsia="仿宋" w:cs="宋体"/>
                <w:color w:val="000000"/>
                <w:kern w:val="0"/>
                <w:sz w:val="22"/>
                <w:szCs w:val="22"/>
                <w:lang w:val="en-US" w:eastAsia="zh-CN"/>
              </w:rPr>
              <w:t>5</w:t>
            </w:r>
            <w:r>
              <w:rPr>
                <w:rFonts w:hint="default" w:ascii="仿宋" w:hAnsi="仿宋" w:eastAsia="仿宋" w:cs="宋体"/>
                <w:color w:val="000000"/>
                <w:kern w:val="0"/>
                <w:sz w:val="22"/>
                <w:szCs w:val="22"/>
                <w:lang w:val="en-US" w:eastAsia="zh-CN"/>
              </w:rPr>
              <w:t>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15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售后服务及承诺</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有优质的售后服务措施和及时可靠的供应方案（3-5分）</w:t>
            </w:r>
          </w:p>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有售后服务措施和供应方案（1-3分）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没有完整的售后服务措施和供应方案（0-1分）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企业的承诺及优惠条件</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有非常满意的承诺和优惠条件（3-5分）</w:t>
            </w:r>
          </w:p>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有较好的承诺和优惠条件（1-3分）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承诺较差、优惠条件一般（0-1分）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标函质量履约措施</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标函编制内容完整、齐全、叙述严谨；标书无涂改、错页、漏页现象；履约措施具体、合理、可行（3-5分）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标函编制内容不完整、叙述简单；标书有涂改、错页或漏页现象；履约措施不具体。（0-3分）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技术部分40分</w:t>
            </w: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施工组织设计</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7</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1、项目管理网络</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2、施工平面布置</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3、工序衔接合理，关键节点控制措施可行</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施工机械设备投入（</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1、施工机械投入与施工季度计划相呼应且能满足工序衔接的要求</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2、施工机械搭配周全合理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74"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劳动力安排计划及保证措施（</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1、调配投入计划合理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2、劳动力安排计划与施工进度计划相呼应</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材料（周转材料）投入计划（</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1、与施工进度计划相呼应且满足施工需要</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2、调配投入计划合理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管理人员投入</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2</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1、项目管理人员针对工程实际配置且合理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2、项目管理人员配置能满足该工程管理需要</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施工技术方案</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6</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1、施工方案合理，施工部署全面</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2、针对性强，对工程施工具有较强的指导性</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施工进度计划</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6</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1、施工程总进度计划及分年分季度分月计划合理且留有余地</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2、对施工进度安排有切实可行的保证措施</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质量安全文明施工保证措施（</w:t>
            </w:r>
            <w:r>
              <w:rPr>
                <w:rFonts w:hint="eastAsia" w:ascii="仿宋" w:hAnsi="仿宋" w:eastAsia="仿宋" w:cs="宋体"/>
                <w:color w:val="000000"/>
                <w:kern w:val="0"/>
                <w:sz w:val="22"/>
                <w:szCs w:val="22"/>
                <w:lang w:val="en-US" w:eastAsia="zh-CN"/>
              </w:rPr>
              <w:t>7</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1、有具体可行的保证措施，有具体的违约责任</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2、管理机构健全</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3、管理制度健全</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4、质量检测能力与手段完善</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技术难点及相应解决方案（</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1、技术难点及相应解决方案</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2、施工重点难点解决的方案</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bl>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lang w:val="en-US" w:eastAsia="zh-CN"/>
        </w:rPr>
      </w:pPr>
      <w:r>
        <w:rPr>
          <w:rFonts w:hint="eastAsia" w:ascii="宋体" w:hAnsi="宋体" w:cs="宋体"/>
          <w:b/>
          <w:bCs/>
          <w:sz w:val="28"/>
          <w:szCs w:val="32"/>
          <w:highlight w:val="white"/>
          <w:lang w:val="en-US" w:eastAsia="zh-CN"/>
        </w:rPr>
        <w:t>经济</w:t>
      </w:r>
      <w:r>
        <w:rPr>
          <w:rFonts w:hint="eastAsia" w:ascii="宋体" w:hAnsi="宋体" w:cs="宋体"/>
          <w:b/>
          <w:bCs/>
          <w:sz w:val="28"/>
          <w:szCs w:val="32"/>
          <w:highlight w:val="white"/>
          <w:lang w:eastAsia="zh-CN"/>
        </w:rPr>
        <w:t>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K2=30%</w:t>
      </w:r>
    </w:p>
    <w:p>
      <w:pPr>
        <w:pStyle w:val="80"/>
        <w:jc w:val="center"/>
        <w:rPr>
          <w:rFonts w:hint="eastAsia" w:ascii="宋体" w:hAnsi="宋体" w:cs="宋体"/>
          <w:b/>
          <w:bCs/>
          <w:sz w:val="28"/>
          <w:szCs w:val="32"/>
          <w:highlight w:val="white"/>
        </w:rPr>
      </w:pPr>
    </w:p>
    <w:tbl>
      <w:tblPr>
        <w:tblStyle w:val="34"/>
        <w:tblW w:w="961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58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75" w:type="dxa"/>
            <w:shd w:val="clear" w:color="auto" w:fill="FFFFFF"/>
            <w:noWrap w:val="0"/>
            <w:vAlign w:val="top"/>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5812"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评分细则</w:t>
            </w:r>
          </w:p>
        </w:tc>
        <w:tc>
          <w:tcPr>
            <w:tcW w:w="2025"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75" w:type="dxa"/>
            <w:vMerge w:val="restart"/>
            <w:shd w:val="clear" w:color="auto" w:fill="FFFFFF"/>
            <w:noWrap w:val="0"/>
            <w:vAlign w:val="top"/>
          </w:tcPr>
          <w:p>
            <w:pPr>
              <w:widowControl/>
              <w:spacing w:line="360" w:lineRule="auto"/>
              <w:rPr>
                <w:rFonts w:hint="eastAsia" w:ascii="仿宋" w:hAnsi="仿宋" w:eastAsia="仿宋" w:cs="仿宋"/>
                <w:bCs/>
                <w:color w:val="auto"/>
                <w:szCs w:val="21"/>
                <w:lang w:val="en-US" w:eastAsia="zh-CN"/>
              </w:rPr>
            </w:pPr>
          </w:p>
          <w:p>
            <w:pPr>
              <w:widowControl/>
              <w:spacing w:line="360" w:lineRule="auto"/>
              <w:ind w:firstLine="210" w:firstLineChars="100"/>
              <w:rPr>
                <w:rFonts w:hint="default" w:ascii="仿宋" w:hAnsi="仿宋" w:eastAsia="仿宋" w:cs="仿宋"/>
                <w:bCs/>
                <w:color w:val="auto"/>
                <w:szCs w:val="21"/>
                <w:lang w:val="en-US" w:eastAsia="zh-CN"/>
              </w:rPr>
            </w:pPr>
            <w:r>
              <w:rPr>
                <w:rFonts w:hint="eastAsia" w:ascii="仿宋" w:hAnsi="仿宋" w:eastAsia="仿宋" w:cs="仿宋"/>
                <w:bCs/>
                <w:color w:val="auto"/>
                <w:szCs w:val="21"/>
                <w:lang w:val="en-US" w:eastAsia="zh-CN"/>
              </w:rPr>
              <w:t>投标报价</w:t>
            </w:r>
          </w:p>
        </w:tc>
        <w:tc>
          <w:tcPr>
            <w:tcW w:w="5812" w:type="dxa"/>
            <w:shd w:val="clear" w:color="auto" w:fill="FFFFFF"/>
            <w:noWrap w:val="0"/>
            <w:vAlign w:val="center"/>
          </w:tcPr>
          <w:p>
            <w:pPr>
              <w:widowControl/>
              <w:spacing w:line="280" w:lineRule="exact"/>
              <w:ind w:left="270" w:hanging="270"/>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投标报价：基准价=所有投标商的最低报价，满分30分，投标报价得分=（评标基准价/投标报价）x30%x100</w:t>
            </w:r>
          </w:p>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20"/>
                <w:szCs w:val="20"/>
                <w:lang w:val="en-US" w:eastAsia="zh-CN"/>
              </w:rPr>
              <w:t>评标基准价：满足招标文件要求且投标价格最低的投标报价为评标基准价，对小型和微型企业的价格给予6%的扣除，用扣除后的价格计算投标报价得分，须提供《中小企业声明函》。</w:t>
            </w:r>
          </w:p>
        </w:tc>
        <w:tc>
          <w:tcPr>
            <w:tcW w:w="2025" w:type="dxa"/>
            <w:shd w:val="clear" w:color="auto" w:fill="FFFFFF"/>
            <w:noWrap w:val="0"/>
            <w:vAlign w:val="center"/>
          </w:tcPr>
          <w:p>
            <w:pPr>
              <w:widowControl/>
              <w:jc w:val="center"/>
              <w:rPr>
                <w:rFonts w:hint="eastAsia" w:ascii="仿宋" w:hAnsi="仿宋" w:eastAsia="仿宋" w:cs="仿宋"/>
                <w:bCs/>
                <w:color w:val="auto"/>
                <w:sz w:val="24"/>
              </w:rPr>
            </w:pPr>
            <w:r>
              <w:rPr>
                <w:rFonts w:hint="eastAsia" w:ascii="仿宋" w:hAnsi="仿宋" w:eastAsia="仿宋" w:cs="仿宋"/>
                <w:bCs/>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75" w:type="dxa"/>
            <w:vMerge w:val="continue"/>
            <w:shd w:val="clear" w:color="auto" w:fill="FFFFFF"/>
            <w:noWrap w:val="0"/>
            <w:vAlign w:val="top"/>
          </w:tcPr>
          <w:p>
            <w:pPr>
              <w:widowControl/>
              <w:spacing w:line="360" w:lineRule="auto"/>
              <w:rPr>
                <w:rFonts w:hint="eastAsia" w:ascii="仿宋" w:hAnsi="仿宋" w:eastAsia="仿宋" w:cs="仿宋"/>
                <w:bCs/>
                <w:color w:val="auto"/>
                <w:szCs w:val="21"/>
              </w:rPr>
            </w:pPr>
          </w:p>
        </w:tc>
        <w:tc>
          <w:tcPr>
            <w:tcW w:w="5812" w:type="dxa"/>
            <w:shd w:val="clear" w:color="auto" w:fill="FFFFFF"/>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小计</w:t>
            </w:r>
          </w:p>
        </w:tc>
        <w:tc>
          <w:tcPr>
            <w:tcW w:w="2025" w:type="dxa"/>
            <w:shd w:val="clear" w:color="auto" w:fill="FFFFFF"/>
            <w:noWrap w:val="0"/>
            <w:vAlign w:val="center"/>
          </w:tcPr>
          <w:p>
            <w:pPr>
              <w:widowControl/>
              <w:jc w:val="center"/>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30</w:t>
            </w:r>
          </w:p>
        </w:tc>
      </w:tr>
    </w:tbl>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rPr>
      </w:pPr>
    </w:p>
    <w:p>
      <w:pPr>
        <w:spacing w:line="400" w:lineRule="exact"/>
        <w:outlineLvl w:val="1"/>
        <w:rPr>
          <w:rFonts w:ascii="宋体" w:hAnsi="宋体" w:cs="宋体"/>
          <w:kern w:val="0"/>
          <w:sz w:val="24"/>
        </w:rPr>
      </w:pPr>
      <w:bookmarkStart w:id="91" w:name="_Toc25362"/>
      <w:bookmarkStart w:id="92" w:name="_Toc14001"/>
      <w:r>
        <w:rPr>
          <w:rFonts w:hint="eastAsia" w:ascii="宋体" w:hAnsi="宋体" w:cs="宋体"/>
          <w:b/>
          <w:sz w:val="28"/>
          <w:szCs w:val="28"/>
        </w:rPr>
        <w:t>二、评审办法正文部分</w:t>
      </w:r>
      <w:bookmarkEnd w:id="91"/>
      <w:bookmarkEnd w:id="92"/>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2.2磋商小组审查响应文件是否完整、有无计算上的错误等。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2.2.3实质上没有响应磋商文件要求的响应文件将被视为无效文件。供应商不得通过修正或撤销不合要求的偏离从而使其成为实质上响应的文件。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3" w:name="_Toc19418"/>
      <w:r>
        <w:rPr>
          <w:rFonts w:hint="eastAsia" w:ascii="宋体" w:hAnsi="宋体" w:cs="宋体"/>
          <w:b/>
          <w:sz w:val="28"/>
          <w:szCs w:val="28"/>
        </w:rPr>
        <w:t>三、串通投标的情况</w:t>
      </w:r>
      <w:bookmarkEnd w:id="93"/>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12"/>
        <w:spacing w:line="400" w:lineRule="exact"/>
        <w:ind w:firstLine="484" w:firstLineChars="202"/>
        <w:jc w:val="left"/>
        <w:rPr>
          <w:rFonts w:ascii="宋体" w:hAnsi="宋体"/>
          <w:sz w:val="28"/>
          <w:szCs w:val="28"/>
        </w:rPr>
      </w:pPr>
      <w:r>
        <w:rPr>
          <w:rFonts w:hint="eastAsia" w:ascii="宋体" w:hAnsi="宋体" w:cs="宋体"/>
          <w:sz w:val="24"/>
          <w:szCs w:val="24"/>
        </w:rPr>
        <w:t>6、不同投标人的投标保证金从同一单位或者个人的账户转出。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4.2.1符合专业条件的供应商或者对招标文件作实质响应的供应商不足三家的；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color w:val="auto"/>
          <w:sz w:val="28"/>
          <w:szCs w:val="28"/>
        </w:rPr>
      </w:pPr>
    </w:p>
    <w:p>
      <w:pPr>
        <w:pStyle w:val="3"/>
        <w:numPr>
          <w:ilvl w:val="0"/>
          <w:numId w:val="1"/>
        </w:numPr>
        <w:spacing w:before="0" w:after="0" w:line="240" w:lineRule="auto"/>
        <w:rPr>
          <w:color w:val="auto"/>
        </w:rPr>
      </w:pPr>
      <w:bookmarkStart w:id="94" w:name="_Toc6170"/>
      <w:bookmarkStart w:id="95" w:name="_Toc22804"/>
      <w:r>
        <w:rPr>
          <w:rFonts w:hint="eastAsia"/>
          <w:color w:val="auto"/>
        </w:rPr>
        <w:t xml:space="preserve"> </w:t>
      </w:r>
      <w:bookmarkStart w:id="96" w:name="_Toc32004"/>
      <w:bookmarkStart w:id="97" w:name="_Toc15715"/>
      <w:bookmarkStart w:id="98" w:name="_Toc10028"/>
      <w:r>
        <w:rPr>
          <w:rFonts w:hint="eastAsia"/>
          <w:color w:val="auto"/>
        </w:rPr>
        <w:t>合同格式及合同条款</w:t>
      </w:r>
      <w:bookmarkEnd w:id="85"/>
      <w:bookmarkEnd w:id="86"/>
      <w:bookmarkEnd w:id="87"/>
      <w:bookmarkEnd w:id="88"/>
      <w:bookmarkEnd w:id="94"/>
      <w:bookmarkEnd w:id="95"/>
      <w:bookmarkEnd w:id="96"/>
      <w:bookmarkEnd w:id="97"/>
      <w:bookmarkEnd w:id="98"/>
    </w:p>
    <w:p>
      <w:pPr>
        <w:jc w:val="center"/>
        <w:rPr>
          <w:rFonts w:ascii="宋体" w:hAnsi="宋体"/>
          <w:bCs/>
          <w:color w:val="auto"/>
          <w:sz w:val="28"/>
          <w:szCs w:val="28"/>
          <w:shd w:val="clear" w:color="auto" w:fill="92D050"/>
        </w:rPr>
      </w:pPr>
    </w:p>
    <w:p>
      <w:pPr>
        <w:jc w:val="center"/>
        <w:rPr>
          <w:rFonts w:ascii="宋体" w:hAnsi="宋体"/>
          <w:bCs/>
          <w:color w:val="auto"/>
          <w:sz w:val="28"/>
          <w:szCs w:val="28"/>
          <w:shd w:val="clear" w:color="auto" w:fill="92D050"/>
        </w:rPr>
      </w:pPr>
      <w:r>
        <w:rPr>
          <w:rFonts w:hint="eastAsia" w:ascii="宋体" w:hAnsi="宋体"/>
          <w:bCs/>
          <w:color w:val="auto"/>
          <w:sz w:val="28"/>
          <w:szCs w:val="28"/>
          <w:shd w:val="clear" w:color="auto" w:fill="92D050"/>
        </w:rPr>
        <w:t>甲乙双方另行约定</w:t>
      </w:r>
    </w:p>
    <w:p>
      <w:pPr>
        <w:widowControl/>
        <w:jc w:val="center"/>
        <w:rPr>
          <w:rFonts w:ascii="宋体" w:hAnsi="宋体"/>
          <w:bCs/>
          <w:color w:val="auto"/>
          <w:sz w:val="28"/>
          <w:szCs w:val="28"/>
          <w:shd w:val="clear" w:color="auto" w:fill="00B050"/>
        </w:rPr>
      </w:pPr>
    </w:p>
    <w:p>
      <w:pPr>
        <w:widowControl/>
        <w:jc w:val="left"/>
        <w:rPr>
          <w:rFonts w:ascii="宋体" w:hAnsi="宋体"/>
          <w:bCs/>
          <w:color w:val="auto"/>
          <w:sz w:val="28"/>
          <w:szCs w:val="28"/>
        </w:rPr>
      </w:pPr>
    </w:p>
    <w:p>
      <w:pPr>
        <w:widowControl/>
        <w:jc w:val="left"/>
        <w:rPr>
          <w:rFonts w:ascii="宋体" w:hAnsi="宋体"/>
          <w:bCs/>
          <w:color w:val="auto"/>
          <w:sz w:val="28"/>
          <w:szCs w:val="28"/>
        </w:rPr>
      </w:pPr>
      <w:r>
        <w:rPr>
          <w:rFonts w:ascii="宋体" w:hAnsi="宋体"/>
          <w:bCs/>
          <w:color w:val="auto"/>
          <w:sz w:val="28"/>
          <w:szCs w:val="28"/>
        </w:rPr>
        <w:br w:type="page"/>
      </w:r>
    </w:p>
    <w:p>
      <w:pPr>
        <w:widowControl/>
        <w:jc w:val="left"/>
        <w:rPr>
          <w:rFonts w:ascii="宋体" w:hAnsi="宋体"/>
          <w:bCs/>
          <w:sz w:val="28"/>
          <w:szCs w:val="28"/>
        </w:rPr>
      </w:pPr>
    </w:p>
    <w:p>
      <w:pPr>
        <w:pStyle w:val="3"/>
        <w:numPr>
          <w:ilvl w:val="0"/>
          <w:numId w:val="1"/>
        </w:numPr>
        <w:spacing w:before="0" w:after="0" w:line="240" w:lineRule="auto"/>
      </w:pPr>
      <w:bookmarkStart w:id="99" w:name="_Toc18901"/>
      <w:bookmarkStart w:id="100" w:name="_Toc7411"/>
      <w:bookmarkStart w:id="101" w:name="_Toc257633148"/>
      <w:r>
        <w:rPr>
          <w:rFonts w:hint="eastAsia"/>
        </w:rPr>
        <w:t xml:space="preserve"> </w:t>
      </w:r>
      <w:bookmarkStart w:id="102" w:name="_Toc10721"/>
      <w:bookmarkStart w:id="103" w:name="_Toc804"/>
      <w:bookmarkStart w:id="104" w:name="_Toc16000"/>
      <w:r>
        <w:rPr>
          <w:rFonts w:hint="eastAsia"/>
        </w:rPr>
        <w:t>响应文件格式</w:t>
      </w:r>
      <w:bookmarkEnd w:id="99"/>
      <w:bookmarkEnd w:id="100"/>
      <w:bookmarkEnd w:id="102"/>
      <w:bookmarkEnd w:id="103"/>
      <w:bookmarkEnd w:id="104"/>
    </w:p>
    <w:p>
      <w:pPr>
        <w:rPr>
          <w:sz w:val="24"/>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spacing w:line="360" w:lineRule="auto"/>
        <w:jc w:val="center"/>
        <w:rPr>
          <w:rFonts w:ascii="宋体" w:hAnsi="宋体"/>
          <w:sz w:val="28"/>
        </w:rPr>
      </w:pPr>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5" w:name="_Toc18205"/>
      <w:r>
        <w:rPr>
          <w:rFonts w:hint="eastAsia" w:ascii="宋体" w:hAnsi="宋体"/>
          <w:sz w:val="28"/>
          <w:szCs w:val="28"/>
        </w:rPr>
        <w:t>（项目名称）</w:t>
      </w:r>
      <w:bookmarkEnd w:id="105"/>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6" w:name="_Toc19484"/>
      <w:r>
        <w:rPr>
          <w:rFonts w:hint="eastAsia" w:ascii="宋体" w:hAnsi="宋体"/>
          <w:sz w:val="28"/>
          <w:szCs w:val="28"/>
        </w:rPr>
        <w:t>（项目编号）</w:t>
      </w:r>
      <w:bookmarkEnd w:id="106"/>
    </w:p>
    <w:p>
      <w:pPr>
        <w:spacing w:line="360" w:lineRule="auto"/>
        <w:jc w:val="center"/>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jc w:val="center"/>
        <w:outlineLvl w:val="0"/>
        <w:rPr>
          <w:rFonts w:eastAsia="黑体"/>
          <w:b/>
          <w:sz w:val="72"/>
          <w:szCs w:val="72"/>
        </w:rPr>
      </w:pPr>
      <w:bookmarkStart w:id="107" w:name="_Toc3702"/>
      <w:r>
        <w:rPr>
          <w:rFonts w:hint="eastAsia" w:eastAsia="黑体"/>
          <w:b/>
          <w:sz w:val="72"/>
          <w:szCs w:val="72"/>
        </w:rPr>
        <w:t>响应文件</w:t>
      </w:r>
      <w:bookmarkEnd w:id="107"/>
    </w:p>
    <w:p>
      <w:pPr>
        <w:spacing w:line="360" w:lineRule="auto"/>
        <w:jc w:val="center"/>
        <w:rPr>
          <w:rFonts w:ascii="宋体" w:hAnsi="宋体"/>
          <w:sz w:val="28"/>
        </w:rPr>
      </w:pPr>
    </w:p>
    <w:p>
      <w:pPr>
        <w:spacing w:line="360" w:lineRule="auto"/>
        <w:rPr>
          <w:rFonts w:ascii="宋体" w:hAnsi="宋体"/>
          <w:b/>
          <w:sz w:val="28"/>
        </w:rPr>
      </w:pPr>
    </w:p>
    <w:p>
      <w:pPr>
        <w:spacing w:line="360" w:lineRule="auto"/>
        <w:jc w:val="center"/>
        <w:rPr>
          <w:rFonts w:ascii="宋体" w:hAnsi="宋体"/>
          <w:b/>
          <w:sz w:val="28"/>
        </w:rPr>
      </w:pPr>
    </w:p>
    <w:p>
      <w:pPr>
        <w:spacing w:line="360" w:lineRule="auto"/>
        <w:jc w:val="center"/>
        <w:rPr>
          <w:rFonts w:ascii="宋体" w:hAnsi="宋体"/>
          <w:b/>
          <w:sz w:val="28"/>
        </w:rPr>
      </w:pP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供应商：</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（公章）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法定代表人</w:t>
      </w:r>
      <w:r>
        <w:rPr>
          <w:rFonts w:hint="eastAsia" w:ascii="宋体" w:hAnsi="宋体" w:cs="宋体"/>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33"/>
        <w:ind w:firstLine="1126"/>
      </w:pPr>
    </w:p>
    <w:p>
      <w:pPr>
        <w:pStyle w:val="5"/>
        <w:numPr>
          <w:ilvl w:val="2"/>
          <w:numId w:val="0"/>
        </w:numPr>
        <w:spacing w:before="120" w:beforeLines="50" w:after="120" w:afterLines="50" w:line="300" w:lineRule="auto"/>
      </w:pPr>
      <w:r>
        <w:rPr>
          <w:rFonts w:hint="eastAsia" w:ascii="宋体" w:cs="宋体"/>
          <w:b w:val="0"/>
          <w:sz w:val="30"/>
          <w:szCs w:val="30"/>
        </w:rPr>
        <w:t>目录</w:t>
      </w:r>
    </w:p>
    <w:p>
      <w:pPr>
        <w:pStyle w:val="33"/>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符合《中华人民共和国政府采购法》第二十二条规定的材料：</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1、提供营业执照等证明文件，自然人提供身份证明（复印件加盖公章）</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提供近企业缴纳税收的电子回单或税务部门出具的纳税证明或完税证明或有效的证明材料；提供近6个月相关人员人员的缴纳社保的银行电子回单或社保部门出具的社保缴纳证明材料或有效的证明材料（复印件加盖公章）</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3</w:t>
      </w:r>
      <w:r>
        <w:rPr>
          <w:rFonts w:hint="eastAsia" w:ascii="宋体" w:hAnsi="宋体" w:eastAsia="宋体" w:cs="宋体"/>
          <w:sz w:val="24"/>
          <w:szCs w:val="22"/>
        </w:rPr>
        <w:t>、具备履行合同所必需专业能力的书面声明（格式见附件一）</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年内在经营活动中没有重大违法记录的书面声明（格式见附件二）</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、法定代表人（单位负责人）身份证明及授权委托书（格式见附件三）</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、提供磋商保证金打款凭证</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7</w:t>
      </w:r>
      <w:r>
        <w:rPr>
          <w:rFonts w:hint="eastAsia" w:ascii="宋体" w:hAnsi="宋体" w:eastAsia="宋体" w:cs="宋体"/>
          <w:sz w:val="24"/>
          <w:szCs w:val="22"/>
        </w:rPr>
        <w:t>、提供递交响应文件截止时间前七日内“信用中国”网站和“中国政府采购网”网站企业信用信息查询记录（复印件加盖公章）</w:t>
      </w:r>
    </w:p>
    <w:p>
      <w:pPr>
        <w:pStyle w:val="33"/>
        <w:spacing w:line="440" w:lineRule="exact"/>
        <w:ind w:firstLine="480" w:firstLineChars="200"/>
        <w:rPr>
          <w:rFonts w:ascii="宋体" w:hAnsi="宋体" w:cs="宋体"/>
          <w:sz w:val="24"/>
          <w:szCs w:val="22"/>
        </w:rPr>
      </w:pPr>
      <w:r>
        <w:rPr>
          <w:rFonts w:hint="eastAsia" w:ascii="宋体" w:hAnsi="宋体" w:eastAsia="宋体" w:cs="宋体"/>
          <w:sz w:val="24"/>
          <w:szCs w:val="22"/>
          <w:lang w:val="en-US" w:eastAsia="zh-CN"/>
        </w:rPr>
        <w:t>8</w:t>
      </w:r>
      <w:r>
        <w:rPr>
          <w:rFonts w:hint="eastAsia" w:ascii="宋体" w:hAnsi="宋体" w:eastAsia="宋体" w:cs="宋体"/>
          <w:sz w:val="24"/>
          <w:szCs w:val="22"/>
        </w:rPr>
        <w:t>、其它材料：资质证书</w:t>
      </w:r>
    </w:p>
    <w:p>
      <w:pPr>
        <w:pStyle w:val="33"/>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1、竞争性磋商函（格式见附件四）；</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rPr>
        <w:t>★</w:t>
      </w:r>
      <w:r>
        <w:rPr>
          <w:rFonts w:hint="eastAsia" w:ascii="宋体" w:hAnsi="宋体" w:eastAsia="宋体" w:cs="宋体"/>
          <w:sz w:val="24"/>
          <w:szCs w:val="22"/>
        </w:rPr>
        <w:t>磋商报价表（格式见附件五）；</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3、竞争性磋商报价明细表（格式见附件六）；</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pStyle w:val="33"/>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w:t>
      </w:r>
      <w:r>
        <w:rPr>
          <w:rFonts w:hint="eastAsia" w:ascii="宋体" w:hAnsi="宋体" w:eastAsia="宋体" w:cs="宋体"/>
          <w:b/>
          <w:bCs/>
          <w:sz w:val="24"/>
          <w:szCs w:val="22"/>
          <w:lang w:eastAsia="zh-CN"/>
        </w:rPr>
        <w:t>技术</w:t>
      </w:r>
      <w:r>
        <w:rPr>
          <w:rFonts w:hint="eastAsia" w:ascii="宋体" w:hAnsi="宋体" w:eastAsia="宋体" w:cs="宋体"/>
          <w:b/>
          <w:bCs/>
          <w:sz w:val="24"/>
          <w:szCs w:val="22"/>
        </w:rPr>
        <w:t>文件</w:t>
      </w:r>
    </w:p>
    <w:p>
      <w:pPr>
        <w:pStyle w:val="33"/>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格式自拟，具体内容应包括但不限于：人员配备、工作大纲、业绩证明、信誉证明、</w:t>
      </w:r>
      <w:r>
        <w:rPr>
          <w:rFonts w:hint="eastAsia" w:ascii="宋体" w:hAnsi="宋体" w:eastAsia="宋体" w:cs="宋体"/>
          <w:sz w:val="24"/>
          <w:szCs w:val="22"/>
          <w:lang w:eastAsia="zh-CN"/>
        </w:rPr>
        <w:t>其他技术文件。</w:t>
      </w:r>
    </w:p>
    <w:p>
      <w:pPr>
        <w:pStyle w:val="33"/>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四、其他文件</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1、商务和技术偏差表（格式见附件七）；</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2、企业声明函（格式见附件八）；</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3、残疾人福利性单位声明函（格式见附件九）；</w:t>
      </w:r>
    </w:p>
    <w:p>
      <w:pPr>
        <w:pStyle w:val="33"/>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spacing w:line="440" w:lineRule="exact"/>
        <w:ind w:firstLine="560" w:firstLineChars="200"/>
        <w:rPr>
          <w:rFonts w:ascii="宋体" w:hAnsi="宋体"/>
          <w:sz w:val="28"/>
          <w:szCs w:val="28"/>
        </w:rPr>
      </w:pPr>
      <w:r>
        <w:rPr>
          <w:rFonts w:hint="eastAsia" w:ascii="宋体" w:hAnsi="宋体"/>
          <w:sz w:val="28"/>
          <w:szCs w:val="28"/>
        </w:rPr>
        <w:br w:type="page"/>
      </w:r>
    </w:p>
    <w:bookmarkEnd w:id="101"/>
    <w:p>
      <w:pPr>
        <w:pStyle w:val="5"/>
        <w:numPr>
          <w:ilvl w:val="2"/>
          <w:numId w:val="0"/>
        </w:numPr>
        <w:spacing w:before="120" w:beforeLines="50" w:after="120" w:afterLines="50" w:line="300" w:lineRule="auto"/>
        <w:jc w:val="both"/>
        <w:rPr>
          <w:rFonts w:ascii="宋体" w:cs="宋体"/>
          <w:b w:val="0"/>
          <w:sz w:val="30"/>
          <w:szCs w:val="30"/>
        </w:rPr>
      </w:pPr>
      <w:bookmarkStart w:id="108" w:name="_Toc23830"/>
      <w:bookmarkStart w:id="109" w:name="_Toc534816643"/>
      <w:bookmarkStart w:id="110" w:name="_Toc534725614"/>
      <w:bookmarkStart w:id="111" w:name="_Toc519111281"/>
      <w:r>
        <w:rPr>
          <w:rFonts w:hint="eastAsia" w:ascii="宋体" w:cs="宋体"/>
          <w:b w:val="0"/>
          <w:sz w:val="30"/>
          <w:szCs w:val="30"/>
        </w:rPr>
        <w:t>附件一：具备履行合同所必需的设备和专业技术能力的书面声明</w:t>
      </w:r>
      <w:bookmarkEnd w:id="108"/>
      <w:bookmarkEnd w:id="109"/>
      <w:bookmarkEnd w:id="110"/>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80"/>
        <w:rPr>
          <w:rFonts w:ascii="宋体" w:hAnsi="宋体" w:cs="宋体"/>
        </w:rPr>
      </w:pPr>
    </w:p>
    <w:p>
      <w:pPr>
        <w:pStyle w:val="82"/>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5"/>
        <w:numPr>
          <w:ilvl w:val="2"/>
          <w:numId w:val="0"/>
        </w:numPr>
        <w:spacing w:before="120" w:beforeLines="50" w:after="120" w:afterLines="50" w:line="300" w:lineRule="auto"/>
        <w:jc w:val="both"/>
        <w:rPr>
          <w:rFonts w:ascii="宋体" w:cs="宋体"/>
          <w:b w:val="0"/>
          <w:sz w:val="30"/>
          <w:szCs w:val="30"/>
        </w:rPr>
      </w:pPr>
      <w:bookmarkStart w:id="112" w:name="_Toc534725615"/>
      <w:bookmarkStart w:id="113" w:name="_Toc534816644"/>
      <w:bookmarkStart w:id="114" w:name="_Toc21280"/>
      <w:r>
        <w:rPr>
          <w:rFonts w:hint="eastAsia" w:ascii="宋体" w:cs="宋体"/>
          <w:b w:val="0"/>
          <w:sz w:val="30"/>
          <w:szCs w:val="30"/>
        </w:rPr>
        <w:t>附件二：参加政府采购活动前 3 年内在经营活动中没有重大违法记录的书面声明</w:t>
      </w:r>
      <w:bookmarkEnd w:id="112"/>
      <w:bookmarkEnd w:id="113"/>
      <w:bookmarkEnd w:id="114"/>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2"/>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5"/>
        <w:spacing w:before="120" w:beforeLines="50" w:after="120" w:afterLines="50" w:line="300" w:lineRule="auto"/>
        <w:ind w:left="0" w:leftChars="0"/>
        <w:jc w:val="both"/>
        <w:rPr>
          <w:rFonts w:ascii="宋体" w:cs="宋体"/>
          <w:b w:val="0"/>
          <w:sz w:val="30"/>
          <w:szCs w:val="30"/>
        </w:rPr>
      </w:pPr>
      <w:bookmarkStart w:id="115" w:name="_Toc8813"/>
      <w:r>
        <w:rPr>
          <w:rFonts w:hint="eastAsia" w:ascii="宋体" w:cs="宋体"/>
          <w:b w:val="0"/>
          <w:sz w:val="30"/>
          <w:szCs w:val="30"/>
        </w:rPr>
        <w:t>附件三：法定代表人（单位负责人）身份证明及授权委托书</w:t>
      </w:r>
      <w:bookmarkEnd w:id="111"/>
      <w:bookmarkEnd w:id="115"/>
    </w:p>
    <w:p>
      <w:pPr>
        <w:rPr>
          <w:rFonts w:ascii="宋体" w:hAnsi="宋体" w:cs="宋体"/>
        </w:rPr>
      </w:pPr>
    </w:p>
    <w:p>
      <w:pPr>
        <w:pStyle w:val="83"/>
        <w:outlineLvl w:val="9"/>
        <w:rPr>
          <w:rFonts w:eastAsia="宋体" w:cs="宋体"/>
          <w:b w:val="0"/>
          <w:sz w:val="24"/>
          <w:szCs w:val="24"/>
        </w:rPr>
      </w:pPr>
      <w:bookmarkStart w:id="116" w:name="_Toc480368653"/>
      <w:bookmarkStart w:id="117" w:name="_Toc480368424"/>
      <w:bookmarkStart w:id="118" w:name="_Toc519111282"/>
      <w:bookmarkStart w:id="119" w:name="_Toc468535482"/>
      <w:bookmarkStart w:id="120" w:name="_Toc480371721"/>
      <w:bookmarkStart w:id="121" w:name="_Toc480368595"/>
      <w:r>
        <w:rPr>
          <w:rFonts w:hint="eastAsia" w:eastAsia="宋体" w:cs="宋体"/>
          <w:b w:val="0"/>
          <w:sz w:val="24"/>
          <w:szCs w:val="24"/>
        </w:rPr>
        <w:t>法定代表人（单位负责人）资格证明文件</w:t>
      </w:r>
      <w:bookmarkEnd w:id="116"/>
      <w:bookmarkEnd w:id="117"/>
      <w:bookmarkEnd w:id="118"/>
      <w:bookmarkEnd w:id="119"/>
      <w:bookmarkEnd w:id="120"/>
      <w:bookmarkEnd w:id="121"/>
    </w:p>
    <w:p>
      <w:pPr>
        <w:pStyle w:val="82"/>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2"/>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2"/>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4"/>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500" w:lineRule="exact"/>
              <w:jc w:val="center"/>
              <w:rPr>
                <w:rFonts w:ascii="宋体" w:hAnsi="宋体" w:cs="宋体"/>
                <w:sz w:val="24"/>
                <w:szCs w:val="24"/>
              </w:rPr>
            </w:pPr>
          </w:p>
          <w:p>
            <w:pPr>
              <w:pStyle w:val="82"/>
              <w:adjustRightInd w:val="0"/>
              <w:snapToGrid w:val="0"/>
              <w:spacing w:line="500" w:lineRule="exact"/>
              <w:jc w:val="center"/>
              <w:rPr>
                <w:rFonts w:ascii="宋体" w:hAnsi="宋体" w:cs="宋体"/>
                <w:sz w:val="24"/>
                <w:szCs w:val="24"/>
              </w:rPr>
            </w:pPr>
          </w:p>
          <w:p>
            <w:pPr>
              <w:pStyle w:val="82"/>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2"/>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2"/>
        <w:tabs>
          <w:tab w:val="left" w:pos="750"/>
        </w:tabs>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3"/>
        <w:outlineLvl w:val="9"/>
        <w:rPr>
          <w:rFonts w:eastAsia="宋体" w:cs="宋体"/>
        </w:rPr>
      </w:pPr>
      <w:r>
        <w:rPr>
          <w:rFonts w:hint="eastAsia" w:eastAsia="宋体" w:cs="宋体"/>
        </w:rPr>
        <w:t xml:space="preserve"> </w:t>
      </w:r>
      <w:bookmarkStart w:id="122" w:name="_Toc468535483"/>
    </w:p>
    <w:p>
      <w:pPr>
        <w:pStyle w:val="82"/>
        <w:rPr>
          <w:rFonts w:ascii="宋体" w:hAnsi="宋体" w:cs="宋体"/>
        </w:rPr>
      </w:pPr>
    </w:p>
    <w:p>
      <w:pPr>
        <w:pStyle w:val="83"/>
        <w:outlineLvl w:val="9"/>
        <w:rPr>
          <w:rFonts w:eastAsia="宋体" w:cs="宋体"/>
          <w:b w:val="0"/>
          <w:sz w:val="24"/>
          <w:szCs w:val="24"/>
        </w:rPr>
      </w:pPr>
      <w:r>
        <w:rPr>
          <w:rFonts w:hint="eastAsia" w:eastAsia="宋体" w:cs="宋体"/>
          <w:b w:val="0"/>
        </w:rPr>
        <w:t xml:space="preserve"> </w:t>
      </w:r>
      <w:bookmarkStart w:id="123" w:name="_Toc480368596"/>
      <w:bookmarkStart w:id="124" w:name="_Toc480371722"/>
      <w:bookmarkStart w:id="125" w:name="_Toc480368654"/>
      <w:bookmarkStart w:id="126" w:name="_Toc519111283"/>
      <w:bookmarkStart w:id="127" w:name="_Toc480368425"/>
      <w:r>
        <w:rPr>
          <w:rFonts w:hint="eastAsia" w:eastAsia="宋体" w:cs="宋体"/>
          <w:b w:val="0"/>
          <w:sz w:val="24"/>
          <w:szCs w:val="24"/>
        </w:rPr>
        <w:t>法定代表人（单位负责人）授权书</w:t>
      </w:r>
      <w:bookmarkEnd w:id="122"/>
      <w:bookmarkEnd w:id="123"/>
      <w:bookmarkEnd w:id="124"/>
      <w:bookmarkEnd w:id="125"/>
      <w:bookmarkEnd w:id="126"/>
      <w:bookmarkEnd w:id="127"/>
    </w:p>
    <w:p>
      <w:pPr>
        <w:pStyle w:val="82"/>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2"/>
        <w:spacing w:line="500" w:lineRule="exact"/>
        <w:rPr>
          <w:rFonts w:ascii="宋体" w:hAnsi="宋体" w:cs="宋体"/>
          <w:sz w:val="24"/>
          <w:szCs w:val="24"/>
        </w:rPr>
      </w:pPr>
    </w:p>
    <w:p>
      <w:pPr>
        <w:pStyle w:val="82"/>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2"/>
        <w:spacing w:line="500" w:lineRule="exact"/>
        <w:ind w:firstLine="480" w:firstLineChars="200"/>
        <w:rPr>
          <w:rFonts w:ascii="宋体" w:hAnsi="宋体" w:cs="宋体"/>
          <w:sz w:val="24"/>
          <w:szCs w:val="24"/>
        </w:rPr>
      </w:pPr>
    </w:p>
    <w:p>
      <w:pPr>
        <w:pStyle w:val="82"/>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2"/>
        <w:adjustRightInd w:val="0"/>
        <w:snapToGrid w:val="0"/>
        <w:spacing w:line="500" w:lineRule="exact"/>
        <w:ind w:left="-88" w:leftChars="-42" w:firstLine="600" w:firstLineChars="250"/>
        <w:rPr>
          <w:rFonts w:ascii="宋体" w:hAnsi="宋体" w:cs="宋体"/>
          <w:sz w:val="24"/>
          <w:szCs w:val="24"/>
          <w:u w:val="single"/>
        </w:rPr>
      </w:pPr>
    </w:p>
    <w:tbl>
      <w:tblPr>
        <w:tblStyle w:val="34"/>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2"/>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90"/>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5"/>
        <w:spacing w:before="120" w:beforeLines="50" w:after="120" w:afterLines="50" w:line="600" w:lineRule="exact"/>
        <w:ind w:left="0" w:leftChars="0"/>
        <w:jc w:val="both"/>
        <w:rPr>
          <w:rFonts w:ascii="宋体"/>
          <w:kern w:val="0"/>
          <w:sz w:val="28"/>
          <w:szCs w:val="28"/>
        </w:rPr>
      </w:pPr>
      <w:bookmarkStart w:id="128" w:name="_Toc23219"/>
      <w:r>
        <w:rPr>
          <w:rFonts w:hint="eastAsia" w:ascii="宋体" w:cs="宋体"/>
          <w:b w:val="0"/>
          <w:sz w:val="30"/>
          <w:szCs w:val="30"/>
        </w:rPr>
        <w:t>附件四：竞争性磋商函</w:t>
      </w:r>
      <w:bookmarkEnd w:id="128"/>
    </w:p>
    <w:p>
      <w:pPr>
        <w:autoSpaceDE w:val="0"/>
        <w:autoSpaceDN w:val="0"/>
        <w:adjustRightInd w:val="0"/>
        <w:spacing w:line="600" w:lineRule="exact"/>
        <w:jc w:val="center"/>
        <w:rPr>
          <w:rFonts w:ascii="宋体" w:hAnsi="宋体" w:cs="宋体"/>
          <w:b/>
          <w:sz w:val="44"/>
          <w:szCs w:val="44"/>
        </w:rPr>
      </w:pPr>
      <w:bookmarkStart w:id="129" w:name="_Toc12389"/>
      <w:bookmarkStart w:id="130" w:name="_Toc13369"/>
      <w:bookmarkStart w:id="131" w:name="_Toc485895991"/>
      <w:r>
        <w:rPr>
          <w:rFonts w:hint="eastAsia" w:ascii="宋体" w:hAnsi="宋体" w:cs="宋体"/>
          <w:b/>
          <w:sz w:val="44"/>
          <w:szCs w:val="44"/>
        </w:rPr>
        <w:t>竞争性磋商函</w:t>
      </w:r>
      <w:bookmarkEnd w:id="129"/>
      <w:bookmarkEnd w:id="130"/>
      <w:bookmarkEnd w:id="131"/>
    </w:p>
    <w:p>
      <w:pPr>
        <w:spacing w:before="120" w:beforeLines="50" w:after="120" w:afterLines="50" w:line="600" w:lineRule="exact"/>
        <w:rPr>
          <w:rFonts w:ascii="宋体" w:hAnsi="宋体" w:cs="宋体"/>
          <w:bCs/>
          <w:sz w:val="24"/>
        </w:rPr>
      </w:pPr>
      <w:r>
        <w:rPr>
          <w:rFonts w:hint="eastAsia" w:ascii="宋体" w:hAnsi="宋体" w:cs="宋体"/>
          <w:bCs/>
          <w:sz w:val="24"/>
          <w:u w:val="single"/>
        </w:rPr>
        <w:t>（代理机构名称）</w:t>
      </w:r>
      <w:r>
        <w:rPr>
          <w:rFonts w:hint="eastAsia" w:ascii="宋体" w:hAnsi="宋体" w:cs="宋体"/>
          <w:bCs/>
          <w:sz w:val="24"/>
        </w:rPr>
        <w:t>：</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依据贵方</w:t>
      </w:r>
      <w:r>
        <w:rPr>
          <w:rFonts w:hint="eastAsia" w:ascii="宋体" w:hAnsi="宋体" w:cs="宋体"/>
          <w:bCs/>
          <w:sz w:val="24"/>
          <w:u w:val="single"/>
        </w:rPr>
        <w:t xml:space="preserve"> (采购项目名称/采购项目编号)</w:t>
      </w:r>
      <w:r>
        <w:rPr>
          <w:rFonts w:hint="eastAsia" w:ascii="宋体" w:hAnsi="宋体" w:cs="宋体"/>
          <w:bCs/>
          <w:sz w:val="24"/>
        </w:rPr>
        <w:t xml:space="preserve">  的磋商邀请，我方代表</w:t>
      </w:r>
      <w:r>
        <w:rPr>
          <w:rFonts w:hint="eastAsia" w:ascii="宋体" w:hAnsi="宋体" w:cs="宋体"/>
          <w:bCs/>
          <w:sz w:val="24"/>
          <w:u w:val="single"/>
        </w:rPr>
        <w:t>（姓名、职务）</w:t>
      </w:r>
      <w:r>
        <w:rPr>
          <w:rFonts w:hint="eastAsia" w:ascii="宋体" w:hAnsi="宋体" w:cs="宋体"/>
          <w:bCs/>
          <w:sz w:val="24"/>
        </w:rPr>
        <w:t>经正式授权并代表供应商</w:t>
      </w:r>
      <w:r>
        <w:rPr>
          <w:rFonts w:hint="eastAsia" w:ascii="宋体" w:hAnsi="宋体" w:cs="宋体"/>
          <w:bCs/>
          <w:sz w:val="24"/>
          <w:u w:val="single"/>
        </w:rPr>
        <w:t>（供应商名称、地址）</w:t>
      </w:r>
      <w:r>
        <w:rPr>
          <w:rFonts w:hint="eastAsia" w:ascii="宋体" w:hAnsi="宋体" w:cs="宋体"/>
          <w:bCs/>
          <w:sz w:val="24"/>
        </w:rPr>
        <w:t>提交下述响应文件。</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1．磋商报价表；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2．磋商报价明细表；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3．按磋商文件供应商须知和采购需求提供的有关文件；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4．资格证明文件；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5．按磋商文件的规定递交的磋商保证金。</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在此，我方宣布同意如下：</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1．所附《磋商报价表》中规定的应提交和交付的</w:t>
      </w:r>
      <w:r>
        <w:rPr>
          <w:rFonts w:hint="eastAsia" w:ascii="宋体" w:hAnsi="宋体" w:cs="宋体"/>
          <w:bCs/>
          <w:sz w:val="24"/>
          <w:u w:val="single"/>
        </w:rPr>
        <w:t xml:space="preserve">  （包号） </w:t>
      </w:r>
      <w:r>
        <w:rPr>
          <w:rFonts w:hint="eastAsia" w:ascii="宋体" w:hAnsi="宋体" w:cs="宋体"/>
          <w:bCs/>
          <w:sz w:val="24"/>
        </w:rPr>
        <w:t>货物投标总价为</w:t>
      </w:r>
      <w:r>
        <w:rPr>
          <w:rFonts w:hint="eastAsia" w:ascii="宋体" w:hAnsi="宋体" w:cs="宋体"/>
          <w:bCs/>
          <w:sz w:val="24"/>
          <w:u w:val="single"/>
        </w:rPr>
        <w:t xml:space="preserve">    </w:t>
      </w:r>
      <w:r>
        <w:rPr>
          <w:rFonts w:hint="eastAsia" w:ascii="宋体" w:hAnsi="宋体" w:cs="宋体"/>
          <w:bCs/>
          <w:sz w:val="24"/>
        </w:rPr>
        <w:t>（注明币种，并用文字和数字表示的投标总价）。</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2．将按磋商文件的约定履行合同责任和义务。</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3．已详细审查全部磋商文件，包括（修正或补充文件）（如有），对此无异议。</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4．本投标有效期为自开标日起，共</w:t>
      </w:r>
      <w:r>
        <w:rPr>
          <w:rFonts w:hint="eastAsia" w:ascii="宋体" w:hAnsi="宋体" w:cs="宋体"/>
          <w:bCs/>
          <w:sz w:val="24"/>
          <w:u w:val="single"/>
        </w:rPr>
        <w:t xml:space="preserve">      </w:t>
      </w:r>
      <w:r>
        <w:rPr>
          <w:rFonts w:hint="eastAsia" w:ascii="宋体" w:hAnsi="宋体" w:cs="宋体"/>
          <w:bCs/>
          <w:sz w:val="24"/>
        </w:rPr>
        <w:t>个日历日。</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5．接受磋商文件关于没收投标保证金的约定。</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6．同意提供按照贵方可能要求的与其投标有关的一切数据或资料。</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7.其他：</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 xml:space="preserve">供应商名称(公章)： </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法定代表人（单位负责人）（签字或盖章）：</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地    址：</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电    话：</w:t>
      </w:r>
    </w:p>
    <w:p>
      <w:pPr>
        <w:spacing w:before="120" w:beforeLines="50" w:after="120" w:afterLines="50" w:line="400" w:lineRule="exact"/>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500" w:lineRule="exact"/>
        <w:rPr>
          <w:rFonts w:ascii="宋体" w:hAnsi="宋体"/>
          <w:b/>
          <w:sz w:val="28"/>
          <w:szCs w:val="28"/>
        </w:rPr>
      </w:pPr>
    </w:p>
    <w:p>
      <w:pPr>
        <w:pStyle w:val="33"/>
        <w:ind w:firstLine="1126"/>
      </w:pPr>
    </w:p>
    <w:p>
      <w:pPr>
        <w:pStyle w:val="5"/>
        <w:spacing w:before="120" w:beforeLines="50" w:after="120" w:afterLines="50" w:line="300" w:lineRule="auto"/>
        <w:ind w:left="0" w:leftChars="0"/>
        <w:jc w:val="both"/>
        <w:rPr>
          <w:rFonts w:ascii="宋体"/>
          <w:sz w:val="28"/>
          <w:szCs w:val="28"/>
        </w:rPr>
      </w:pPr>
      <w:bookmarkStart w:id="132" w:name="_Toc20493"/>
      <w:r>
        <w:rPr>
          <w:rFonts w:hint="eastAsia" w:ascii="宋体" w:cs="宋体"/>
          <w:b w:val="0"/>
          <w:sz w:val="30"/>
          <w:szCs w:val="30"/>
        </w:rPr>
        <w:t>附件五：磋商报价表</w:t>
      </w:r>
      <w:bookmarkEnd w:id="132"/>
    </w:p>
    <w:p>
      <w:pPr>
        <w:adjustRightInd w:val="0"/>
        <w:snapToGrid w:val="0"/>
        <w:spacing w:line="500" w:lineRule="exact"/>
        <w:jc w:val="center"/>
        <w:rPr>
          <w:sz w:val="28"/>
          <w:szCs w:val="32"/>
        </w:rPr>
      </w:pPr>
      <w:bookmarkStart w:id="133" w:name="_Toc485895992"/>
      <w:bookmarkStart w:id="134" w:name="_Toc13846"/>
      <w:bookmarkStart w:id="135" w:name="_Toc20150"/>
      <w:r>
        <w:rPr>
          <w:rFonts w:hint="eastAsia"/>
          <w:sz w:val="28"/>
          <w:szCs w:val="32"/>
        </w:rPr>
        <w:t>磋商报价表</w:t>
      </w:r>
      <w:bookmarkEnd w:id="133"/>
      <w:bookmarkEnd w:id="134"/>
      <w:bookmarkEnd w:id="135"/>
    </w:p>
    <w:p>
      <w:pPr>
        <w:pStyle w:val="33"/>
        <w:ind w:firstLine="1126"/>
      </w:pPr>
    </w:p>
    <w:p>
      <w:pPr>
        <w:pStyle w:val="85"/>
        <w:spacing w:line="360" w:lineRule="auto"/>
        <w:ind w:left="0" w:leftChars="0" w:firstLine="0" w:firstLineChars="0"/>
        <w:jc w:val="right"/>
        <w:rPr>
          <w:rFonts w:ascii="宋体" w:hAnsi="宋体" w:cs="宋体"/>
        </w:rPr>
      </w:pPr>
      <w:bookmarkStart w:id="136" w:name="_Toc485895993"/>
      <w:r>
        <w:rPr>
          <w:rFonts w:hint="eastAsia" w:ascii="宋体" w:hAnsi="宋体" w:cs="宋体"/>
        </w:rPr>
        <w:t>价格单位：元</w:t>
      </w:r>
    </w:p>
    <w:tbl>
      <w:tblPr>
        <w:tblStyle w:val="3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6"/>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6"/>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6"/>
              <w:tabs>
                <w:tab w:val="left" w:pos="1337"/>
              </w:tabs>
              <w:spacing w:line="360" w:lineRule="auto"/>
              <w:jc w:val="center"/>
              <w:rPr>
                <w:rFonts w:ascii="宋体" w:hAnsi="宋体" w:cs="宋体"/>
                <w:sz w:val="24"/>
              </w:rPr>
            </w:pPr>
            <w:r>
              <w:rPr>
                <w:rFonts w:hint="eastAsia" w:ascii="宋体" w:hAnsi="宋体" w:cs="宋体"/>
                <w:bCs/>
                <w:sz w:val="24"/>
              </w:rPr>
              <w:t>投 标 总 价</w:t>
            </w:r>
          </w:p>
        </w:tc>
        <w:tc>
          <w:tcPr>
            <w:tcW w:w="7346" w:type="dxa"/>
          </w:tcPr>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6"/>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6"/>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6"/>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sz w:val="28"/>
          <w:u w:val="single"/>
        </w:rPr>
      </w:pPr>
    </w:p>
    <w:p>
      <w:pPr>
        <w:pStyle w:val="82"/>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sz w:val="28"/>
          <w:szCs w:val="28"/>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sz w:val="28"/>
        </w:rPr>
      </w:pPr>
    </w:p>
    <w:p>
      <w:pPr>
        <w:pStyle w:val="33"/>
        <w:ind w:firstLine="986"/>
        <w:rPr>
          <w:sz w:val="28"/>
        </w:rPr>
      </w:pPr>
    </w:p>
    <w:p>
      <w:pPr>
        <w:pStyle w:val="33"/>
        <w:ind w:firstLine="0" w:firstLineChars="0"/>
        <w:rPr>
          <w:sz w:val="28"/>
        </w:rPr>
      </w:pPr>
    </w:p>
    <w:p>
      <w:pPr>
        <w:pStyle w:val="33"/>
        <w:ind w:firstLine="0" w:firstLineChars="0"/>
        <w:rPr>
          <w:sz w:val="28"/>
        </w:rPr>
      </w:pPr>
    </w:p>
    <w:p>
      <w:pPr>
        <w:pStyle w:val="33"/>
        <w:ind w:firstLine="0" w:firstLineChars="0"/>
        <w:rPr>
          <w:sz w:val="28"/>
        </w:rPr>
      </w:pPr>
    </w:p>
    <w:p>
      <w:pPr>
        <w:pStyle w:val="33"/>
        <w:ind w:firstLine="0" w:firstLineChars="0"/>
        <w:rPr>
          <w:sz w:val="28"/>
        </w:rPr>
      </w:pPr>
    </w:p>
    <w:p>
      <w:pPr>
        <w:pStyle w:val="33"/>
        <w:ind w:firstLine="0" w:firstLineChars="0"/>
        <w:rPr>
          <w:sz w:val="28"/>
        </w:rPr>
      </w:pPr>
    </w:p>
    <w:p>
      <w:pPr>
        <w:pStyle w:val="5"/>
        <w:spacing w:before="120" w:beforeLines="50" w:after="120" w:afterLines="50" w:line="300" w:lineRule="auto"/>
        <w:ind w:left="0" w:leftChars="0"/>
        <w:jc w:val="both"/>
        <w:rPr>
          <w:rFonts w:ascii="宋体"/>
          <w:sz w:val="28"/>
          <w:szCs w:val="28"/>
        </w:rPr>
      </w:pPr>
      <w:bookmarkStart w:id="137" w:name="_Toc9072"/>
      <w:r>
        <w:rPr>
          <w:rFonts w:hint="eastAsia" w:ascii="宋体" w:cs="宋体"/>
          <w:b w:val="0"/>
          <w:sz w:val="30"/>
          <w:szCs w:val="30"/>
        </w:rPr>
        <w:t>附件六：竞争性磋商报价明细表</w:t>
      </w:r>
      <w:bookmarkEnd w:id="137"/>
    </w:p>
    <w:p>
      <w:pPr>
        <w:spacing w:line="400" w:lineRule="exact"/>
        <w:jc w:val="center"/>
        <w:rPr>
          <w:sz w:val="28"/>
          <w:szCs w:val="32"/>
        </w:rPr>
      </w:pPr>
      <w:r>
        <w:rPr>
          <w:rFonts w:hint="eastAsia"/>
          <w:sz w:val="28"/>
          <w:szCs w:val="32"/>
        </w:rPr>
        <w:t>竞争性磋商报价明细表</w:t>
      </w:r>
    </w:p>
    <w:bookmarkEnd w:id="136"/>
    <w:p>
      <w:pPr>
        <w:pStyle w:val="87"/>
        <w:spacing w:line="400" w:lineRule="exact"/>
        <w:ind w:left="0" w:leftChars="0" w:firstLine="0" w:firstLineChars="0"/>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87"/>
        <w:spacing w:line="400" w:lineRule="exact"/>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4"/>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3418" w:type="dxa"/>
            <w:vAlign w:val="center"/>
          </w:tcPr>
          <w:p>
            <w:pPr>
              <w:pStyle w:val="88"/>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3056" w:type="dxa"/>
            <w:gridSpan w:val="3"/>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Merge w:val="restart"/>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服务名称</w:t>
            </w:r>
          </w:p>
        </w:tc>
        <w:tc>
          <w:tcPr>
            <w:tcW w:w="3418" w:type="dxa"/>
            <w:vMerge w:val="restart"/>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服务内容</w:t>
            </w:r>
          </w:p>
        </w:tc>
        <w:tc>
          <w:tcPr>
            <w:tcW w:w="3056" w:type="dxa"/>
            <w:gridSpan w:val="3"/>
            <w:vAlign w:val="center"/>
          </w:tcPr>
          <w:p>
            <w:pPr>
              <w:pStyle w:val="88"/>
              <w:spacing w:line="360" w:lineRule="auto"/>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vAlign w:val="center"/>
          </w:tcPr>
          <w:p>
            <w:pPr>
              <w:pStyle w:val="88"/>
              <w:tabs>
                <w:tab w:val="left" w:pos="1337"/>
              </w:tabs>
              <w:spacing w:line="360" w:lineRule="auto"/>
              <w:ind w:left="-42" w:right="-42"/>
              <w:jc w:val="center"/>
              <w:rPr>
                <w:rFonts w:ascii="宋体" w:hAnsi="宋体" w:cs="宋体"/>
                <w:sz w:val="24"/>
              </w:rPr>
            </w:pPr>
          </w:p>
        </w:tc>
        <w:tc>
          <w:tcPr>
            <w:tcW w:w="2441" w:type="dxa"/>
            <w:vMerge w:val="continue"/>
            <w:vAlign w:val="center"/>
          </w:tcPr>
          <w:p>
            <w:pPr>
              <w:pStyle w:val="88"/>
              <w:tabs>
                <w:tab w:val="left" w:pos="1337"/>
              </w:tabs>
              <w:spacing w:line="360" w:lineRule="auto"/>
              <w:ind w:left="-42" w:right="-42"/>
              <w:jc w:val="center"/>
              <w:rPr>
                <w:rFonts w:ascii="宋体" w:hAnsi="宋体" w:cs="宋体"/>
                <w:sz w:val="24"/>
              </w:rPr>
            </w:pPr>
          </w:p>
        </w:tc>
        <w:tc>
          <w:tcPr>
            <w:tcW w:w="3418" w:type="dxa"/>
            <w:vMerge w:val="continue"/>
            <w:vAlign w:val="center"/>
          </w:tcPr>
          <w:p>
            <w:pPr>
              <w:pStyle w:val="88"/>
              <w:tabs>
                <w:tab w:val="left" w:pos="1337"/>
              </w:tabs>
              <w:spacing w:line="360" w:lineRule="auto"/>
              <w:ind w:left="-42" w:right="-42"/>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单价</w:t>
            </w:r>
          </w:p>
        </w:tc>
        <w:tc>
          <w:tcPr>
            <w:tcW w:w="955" w:type="dxa"/>
            <w:vAlign w:val="center"/>
          </w:tcPr>
          <w:p>
            <w:pPr>
              <w:pStyle w:val="88"/>
              <w:widowControl/>
              <w:spacing w:line="360" w:lineRule="auto"/>
              <w:jc w:val="center"/>
              <w:rPr>
                <w:rFonts w:ascii="宋体" w:hAnsi="宋体" w:cs="宋体"/>
                <w:sz w:val="24"/>
              </w:rPr>
            </w:pPr>
            <w:r>
              <w:rPr>
                <w:rFonts w:hint="eastAsia" w:ascii="宋体" w:hAnsi="宋体" w:cs="宋体"/>
                <w:sz w:val="24"/>
              </w:rPr>
              <w:t>数量</w:t>
            </w:r>
          </w:p>
        </w:tc>
        <w:tc>
          <w:tcPr>
            <w:tcW w:w="1146" w:type="dxa"/>
            <w:vAlign w:val="center"/>
          </w:tcPr>
          <w:p>
            <w:pPr>
              <w:pStyle w:val="88"/>
              <w:widowControl/>
              <w:spacing w:line="360" w:lineRule="auto"/>
              <w:jc w:val="center"/>
              <w:rPr>
                <w:rFonts w:ascii="宋体" w:hAns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vAlign w:val="center"/>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w:t>
            </w: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p>
        </w:tc>
        <w:tc>
          <w:tcPr>
            <w:tcW w:w="2441"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其他</w:t>
            </w: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p>
        </w:tc>
        <w:tc>
          <w:tcPr>
            <w:tcW w:w="2441"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合计</w:t>
            </w: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bl>
    <w:p>
      <w:pPr>
        <w:pStyle w:val="88"/>
        <w:spacing w:line="400" w:lineRule="exact"/>
        <w:rPr>
          <w:rFonts w:ascii="宋体" w:hAnsi="宋体" w:cs="宋体"/>
          <w:sz w:val="24"/>
        </w:rPr>
      </w:pPr>
      <w:r>
        <w:rPr>
          <w:rFonts w:hint="eastAsia" w:ascii="宋体" w:hAnsi="宋体" w:cs="宋体"/>
          <w:sz w:val="24"/>
        </w:rPr>
        <w:t>说明：</w:t>
      </w:r>
      <w:r>
        <w:rPr>
          <w:rFonts w:hint="eastAsia" w:ascii="宋体" w:hAnsi="宋体" w:cs="宋体"/>
          <w:bCs/>
          <w:sz w:val="24"/>
        </w:rPr>
        <w:t>报价明细表合计价格必须与《磋商报价表》报价一致，如果不提供将被视为没有实质性响应磋商文件。</w:t>
      </w:r>
    </w:p>
    <w:p>
      <w:pPr>
        <w:pStyle w:val="82"/>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ind w:firstLine="720" w:firstLineChars="300"/>
        <w:jc w:val="center"/>
        <w:rPr>
          <w:rFonts w:ascii="宋体" w:hAnsi="宋体" w:cs="宋体"/>
          <w:sz w:val="24"/>
          <w:szCs w:val="24"/>
        </w:rPr>
      </w:pPr>
    </w:p>
    <w:p>
      <w:pPr>
        <w:pStyle w:val="82"/>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cs="宋体"/>
          <w:sz w:val="24"/>
          <w:szCs w:val="24"/>
        </w:rPr>
      </w:pPr>
    </w:p>
    <w:p>
      <w:pPr>
        <w:adjustRightInd w:val="0"/>
        <w:snapToGrid w:val="0"/>
        <w:spacing w:line="500" w:lineRule="exact"/>
        <w:ind w:left="-88" w:leftChars="-42"/>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p>
      <w:pPr>
        <w:spacing w:line="360" w:lineRule="auto"/>
        <w:jc w:val="left"/>
        <w:rPr>
          <w:rFonts w:ascii="宋体" w:hAnsi="宋体" w:cs="宋体"/>
          <w:b/>
          <w:szCs w:val="21"/>
        </w:rPr>
      </w:pPr>
      <w:bookmarkStart w:id="138" w:name="_Toc5414"/>
      <w:r>
        <w:rPr>
          <w:rStyle w:val="46"/>
          <w:rFonts w:hint="eastAsia"/>
          <w:sz w:val="28"/>
          <w:szCs w:val="28"/>
        </w:rPr>
        <w:t>最后报价书格式</w:t>
      </w:r>
      <w:bookmarkEnd w:id="138"/>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6"/>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6"/>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6"/>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6"/>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6"/>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cs="宋体"/>
          <w:szCs w:val="21"/>
        </w:rPr>
      </w:pPr>
      <w:r>
        <w:rPr>
          <w:rFonts w:hint="eastAsia" w:ascii="宋体" w:hAnsi="宋体" w:cs="宋体"/>
          <w:szCs w:val="21"/>
        </w:rPr>
        <w:t>说明：优惠后各分项价格统一按此总报价优惠幅度调整。</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3"/>
        <w:ind w:firstLine="0" w:firstLineChars="0"/>
        <w:rPr>
          <w:rFonts w:ascii="宋体" w:hAnsi="宋体" w:eastAsia="宋体" w:cs="宋体"/>
          <w:sz w:val="24"/>
          <w:szCs w:val="24"/>
        </w:rPr>
      </w:pPr>
      <w:r>
        <w:rPr>
          <w:rStyle w:val="48"/>
          <w:rFonts w:hint="eastAsia"/>
          <w:bCs/>
          <w:sz w:val="28"/>
        </w:rPr>
        <w:br w:type="page"/>
      </w: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89"/>
        <w:outlineLvl w:val="0"/>
        <w:rPr>
          <w:rFonts w:ascii="宋体" w:hAnsi="宋体" w:eastAsia="宋体" w:cs="宋体"/>
          <w:b w:val="0"/>
          <w:bCs/>
        </w:rPr>
      </w:pPr>
      <w:bookmarkStart w:id="139" w:name="_Toc9511"/>
      <w:bookmarkStart w:id="140" w:name="_Toc501460791"/>
      <w:bookmarkStart w:id="141" w:name="_Toc13251"/>
      <w:r>
        <w:rPr>
          <w:rFonts w:hint="eastAsia" w:ascii="宋体" w:hAnsi="宋体" w:eastAsia="宋体" w:cs="宋体"/>
          <w:b w:val="0"/>
          <w:bCs/>
        </w:rPr>
        <w:t>附件七：商务和技术偏差表</w:t>
      </w:r>
      <w:bookmarkEnd w:id="139"/>
      <w:bookmarkEnd w:id="140"/>
      <w:bookmarkEnd w:id="141"/>
    </w:p>
    <w:tbl>
      <w:tblPr>
        <w:tblStyle w:val="34"/>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rPr>
          <w:rFonts w:ascii="宋体" w:hAnsi="宋体" w:cs="宋体"/>
          <w:sz w:val="24"/>
        </w:rPr>
      </w:pPr>
    </w:p>
    <w:p>
      <w:pPr>
        <w:pStyle w:val="89"/>
        <w:outlineLvl w:val="0"/>
        <w:rPr>
          <w:rFonts w:ascii="宋体" w:hAnsi="宋体" w:eastAsia="宋体" w:cs="宋体"/>
          <w:b w:val="0"/>
          <w:bCs/>
        </w:rPr>
      </w:pPr>
      <w:bookmarkStart w:id="142" w:name="_Toc18115"/>
      <w:bookmarkStart w:id="143" w:name="_Toc10702"/>
      <w:r>
        <w:rPr>
          <w:rFonts w:hint="eastAsia" w:ascii="宋体" w:hAnsi="宋体" w:eastAsia="宋体" w:cs="宋体"/>
          <w:b w:val="0"/>
          <w:bCs/>
        </w:rPr>
        <w:t>附件八：企业声明函</w:t>
      </w:r>
      <w:bookmarkEnd w:id="142"/>
      <w:r>
        <w:rPr>
          <w:rFonts w:hint="eastAsia" w:ascii="宋体" w:hAnsi="宋体" w:eastAsia="宋体" w:cs="宋体"/>
          <w:b w:val="0"/>
          <w:bCs/>
        </w:rPr>
        <w:t>（若有）</w:t>
      </w:r>
      <w:bookmarkEnd w:id="143"/>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33"/>
        <w:ind w:firstLine="1126"/>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120" w:beforeLines="50" w:after="12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9"/>
        <w:outlineLvl w:val="0"/>
        <w:rPr>
          <w:rFonts w:ascii="宋体" w:hAnsi="宋体" w:eastAsia="宋体" w:cs="宋体"/>
          <w:b w:val="0"/>
          <w:bCs/>
        </w:rPr>
      </w:pPr>
      <w:bookmarkStart w:id="144" w:name="_Toc26894"/>
      <w:bookmarkStart w:id="145" w:name="_Toc17952"/>
      <w:r>
        <w:rPr>
          <w:rFonts w:hint="eastAsia" w:ascii="宋体" w:hAnsi="宋体" w:eastAsia="宋体" w:cs="宋体"/>
          <w:b w:val="0"/>
          <w:bCs/>
        </w:rPr>
        <w:t>附件九：残疾人福利性单位声明函</w:t>
      </w:r>
      <w:bookmarkEnd w:id="144"/>
      <w:r>
        <w:rPr>
          <w:rFonts w:hint="eastAsia" w:ascii="宋体" w:hAnsi="宋体" w:eastAsia="宋体" w:cs="宋体"/>
          <w:b w:val="0"/>
          <w:bCs/>
        </w:rPr>
        <w:t>（若有）</w:t>
      </w:r>
      <w:bookmarkEnd w:id="145"/>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r>
        <w:rPr>
          <w:rFonts w:hint="eastAsia" w:ascii="宋体" w:hAnsi="宋体" w:cs="宋体"/>
          <w:sz w:val="24"/>
          <w:u w:val="single"/>
        </w:rPr>
        <w:t xml:space="preserve">               </w:t>
      </w:r>
      <w:r>
        <w:rPr>
          <w:rFonts w:hint="eastAsia" w:ascii="宋体" w:hAnsi="宋体" w:cs="宋体"/>
          <w:sz w:val="24"/>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33"/>
        <w:ind w:firstLine="0" w:firstLineChars="0"/>
        <w:jc w:val="center"/>
      </w:pPr>
    </w:p>
    <w:sectPr>
      <w:headerReference r:id="rId6"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HCKrHAQAAjwMAAA4AAABkcnMvZTJvRG9jLnhtbK1TzY7TMBC+I/EO&#10;lu80aR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qHCKrHAQAAjwMAAA4AAAAAAAAAAQAgAAAAHwEAAGRycy9lMm9Eb2Mu&#10;eG1sUEsFBgAAAAAGAAYAWQEAAFg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8F3"/>
    <w:multiLevelType w:val="singleLevel"/>
    <w:tmpl w:val="FDFEC8F3"/>
    <w:lvl w:ilvl="0" w:tentative="0">
      <w:start w:val="1"/>
      <w:numFmt w:val="decimal"/>
      <w:suff w:val="nothing"/>
      <w:lvlText w:val="%1、"/>
      <w:lvlJc w:val="left"/>
    </w:lvl>
  </w:abstractNum>
  <w:abstractNum w:abstractNumId="1">
    <w:nsid w:val="485E7914"/>
    <w:multiLevelType w:val="multilevel"/>
    <w:tmpl w:val="485E7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AF65BF"/>
    <w:multiLevelType w:val="singleLevel"/>
    <w:tmpl w:val="7DAF65B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YTAyODAyYzA0NzIyNGE5Y2JiOTMwYjRjMGMyZmUifQ=="/>
  </w:docVars>
  <w:rsids>
    <w:rsidRoot w:val="00004EAB"/>
    <w:rsid w:val="00004EAB"/>
    <w:rsid w:val="000C63CC"/>
    <w:rsid w:val="000D3615"/>
    <w:rsid w:val="00193979"/>
    <w:rsid w:val="002255D6"/>
    <w:rsid w:val="002930B9"/>
    <w:rsid w:val="00404991"/>
    <w:rsid w:val="004659AD"/>
    <w:rsid w:val="00AE133E"/>
    <w:rsid w:val="00AF578A"/>
    <w:rsid w:val="00B2312A"/>
    <w:rsid w:val="00EB7958"/>
    <w:rsid w:val="00EC2636"/>
    <w:rsid w:val="00FA47DB"/>
    <w:rsid w:val="00FD3A1C"/>
    <w:rsid w:val="01587174"/>
    <w:rsid w:val="02617EA9"/>
    <w:rsid w:val="02CD6988"/>
    <w:rsid w:val="02EE6B93"/>
    <w:rsid w:val="03410DA9"/>
    <w:rsid w:val="03A74A9F"/>
    <w:rsid w:val="03BA365B"/>
    <w:rsid w:val="04223F6A"/>
    <w:rsid w:val="045855D2"/>
    <w:rsid w:val="05C570CE"/>
    <w:rsid w:val="076B2666"/>
    <w:rsid w:val="07C94C43"/>
    <w:rsid w:val="09A9323A"/>
    <w:rsid w:val="0BBE2158"/>
    <w:rsid w:val="0C9A3726"/>
    <w:rsid w:val="0D5D6764"/>
    <w:rsid w:val="0DF11DD7"/>
    <w:rsid w:val="0EFD22FA"/>
    <w:rsid w:val="10B72860"/>
    <w:rsid w:val="1B217F1A"/>
    <w:rsid w:val="1C051EDF"/>
    <w:rsid w:val="1C4112FA"/>
    <w:rsid w:val="1F122C07"/>
    <w:rsid w:val="201B048A"/>
    <w:rsid w:val="20AC0F62"/>
    <w:rsid w:val="21C430D5"/>
    <w:rsid w:val="225449D0"/>
    <w:rsid w:val="22B26BDA"/>
    <w:rsid w:val="22E6236B"/>
    <w:rsid w:val="248C4A68"/>
    <w:rsid w:val="25B742F8"/>
    <w:rsid w:val="261A4A43"/>
    <w:rsid w:val="2792735A"/>
    <w:rsid w:val="27BD6A49"/>
    <w:rsid w:val="28051AA5"/>
    <w:rsid w:val="28436C23"/>
    <w:rsid w:val="2B0E4FF8"/>
    <w:rsid w:val="2B21410A"/>
    <w:rsid w:val="2C3C2C1E"/>
    <w:rsid w:val="2C6C1F2F"/>
    <w:rsid w:val="2CC16F42"/>
    <w:rsid w:val="2DC63745"/>
    <w:rsid w:val="2F927C10"/>
    <w:rsid w:val="30943905"/>
    <w:rsid w:val="31A42DEB"/>
    <w:rsid w:val="31D644DB"/>
    <w:rsid w:val="32664652"/>
    <w:rsid w:val="339D19AC"/>
    <w:rsid w:val="33D30288"/>
    <w:rsid w:val="34676FAD"/>
    <w:rsid w:val="351E1D9C"/>
    <w:rsid w:val="36E21696"/>
    <w:rsid w:val="3786114E"/>
    <w:rsid w:val="39356F98"/>
    <w:rsid w:val="39B1553A"/>
    <w:rsid w:val="3A6330E9"/>
    <w:rsid w:val="3C16773E"/>
    <w:rsid w:val="3C4165AB"/>
    <w:rsid w:val="3DFE5442"/>
    <w:rsid w:val="3ECD07D9"/>
    <w:rsid w:val="3EF20F5A"/>
    <w:rsid w:val="3FB34387"/>
    <w:rsid w:val="3FB705CA"/>
    <w:rsid w:val="40420002"/>
    <w:rsid w:val="43BB5369"/>
    <w:rsid w:val="43E77C29"/>
    <w:rsid w:val="451524FA"/>
    <w:rsid w:val="46920B22"/>
    <w:rsid w:val="47082D26"/>
    <w:rsid w:val="47A30DF1"/>
    <w:rsid w:val="47FF58FC"/>
    <w:rsid w:val="48416436"/>
    <w:rsid w:val="4B8152DD"/>
    <w:rsid w:val="4B8E25EC"/>
    <w:rsid w:val="4C472F8C"/>
    <w:rsid w:val="4CA669B9"/>
    <w:rsid w:val="4CE14A0B"/>
    <w:rsid w:val="50135579"/>
    <w:rsid w:val="504D156B"/>
    <w:rsid w:val="51AF5225"/>
    <w:rsid w:val="54577590"/>
    <w:rsid w:val="54C03C11"/>
    <w:rsid w:val="54FD1F7B"/>
    <w:rsid w:val="55D63C50"/>
    <w:rsid w:val="57B63184"/>
    <w:rsid w:val="57DA843C"/>
    <w:rsid w:val="589D10EF"/>
    <w:rsid w:val="58E255A6"/>
    <w:rsid w:val="59AC08E0"/>
    <w:rsid w:val="5A9F2393"/>
    <w:rsid w:val="5D963863"/>
    <w:rsid w:val="5DD827D2"/>
    <w:rsid w:val="5E5142DE"/>
    <w:rsid w:val="5E902BEE"/>
    <w:rsid w:val="5ED157D7"/>
    <w:rsid w:val="5EED3918"/>
    <w:rsid w:val="5EFE237B"/>
    <w:rsid w:val="5F4D08C1"/>
    <w:rsid w:val="5FDA02E7"/>
    <w:rsid w:val="637C69AE"/>
    <w:rsid w:val="63BD6555"/>
    <w:rsid w:val="64757DE4"/>
    <w:rsid w:val="648A61D9"/>
    <w:rsid w:val="65A758D8"/>
    <w:rsid w:val="66771F16"/>
    <w:rsid w:val="67F424B3"/>
    <w:rsid w:val="684D72DF"/>
    <w:rsid w:val="690418A9"/>
    <w:rsid w:val="69110BCA"/>
    <w:rsid w:val="699D66D9"/>
    <w:rsid w:val="69B956F1"/>
    <w:rsid w:val="6A6205D6"/>
    <w:rsid w:val="6B451E4C"/>
    <w:rsid w:val="6B6411A6"/>
    <w:rsid w:val="6C2D46F2"/>
    <w:rsid w:val="6C316E88"/>
    <w:rsid w:val="6CB0278D"/>
    <w:rsid w:val="6F664223"/>
    <w:rsid w:val="6F8A37EA"/>
    <w:rsid w:val="6F936521"/>
    <w:rsid w:val="709E4ED2"/>
    <w:rsid w:val="70AF7522"/>
    <w:rsid w:val="70F3516F"/>
    <w:rsid w:val="732662F1"/>
    <w:rsid w:val="73470251"/>
    <w:rsid w:val="747C76EF"/>
    <w:rsid w:val="74F1104E"/>
    <w:rsid w:val="75B7234A"/>
    <w:rsid w:val="780A3FA4"/>
    <w:rsid w:val="788D52FC"/>
    <w:rsid w:val="79943126"/>
    <w:rsid w:val="79996A9E"/>
    <w:rsid w:val="7B693689"/>
    <w:rsid w:val="7B868F97"/>
    <w:rsid w:val="7C916C49"/>
    <w:rsid w:val="7D670A7C"/>
    <w:rsid w:val="7E23300C"/>
    <w:rsid w:val="7E284E6B"/>
    <w:rsid w:val="7EFD1148"/>
    <w:rsid w:val="7F5A66D4"/>
    <w:rsid w:val="7FCFD296"/>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5"/>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8"/>
    <w:qFormat/>
    <w:uiPriority w:val="0"/>
    <w:pPr>
      <w:keepNext/>
      <w:keepLines/>
      <w:spacing w:before="260" w:after="260" w:line="500" w:lineRule="exact"/>
      <w:contextualSpacing/>
      <w:jc w:val="center"/>
      <w:outlineLvl w:val="1"/>
    </w:pPr>
    <w:rPr>
      <w:rFonts w:ascii="宋体" w:hAnsi="宋体"/>
      <w:sz w:val="32"/>
      <w:szCs w:val="28"/>
    </w:rPr>
  </w:style>
  <w:style w:type="paragraph" w:styleId="5">
    <w:name w:val="heading 3"/>
    <w:basedOn w:val="1"/>
    <w:next w:val="1"/>
    <w:link w:val="46"/>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7"/>
    <w:qFormat/>
    <w:uiPriority w:val="0"/>
    <w:pPr>
      <w:keepNext/>
      <w:keepLines/>
      <w:spacing w:before="280" w:after="290" w:line="376" w:lineRule="auto"/>
      <w:outlineLvl w:val="4"/>
    </w:pPr>
    <w:rPr>
      <w:b/>
      <w:bCs/>
      <w:sz w:val="28"/>
      <w:szCs w:val="28"/>
    </w:rPr>
  </w:style>
  <w:style w:type="paragraph" w:styleId="8">
    <w:name w:val="heading 6"/>
    <w:basedOn w:val="7"/>
    <w:next w:val="1"/>
    <w:link w:val="5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1"/>
    <w:qFormat/>
    <w:uiPriority w:val="0"/>
    <w:pPr>
      <w:tabs>
        <w:tab w:val="clear" w:pos="1440"/>
      </w:tabs>
      <w:ind w:left="1276" w:hanging="1276"/>
      <w:outlineLvl w:val="6"/>
    </w:pPr>
  </w:style>
  <w:style w:type="paragraph" w:styleId="10">
    <w:name w:val="heading 8"/>
    <w:basedOn w:val="9"/>
    <w:next w:val="1"/>
    <w:link w:val="52"/>
    <w:qFormat/>
    <w:uiPriority w:val="0"/>
    <w:pPr>
      <w:ind w:left="1418" w:hanging="1418"/>
      <w:outlineLvl w:val="7"/>
    </w:pPr>
  </w:style>
  <w:style w:type="paragraph" w:styleId="11">
    <w:name w:val="heading 9"/>
    <w:basedOn w:val="10"/>
    <w:next w:val="1"/>
    <w:link w:val="53"/>
    <w:qFormat/>
    <w:uiPriority w:val="0"/>
    <w:pPr>
      <w:ind w:left="1559" w:hanging="1559"/>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style>
  <w:style w:type="paragraph" w:styleId="12">
    <w:name w:val="Normal Indent"/>
    <w:basedOn w:val="1"/>
    <w:link w:val="60"/>
    <w:qFormat/>
    <w:uiPriority w:val="0"/>
    <w:pPr>
      <w:ind w:firstLine="420" w:firstLineChars="200"/>
    </w:pPr>
  </w:style>
  <w:style w:type="paragraph" w:styleId="13">
    <w:name w:val="Document Map"/>
    <w:basedOn w:val="1"/>
    <w:link w:val="65"/>
    <w:qFormat/>
    <w:uiPriority w:val="0"/>
    <w:rPr>
      <w:rFonts w:ascii="宋体"/>
      <w:sz w:val="18"/>
      <w:szCs w:val="18"/>
    </w:rPr>
  </w:style>
  <w:style w:type="paragraph" w:styleId="14">
    <w:name w:val="toa heading"/>
    <w:basedOn w:val="1"/>
    <w:next w:val="1"/>
    <w:semiHidden/>
    <w:qFormat/>
    <w:uiPriority w:val="99"/>
    <w:pPr>
      <w:spacing w:before="120"/>
    </w:pPr>
    <w:rPr>
      <w:rFonts w:ascii="Arial" w:hAnsi="Arial" w:cs="Arial"/>
      <w:sz w:val="24"/>
      <w:szCs w:val="24"/>
    </w:rPr>
  </w:style>
  <w:style w:type="paragraph" w:styleId="15">
    <w:name w:val="annotation text"/>
    <w:basedOn w:val="1"/>
    <w:link w:val="63"/>
    <w:qFormat/>
    <w:uiPriority w:val="0"/>
    <w:pPr>
      <w:jc w:val="left"/>
    </w:pPr>
  </w:style>
  <w:style w:type="paragraph" w:styleId="16">
    <w:name w:val="Body Text"/>
    <w:basedOn w:val="1"/>
    <w:next w:val="17"/>
    <w:qFormat/>
    <w:uiPriority w:val="0"/>
    <w:pPr>
      <w:spacing w:after="120"/>
    </w:pPr>
  </w:style>
  <w:style w:type="paragraph" w:styleId="17">
    <w:name w:val="toc 8"/>
    <w:basedOn w:val="1"/>
    <w:next w:val="1"/>
    <w:qFormat/>
    <w:uiPriority w:val="0"/>
    <w:pPr>
      <w:ind w:left="2100"/>
      <w:jc w:val="left"/>
    </w:pPr>
    <w:rPr>
      <w:rFonts w:ascii="Calibri" w:hAnsi="Calibri"/>
      <w:sz w:val="18"/>
      <w:szCs w:val="18"/>
    </w:rPr>
  </w:style>
  <w:style w:type="paragraph" w:styleId="18">
    <w:name w:val="Body Text Indent"/>
    <w:basedOn w:val="1"/>
    <w:qFormat/>
    <w:uiPriority w:val="0"/>
    <w:pPr>
      <w:ind w:firstLine="830" w:firstLineChars="352"/>
    </w:pPr>
    <w:rPr>
      <w:rFonts w:ascii="仿宋_GB2312" w:eastAsia="仿宋_GB2312"/>
      <w:sz w:val="32"/>
      <w:szCs w:val="20"/>
    </w:r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toc 3"/>
    <w:basedOn w:val="1"/>
    <w:next w:val="1"/>
    <w:qFormat/>
    <w:uiPriority w:val="39"/>
    <w:pPr>
      <w:ind w:left="840" w:leftChars="400"/>
    </w:pPr>
  </w:style>
  <w:style w:type="paragraph" w:styleId="21">
    <w:name w:val="Plain Text"/>
    <w:basedOn w:val="1"/>
    <w:next w:val="16"/>
    <w:link w:val="57"/>
    <w:qFormat/>
    <w:uiPriority w:val="0"/>
    <w:rPr>
      <w:rFonts w:ascii="宋体" w:hAnsi="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alloon Text"/>
    <w:basedOn w:val="1"/>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22"/>
      </w:tabs>
      <w:spacing w:line="440" w:lineRule="exact"/>
      <w:ind w:right="231" w:rightChars="110"/>
    </w:pPr>
    <w:rPr>
      <w:sz w:val="28"/>
    </w:rPr>
  </w:style>
  <w:style w:type="paragraph" w:styleId="27">
    <w:name w:val="Body Text Indent 3"/>
    <w:basedOn w:val="1"/>
    <w:link w:val="73"/>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4"/>
    <w:next w:val="1"/>
    <w:link w:val="44"/>
    <w:qFormat/>
    <w:uiPriority w:val="0"/>
    <w:pPr>
      <w:jc w:val="both"/>
    </w:pPr>
    <w:rPr>
      <w:sz w:val="44"/>
    </w:rPr>
  </w:style>
  <w:style w:type="paragraph" w:styleId="31">
    <w:name w:val="annotation subject"/>
    <w:basedOn w:val="15"/>
    <w:next w:val="15"/>
    <w:link w:val="62"/>
    <w:qFormat/>
    <w:uiPriority w:val="99"/>
    <w:rPr>
      <w:rFonts w:ascii="Times New Roman" w:hAnsi="Times New Roman"/>
      <w:b/>
      <w:sz w:val="28"/>
      <w:szCs w:val="20"/>
    </w:rPr>
  </w:style>
  <w:style w:type="paragraph" w:styleId="32">
    <w:name w:val="Body Text First Indent"/>
    <w:basedOn w:val="16"/>
    <w:next w:val="1"/>
    <w:qFormat/>
    <w:uiPriority w:val="0"/>
    <w:pPr>
      <w:widowControl/>
      <w:ind w:firstLine="420" w:firstLineChars="100"/>
      <w:jc w:val="left"/>
    </w:pPr>
    <w:rPr>
      <w:rFonts w:ascii="Times New Roman" w:hAnsi="Times New Roman"/>
    </w:rPr>
  </w:style>
  <w:style w:type="paragraph" w:styleId="33">
    <w:name w:val="Body Text First Indent 2"/>
    <w:basedOn w:val="18"/>
    <w:qFormat/>
    <w:uiPriority w:val="0"/>
    <w:pPr>
      <w:ind w:firstLine="210"/>
    </w:p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basedOn w:val="36"/>
    <w:qFormat/>
    <w:uiPriority w:val="0"/>
    <w:rPr>
      <w:color w:val="333333"/>
      <w:u w:val="none"/>
    </w:rPr>
  </w:style>
  <w:style w:type="character" w:styleId="40">
    <w:name w:val="Hyperlink"/>
    <w:qFormat/>
    <w:uiPriority w:val="99"/>
    <w:rPr>
      <w:color w:val="0000FF"/>
      <w:u w:val="single"/>
    </w:rPr>
  </w:style>
  <w:style w:type="character" w:styleId="41">
    <w:name w:val="annotation reference"/>
    <w:basedOn w:val="36"/>
    <w:qFormat/>
    <w:uiPriority w:val="0"/>
    <w:rPr>
      <w:sz w:val="21"/>
      <w:szCs w:val="21"/>
    </w:rPr>
  </w:style>
  <w:style w:type="paragraph" w:customStyle="1" w:styleId="42">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qFormat/>
    <w:uiPriority w:val="0"/>
    <w:rPr>
      <w:rFonts w:hint="default"/>
      <w:spacing w:val="390"/>
      <w:sz w:val="21"/>
      <w:szCs w:val="21"/>
    </w:rPr>
  </w:style>
  <w:style w:type="character" w:customStyle="1" w:styleId="44">
    <w:name w:val="标题 字符"/>
    <w:link w:val="30"/>
    <w:qFormat/>
    <w:uiPriority w:val="0"/>
    <w:rPr>
      <w:rFonts w:ascii="宋体" w:hAnsi="宋体" w:eastAsia="宋体"/>
      <w:b/>
      <w:kern w:val="2"/>
      <w:sz w:val="44"/>
      <w:szCs w:val="28"/>
    </w:rPr>
  </w:style>
  <w:style w:type="character" w:customStyle="1" w:styleId="45">
    <w:name w:val="标题 1 字符"/>
    <w:link w:val="3"/>
    <w:qFormat/>
    <w:uiPriority w:val="9"/>
    <w:rPr>
      <w:rFonts w:ascii="Calibri" w:hAnsi="Calibri"/>
      <w:b/>
      <w:bCs/>
      <w:kern w:val="44"/>
      <w:sz w:val="44"/>
      <w:szCs w:val="44"/>
    </w:rPr>
  </w:style>
  <w:style w:type="character" w:customStyle="1" w:styleId="46">
    <w:name w:val="标题 3 字符"/>
    <w:link w:val="5"/>
    <w:qFormat/>
    <w:uiPriority w:val="0"/>
    <w:rPr>
      <w:rFonts w:ascii="仿宋_GB2312" w:hAnsi="宋体" w:eastAsia="宋体"/>
      <w:b/>
      <w:kern w:val="2"/>
      <w:sz w:val="32"/>
      <w:szCs w:val="32"/>
    </w:rPr>
  </w:style>
  <w:style w:type="character" w:customStyle="1" w:styleId="47">
    <w:name w:val="标题 5 字符"/>
    <w:link w:val="7"/>
    <w:qFormat/>
    <w:uiPriority w:val="0"/>
    <w:rPr>
      <w:rFonts w:ascii="Calibri" w:hAnsi="Calibri"/>
      <w:b/>
      <w:bCs/>
      <w:kern w:val="2"/>
      <w:sz w:val="28"/>
      <w:szCs w:val="28"/>
    </w:rPr>
  </w:style>
  <w:style w:type="character" w:customStyle="1" w:styleId="48">
    <w:name w:val="标题 2 字符"/>
    <w:link w:val="4"/>
    <w:qFormat/>
    <w:uiPriority w:val="0"/>
    <w:rPr>
      <w:rFonts w:ascii="宋体" w:hAnsi="宋体" w:eastAsia="宋体"/>
      <w:b/>
      <w:kern w:val="2"/>
      <w:sz w:val="32"/>
      <w:szCs w:val="28"/>
    </w:rPr>
  </w:style>
  <w:style w:type="character" w:customStyle="1" w:styleId="49">
    <w:name w:val="标题 4 字符"/>
    <w:link w:val="6"/>
    <w:qFormat/>
    <w:uiPriority w:val="0"/>
    <w:rPr>
      <w:rFonts w:ascii="Arial" w:hAnsi="Arial" w:eastAsia="黑体"/>
      <w:b/>
      <w:bCs/>
      <w:kern w:val="2"/>
      <w:sz w:val="28"/>
      <w:szCs w:val="28"/>
    </w:rPr>
  </w:style>
  <w:style w:type="character" w:customStyle="1" w:styleId="50">
    <w:name w:val="标题 6 字符"/>
    <w:link w:val="8"/>
    <w:qFormat/>
    <w:uiPriority w:val="0"/>
    <w:rPr>
      <w:b/>
      <w:bCs/>
      <w:kern w:val="2"/>
      <w:sz w:val="30"/>
      <w:szCs w:val="18"/>
    </w:rPr>
  </w:style>
  <w:style w:type="character" w:customStyle="1" w:styleId="51">
    <w:name w:val="标题 7 字符"/>
    <w:link w:val="9"/>
    <w:qFormat/>
    <w:uiPriority w:val="0"/>
    <w:rPr>
      <w:b/>
      <w:bCs/>
      <w:kern w:val="2"/>
      <w:sz w:val="30"/>
      <w:szCs w:val="18"/>
    </w:rPr>
  </w:style>
  <w:style w:type="character" w:customStyle="1" w:styleId="52">
    <w:name w:val="标题 8 字符"/>
    <w:link w:val="10"/>
    <w:qFormat/>
    <w:uiPriority w:val="0"/>
    <w:rPr>
      <w:b/>
      <w:bCs/>
      <w:kern w:val="2"/>
      <w:sz w:val="30"/>
      <w:szCs w:val="18"/>
    </w:rPr>
  </w:style>
  <w:style w:type="character" w:customStyle="1" w:styleId="53">
    <w:name w:val="标题 9 字符"/>
    <w:link w:val="11"/>
    <w:qFormat/>
    <w:uiPriority w:val="0"/>
    <w:rPr>
      <w:b/>
      <w:bCs/>
      <w:kern w:val="2"/>
      <w:sz w:val="30"/>
      <w:szCs w:val="18"/>
    </w:rPr>
  </w:style>
  <w:style w:type="paragraph" w:customStyle="1" w:styleId="54">
    <w:name w:val="列出段落1"/>
    <w:basedOn w:val="1"/>
    <w:qFormat/>
    <w:uiPriority w:val="34"/>
    <w:pPr>
      <w:ind w:firstLine="420" w:firstLineChars="200"/>
    </w:pPr>
  </w:style>
  <w:style w:type="paragraph" w:customStyle="1" w:styleId="55">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字符"/>
    <w:link w:val="25"/>
    <w:qFormat/>
    <w:uiPriority w:val="99"/>
    <w:rPr>
      <w:rFonts w:ascii="Calibri" w:hAnsi="Calibri" w:eastAsia="宋体" w:cs="Times New Roman"/>
      <w:kern w:val="2"/>
      <w:sz w:val="18"/>
      <w:szCs w:val="18"/>
    </w:rPr>
  </w:style>
  <w:style w:type="character" w:customStyle="1" w:styleId="57">
    <w:name w:val="纯文本 字符"/>
    <w:link w:val="21"/>
    <w:qFormat/>
    <w:uiPriority w:val="0"/>
    <w:rPr>
      <w:rFonts w:ascii="宋体" w:hAnsi="Courier New" w:eastAsia="宋体" w:cs="Courier New"/>
      <w:kern w:val="2"/>
      <w:sz w:val="21"/>
      <w:szCs w:val="21"/>
    </w:rPr>
  </w:style>
  <w:style w:type="paragraph" w:customStyle="1" w:styleId="58">
    <w:name w:val="需求样式"/>
    <w:basedOn w:val="3"/>
    <w:link w:val="59"/>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qFormat/>
    <w:uiPriority w:val="0"/>
    <w:rPr>
      <w:b/>
      <w:bCs/>
      <w:kern w:val="44"/>
      <w:sz w:val="32"/>
      <w:szCs w:val="28"/>
    </w:rPr>
  </w:style>
  <w:style w:type="character" w:customStyle="1" w:styleId="60">
    <w:name w:val="正文缩进 字符"/>
    <w:link w:val="12"/>
    <w:qFormat/>
    <w:uiPriority w:val="0"/>
    <w:rPr>
      <w:rFonts w:ascii="Calibri" w:hAnsi="Calibri" w:eastAsia="宋体"/>
      <w:kern w:val="2"/>
      <w:sz w:val="21"/>
      <w:szCs w:val="22"/>
      <w:lang w:val="en-US" w:eastAsia="zh-CN" w:bidi="ar-SA"/>
    </w:rPr>
  </w:style>
  <w:style w:type="character" w:customStyle="1" w:styleId="61">
    <w:name w:val="普通文字 Char Char2"/>
    <w:qFormat/>
    <w:uiPriority w:val="0"/>
    <w:rPr>
      <w:rFonts w:ascii="宋体" w:hAnsi="Courier New" w:cs="Courier New"/>
      <w:kern w:val="2"/>
      <w:sz w:val="21"/>
      <w:szCs w:val="21"/>
    </w:rPr>
  </w:style>
  <w:style w:type="character" w:customStyle="1" w:styleId="62">
    <w:name w:val="批注主题 字符"/>
    <w:link w:val="31"/>
    <w:qFormat/>
    <w:uiPriority w:val="99"/>
    <w:rPr>
      <w:b/>
      <w:kern w:val="2"/>
      <w:sz w:val="28"/>
    </w:rPr>
  </w:style>
  <w:style w:type="character" w:customStyle="1" w:styleId="63">
    <w:name w:val="批注文字 字符"/>
    <w:basedOn w:val="36"/>
    <w:link w:val="15"/>
    <w:qFormat/>
    <w:uiPriority w:val="0"/>
    <w:rPr>
      <w:rFonts w:ascii="Calibri" w:hAnsi="Calibri"/>
      <w:kern w:val="2"/>
      <w:sz w:val="21"/>
      <w:szCs w:val="22"/>
    </w:rPr>
  </w:style>
  <w:style w:type="character" w:customStyle="1" w:styleId="64">
    <w:name w:val="批注主题 Char1"/>
    <w:basedOn w:val="63"/>
    <w:qFormat/>
    <w:uiPriority w:val="0"/>
    <w:rPr>
      <w:rFonts w:ascii="Calibri" w:hAnsi="Calibri"/>
      <w:b/>
      <w:bCs/>
      <w:kern w:val="2"/>
      <w:sz w:val="21"/>
      <w:szCs w:val="22"/>
    </w:rPr>
  </w:style>
  <w:style w:type="character" w:customStyle="1" w:styleId="65">
    <w:name w:val="文档结构图 字符"/>
    <w:basedOn w:val="36"/>
    <w:link w:val="13"/>
    <w:qFormat/>
    <w:uiPriority w:val="0"/>
    <w:rPr>
      <w:rFonts w:ascii="宋体" w:hAnsi="Calibri"/>
      <w:kern w:val="2"/>
      <w:sz w:val="18"/>
      <w:szCs w:val="18"/>
    </w:rPr>
  </w:style>
  <w:style w:type="paragraph" w:customStyle="1" w:styleId="66">
    <w:name w:val="修订1"/>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paragraph" w:customStyle="1" w:styleId="7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1">
    <w:name w:val="List Paragraph_e28a4b39-ba7e-4c4d-9ad9-ba510228f6f3"/>
    <w:basedOn w:val="1"/>
    <w:qFormat/>
    <w:uiPriority w:val="99"/>
    <w:pPr>
      <w:ind w:firstLine="420" w:firstLineChars="200"/>
    </w:pPr>
  </w:style>
  <w:style w:type="paragraph" w:customStyle="1" w:styleId="72">
    <w:name w:val="TOC Heading_a7a6b347-0562-4c7f-a34a-37813bd4bbd7"/>
    <w:basedOn w:val="3"/>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73">
    <w:name w:val="正文文本缩进 3 字符"/>
    <w:basedOn w:val="36"/>
    <w:link w:val="27"/>
    <w:qFormat/>
    <w:uiPriority w:val="0"/>
    <w:rPr>
      <w:rFonts w:ascii="Calibri" w:hAnsi="Calibri"/>
      <w:kern w:val="2"/>
      <w:sz w:val="16"/>
      <w:szCs w:val="16"/>
    </w:rPr>
  </w:style>
  <w:style w:type="paragraph" w:customStyle="1" w:styleId="7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6">
    <w:name w:val="font21"/>
    <w:qFormat/>
    <w:uiPriority w:val="0"/>
    <w:rPr>
      <w:rFonts w:ascii="Arial" w:hAnsi="Arial" w:cs="Arial"/>
      <w:color w:val="FF0000"/>
      <w:sz w:val="20"/>
      <w:szCs w:val="20"/>
      <w:u w:val="none"/>
    </w:rPr>
  </w:style>
  <w:style w:type="character" w:customStyle="1" w:styleId="77">
    <w:name w:val="font31"/>
    <w:qFormat/>
    <w:uiPriority w:val="0"/>
    <w:rPr>
      <w:rFonts w:hint="eastAsia" w:ascii="宋体" w:hAnsi="宋体" w:eastAsia="宋体" w:cs="宋体"/>
      <w:color w:val="FF0000"/>
      <w:sz w:val="20"/>
      <w:szCs w:val="20"/>
      <w:u w:val="none"/>
    </w:rPr>
  </w:style>
  <w:style w:type="character" w:customStyle="1" w:styleId="78">
    <w:name w:val="font01"/>
    <w:qFormat/>
    <w:uiPriority w:val="0"/>
    <w:rPr>
      <w:rFonts w:hint="eastAsia" w:ascii="宋体" w:hAnsi="宋体" w:eastAsia="宋体" w:cs="宋体"/>
      <w:color w:val="FF0000"/>
      <w:sz w:val="20"/>
      <w:szCs w:val="20"/>
      <w:u w:val="single"/>
    </w:rPr>
  </w:style>
  <w:style w:type="character" w:customStyle="1" w:styleId="79">
    <w:name w:val="font11"/>
    <w:qFormat/>
    <w:uiPriority w:val="0"/>
    <w:rPr>
      <w:rFonts w:hint="default" w:ascii="Arial" w:hAnsi="Arial" w:cs="Arial"/>
      <w:color w:val="FF0000"/>
      <w:sz w:val="20"/>
      <w:szCs w:val="20"/>
      <w:u w:val="single"/>
    </w:rPr>
  </w:style>
  <w:style w:type="paragraph" w:customStyle="1" w:styleId="80">
    <w:name w:val="No Spacing_bfaa14c9-ecd9-40fd-81dd-7aba2c1c22b9"/>
    <w:basedOn w:val="1"/>
    <w:qFormat/>
    <w:uiPriority w:val="1"/>
    <w:rPr>
      <w:szCs w:val="24"/>
    </w:rPr>
  </w:style>
  <w:style w:type="paragraph" w:customStyle="1" w:styleId="81">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2">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标题 3_0_0"/>
    <w:basedOn w:val="84"/>
    <w:next w:val="8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4">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5">
    <w:name w:val="正文文本缩进_1"/>
    <w:basedOn w:val="86"/>
    <w:qFormat/>
    <w:uiPriority w:val="0"/>
    <w:pPr>
      <w:spacing w:line="500" w:lineRule="exact"/>
      <w:ind w:left="1588" w:leftChars="832" w:firstLine="433" w:firstLineChars="196"/>
    </w:pPr>
    <w:rPr>
      <w:kern w:val="0"/>
      <w:sz w:val="24"/>
    </w:rPr>
  </w:style>
  <w:style w:type="paragraph" w:customStyle="1" w:styleId="86">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文本缩进_2"/>
    <w:basedOn w:val="88"/>
    <w:qFormat/>
    <w:uiPriority w:val="0"/>
    <w:pPr>
      <w:spacing w:line="500" w:lineRule="exact"/>
      <w:ind w:left="1588" w:leftChars="832" w:firstLine="433" w:firstLineChars="196"/>
    </w:pPr>
    <w:rPr>
      <w:kern w:val="0"/>
      <w:sz w:val="24"/>
    </w:rPr>
  </w:style>
  <w:style w:type="paragraph" w:customStyle="1" w:styleId="88">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Normal_11"/>
    <w:qFormat/>
    <w:uiPriority w:val="0"/>
    <w:rPr>
      <w:rFonts w:ascii="黑体" w:hAnsi="黑体" w:eastAsia="黑体" w:cs="Times New Roman"/>
      <w:b/>
      <w:sz w:val="32"/>
      <w:szCs w:val="24"/>
      <w:lang w:val="en-US" w:eastAsia="zh-CN" w:bidi="ar-SA"/>
    </w:rPr>
  </w:style>
  <w:style w:type="paragraph" w:customStyle="1" w:styleId="90">
    <w:name w:val="正文文本_1"/>
    <w:basedOn w:val="91"/>
    <w:qFormat/>
    <w:uiPriority w:val="0"/>
    <w:pPr>
      <w:spacing w:after="120"/>
    </w:pPr>
    <w:rPr>
      <w:kern w:val="0"/>
      <w:sz w:val="20"/>
    </w:rPr>
  </w:style>
  <w:style w:type="paragraph" w:customStyle="1" w:styleId="91">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93">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94">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95">
    <w:name w:val="Normal Indent1"/>
    <w:basedOn w:val="1"/>
    <w:qFormat/>
    <w:uiPriority w:val="0"/>
    <w:pPr>
      <w:ind w:firstLine="420" w:firstLineChars="200"/>
    </w:pPr>
  </w:style>
  <w:style w:type="paragraph" w:customStyle="1" w:styleId="96">
    <w:name w:val="WPSOffice手动目录 1"/>
    <w:qFormat/>
    <w:uiPriority w:val="0"/>
    <w:rPr>
      <w:rFonts w:ascii="Times New Roman" w:hAnsi="Times New Roman" w:eastAsia="宋体" w:cs="Times New Roman"/>
      <w:lang w:val="en-US" w:eastAsia="zh-CN" w:bidi="ar-SA"/>
    </w:rPr>
  </w:style>
  <w:style w:type="paragraph" w:styleId="97">
    <w:name w:val="List Paragraph"/>
    <w:basedOn w:val="1"/>
    <w:qFormat/>
    <w:uiPriority w:val="99"/>
    <w:pPr>
      <w:ind w:firstLine="420" w:firstLineChars="200"/>
    </w:pPr>
  </w:style>
  <w:style w:type="paragraph" w:customStyle="1" w:styleId="9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21392</Words>
  <Characters>22616</Characters>
  <Lines>207</Lines>
  <Paragraphs>58</Paragraphs>
  <TotalTime>3</TotalTime>
  <ScaleCrop>false</ScaleCrop>
  <LinksUpToDate>false</LinksUpToDate>
  <CharactersWithSpaces>25497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高坚强的后盾</cp:lastModifiedBy>
  <cp:lastPrinted>2021-07-12T20:06:00Z</cp:lastPrinted>
  <dcterms:modified xsi:type="dcterms:W3CDTF">2022-06-24T06:04:09Z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6BE3B2D0A7DA41979CAB744EDEA55936</vt:lpwstr>
  </property>
</Properties>
</file>