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>
      <w:pPr>
        <w:rPr>
          <w:sz w:val="40"/>
          <w:szCs w:val="48"/>
        </w:rPr>
      </w:pPr>
      <w:r>
        <w:rPr>
          <w:rFonts w:ascii="宋体" w:hAnsi="宋体" w:eastAsia="宋体" w:cs="宋体"/>
          <w:sz w:val="48"/>
          <w:szCs w:val="48"/>
        </w:rPr>
        <w:t>本次采购共涉及4个城乡建设用地增减挂钩项目复垦设计采购项目成果编制，预计拆旧面积506.24亩，122个拆旧地块。通过项目区外业调查及地形测量（1:500），以此进行复垦设计及预算编制(土地复垦项目设计报告、预算书、图册),协助施工招标及工程施工阶段技术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YzZlYzVjOGRjZTVkNTU1Njk5OGRmZmU2ZDE0NWYifQ=="/>
  </w:docVars>
  <w:rsids>
    <w:rsidRoot w:val="00000000"/>
    <w:rsid w:val="645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2022-07-07T11:03:25Z</dcterms:created>
  <dc:creator>Administrator</dc:creator>
  <cp:lastModifiedBy>Administrator</cp:lastModifiedBy>
  <dcterms:modified xsi:type="dcterms:W3CDTF">2022-07-07T11:05:32Z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C8AF25AC390B4123B32848443E433BB1</vt:lpwstr>
  </property>
</Properties>
</file>