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lang w:eastAsia="zh-CN"/>
        </w:rPr>
      </w:pPr>
      <w:bookmarkStart w:id="0" w:name="_Toc35393797"/>
      <w:bookmarkStart w:id="1" w:name="_Toc28359011"/>
    </w:p>
    <w:p>
      <w:pPr>
        <w:pStyle w:val="2"/>
        <w:rPr>
          <w:rFonts w:hint="eastAsia"/>
          <w:color w:val="auto"/>
          <w:lang w:eastAsia="zh-CN"/>
        </w:rPr>
      </w:pPr>
    </w:p>
    <w:p>
      <w:pPr>
        <w:pStyle w:val="2"/>
        <w:rPr>
          <w:rFonts w:hint="eastAsia"/>
          <w:color w:val="auto"/>
          <w:lang w:eastAsia="zh-CN"/>
        </w:rPr>
      </w:pPr>
    </w:p>
    <w:p>
      <w:pPr>
        <w:spacing w:line="360" w:lineRule="auto"/>
        <w:jc w:val="center"/>
        <w:rPr>
          <w:rFonts w:hint="eastAsia" w:ascii="仿宋" w:hAnsi="仿宋" w:eastAsia="仿宋" w:cs="仿宋"/>
          <w:b/>
          <w:bCs/>
          <w:color w:val="auto"/>
          <w:sz w:val="11"/>
          <w:szCs w:val="11"/>
        </w:rPr>
      </w:pPr>
    </w:p>
    <w:p>
      <w:pPr>
        <w:spacing w:line="360" w:lineRule="auto"/>
        <w:jc w:val="center"/>
        <w:rPr>
          <w:rFonts w:hint="eastAsia" w:ascii="仿宋" w:hAnsi="仿宋" w:eastAsia="仿宋" w:cs="仿宋"/>
          <w:b/>
          <w:color w:val="auto"/>
          <w:sz w:val="84"/>
          <w:szCs w:val="84"/>
        </w:rPr>
      </w:pPr>
      <w:r>
        <w:rPr>
          <w:rFonts w:hint="eastAsia" w:ascii="仿宋" w:hAnsi="仿宋" w:eastAsia="仿宋" w:cs="仿宋"/>
          <w:b/>
          <w:color w:val="auto"/>
          <w:sz w:val="84"/>
          <w:szCs w:val="84"/>
          <w:lang w:val="en-US" w:eastAsia="zh-CN"/>
        </w:rPr>
        <w:t>磋商</w:t>
      </w:r>
      <w:r>
        <w:rPr>
          <w:rFonts w:hint="eastAsia" w:ascii="仿宋" w:hAnsi="仿宋" w:eastAsia="仿宋" w:cs="仿宋"/>
          <w:b/>
          <w:color w:val="auto"/>
          <w:sz w:val="84"/>
          <w:szCs w:val="84"/>
        </w:rPr>
        <w:t>文件</w:t>
      </w:r>
    </w:p>
    <w:p>
      <w:pPr>
        <w:pStyle w:val="2"/>
        <w:spacing w:line="360" w:lineRule="auto"/>
        <w:ind w:left="0" w:leftChars="0" w:firstLine="0" w:firstLineChars="0"/>
        <w:rPr>
          <w:rFonts w:hint="eastAsia" w:ascii="仿宋" w:hAnsi="仿宋" w:eastAsia="仿宋" w:cs="仿宋"/>
          <w:color w:val="auto"/>
        </w:rPr>
      </w:pPr>
    </w:p>
    <w:p>
      <w:pPr>
        <w:spacing w:line="360" w:lineRule="auto"/>
        <w:jc w:val="center"/>
        <w:rPr>
          <w:rFonts w:hint="eastAsia" w:ascii="仿宋" w:hAnsi="仿宋" w:eastAsia="仿宋" w:cs="仿宋"/>
          <w:b/>
          <w:color w:val="auto"/>
          <w:sz w:val="72"/>
          <w:lang w:eastAsia="zh-CN"/>
        </w:rPr>
      </w:pPr>
      <w:r>
        <w:rPr>
          <w:rFonts w:hint="eastAsia" w:ascii="仿宋" w:hAnsi="仿宋" w:eastAsia="仿宋" w:cs="仿宋"/>
          <w:b/>
          <w:color w:val="auto"/>
          <w:sz w:val="72"/>
          <w:lang w:eastAsia="zh-CN"/>
        </w:rPr>
        <w:drawing>
          <wp:inline distT="0" distB="0" distL="114300" distR="114300">
            <wp:extent cx="2171700" cy="2145665"/>
            <wp:effectExtent l="0" t="0" r="0" b="6985"/>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8"/>
                    <a:srcRect l="30045" t="9183" r="28960" b="26720"/>
                    <a:stretch>
                      <a:fillRect/>
                    </a:stretch>
                  </pic:blipFill>
                  <pic:spPr>
                    <a:xfrm>
                      <a:off x="0" y="0"/>
                      <a:ext cx="2171700" cy="2145665"/>
                    </a:xfrm>
                    <a:prstGeom prst="rect">
                      <a:avLst/>
                    </a:prstGeom>
                    <a:noFill/>
                    <a:ln>
                      <a:noFill/>
                    </a:ln>
                  </pic:spPr>
                </pic:pic>
              </a:graphicData>
            </a:graphic>
          </wp:inline>
        </w:drawing>
      </w:r>
    </w:p>
    <w:p>
      <w:pPr>
        <w:pStyle w:val="2"/>
        <w:spacing w:line="360" w:lineRule="auto"/>
        <w:ind w:left="0" w:leftChars="0" w:firstLine="0" w:firstLineChars="0"/>
        <w:rPr>
          <w:rFonts w:hint="eastAsia" w:ascii="仿宋" w:hAnsi="仿宋" w:eastAsia="仿宋" w:cs="仿宋"/>
          <w:b/>
          <w:color w:val="auto"/>
          <w:sz w:val="72"/>
          <w:lang w:eastAsia="zh-CN"/>
        </w:rPr>
      </w:pPr>
    </w:p>
    <w:p>
      <w:pPr>
        <w:tabs>
          <w:tab w:val="left" w:pos="3240"/>
          <w:tab w:val="left" w:pos="3420"/>
        </w:tabs>
        <w:spacing w:line="360" w:lineRule="auto"/>
        <w:rPr>
          <w:rFonts w:hint="eastAsia" w:ascii="仿宋" w:hAnsi="仿宋" w:eastAsia="仿宋" w:cs="仿宋"/>
          <w:b/>
          <w:bCs w:val="0"/>
          <w:color w:val="auto"/>
          <w:sz w:val="32"/>
          <w:szCs w:val="30"/>
          <w:lang w:eastAsia="zh-CN"/>
        </w:rPr>
      </w:pPr>
      <w:r>
        <w:rPr>
          <w:rFonts w:hint="eastAsia" w:ascii="仿宋" w:hAnsi="仿宋" w:eastAsia="仿宋" w:cs="仿宋"/>
          <w:b/>
          <w:bCs w:val="0"/>
          <w:color w:val="auto"/>
          <w:sz w:val="32"/>
          <w:szCs w:val="30"/>
        </w:rPr>
        <w:t>项目名称：</w:t>
      </w:r>
      <w:r>
        <w:rPr>
          <w:rFonts w:hint="eastAsia" w:ascii="仿宋" w:hAnsi="仿宋" w:eastAsia="仿宋" w:cs="仿宋"/>
          <w:b/>
          <w:bCs w:val="0"/>
          <w:color w:val="auto"/>
          <w:sz w:val="32"/>
          <w:szCs w:val="30"/>
          <w:u w:val="single"/>
          <w:lang w:eastAsia="zh-CN"/>
        </w:rPr>
        <w:t>和布克赛尔县粮油购销公司粮库智能化改造项目</w:t>
      </w:r>
    </w:p>
    <w:p>
      <w:pPr>
        <w:tabs>
          <w:tab w:val="left" w:pos="3240"/>
          <w:tab w:val="left" w:pos="3420"/>
        </w:tabs>
        <w:spacing w:line="360" w:lineRule="auto"/>
        <w:rPr>
          <w:rFonts w:hint="eastAsia" w:ascii="仿宋" w:hAnsi="仿宋" w:eastAsia="仿宋" w:cs="仿宋"/>
          <w:b/>
          <w:bCs w:val="0"/>
          <w:color w:val="auto"/>
          <w:sz w:val="32"/>
          <w:szCs w:val="30"/>
          <w:u w:val="single"/>
          <w:lang w:eastAsia="zh-CN"/>
        </w:rPr>
      </w:pPr>
      <w:r>
        <w:rPr>
          <w:rFonts w:hint="eastAsia" w:ascii="仿宋" w:hAnsi="仿宋" w:eastAsia="仿宋" w:cs="仿宋"/>
          <w:b/>
          <w:bCs w:val="0"/>
          <w:color w:val="auto"/>
          <w:sz w:val="32"/>
          <w:szCs w:val="30"/>
          <w:lang w:eastAsia="zh-CN"/>
        </w:rPr>
        <w:t>采购</w:t>
      </w:r>
      <w:r>
        <w:rPr>
          <w:rFonts w:hint="eastAsia" w:ascii="仿宋" w:hAnsi="仿宋" w:eastAsia="仿宋" w:cs="仿宋"/>
          <w:b/>
          <w:bCs w:val="0"/>
          <w:color w:val="auto"/>
          <w:sz w:val="32"/>
          <w:szCs w:val="30"/>
        </w:rPr>
        <w:t>编号：</w:t>
      </w:r>
      <w:r>
        <w:rPr>
          <w:rFonts w:hint="eastAsia" w:ascii="仿宋" w:hAnsi="仿宋" w:eastAsia="仿宋" w:cs="仿宋"/>
          <w:b/>
          <w:bCs w:val="0"/>
          <w:color w:val="auto"/>
          <w:sz w:val="32"/>
          <w:szCs w:val="30"/>
          <w:u w:val="single"/>
          <w:lang w:eastAsia="zh-CN"/>
        </w:rPr>
        <w:t>XJWZS(ZC)2022-015</w:t>
      </w:r>
    </w:p>
    <w:p>
      <w:pPr>
        <w:tabs>
          <w:tab w:val="left" w:pos="3240"/>
          <w:tab w:val="left" w:pos="3420"/>
        </w:tabs>
        <w:spacing w:line="360" w:lineRule="auto"/>
        <w:rPr>
          <w:rFonts w:hint="eastAsia" w:ascii="仿宋" w:hAnsi="仿宋" w:eastAsia="仿宋" w:cs="仿宋"/>
          <w:b/>
          <w:bCs w:val="0"/>
          <w:color w:val="auto"/>
          <w:sz w:val="32"/>
          <w:szCs w:val="30"/>
          <w:lang w:eastAsia="zh-CN"/>
        </w:rPr>
      </w:pPr>
      <w:r>
        <w:rPr>
          <w:rFonts w:hint="eastAsia" w:ascii="仿宋" w:hAnsi="仿宋" w:eastAsia="仿宋" w:cs="仿宋"/>
          <w:b/>
          <w:bCs w:val="0"/>
          <w:color w:val="auto"/>
          <w:sz w:val="32"/>
          <w:szCs w:val="30"/>
        </w:rPr>
        <w:t>采 购 人：</w:t>
      </w:r>
      <w:r>
        <w:rPr>
          <w:rFonts w:hint="eastAsia" w:ascii="仿宋" w:hAnsi="仿宋" w:eastAsia="仿宋" w:cs="仿宋"/>
          <w:b/>
          <w:bCs w:val="0"/>
          <w:color w:val="auto"/>
          <w:sz w:val="32"/>
          <w:szCs w:val="30"/>
          <w:u w:val="single"/>
          <w:lang w:eastAsia="zh-CN"/>
        </w:rPr>
        <w:t>和布克赛尔蒙古自治县发展和改革委员会</w:t>
      </w:r>
    </w:p>
    <w:p>
      <w:pPr>
        <w:tabs>
          <w:tab w:val="left" w:pos="3240"/>
          <w:tab w:val="left" w:pos="3420"/>
        </w:tabs>
        <w:spacing w:line="360" w:lineRule="auto"/>
        <w:rPr>
          <w:rFonts w:hint="eastAsia" w:ascii="仿宋" w:hAnsi="仿宋" w:eastAsia="仿宋" w:cs="仿宋"/>
          <w:b/>
          <w:bCs w:val="0"/>
          <w:color w:val="auto"/>
          <w:sz w:val="32"/>
          <w:szCs w:val="30"/>
          <w:u w:val="single"/>
        </w:rPr>
      </w:pPr>
      <w:r>
        <w:rPr>
          <w:rFonts w:hint="eastAsia" w:ascii="仿宋" w:hAnsi="仿宋" w:eastAsia="仿宋" w:cs="仿宋"/>
          <w:b/>
          <w:bCs w:val="0"/>
          <w:color w:val="auto"/>
          <w:sz w:val="32"/>
          <w:szCs w:val="30"/>
        </w:rPr>
        <w:t>采购代理机构：</w:t>
      </w:r>
      <w:r>
        <w:rPr>
          <w:rFonts w:hint="eastAsia" w:ascii="仿宋" w:hAnsi="仿宋" w:eastAsia="仿宋" w:cs="仿宋"/>
          <w:b/>
          <w:bCs w:val="0"/>
          <w:color w:val="auto"/>
          <w:sz w:val="32"/>
          <w:szCs w:val="30"/>
          <w:u w:val="single"/>
          <w:lang w:val="en-US" w:eastAsia="zh-CN"/>
        </w:rPr>
        <w:t>新疆卫中森工程管理服务有限公司</w:t>
      </w:r>
    </w:p>
    <w:p>
      <w:pPr>
        <w:tabs>
          <w:tab w:val="left" w:pos="3240"/>
          <w:tab w:val="left" w:pos="3420"/>
        </w:tabs>
        <w:spacing w:line="360" w:lineRule="auto"/>
        <w:jc w:val="center"/>
        <w:rPr>
          <w:rFonts w:hint="eastAsia" w:ascii="仿宋" w:hAnsi="仿宋" w:eastAsia="仿宋" w:cs="仿宋"/>
          <w:b/>
          <w:bCs w:val="0"/>
          <w:color w:val="auto"/>
          <w:sz w:val="32"/>
          <w:szCs w:val="36"/>
        </w:rPr>
      </w:pPr>
    </w:p>
    <w:p>
      <w:pPr>
        <w:pStyle w:val="2"/>
        <w:rPr>
          <w:rFonts w:hint="eastAsia" w:ascii="仿宋" w:hAnsi="仿宋" w:eastAsia="仿宋" w:cs="仿宋"/>
          <w:b/>
          <w:bCs w:val="0"/>
          <w:color w:val="auto"/>
          <w:sz w:val="32"/>
          <w:szCs w:val="36"/>
        </w:rPr>
      </w:pPr>
    </w:p>
    <w:p>
      <w:pPr>
        <w:pStyle w:val="2"/>
        <w:rPr>
          <w:rFonts w:hint="eastAsia" w:ascii="仿宋" w:hAnsi="仿宋" w:eastAsia="仿宋" w:cs="仿宋"/>
          <w:b/>
          <w:bCs w:val="0"/>
          <w:color w:val="auto"/>
          <w:sz w:val="32"/>
          <w:szCs w:val="36"/>
        </w:rPr>
      </w:pPr>
    </w:p>
    <w:p>
      <w:pPr>
        <w:spacing w:line="360" w:lineRule="auto"/>
        <w:jc w:val="center"/>
        <w:rPr>
          <w:rFonts w:hint="eastAsia" w:ascii="仿宋" w:hAnsi="仿宋" w:eastAsia="仿宋" w:cs="仿宋"/>
          <w:b/>
          <w:bCs w:val="0"/>
          <w:color w:val="auto"/>
          <w:sz w:val="32"/>
          <w:szCs w:val="36"/>
          <w:u w:val="single"/>
        </w:rPr>
      </w:pPr>
      <w:r>
        <w:rPr>
          <w:rFonts w:hint="eastAsia" w:ascii="仿宋" w:hAnsi="仿宋" w:eastAsia="仿宋" w:cs="仿宋"/>
          <w:b/>
          <w:bCs w:val="0"/>
          <w:color w:val="auto"/>
          <w:sz w:val="32"/>
          <w:szCs w:val="36"/>
        </w:rPr>
        <w:t>日    期：</w:t>
      </w:r>
      <w:r>
        <w:rPr>
          <w:rFonts w:hint="eastAsia" w:ascii="仿宋" w:hAnsi="仿宋" w:eastAsia="仿宋" w:cs="仿宋"/>
          <w:b/>
          <w:bCs w:val="0"/>
          <w:color w:val="auto"/>
          <w:sz w:val="32"/>
          <w:szCs w:val="36"/>
          <w:u w:val="single"/>
        </w:rPr>
        <w:t>20</w:t>
      </w:r>
      <w:r>
        <w:rPr>
          <w:rFonts w:hint="eastAsia" w:ascii="仿宋" w:hAnsi="仿宋" w:eastAsia="仿宋" w:cs="仿宋"/>
          <w:b/>
          <w:bCs w:val="0"/>
          <w:color w:val="auto"/>
          <w:sz w:val="32"/>
          <w:szCs w:val="36"/>
          <w:u w:val="single"/>
          <w:lang w:val="en-US" w:eastAsia="zh-CN"/>
        </w:rPr>
        <w:t>22</w:t>
      </w:r>
      <w:r>
        <w:rPr>
          <w:rFonts w:hint="eastAsia" w:ascii="仿宋" w:hAnsi="仿宋" w:eastAsia="仿宋" w:cs="仿宋"/>
          <w:b/>
          <w:bCs w:val="0"/>
          <w:color w:val="auto"/>
          <w:sz w:val="32"/>
          <w:szCs w:val="36"/>
          <w:u w:val="single"/>
        </w:rPr>
        <w:t>年</w:t>
      </w:r>
      <w:r>
        <w:rPr>
          <w:rFonts w:hint="eastAsia" w:ascii="仿宋" w:hAnsi="仿宋" w:eastAsia="仿宋" w:cs="仿宋"/>
          <w:b/>
          <w:bCs w:val="0"/>
          <w:color w:val="auto"/>
          <w:sz w:val="32"/>
          <w:szCs w:val="36"/>
          <w:u w:val="single"/>
          <w:lang w:val="en-US" w:eastAsia="zh-CN"/>
        </w:rPr>
        <w:t>06</w:t>
      </w:r>
      <w:r>
        <w:rPr>
          <w:rFonts w:hint="eastAsia" w:ascii="仿宋" w:hAnsi="仿宋" w:eastAsia="仿宋" w:cs="仿宋"/>
          <w:b/>
          <w:bCs w:val="0"/>
          <w:color w:val="auto"/>
          <w:sz w:val="32"/>
          <w:szCs w:val="36"/>
          <w:u w:val="single"/>
        </w:rPr>
        <w:t>月</w:t>
      </w:r>
    </w:p>
    <w:p>
      <w:pPr>
        <w:pStyle w:val="2"/>
        <w:rPr>
          <w:rFonts w:hint="eastAsia" w:ascii="仿宋" w:hAnsi="仿宋" w:eastAsia="仿宋" w:cs="仿宋"/>
          <w:bCs/>
          <w:color w:val="auto"/>
          <w:sz w:val="32"/>
          <w:szCs w:val="36"/>
          <w:u w:val="single"/>
        </w:rPr>
      </w:pPr>
    </w:p>
    <w:p>
      <w:pPr>
        <w:pStyle w:val="2"/>
        <w:rPr>
          <w:rFonts w:hint="eastAsia" w:ascii="仿宋" w:hAnsi="仿宋" w:eastAsia="仿宋" w:cs="仿宋"/>
          <w:bCs/>
          <w:color w:val="auto"/>
          <w:sz w:val="32"/>
          <w:szCs w:val="36"/>
          <w:u w:val="single"/>
        </w:rPr>
      </w:pPr>
    </w:p>
    <w:sdt>
      <w:sdtPr>
        <w:rPr>
          <w:rFonts w:hint="eastAsia" w:ascii="仿宋" w:hAnsi="仿宋" w:eastAsia="仿宋" w:cs="仿宋"/>
          <w:b/>
          <w:bCs/>
          <w:color w:val="auto"/>
          <w:kern w:val="2"/>
          <w:sz w:val="32"/>
          <w:szCs w:val="32"/>
          <w:lang w:val="en-US" w:eastAsia="zh-CN" w:bidi="ar-SA"/>
        </w:rPr>
        <w:id w:val="147472452"/>
        <w15:color w:val="DBDBDB"/>
        <w:docPartObj>
          <w:docPartGallery w:val="Table of Contents"/>
          <w:docPartUnique/>
        </w:docPartObj>
      </w:sdtPr>
      <w:sdtEndPr>
        <w:rPr>
          <w:rFonts w:hint="eastAsia" w:ascii="Times New Roman" w:hAnsi="Times New Roman" w:eastAsia="仿宋" w:cs="Times New Roman"/>
          <w:b/>
          <w:bCs/>
          <w:color w:val="auto"/>
          <w:kern w:val="44"/>
          <w:sz w:val="32"/>
          <w:szCs w:val="44"/>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目录</w:t>
          </w:r>
        </w:p>
        <w:p>
          <w:pPr>
            <w:pStyle w:val="20"/>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TOC \o "1-2" \h \u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_Toc7510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t>第一章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_Toc7510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_Toc1660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  磋商须知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_Toc1660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_Toc28295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一、前附表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_Toc28295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_Toc8273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二、总  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_Toc8273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_Toc11299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、磋商文件的说明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_Toc11299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_Toc18511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四、 响应文件的编制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_Toc18511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_Toc2900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val="0"/>
              <w:color w:val="auto"/>
              <w:sz w:val="24"/>
              <w:szCs w:val="24"/>
              <w:highlight w:val="none"/>
              <w:lang w:eastAsia="zh-CN"/>
            </w:rPr>
            <w:t>五、</w:t>
          </w:r>
          <w:r>
            <w:rPr>
              <w:rFonts w:hint="eastAsia" w:ascii="仿宋" w:hAnsi="仿宋" w:eastAsia="仿宋" w:cs="仿宋"/>
              <w:bCs w:val="0"/>
              <w:color w:val="auto"/>
              <w:sz w:val="24"/>
              <w:szCs w:val="24"/>
              <w:highlight w:val="none"/>
            </w:rPr>
            <w:t>磋商会议</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_Toc2900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_Toc14431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授予合同</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_Toc14431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_Toc22752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质疑和投诉</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_Toc22752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_Toc8867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第三章 采购需求及技术要求</w:t>
          </w:r>
          <w:r>
            <w:rPr>
              <w:rFonts w:hint="eastAsia" w:ascii="仿宋" w:hAnsi="仿宋" w:eastAsia="仿宋" w:cs="仿宋"/>
              <w:color w:val="auto"/>
              <w:sz w:val="24"/>
              <w:szCs w:val="24"/>
            </w:rPr>
            <w:tab/>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val="en-US" w:eastAsia="zh-CN"/>
            </w:rPr>
            <w:t>20</w:t>
          </w:r>
        </w:p>
        <w:p>
          <w:pPr>
            <w:pStyle w:val="20"/>
            <w:tabs>
              <w:tab w:val="right" w:leader="dot" w:pos="9070"/>
            </w:tabs>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_Toc7412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 xml:space="preserve">第四章 </w:t>
          </w:r>
          <w:r>
            <w:rPr>
              <w:rFonts w:hint="eastAsia" w:ascii="仿宋" w:hAnsi="仿宋" w:eastAsia="仿宋" w:cs="仿宋"/>
              <w:color w:val="auto"/>
              <w:sz w:val="24"/>
              <w:szCs w:val="24"/>
              <w:lang w:val="en-US" w:eastAsia="zh-CN"/>
            </w:rPr>
            <w:t>详细评审</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val="en-US" w:eastAsia="zh-CN"/>
            </w:rPr>
            <w:t>3</w:t>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_Toc23270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资格性审查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_Toc23270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_Toc16209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符合性审查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_Toc16209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_Toc2170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详细评审</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_Toc2170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_Toc5685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 xml:space="preserve">第五章  </w:t>
          </w:r>
          <w:r>
            <w:rPr>
              <w:rFonts w:hint="eastAsia" w:ascii="仿宋" w:hAnsi="仿宋" w:eastAsia="仿宋" w:cs="仿宋"/>
              <w:color w:val="auto"/>
              <w:sz w:val="24"/>
              <w:szCs w:val="24"/>
            </w:rPr>
            <w:t>政府采购合同</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_Toc5685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_Toc15742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章  响应文件格式附件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_Toc15742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_Toc16951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highlight w:val="none"/>
            </w:rPr>
            <w:t>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_Toc16951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_Toc5109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1、响 应 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_Toc5109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_Toc14510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报价单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_Toc14510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_Toc23990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3、 报价明细表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_Toc23990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_Toc1860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4、法定代表人身份证明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_Toc1860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_Toc27000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5、法定代表人的授权委托书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_Toc27000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_Toc19121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基本情况表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_Toc19121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_Toc25145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资格声明及相关证明文件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_Toc25145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_Toc12796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8、联合体协议书(若有时填报)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_Toc12796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_Toc26574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9.中小企业声明函（如有时提供）</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_Toc26574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_Toc24182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10.监狱企业声明函（如有时提供）</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_Toc24182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_Toc23506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highlight w:val="none"/>
            </w:rPr>
            <w:t>11.</w:t>
          </w:r>
          <w:r>
            <w:rPr>
              <w:rFonts w:hint="eastAsia" w:ascii="仿宋" w:hAnsi="仿宋" w:eastAsia="仿宋" w:cs="仿宋"/>
              <w:color w:val="auto"/>
              <w:sz w:val="24"/>
              <w:szCs w:val="24"/>
              <w:highlight w:val="none"/>
            </w:rPr>
            <w:t>残疾人福利性单位声明函（如有时提供）</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_Toc23506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_Toc690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交纳凭证</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_Toc690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_Toc10343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13、商务偏离表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_Toc10343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_Toc17083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14、</w:t>
          </w:r>
          <w:r>
            <w:rPr>
              <w:rFonts w:hint="eastAsia" w:ascii="仿宋" w:hAnsi="仿宋" w:eastAsia="仿宋" w:cs="仿宋"/>
              <w:color w:val="auto"/>
              <w:sz w:val="24"/>
              <w:szCs w:val="24"/>
              <w:lang w:eastAsia="zh-CN"/>
            </w:rPr>
            <w:t>技术</w:t>
          </w:r>
          <w:r>
            <w:rPr>
              <w:rFonts w:hint="eastAsia" w:ascii="仿宋" w:hAnsi="仿宋" w:eastAsia="仿宋" w:cs="仿宋"/>
              <w:color w:val="auto"/>
              <w:sz w:val="24"/>
              <w:szCs w:val="24"/>
            </w:rPr>
            <w:t>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_Toc17083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_Toc531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15、供应商近五年类似项目业绩情况一览表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_Toc531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_Toc18179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自行编写的技术文件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_Toc18179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_Toc8105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自行编写的服务文件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_Toc8105 \h </w:instrText>
          </w:r>
          <w:r>
            <w:rPr>
              <w:rFonts w:hint="eastAsia" w:ascii="仿宋" w:hAnsi="仿宋" w:eastAsia="仿宋" w:cs="仿宋"/>
              <w:color w:val="auto"/>
              <w:sz w:val="24"/>
              <w:szCs w:val="24"/>
            </w:rPr>
            <w:fldChar w:fldCharType="separate"/>
          </w:r>
          <w:r>
            <w:rPr>
              <w:b/>
            </w:rPr>
            <w:t>错误！未定义书签。</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_Toc22542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认为需要提供的其他文件和资料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_Toc22542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pPr>
            <w:pStyle w:val="3"/>
            <w:tabs>
              <w:tab w:val="left" w:pos="0"/>
            </w:tabs>
            <w:autoSpaceDE w:val="0"/>
            <w:autoSpaceDN w:val="0"/>
            <w:adjustRightInd w:val="0"/>
            <w:spacing w:before="0" w:after="0" w:line="360" w:lineRule="auto"/>
            <w:jc w:val="center"/>
            <w:rPr>
              <w:rFonts w:hint="eastAsia" w:ascii="Times New Roman" w:hAnsi="Times New Roman" w:eastAsia="仿宋" w:cs="Times New Roman"/>
              <w:b/>
              <w:bCs/>
              <w:color w:val="auto"/>
              <w:kern w:val="44"/>
              <w:sz w:val="32"/>
              <w:szCs w:val="44"/>
              <w:lang w:val="en-US" w:eastAsia="zh-CN" w:bidi="ar-SA"/>
            </w:rPr>
          </w:pPr>
          <w:r>
            <w:rPr>
              <w:rFonts w:hint="eastAsia" w:ascii="仿宋" w:hAnsi="仿宋" w:eastAsia="仿宋" w:cs="仿宋"/>
              <w:color w:val="auto"/>
              <w:sz w:val="24"/>
              <w:szCs w:val="24"/>
              <w:lang w:eastAsia="zh-CN"/>
            </w:rPr>
            <w:fldChar w:fldCharType="end"/>
          </w:r>
        </w:p>
      </w:sdtContent>
    </w:sdt>
    <w:p>
      <w:pPr>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keepNext w:val="0"/>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color w:val="auto"/>
          <w:lang w:eastAsia="zh-CN"/>
        </w:rPr>
      </w:pPr>
    </w:p>
    <w:p>
      <w:pPr>
        <w:pStyle w:val="3"/>
        <w:keepNext w:val="0"/>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color w:val="auto"/>
          <w:lang w:eastAsia="zh-CN"/>
        </w:rPr>
        <w:sectPr>
          <w:headerReference r:id="rId4" w:type="first"/>
          <w:headerReference r:id="rId3" w:type="default"/>
          <w:pgSz w:w="11906" w:h="16838"/>
          <w:pgMar w:top="1402" w:right="1418" w:bottom="1400" w:left="1418" w:header="851" w:footer="992" w:gutter="0"/>
          <w:cols w:space="720" w:num="1"/>
          <w:titlePg/>
        </w:sectPr>
      </w:pPr>
    </w:p>
    <w:p>
      <w:pPr>
        <w:pStyle w:val="3"/>
        <w:keepNext w:val="0"/>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仿宋" w:hAnsi="仿宋" w:eastAsia="仿宋" w:cs="仿宋"/>
          <w:color w:val="auto"/>
          <w:sz w:val="24"/>
          <w:szCs w:val="24"/>
        </w:rPr>
      </w:pPr>
      <w:bookmarkStart w:id="2" w:name="_Toc7510"/>
      <w:r>
        <w:rPr>
          <w:rFonts w:hint="eastAsia"/>
          <w:color w:val="auto"/>
          <w:lang w:eastAsia="zh-CN"/>
        </w:rPr>
        <w:t>第一章</w:t>
      </w:r>
      <w:r>
        <w:rPr>
          <w:rFonts w:hint="eastAsia"/>
          <w:color w:val="auto"/>
          <w:lang w:val="en-US" w:eastAsia="zh-CN"/>
        </w:rPr>
        <w:t xml:space="preserve">  </w:t>
      </w:r>
      <w:bookmarkEnd w:id="0"/>
      <w:bookmarkEnd w:id="1"/>
      <w:bookmarkEnd w:id="2"/>
      <w:r>
        <w:rPr>
          <w:rFonts w:hint="eastAsia" w:ascii="仿宋" w:hAnsi="仿宋" w:eastAsia="仿宋" w:cs="仿宋"/>
          <w:color w:val="auto"/>
          <w:sz w:val="32"/>
          <w:szCs w:val="32"/>
        </w:rPr>
        <w:t>竞争性磋商公告</w:t>
      </w:r>
    </w:p>
    <w:p>
      <w:pPr>
        <w:spacing w:line="360" w:lineRule="auto"/>
        <w:rPr>
          <w:rFonts w:hint="eastAsia"/>
          <w:color w:val="auto"/>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u w:val="single"/>
          <w:lang w:eastAsia="zh-CN"/>
        </w:rPr>
        <w:t>（和布克赛尔县粮油购销公司粮库智能化改造项目）</w:t>
      </w:r>
      <w:r>
        <w:rPr>
          <w:rFonts w:hint="eastAsia" w:ascii="仿宋" w:hAnsi="仿宋" w:eastAsia="仿宋" w:cs="仿宋"/>
          <w:color w:val="auto"/>
          <w:sz w:val="24"/>
          <w:szCs w:val="24"/>
        </w:rPr>
        <w:t>采购项目的潜在供应商应在</w:t>
      </w:r>
      <w:r>
        <w:rPr>
          <w:rFonts w:hint="eastAsia" w:ascii="仿宋" w:hAnsi="仿宋" w:eastAsia="仿宋"/>
          <w:color w:val="auto"/>
          <w:sz w:val="24"/>
          <w:szCs w:val="24"/>
          <w:u w:val="single"/>
        </w:rPr>
        <w:t>（新疆乌鲁木齐高新技术产业开发区（新市区）北京路街道高新街217号盈科广场14层B座1409）</w:t>
      </w:r>
      <w:r>
        <w:rPr>
          <w:rFonts w:hint="eastAsia" w:ascii="仿宋" w:hAnsi="仿宋" w:eastAsia="仿宋" w:cs="仿宋"/>
          <w:color w:val="auto"/>
          <w:sz w:val="24"/>
          <w:szCs w:val="24"/>
        </w:rPr>
        <w:t>获取</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，并于</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07</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rPr>
      </w:pPr>
    </w:p>
    <w:p>
      <w:pPr>
        <w:pStyle w:val="4"/>
        <w:spacing w:line="360" w:lineRule="auto"/>
        <w:jc w:val="both"/>
        <w:rPr>
          <w:rFonts w:hint="eastAsia" w:ascii="仿宋" w:hAnsi="仿宋" w:eastAsia="仿宋" w:cs="仿宋"/>
          <w:b/>
          <w:bCs w:val="0"/>
          <w:color w:val="auto"/>
          <w:sz w:val="24"/>
          <w:szCs w:val="24"/>
        </w:rPr>
      </w:pPr>
      <w:bookmarkStart w:id="3" w:name="_Toc28359089"/>
      <w:bookmarkStart w:id="4" w:name="_Toc35393798"/>
      <w:bookmarkStart w:id="5" w:name="_Toc28359012"/>
      <w:bookmarkStart w:id="6" w:name="_Toc35393629"/>
      <w:bookmarkStart w:id="7" w:name="_Toc27230"/>
      <w:r>
        <w:rPr>
          <w:rFonts w:hint="eastAsia" w:ascii="仿宋" w:hAnsi="仿宋" w:eastAsia="仿宋" w:cs="仿宋"/>
          <w:b/>
          <w:bCs w:val="0"/>
          <w:color w:val="auto"/>
          <w:sz w:val="24"/>
          <w:szCs w:val="24"/>
        </w:rPr>
        <w:t>一、项目基本情况</w:t>
      </w:r>
      <w:bookmarkEnd w:id="3"/>
      <w:bookmarkEnd w:id="4"/>
      <w:bookmarkEnd w:id="5"/>
      <w:bookmarkEnd w:id="6"/>
      <w:bookmarkEnd w:id="7"/>
    </w:p>
    <w:p>
      <w:pPr>
        <w:spacing w:line="360" w:lineRule="auto"/>
        <w:ind w:firstLine="480" w:firstLineChars="200"/>
        <w:rPr>
          <w:rFonts w:hint="default" w:ascii="仿宋" w:hAnsi="仿宋" w:eastAsia="仿宋" w:cs="仿宋"/>
          <w:color w:val="auto"/>
          <w:sz w:val="24"/>
          <w:szCs w:val="24"/>
          <w:lang w:val="en-US"/>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：XJWZS(ZC)202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lang w:val="en-US" w:eastAsia="zh-CN"/>
        </w:rPr>
        <w:t>15</w:t>
      </w:r>
    </w:p>
    <w:p>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和布克赛尔县粮油购销公司粮库智能化改造项目</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采购方式：竞争性磋商</w:t>
      </w:r>
    </w:p>
    <w:p>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530000.00元</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530000.00元</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采购需求：</w:t>
      </w:r>
      <w:r>
        <w:rPr>
          <w:rFonts w:hint="eastAsia" w:ascii="仿宋" w:hAnsi="仿宋" w:eastAsia="仿宋" w:cs="仿宋"/>
          <w:color w:val="auto"/>
          <w:sz w:val="24"/>
          <w:szCs w:val="24"/>
          <w:lang w:val="en-US" w:eastAsia="zh-CN"/>
        </w:rPr>
        <w:t>机房设备、粮情测控系统设备、安防监控系统设备、智能粮库管理系统等，具体详见磋商文件</w:t>
      </w:r>
    </w:p>
    <w:p>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合同履行期限：</w:t>
      </w:r>
      <w:r>
        <w:rPr>
          <w:rFonts w:hint="eastAsia" w:ascii="仿宋" w:hAnsi="仿宋" w:eastAsia="仿宋" w:cs="仿宋"/>
          <w:color w:val="0000FF"/>
          <w:sz w:val="24"/>
          <w:szCs w:val="24"/>
          <w:lang w:eastAsia="zh-CN"/>
        </w:rPr>
        <w:t>自合同签订后</w:t>
      </w:r>
      <w:r>
        <w:rPr>
          <w:rFonts w:hint="eastAsia" w:ascii="仿宋" w:hAnsi="仿宋" w:eastAsia="仿宋" w:cs="仿宋"/>
          <w:color w:val="0000FF"/>
          <w:sz w:val="24"/>
          <w:szCs w:val="24"/>
          <w:lang w:val="en-US" w:eastAsia="zh-CN"/>
        </w:rPr>
        <w:t>30日内完成设备安装调试并通过验收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i w:val="0"/>
          <w:iCs/>
          <w:color w:val="auto"/>
          <w:sz w:val="24"/>
          <w:szCs w:val="24"/>
          <w:lang w:eastAsia="zh-CN"/>
        </w:rPr>
        <w:t>不</w:t>
      </w:r>
      <w:r>
        <w:rPr>
          <w:rFonts w:hint="eastAsia" w:ascii="仿宋" w:hAnsi="仿宋" w:eastAsia="仿宋" w:cs="仿宋"/>
          <w:color w:val="auto"/>
          <w:sz w:val="24"/>
          <w:szCs w:val="24"/>
        </w:rPr>
        <w:t>）接受联合体。</w:t>
      </w:r>
    </w:p>
    <w:p>
      <w:pPr>
        <w:pStyle w:val="4"/>
        <w:spacing w:line="360" w:lineRule="auto"/>
        <w:jc w:val="left"/>
        <w:rPr>
          <w:rFonts w:hint="eastAsia" w:ascii="仿宋" w:hAnsi="仿宋" w:eastAsia="仿宋" w:cs="仿宋"/>
          <w:b/>
          <w:bCs w:val="0"/>
          <w:color w:val="auto"/>
          <w:sz w:val="24"/>
          <w:szCs w:val="24"/>
        </w:rPr>
      </w:pPr>
      <w:bookmarkStart w:id="8" w:name="_Toc35393630"/>
      <w:bookmarkStart w:id="9" w:name="_Toc28359013"/>
      <w:bookmarkStart w:id="10" w:name="_Toc28359090"/>
      <w:bookmarkStart w:id="11" w:name="_Toc35393799"/>
      <w:bookmarkStart w:id="12" w:name="_Toc12509"/>
      <w:r>
        <w:rPr>
          <w:rFonts w:hint="eastAsia" w:ascii="仿宋" w:hAnsi="仿宋" w:eastAsia="仿宋" w:cs="仿宋"/>
          <w:b/>
          <w:bCs w:val="0"/>
          <w:color w:val="auto"/>
          <w:sz w:val="24"/>
          <w:szCs w:val="24"/>
        </w:rPr>
        <w:t>二、申请人的资格要求：</w:t>
      </w:r>
      <w:bookmarkEnd w:id="8"/>
      <w:bookmarkEnd w:id="9"/>
      <w:bookmarkEnd w:id="10"/>
      <w:bookmarkEnd w:id="11"/>
      <w:bookmarkEnd w:id="12"/>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spacing w:line="360" w:lineRule="auto"/>
        <w:ind w:firstLine="480" w:firstLineChars="200"/>
        <w:rPr>
          <w:rFonts w:hint="eastAsia" w:ascii="仿宋" w:hAnsi="仿宋" w:eastAsia="仿宋" w:cs="仿宋"/>
          <w:color w:val="auto"/>
          <w:sz w:val="24"/>
          <w:szCs w:val="24"/>
          <w:lang w:eastAsia="zh-CN"/>
        </w:rPr>
      </w:pPr>
      <w:bookmarkStart w:id="13" w:name="_Toc28359091"/>
      <w:bookmarkStart w:id="14" w:name="_Toc28359014"/>
      <w:r>
        <w:rPr>
          <w:rFonts w:hint="eastAsia" w:ascii="仿宋" w:hAnsi="仿宋" w:eastAsia="仿宋" w:cs="仿宋"/>
          <w:color w:val="auto"/>
          <w:sz w:val="24"/>
          <w:szCs w:val="24"/>
        </w:rPr>
        <w:t>2.落实政府采购政策需满足的资格要求：</w:t>
      </w:r>
      <w:r>
        <w:rPr>
          <w:rFonts w:ascii="仿宋" w:hAnsi="仿宋" w:eastAsia="仿宋" w:cs="仿宋"/>
          <w:i w:val="0"/>
          <w:iCs w:val="0"/>
          <w:caps w:val="0"/>
          <w:color w:val="auto"/>
          <w:spacing w:val="0"/>
          <w:sz w:val="24"/>
          <w:szCs w:val="24"/>
        </w:rPr>
        <w:t>落实（对小型和微型企业产品的价格、监狱企业、残疾人福利性单位优惠政策。）</w:t>
      </w:r>
      <w:r>
        <w:rPr>
          <w:rFonts w:hint="eastAsia" w:ascii="仿宋" w:hAnsi="仿宋" w:eastAsia="仿宋" w:cs="仿宋"/>
          <w:i w:val="0"/>
          <w:iCs w:val="0"/>
          <w:caps w:val="0"/>
          <w:color w:val="auto"/>
          <w:spacing w:val="0"/>
          <w:sz w:val="24"/>
          <w:szCs w:val="24"/>
          <w:lang w:eastAsia="zh-CN"/>
        </w:rPr>
        <w:t>具体</w:t>
      </w:r>
      <w:r>
        <w:rPr>
          <w:rFonts w:ascii="仿宋" w:hAnsi="仿宋" w:eastAsia="仿宋" w:cs="仿宋"/>
          <w:i w:val="0"/>
          <w:iCs w:val="0"/>
          <w:caps w:val="0"/>
          <w:color w:val="auto"/>
          <w:spacing w:val="0"/>
          <w:sz w:val="24"/>
          <w:szCs w:val="24"/>
        </w:rPr>
        <w:t>详见</w:t>
      </w:r>
      <w:r>
        <w:rPr>
          <w:rFonts w:hint="eastAsia" w:ascii="仿宋" w:hAnsi="仿宋" w:eastAsia="仿宋" w:cs="仿宋"/>
          <w:i w:val="0"/>
          <w:iCs w:val="0"/>
          <w:caps w:val="0"/>
          <w:color w:val="auto"/>
          <w:spacing w:val="0"/>
          <w:sz w:val="24"/>
          <w:szCs w:val="24"/>
          <w:lang w:eastAsia="zh-CN"/>
        </w:rPr>
        <w:t>磋商</w:t>
      </w:r>
      <w:r>
        <w:rPr>
          <w:rFonts w:ascii="仿宋" w:hAnsi="仿宋" w:eastAsia="仿宋" w:cs="仿宋"/>
          <w:i w:val="0"/>
          <w:iCs w:val="0"/>
          <w:caps w:val="0"/>
          <w:color w:val="auto"/>
          <w:spacing w:val="0"/>
          <w:sz w:val="24"/>
          <w:szCs w:val="24"/>
        </w:rPr>
        <w:t>文件</w:t>
      </w:r>
      <w:r>
        <w:rPr>
          <w:rFonts w:hint="eastAsia" w:ascii="仿宋" w:hAnsi="仿宋" w:eastAsia="仿宋" w:cs="仿宋"/>
          <w:color w:val="auto"/>
          <w:sz w:val="24"/>
          <w:szCs w:val="24"/>
          <w:lang w:eastAsia="zh-CN"/>
        </w:rPr>
        <w:t>；</w:t>
      </w:r>
    </w:p>
    <w:p>
      <w:pPr>
        <w:pStyle w:val="2"/>
        <w:numPr>
          <w:ilvl w:val="0"/>
          <w:numId w:val="0"/>
        </w:num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3.本项目的特定资格要求</w:t>
      </w:r>
      <w:r>
        <w:rPr>
          <w:rFonts w:hint="eastAsia" w:ascii="仿宋" w:hAnsi="仿宋" w:eastAsia="仿宋" w:cs="仿宋"/>
          <w:color w:val="auto"/>
          <w:sz w:val="24"/>
          <w:szCs w:val="24"/>
          <w:lang w:eastAsia="zh-CN"/>
        </w:rPr>
        <w:t>：</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（1）有效的工商营业执照、税务登记证、组织机构代码证或“三证合一”的营业执照；</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（2）法人代表或其委托代理人应携带本人身份证原件及复印件，委托代理人还应携带《法人代表授权委托书》；</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（4）单位负责人为同一人或者存在直接控股、管理关系的不同供应商，不得参加同一合同项下的政府采购活动；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（5）为采购项目提供整体设计、规范编制或者项目管理、监理、检测等服务的供应商，不得再参加该采购项目的其他采购活动；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（6）本项目不接受联合体投标；</w:t>
      </w:r>
    </w:p>
    <w:p>
      <w:pPr>
        <w:spacing w:line="360" w:lineRule="auto"/>
        <w:ind w:firstLine="480" w:firstLineChars="200"/>
        <w:rPr>
          <w:rFonts w:hint="eastAsia" w:ascii="仿宋" w:hAnsi="仿宋" w:eastAsia="仿宋" w:cs="仿宋"/>
          <w:i/>
          <w:iCs/>
          <w:color w:val="auto"/>
          <w:sz w:val="24"/>
          <w:szCs w:val="24"/>
          <w:u w:val="single"/>
        </w:rPr>
      </w:pPr>
      <w:r>
        <w:rPr>
          <w:rFonts w:hint="eastAsia" w:ascii="仿宋" w:hAnsi="仿宋" w:eastAsia="仿宋" w:cs="Times New Roman"/>
          <w:color w:val="auto"/>
          <w:sz w:val="24"/>
          <w:szCs w:val="24"/>
          <w:lang w:val="en-US" w:eastAsia="zh-CN"/>
        </w:rPr>
        <w:t>（7）法律、行政法规规定的其他条件。</w:t>
      </w:r>
    </w:p>
    <w:p>
      <w:pPr>
        <w:pStyle w:val="4"/>
        <w:spacing w:line="360" w:lineRule="auto"/>
        <w:jc w:val="left"/>
        <w:rPr>
          <w:rFonts w:hint="eastAsia" w:ascii="仿宋" w:hAnsi="仿宋" w:eastAsia="仿宋" w:cs="仿宋"/>
          <w:b/>
          <w:bCs w:val="0"/>
          <w:color w:val="auto"/>
          <w:sz w:val="24"/>
          <w:szCs w:val="24"/>
        </w:rPr>
      </w:pPr>
      <w:bookmarkStart w:id="15" w:name="_Toc12552"/>
      <w:bookmarkStart w:id="16" w:name="_Toc35393800"/>
      <w:bookmarkStart w:id="17" w:name="_Toc35393631"/>
      <w:r>
        <w:rPr>
          <w:rFonts w:hint="eastAsia" w:ascii="仿宋" w:hAnsi="仿宋" w:eastAsia="仿宋" w:cs="仿宋"/>
          <w:b/>
          <w:bCs w:val="0"/>
          <w:color w:val="auto"/>
          <w:sz w:val="24"/>
          <w:szCs w:val="24"/>
        </w:rPr>
        <w:t>三、获取</w:t>
      </w:r>
      <w:r>
        <w:rPr>
          <w:rFonts w:hint="eastAsia" w:ascii="仿宋" w:hAnsi="仿宋" w:eastAsia="仿宋" w:cs="仿宋"/>
          <w:b/>
          <w:bCs w:val="0"/>
          <w:color w:val="auto"/>
          <w:sz w:val="24"/>
          <w:szCs w:val="24"/>
          <w:lang w:eastAsia="zh-CN"/>
        </w:rPr>
        <w:t>磋商</w:t>
      </w:r>
      <w:r>
        <w:rPr>
          <w:rFonts w:hint="eastAsia" w:ascii="仿宋" w:hAnsi="仿宋" w:eastAsia="仿宋" w:cs="仿宋"/>
          <w:b/>
          <w:bCs w:val="0"/>
          <w:color w:val="auto"/>
          <w:sz w:val="24"/>
          <w:szCs w:val="24"/>
        </w:rPr>
        <w:t>文件</w:t>
      </w:r>
      <w:bookmarkEnd w:id="13"/>
      <w:bookmarkEnd w:id="14"/>
      <w:bookmarkEnd w:id="15"/>
      <w:bookmarkEnd w:id="16"/>
      <w:bookmarkEnd w:id="17"/>
    </w:p>
    <w:p>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lang w:val="en-US" w:eastAsia="zh-CN"/>
        </w:rPr>
        <w:t>2022</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06</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29</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lang w:val="en-US" w:eastAsia="zh-CN"/>
        </w:rPr>
        <w:t>2022</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07</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rPr>
        <w:t>，每天上午</w:t>
      </w:r>
      <w:r>
        <w:rPr>
          <w:rFonts w:hint="eastAsia" w:ascii="仿宋" w:hAnsi="仿宋" w:eastAsia="仿宋" w:cs="仿宋"/>
          <w:color w:val="auto"/>
          <w:sz w:val="24"/>
          <w:szCs w:val="24"/>
          <w:u w:val="single"/>
          <w:lang w:val="en-US" w:eastAsia="zh-CN"/>
        </w:rPr>
        <w:t>10:30</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lang w:val="en-US" w:eastAsia="zh-CN"/>
        </w:rPr>
        <w:t>13:30</w:t>
      </w:r>
      <w:r>
        <w:rPr>
          <w:rFonts w:hint="eastAsia" w:ascii="仿宋" w:hAnsi="仿宋" w:eastAsia="仿宋" w:cs="仿宋"/>
          <w:color w:val="auto"/>
          <w:sz w:val="24"/>
          <w:szCs w:val="24"/>
        </w:rPr>
        <w:t>，下午</w:t>
      </w:r>
      <w:r>
        <w:rPr>
          <w:rFonts w:hint="eastAsia" w:ascii="仿宋" w:hAnsi="仿宋" w:eastAsia="仿宋" w:cs="仿宋"/>
          <w:color w:val="auto"/>
          <w:sz w:val="24"/>
          <w:szCs w:val="24"/>
          <w:u w:val="single"/>
          <w:lang w:val="en-US" w:eastAsia="zh-CN"/>
        </w:rPr>
        <w:t>15:30</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lang w:val="en-US" w:eastAsia="zh-CN"/>
        </w:rPr>
        <w:t>18:30</w:t>
      </w:r>
      <w:r>
        <w:rPr>
          <w:rFonts w:hint="eastAsia" w:ascii="仿宋" w:hAnsi="仿宋" w:eastAsia="仿宋" w:cs="仿宋"/>
          <w:color w:val="auto"/>
          <w:sz w:val="24"/>
          <w:szCs w:val="24"/>
        </w:rPr>
        <w:t>（北京时间，法定节假日除外 ）</w:t>
      </w:r>
    </w:p>
    <w:p>
      <w:pPr>
        <w:spacing w:line="360" w:lineRule="auto"/>
        <w:ind w:firstLine="540"/>
        <w:rPr>
          <w:rFonts w:hint="eastAsia" w:ascii="仿宋" w:hAnsi="仿宋" w:eastAsia="仿宋" w:cs="仿宋"/>
          <w:color w:val="auto"/>
          <w:sz w:val="24"/>
          <w:szCs w:val="24"/>
          <w:u w:val="single"/>
        </w:rPr>
      </w:pPr>
      <w:r>
        <w:rPr>
          <w:rFonts w:hint="eastAsia" w:ascii="仿宋" w:hAnsi="仿宋" w:eastAsia="仿宋" w:cs="仿宋"/>
          <w:color w:val="auto"/>
          <w:sz w:val="24"/>
          <w:szCs w:val="24"/>
        </w:rPr>
        <w:t>地点：新疆乌鲁木齐高新技术产业开发区（新市区）北京路街道高新街217号盈科广场14层B座1409</w:t>
      </w:r>
    </w:p>
    <w:p>
      <w:pPr>
        <w:spacing w:line="360" w:lineRule="auto"/>
        <w:ind w:firstLine="54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方式：</w:t>
      </w:r>
      <w:r>
        <w:rPr>
          <w:rFonts w:hint="eastAsia" w:ascii="仿宋" w:hAnsi="仿宋" w:eastAsia="仿宋" w:cs="仿宋"/>
          <w:color w:val="auto"/>
          <w:sz w:val="24"/>
          <w:szCs w:val="24"/>
          <w:lang w:eastAsia="zh-CN"/>
        </w:rPr>
        <w:t>现场购买</w:t>
      </w:r>
    </w:p>
    <w:p>
      <w:pPr>
        <w:spacing w:line="360" w:lineRule="auto"/>
        <w:ind w:firstLine="54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售价：</w:t>
      </w:r>
      <w:r>
        <w:rPr>
          <w:rFonts w:hint="eastAsia" w:ascii="仿宋" w:hAnsi="仿宋" w:eastAsia="仿宋" w:cs="仿宋"/>
          <w:color w:val="auto"/>
          <w:sz w:val="24"/>
          <w:szCs w:val="24"/>
          <w:lang w:val="en-US" w:eastAsia="zh-CN"/>
        </w:rPr>
        <w:t>300</w:t>
      </w:r>
    </w:p>
    <w:p>
      <w:pPr>
        <w:pStyle w:val="4"/>
        <w:spacing w:line="360" w:lineRule="auto"/>
        <w:jc w:val="left"/>
        <w:rPr>
          <w:rFonts w:hint="eastAsia" w:ascii="仿宋" w:hAnsi="仿宋" w:eastAsia="仿宋" w:cs="仿宋"/>
          <w:b/>
          <w:bCs w:val="0"/>
          <w:color w:val="auto"/>
          <w:sz w:val="24"/>
          <w:szCs w:val="24"/>
        </w:rPr>
      </w:pPr>
      <w:bookmarkStart w:id="18" w:name="_Toc35393632"/>
      <w:bookmarkStart w:id="19" w:name="_Toc19904"/>
      <w:bookmarkStart w:id="20" w:name="_Toc35393801"/>
      <w:bookmarkStart w:id="21" w:name="_Toc28359015"/>
      <w:bookmarkStart w:id="22" w:name="_Toc28359092"/>
      <w:r>
        <w:rPr>
          <w:rFonts w:hint="eastAsia" w:ascii="仿宋" w:hAnsi="仿宋" w:eastAsia="仿宋" w:cs="仿宋"/>
          <w:b/>
          <w:bCs w:val="0"/>
          <w:color w:val="auto"/>
          <w:sz w:val="24"/>
          <w:szCs w:val="24"/>
        </w:rPr>
        <w:t>四、响应文件提交</w:t>
      </w:r>
      <w:bookmarkEnd w:id="18"/>
      <w:bookmarkEnd w:id="19"/>
      <w:bookmarkEnd w:id="20"/>
      <w:bookmarkEnd w:id="21"/>
      <w:bookmarkEnd w:id="22"/>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07</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rPr>
        <w:t>（北京时间）</w:t>
      </w:r>
    </w:p>
    <w:p>
      <w:pPr>
        <w:spacing w:line="360" w:lineRule="auto"/>
        <w:ind w:firstLine="540"/>
        <w:rPr>
          <w:rFonts w:hint="eastAsia" w:ascii="仿宋" w:hAnsi="仿宋" w:eastAsia="仿宋" w:cs="仿宋"/>
          <w:bCs/>
          <w:color w:val="auto"/>
          <w:sz w:val="24"/>
          <w:szCs w:val="24"/>
          <w:u w:val="single"/>
        </w:rPr>
      </w:pPr>
      <w:r>
        <w:rPr>
          <w:rFonts w:hint="eastAsia" w:ascii="仿宋" w:hAnsi="仿宋" w:eastAsia="仿宋" w:cs="仿宋"/>
          <w:color w:val="auto"/>
          <w:sz w:val="24"/>
          <w:szCs w:val="24"/>
        </w:rPr>
        <w:t>地点：新疆乌鲁木齐高新技术产业开发区（新市区）北京路街道高新街217号盈科广场14层B座1409</w:t>
      </w:r>
    </w:p>
    <w:p>
      <w:pPr>
        <w:pStyle w:val="4"/>
        <w:spacing w:line="360" w:lineRule="auto"/>
        <w:jc w:val="left"/>
        <w:rPr>
          <w:rFonts w:hint="eastAsia" w:ascii="仿宋" w:hAnsi="仿宋" w:eastAsia="仿宋" w:cs="仿宋"/>
          <w:b/>
          <w:bCs w:val="0"/>
          <w:color w:val="auto"/>
          <w:sz w:val="24"/>
          <w:szCs w:val="24"/>
        </w:rPr>
      </w:pPr>
      <w:bookmarkStart w:id="23" w:name="_Toc28359016"/>
      <w:bookmarkStart w:id="24" w:name="_Toc35393633"/>
      <w:bookmarkStart w:id="25" w:name="_Toc5986"/>
      <w:bookmarkStart w:id="26" w:name="_Toc35393802"/>
      <w:bookmarkStart w:id="27" w:name="_Toc28359093"/>
      <w:r>
        <w:rPr>
          <w:rFonts w:hint="eastAsia" w:ascii="仿宋" w:hAnsi="仿宋" w:eastAsia="仿宋" w:cs="仿宋"/>
          <w:b/>
          <w:bCs w:val="0"/>
          <w:color w:val="auto"/>
          <w:sz w:val="24"/>
          <w:szCs w:val="24"/>
        </w:rPr>
        <w:t>五、开启</w:t>
      </w:r>
      <w:bookmarkEnd w:id="23"/>
      <w:bookmarkEnd w:id="24"/>
      <w:bookmarkEnd w:id="25"/>
      <w:bookmarkEnd w:id="26"/>
      <w:bookmarkEnd w:id="27"/>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07</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rPr>
        <w:t>（北京时间）</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color w:val="auto"/>
          <w:sz w:val="24"/>
          <w:szCs w:val="24"/>
        </w:rPr>
        <w:t>地点：</w:t>
      </w:r>
      <w:r>
        <w:rPr>
          <w:rFonts w:hint="eastAsia" w:ascii="仿宋" w:hAnsi="仿宋" w:eastAsia="仿宋" w:cs="仿宋"/>
          <w:color w:val="auto"/>
          <w:sz w:val="24"/>
          <w:szCs w:val="24"/>
          <w:u w:val="single"/>
        </w:rPr>
        <w:t>新疆乌鲁木齐高新技术产业开发区（新市区）北京路街道高新街217号盈科广场14层B座1409</w:t>
      </w:r>
    </w:p>
    <w:p>
      <w:pPr>
        <w:pStyle w:val="4"/>
        <w:spacing w:line="360" w:lineRule="auto"/>
        <w:jc w:val="left"/>
        <w:rPr>
          <w:rFonts w:hint="eastAsia" w:ascii="仿宋" w:hAnsi="仿宋" w:eastAsia="仿宋" w:cs="仿宋"/>
          <w:b/>
          <w:bCs w:val="0"/>
          <w:color w:val="auto"/>
          <w:sz w:val="24"/>
          <w:szCs w:val="24"/>
        </w:rPr>
      </w:pPr>
      <w:bookmarkStart w:id="28" w:name="_Toc13516"/>
      <w:bookmarkStart w:id="29" w:name="_Toc28359094"/>
      <w:bookmarkStart w:id="30" w:name="_Toc35393803"/>
      <w:bookmarkStart w:id="31" w:name="_Toc28359017"/>
      <w:bookmarkStart w:id="32" w:name="_Toc35393634"/>
      <w:r>
        <w:rPr>
          <w:rFonts w:hint="eastAsia" w:ascii="仿宋" w:hAnsi="仿宋" w:eastAsia="仿宋" w:cs="仿宋"/>
          <w:b/>
          <w:bCs w:val="0"/>
          <w:color w:val="auto"/>
          <w:sz w:val="24"/>
          <w:szCs w:val="24"/>
        </w:rPr>
        <w:t>六、公告期限</w:t>
      </w:r>
      <w:bookmarkEnd w:id="28"/>
      <w:bookmarkEnd w:id="29"/>
      <w:bookmarkEnd w:id="30"/>
      <w:bookmarkEnd w:id="31"/>
      <w:bookmarkEnd w:id="32"/>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个工作日。</w:t>
      </w:r>
    </w:p>
    <w:p>
      <w:pPr>
        <w:pStyle w:val="4"/>
        <w:numPr>
          <w:ilvl w:val="0"/>
          <w:numId w:val="2"/>
        </w:numPr>
        <w:spacing w:line="360" w:lineRule="auto"/>
        <w:jc w:val="left"/>
        <w:rPr>
          <w:rFonts w:hint="eastAsia" w:ascii="仿宋" w:hAnsi="仿宋" w:eastAsia="仿宋" w:cs="仿宋"/>
          <w:b/>
          <w:bCs w:val="0"/>
          <w:color w:val="auto"/>
          <w:sz w:val="24"/>
          <w:szCs w:val="24"/>
        </w:rPr>
      </w:pPr>
      <w:bookmarkStart w:id="33" w:name="_Toc35393804"/>
      <w:bookmarkStart w:id="34" w:name="_Toc8334"/>
      <w:bookmarkStart w:id="35" w:name="_Toc35393635"/>
      <w:r>
        <w:rPr>
          <w:rFonts w:hint="eastAsia" w:ascii="仿宋" w:hAnsi="仿宋" w:eastAsia="仿宋" w:cs="仿宋"/>
          <w:b/>
          <w:bCs w:val="0"/>
          <w:color w:val="auto"/>
          <w:sz w:val="24"/>
          <w:szCs w:val="24"/>
        </w:rPr>
        <w:t>其他补充事宜</w:t>
      </w:r>
      <w:bookmarkEnd w:id="33"/>
      <w:bookmarkEnd w:id="34"/>
      <w:bookmarkEnd w:id="35"/>
    </w:p>
    <w:p>
      <w:pPr>
        <w:spacing w:line="360" w:lineRule="auto"/>
        <w:ind w:firstLine="480" w:firstLineChars="2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购买磋商文件时，经办人员当场提交以下资料复印件并加盖公章：</w:t>
      </w:r>
    </w:p>
    <w:p>
      <w:pPr>
        <w:spacing w:line="360" w:lineRule="auto"/>
        <w:ind w:firstLine="480" w:firstLineChars="2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①有效的法人或者其他组织的营业执照等证明文件（营业执照须包含本次项目的经营范围）；</w:t>
      </w:r>
    </w:p>
    <w:p>
      <w:pPr>
        <w:spacing w:line="360" w:lineRule="auto"/>
        <w:ind w:firstLine="480" w:firstLineChars="2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②法人代表授权书原件及被授权人身份证（投标代表为法定代表人时，只提供法定代表人身份证原件）；</w:t>
      </w:r>
    </w:p>
    <w:p>
      <w:pPr>
        <w:spacing w:line="360" w:lineRule="auto"/>
        <w:ind w:firstLine="482" w:firstLineChars="200"/>
        <w:rPr>
          <w:rFonts w:hint="eastAsia"/>
          <w:b/>
          <w:bCs w:val="0"/>
          <w:color w:val="auto"/>
        </w:rPr>
      </w:pPr>
      <w:r>
        <w:rPr>
          <w:rFonts w:hint="eastAsia" w:ascii="仿宋" w:hAnsi="仿宋" w:eastAsia="仿宋" w:cs="仿宋"/>
          <w:b/>
          <w:bCs w:val="0"/>
          <w:color w:val="auto"/>
          <w:sz w:val="24"/>
          <w:szCs w:val="24"/>
          <w:u w:val="none"/>
          <w:lang w:val="en-US" w:eastAsia="zh-CN"/>
        </w:rPr>
        <w:t>未向招标代理机构购买磋商文件并登记备案的潜在供应商均无资格参加投标。文件售后不退。</w:t>
      </w:r>
    </w:p>
    <w:p>
      <w:pPr>
        <w:pStyle w:val="4"/>
        <w:spacing w:line="360" w:lineRule="auto"/>
        <w:jc w:val="left"/>
        <w:rPr>
          <w:rFonts w:hint="eastAsia" w:ascii="仿宋" w:hAnsi="仿宋" w:eastAsia="仿宋" w:cs="仿宋"/>
          <w:b/>
          <w:bCs w:val="0"/>
          <w:color w:val="auto"/>
          <w:sz w:val="24"/>
          <w:szCs w:val="24"/>
        </w:rPr>
      </w:pPr>
      <w:bookmarkStart w:id="36" w:name="_Toc35393805"/>
      <w:bookmarkStart w:id="37" w:name="_Toc28359018"/>
      <w:bookmarkStart w:id="38" w:name="_Toc35393636"/>
      <w:bookmarkStart w:id="39" w:name="_Toc28359095"/>
      <w:bookmarkStart w:id="40" w:name="_Toc14456"/>
      <w:r>
        <w:rPr>
          <w:rFonts w:hint="eastAsia" w:ascii="仿宋" w:hAnsi="仿宋" w:eastAsia="仿宋" w:cs="仿宋"/>
          <w:b/>
          <w:bCs w:val="0"/>
          <w:color w:val="auto"/>
          <w:sz w:val="24"/>
          <w:szCs w:val="24"/>
        </w:rPr>
        <w:t>八、凡对本次采购提出询问，请按以下方式联系。</w:t>
      </w:r>
      <w:bookmarkEnd w:id="36"/>
      <w:bookmarkEnd w:id="37"/>
      <w:bookmarkEnd w:id="38"/>
      <w:bookmarkEnd w:id="39"/>
      <w:bookmarkEnd w:id="40"/>
    </w:p>
    <w:p>
      <w:pPr>
        <w:pStyle w:val="4"/>
        <w:spacing w:line="360" w:lineRule="auto"/>
        <w:ind w:firstLine="720" w:firstLineChars="300"/>
        <w:jc w:val="left"/>
        <w:rPr>
          <w:rFonts w:hint="eastAsia" w:ascii="仿宋" w:hAnsi="仿宋" w:eastAsia="仿宋" w:cs="仿宋"/>
          <w:b w:val="0"/>
          <w:color w:val="auto"/>
          <w:sz w:val="24"/>
          <w:szCs w:val="24"/>
        </w:rPr>
      </w:pPr>
      <w:bookmarkStart w:id="41" w:name="_Toc35393806"/>
      <w:bookmarkStart w:id="42" w:name="_Toc28359019"/>
      <w:bookmarkStart w:id="43" w:name="_Toc35393637"/>
      <w:bookmarkStart w:id="44" w:name="_Toc10650"/>
      <w:bookmarkStart w:id="45" w:name="_Toc28359096"/>
      <w:r>
        <w:rPr>
          <w:rFonts w:hint="eastAsia" w:ascii="仿宋" w:hAnsi="仿宋" w:eastAsia="仿宋" w:cs="仿宋"/>
          <w:b w:val="0"/>
          <w:color w:val="auto"/>
          <w:sz w:val="24"/>
          <w:szCs w:val="24"/>
        </w:rPr>
        <w:t>1.采购人信息</w:t>
      </w:r>
      <w:bookmarkEnd w:id="41"/>
      <w:bookmarkEnd w:id="42"/>
      <w:bookmarkEnd w:id="43"/>
      <w:bookmarkEnd w:id="44"/>
      <w:bookmarkEnd w:id="45"/>
    </w:p>
    <w:p>
      <w:pPr>
        <w:spacing w:line="360" w:lineRule="auto"/>
        <w:ind w:left="1079" w:leftChars="371" w:hanging="300" w:hangingChars="125"/>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和布克赛尔蒙古自治县</w:t>
      </w:r>
      <w:r>
        <w:rPr>
          <w:rFonts w:hint="eastAsia" w:ascii="仿宋" w:hAnsi="仿宋" w:eastAsia="仿宋" w:cs="仿宋"/>
          <w:color w:val="auto"/>
          <w:sz w:val="24"/>
          <w:szCs w:val="24"/>
          <w:u w:val="single"/>
          <w:lang w:eastAsia="zh-CN"/>
        </w:rPr>
        <w:t>发展和改革委员会</w:t>
      </w:r>
    </w:p>
    <w:p>
      <w:pPr>
        <w:spacing w:line="360" w:lineRule="auto"/>
        <w:ind w:left="1079" w:leftChars="371" w:hanging="300" w:hangingChars="125"/>
        <w:jc w:val="lef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0000FF"/>
          <w:sz w:val="24"/>
          <w:szCs w:val="24"/>
          <w:u w:val="single"/>
        </w:rPr>
        <w:t>和布克赛尔县</w:t>
      </w:r>
    </w:p>
    <w:p>
      <w:pPr>
        <w:spacing w:line="360" w:lineRule="auto"/>
        <w:ind w:left="1079" w:leftChars="371" w:hanging="300" w:hangingChars="125"/>
        <w:jc w:val="left"/>
        <w:rPr>
          <w:rFonts w:hint="default" w:ascii="仿宋" w:hAnsi="仿宋" w:eastAsia="仿宋" w:cs="仿宋"/>
          <w:color w:val="auto"/>
          <w:sz w:val="24"/>
          <w:szCs w:val="24"/>
          <w:u w:val="single"/>
          <w:lang w:val="en-US"/>
        </w:rPr>
      </w:pPr>
      <w:r>
        <w:rPr>
          <w:rFonts w:hint="eastAsia" w:ascii="仿宋" w:hAnsi="仿宋" w:eastAsia="仿宋" w:cs="仿宋"/>
          <w:color w:val="auto"/>
          <w:sz w:val="24"/>
          <w:szCs w:val="24"/>
        </w:rPr>
        <w:t>联系方式：</w:t>
      </w:r>
      <w:bookmarkStart w:id="46" w:name="_Toc28359097"/>
      <w:bookmarkStart w:id="47" w:name="_Toc28359020"/>
      <w:bookmarkStart w:id="48" w:name="_Toc35393638"/>
      <w:bookmarkStart w:id="49" w:name="_Toc35393807"/>
      <w:r>
        <w:rPr>
          <w:rFonts w:hint="eastAsia" w:ascii="仿宋" w:hAnsi="仿宋" w:eastAsia="仿宋" w:cs="仿宋"/>
          <w:color w:val="0000FF"/>
          <w:sz w:val="24"/>
          <w:szCs w:val="24"/>
          <w:u w:val="single"/>
          <w:lang w:val="en-US" w:eastAsia="zh-CN"/>
        </w:rPr>
        <w:t>0990-6722105</w:t>
      </w:r>
    </w:p>
    <w:p>
      <w:pPr>
        <w:spacing w:line="360" w:lineRule="auto"/>
        <w:ind w:firstLine="720" w:firstLineChars="3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2.采购代理机构信息</w:t>
      </w:r>
      <w:bookmarkEnd w:id="46"/>
      <w:bookmarkEnd w:id="47"/>
      <w:bookmarkEnd w:id="48"/>
      <w:bookmarkEnd w:id="49"/>
      <w:bookmarkStart w:id="50" w:name="_Toc28359021"/>
      <w:bookmarkStart w:id="51" w:name="_Toc35393808"/>
      <w:bookmarkStart w:id="52" w:name="_Toc28359098"/>
      <w:bookmarkStart w:id="53" w:name="_Toc35393639"/>
    </w:p>
    <w:p>
      <w:pPr>
        <w:spacing w:line="360" w:lineRule="auto"/>
        <w:ind w:firstLine="720" w:firstLineChars="3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名  称：</w:t>
      </w:r>
      <w:r>
        <w:rPr>
          <w:rFonts w:hint="eastAsia" w:ascii="仿宋" w:hAnsi="仿宋" w:eastAsia="仿宋" w:cs="仿宋"/>
          <w:bCs/>
          <w:color w:val="auto"/>
          <w:sz w:val="24"/>
          <w:szCs w:val="24"/>
          <w:u w:val="single"/>
          <w:lang w:val="en-US" w:eastAsia="zh-CN"/>
        </w:rPr>
        <w:t>新疆卫中森工程管理服务有限公司</w:t>
      </w:r>
    </w:p>
    <w:p>
      <w:pPr>
        <w:spacing w:line="360" w:lineRule="auto"/>
        <w:ind w:firstLine="720" w:firstLineChars="300"/>
        <w:rPr>
          <w:rFonts w:hint="eastAsia" w:ascii="仿宋" w:hAnsi="仿宋" w:eastAsia="仿宋" w:cs="仿宋"/>
          <w:bCs/>
          <w:color w:val="auto"/>
          <w:sz w:val="24"/>
          <w:szCs w:val="24"/>
          <w:u w:val="single"/>
          <w:lang w:val="en-US" w:eastAsia="zh-CN"/>
        </w:rPr>
      </w:pPr>
      <w:r>
        <w:rPr>
          <w:rFonts w:hint="eastAsia" w:ascii="仿宋" w:hAnsi="仿宋" w:eastAsia="仿宋" w:cs="仿宋"/>
          <w:bCs/>
          <w:color w:val="auto"/>
          <w:sz w:val="24"/>
          <w:szCs w:val="24"/>
          <w:u w:val="none"/>
          <w:lang w:val="en-US" w:eastAsia="zh-CN"/>
        </w:rPr>
        <w:t>地　址：</w:t>
      </w:r>
      <w:r>
        <w:rPr>
          <w:rFonts w:hint="eastAsia" w:ascii="仿宋" w:hAnsi="仿宋" w:eastAsia="仿宋" w:cs="仿宋"/>
          <w:bCs/>
          <w:color w:val="auto"/>
          <w:sz w:val="24"/>
          <w:szCs w:val="24"/>
          <w:u w:val="single"/>
          <w:lang w:val="en-US" w:eastAsia="zh-CN"/>
        </w:rPr>
        <w:t>新疆乌鲁木齐高新技术产业开发区（新市区）北京路街道高新街217号盈科广场B座1409</w:t>
      </w:r>
    </w:p>
    <w:p>
      <w:pPr>
        <w:spacing w:line="360" w:lineRule="auto"/>
        <w:ind w:firstLine="720" w:firstLineChars="300"/>
        <w:rPr>
          <w:rFonts w:hint="eastAsia" w:ascii="仿宋" w:hAnsi="仿宋" w:eastAsia="仿宋" w:cs="仿宋"/>
          <w:bCs/>
          <w:color w:val="auto"/>
          <w:sz w:val="24"/>
          <w:szCs w:val="24"/>
          <w:u w:val="none"/>
          <w:lang w:val="en-US" w:eastAsia="zh-CN"/>
        </w:rPr>
      </w:pPr>
      <w:r>
        <w:rPr>
          <w:rFonts w:hint="eastAsia" w:ascii="仿宋" w:hAnsi="仿宋" w:eastAsia="仿宋" w:cs="仿宋"/>
          <w:bCs/>
          <w:color w:val="auto"/>
          <w:sz w:val="24"/>
          <w:szCs w:val="24"/>
          <w:u w:val="none"/>
          <w:lang w:val="en-US" w:eastAsia="zh-CN"/>
        </w:rPr>
        <w:t>联系方式：</w:t>
      </w:r>
      <w:r>
        <w:rPr>
          <w:rFonts w:hint="eastAsia" w:ascii="仿宋" w:hAnsi="仿宋" w:eastAsia="仿宋" w:cs="仿宋"/>
          <w:bCs/>
          <w:color w:val="auto"/>
          <w:sz w:val="24"/>
          <w:szCs w:val="24"/>
          <w:u w:val="single"/>
          <w:lang w:val="en-US" w:eastAsia="zh-CN"/>
        </w:rPr>
        <w:t>0991-6691331/17690715919</w:t>
      </w:r>
    </w:p>
    <w:p>
      <w:pPr>
        <w:pStyle w:val="4"/>
        <w:spacing w:line="360" w:lineRule="auto"/>
        <w:ind w:firstLine="720" w:firstLineChars="300"/>
        <w:jc w:val="left"/>
        <w:rPr>
          <w:rFonts w:hint="eastAsia" w:ascii="仿宋" w:hAnsi="仿宋" w:eastAsia="仿宋" w:cs="仿宋"/>
          <w:b w:val="0"/>
          <w:color w:val="auto"/>
          <w:sz w:val="24"/>
          <w:szCs w:val="24"/>
        </w:rPr>
      </w:pPr>
      <w:bookmarkStart w:id="54" w:name="_Toc3138"/>
      <w:r>
        <w:rPr>
          <w:rFonts w:hint="eastAsia" w:ascii="仿宋" w:hAnsi="仿宋" w:eastAsia="仿宋" w:cs="仿宋"/>
          <w:b w:val="0"/>
          <w:color w:val="auto"/>
          <w:sz w:val="24"/>
          <w:szCs w:val="24"/>
        </w:rPr>
        <w:t>3.项目联系方式</w:t>
      </w:r>
      <w:bookmarkEnd w:id="50"/>
      <w:bookmarkEnd w:id="51"/>
      <w:bookmarkEnd w:id="52"/>
      <w:bookmarkEnd w:id="53"/>
      <w:bookmarkEnd w:id="54"/>
    </w:p>
    <w:p>
      <w:pPr>
        <w:pStyle w:val="15"/>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u w:val="single"/>
          <w:lang w:eastAsia="zh-CN"/>
        </w:rPr>
        <w:t>杨培文</w:t>
      </w:r>
    </w:p>
    <w:p>
      <w:pPr>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lang w:val="en-US" w:eastAsia="zh-CN"/>
        </w:rPr>
        <w:t>0991-6691331/17690715919</w:t>
      </w:r>
    </w:p>
    <w:p>
      <w:pPr>
        <w:spacing w:line="360" w:lineRule="auto"/>
        <w:ind w:firstLine="630" w:firstLineChars="300"/>
        <w:rPr>
          <w:color w:val="auto"/>
        </w:rPr>
      </w:pPr>
    </w:p>
    <w:p>
      <w:pPr>
        <w:pStyle w:val="3"/>
        <w:bidi w:val="0"/>
        <w:rPr>
          <w:rFonts w:hint="eastAsia"/>
          <w:color w:val="auto"/>
        </w:rPr>
      </w:pPr>
      <w:bookmarkStart w:id="55" w:name="_Toc1660"/>
      <w:r>
        <w:rPr>
          <w:rFonts w:hint="eastAsia"/>
          <w:color w:val="auto"/>
        </w:rPr>
        <w:t>第</w:t>
      </w:r>
      <w:r>
        <w:rPr>
          <w:rFonts w:hint="eastAsia"/>
          <w:color w:val="auto"/>
          <w:lang w:eastAsia="zh-CN"/>
        </w:rPr>
        <w:t>二</w:t>
      </w:r>
      <w:r>
        <w:rPr>
          <w:rFonts w:hint="eastAsia"/>
          <w:color w:val="auto"/>
        </w:rPr>
        <w:t>章  磋商须知</w:t>
      </w:r>
      <w:bookmarkEnd w:id="55"/>
    </w:p>
    <w:p>
      <w:pPr>
        <w:pStyle w:val="4"/>
        <w:bidi w:val="0"/>
        <w:rPr>
          <w:rFonts w:hint="eastAsia"/>
          <w:color w:val="auto"/>
        </w:rPr>
      </w:pPr>
      <w:bookmarkStart w:id="56" w:name="_Toc28295"/>
      <w:r>
        <w:rPr>
          <w:rFonts w:hint="eastAsia"/>
          <w:color w:val="auto"/>
        </w:rPr>
        <w:t>一、前附表</w:t>
      </w:r>
      <w:bookmarkEnd w:id="56"/>
    </w:p>
    <w:tbl>
      <w:tblPr>
        <w:tblStyle w:val="26"/>
        <w:tblW w:w="10178" w:type="dxa"/>
        <w:jc w:val="center"/>
        <w:tblLayout w:type="fixed"/>
        <w:tblCellMar>
          <w:top w:w="0" w:type="dxa"/>
          <w:left w:w="108" w:type="dxa"/>
          <w:bottom w:w="0" w:type="dxa"/>
          <w:right w:w="108" w:type="dxa"/>
        </w:tblCellMar>
      </w:tblPr>
      <w:tblGrid>
        <w:gridCol w:w="874"/>
        <w:gridCol w:w="2109"/>
        <w:gridCol w:w="5"/>
        <w:gridCol w:w="3699"/>
        <w:gridCol w:w="9"/>
        <w:gridCol w:w="1530"/>
        <w:gridCol w:w="6"/>
        <w:gridCol w:w="1946"/>
      </w:tblGrid>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  款  名  称</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  列  内  容</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lang w:eastAsia="zh-CN"/>
              </w:rPr>
              <w:t>和布克赛尔蒙古自治县发展和改革委员会</w:t>
            </w:r>
            <w:r>
              <w:rPr>
                <w:rFonts w:hint="eastAsia" w:ascii="仿宋" w:hAnsi="仿宋" w:eastAsia="仿宋" w:cs="仿宋"/>
                <w:color w:val="auto"/>
                <w:sz w:val="24"/>
                <w:highlight w:val="none"/>
              </w:rPr>
              <w:t>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eastAsia="zh-CN"/>
              </w:rPr>
              <w:t>巴工</w:t>
            </w: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0000FF"/>
                <w:sz w:val="24"/>
                <w:highlight w:val="none"/>
                <w:lang w:val="en-US" w:eastAsia="zh-CN"/>
              </w:rPr>
              <w:t>0990-6722105</w:t>
            </w:r>
            <w:r>
              <w:rPr>
                <w:rFonts w:hint="eastAsia" w:ascii="仿宋" w:hAnsi="仿宋" w:eastAsia="仿宋" w:cs="仿宋"/>
                <w:color w:val="auto"/>
                <w:sz w:val="24"/>
                <w:highlight w:val="none"/>
                <w:lang w:eastAsia="zh-CN"/>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地    址：</w:t>
            </w:r>
            <w:r>
              <w:rPr>
                <w:rFonts w:hint="eastAsia" w:ascii="仿宋" w:hAnsi="仿宋" w:eastAsia="仿宋" w:cs="仿宋"/>
                <w:color w:val="0000FF"/>
                <w:sz w:val="24"/>
                <w:highlight w:val="none"/>
                <w:lang w:eastAsia="zh-CN"/>
              </w:rPr>
              <w:t>和布克赛尔蒙古自治县发展和改革委员会</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采购代理机构名称：</w:t>
            </w:r>
            <w:r>
              <w:rPr>
                <w:rFonts w:hint="eastAsia" w:ascii="仿宋" w:hAnsi="仿宋" w:eastAsia="仿宋" w:cs="仿宋"/>
                <w:color w:val="auto"/>
                <w:sz w:val="24"/>
                <w:highlight w:val="none"/>
                <w:lang w:eastAsia="zh-CN"/>
              </w:rPr>
              <w:t>新疆卫中森工程管理服务有限公司</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eastAsia="zh-CN"/>
              </w:rPr>
              <w:t>杨培文</w:t>
            </w:r>
          </w:p>
          <w:p>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电  话：</w:t>
            </w:r>
            <w:r>
              <w:rPr>
                <w:rFonts w:hint="eastAsia" w:ascii="仿宋" w:hAnsi="仿宋" w:eastAsia="仿宋" w:cs="仿宋"/>
                <w:color w:val="auto"/>
                <w:sz w:val="24"/>
                <w:highlight w:val="none"/>
                <w:lang w:val="en-US" w:eastAsia="zh-CN"/>
              </w:rPr>
              <w:t>0991-6691331/17690715919</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新疆乌鲁木齐高新技术产业开发区（新市区）北京路街道高新街217号盈科广场14层B座1409</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和布克赛尔县粮油购销公司粮库智能化改造项目</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项目地点</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auto"/>
                <w:lang w:eastAsia="zh-CN"/>
              </w:rPr>
            </w:pPr>
            <w:r>
              <w:rPr>
                <w:rFonts w:hint="eastAsia" w:ascii="仿宋" w:hAnsi="仿宋" w:eastAsia="仿宋" w:cs="仿宋"/>
                <w:color w:val="auto"/>
                <w:sz w:val="24"/>
                <w:highlight w:val="none"/>
                <w:lang w:eastAsia="zh-CN"/>
              </w:rPr>
              <w:t>和布克赛尔县</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资金来源</w:t>
            </w:r>
          </w:p>
        </w:tc>
        <w:tc>
          <w:tcPr>
            <w:tcW w:w="19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财政资金</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采购内容</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szCs w:val="24"/>
                <w:lang w:val="en-US" w:eastAsia="zh-CN"/>
              </w:rPr>
              <w:t>机房设备、粮情测控系统设备、安防监控系统设备、智能粮库管理系统等，具体详见磋商文件</w:t>
            </w:r>
          </w:p>
        </w:tc>
      </w:tr>
      <w:tr>
        <w:tblPrEx>
          <w:tblCellMar>
            <w:top w:w="0" w:type="dxa"/>
            <w:left w:w="108" w:type="dxa"/>
            <w:bottom w:w="0" w:type="dxa"/>
            <w:right w:w="108" w:type="dxa"/>
          </w:tblCellMar>
        </w:tblPrEx>
        <w:trPr>
          <w:trHeight w:val="5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 </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计划资金</w:t>
            </w:r>
          </w:p>
        </w:tc>
        <w:tc>
          <w:tcPr>
            <w:tcW w:w="370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w:t>
            </w:r>
            <w:r>
              <w:rPr>
                <w:rFonts w:hint="eastAsia" w:ascii="仿宋" w:hAnsi="仿宋" w:eastAsia="仿宋" w:cs="仿宋"/>
                <w:color w:val="auto"/>
                <w:sz w:val="24"/>
                <w:highlight w:val="none"/>
              </w:rPr>
              <w:t>万元</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 </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服务期限</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自合同签订后</w:t>
            </w:r>
            <w:r>
              <w:rPr>
                <w:rFonts w:hint="eastAsia" w:ascii="仿宋" w:hAnsi="仿宋" w:eastAsia="仿宋" w:cs="仿宋"/>
                <w:color w:val="auto"/>
                <w:sz w:val="24"/>
                <w:highlight w:val="none"/>
                <w:lang w:val="en-US" w:eastAsia="zh-CN"/>
              </w:rPr>
              <w:t>30日内完成设备安装调试并通过验收</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 </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质量标准：</w:t>
            </w:r>
            <w:r>
              <w:rPr>
                <w:rFonts w:hint="eastAsia" w:ascii="仿宋" w:hAnsi="仿宋" w:eastAsia="仿宋" w:cs="仿宋"/>
                <w:color w:val="auto"/>
                <w:sz w:val="24"/>
                <w:highlight w:val="none"/>
                <w:u w:val="none"/>
              </w:rPr>
              <w:t>合格</w:t>
            </w:r>
          </w:p>
        </w:tc>
      </w:tr>
      <w:tr>
        <w:tblPrEx>
          <w:tblCellMar>
            <w:top w:w="0" w:type="dxa"/>
            <w:left w:w="108" w:type="dxa"/>
            <w:bottom w:w="0" w:type="dxa"/>
            <w:right w:w="108" w:type="dxa"/>
          </w:tblCellMar>
        </w:tblPrEx>
        <w:trPr>
          <w:trHeight w:val="7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资质条件</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（1）有效的工商营业执照、税务登记证、组织机构代码证或“三证合一”的营业执照；</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（2）法人代表或其委托代理人应携带本人身份证原件及复印件，委托代理人还应携带《法人代表授权委托书》；</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（4）单位负责人为同一人或者存在直接控股、管理关系的不同供应商，不得参加同一合同项下的政府采购活动；</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（5）为采购项目提供整体设计、规范编制或者项目管理、监理、检测等服务的供应商，不得再参加该采购项目的其他采购活动；</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（6）本项目不接受联合体投标；</w:t>
            </w:r>
          </w:p>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（7）磋商保证金凭证</w:t>
            </w:r>
          </w:p>
          <w:p>
            <w:pPr>
              <w:pStyle w:val="23"/>
              <w:spacing w:before="75" w:beforeAutospacing="0" w:after="75" w:afterAutospacing="0" w:line="360" w:lineRule="auto"/>
              <w:rPr>
                <w:rFonts w:hint="eastAsia" w:ascii="仿宋" w:hAnsi="仿宋" w:eastAsia="仿宋" w:cs="仿宋"/>
                <w:b/>
                <w:bCs/>
                <w:color w:val="auto"/>
                <w:highlight w:val="none"/>
              </w:rPr>
            </w:pPr>
            <w:r>
              <w:rPr>
                <w:rFonts w:hint="eastAsia" w:ascii="仿宋" w:hAnsi="仿宋" w:eastAsia="仿宋" w:cs="Times New Roman"/>
                <w:color w:val="auto"/>
                <w:sz w:val="24"/>
                <w:szCs w:val="24"/>
                <w:lang w:val="en-US" w:eastAsia="zh-CN"/>
              </w:rPr>
              <w:t>（8）法律、行政法规规定的其他条件。</w:t>
            </w:r>
            <w:r>
              <w:rPr>
                <w:rFonts w:hint="eastAsia" w:ascii="仿宋" w:hAnsi="仿宋" w:eastAsia="仿宋" w:cs="仿宋"/>
                <w:color w:val="auto"/>
                <w:highlight w:val="none"/>
              </w:rPr>
              <w:t xml:space="preserve">    </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是否接受联合体</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pStyle w:val="10"/>
              <w:topLinePunct/>
              <w:spacing w:after="0" w:line="360" w:lineRule="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不接受联合体</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招标文件发售时间</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2022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val="en-US" w:eastAsia="zh-CN"/>
              </w:rPr>
              <w:t>2022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07</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日（北京时间）(双休日及法定节假日除外)</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开标时间及</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07</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lang w:eastAsia="zh-CN"/>
              </w:rPr>
              <w:t>分（北京时间）</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递交及开标地点</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新疆乌鲁木齐高新技术产业开发区（新市区）北京路街道高新街217号盈科广场14层B座1409</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有效期</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天</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不组织</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1.如有需要自行踏勘，</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踏勘现场发生的费用自理。</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自行负责在踏勘现场中所发生的人员伤亡和财产损失。</w:t>
            </w:r>
          </w:p>
          <w:p>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踏勘所了解到的工程场地和相关的周边环境情况，供其在编制响应文件时参考，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据此作出的判断和决策负责。</w:t>
            </w:r>
          </w:p>
        </w:tc>
      </w:tr>
      <w:tr>
        <w:tblPrEx>
          <w:tblCellMar>
            <w:top w:w="0" w:type="dxa"/>
            <w:left w:w="108" w:type="dxa"/>
            <w:bottom w:w="0" w:type="dxa"/>
            <w:right w:w="108" w:type="dxa"/>
          </w:tblCellMar>
        </w:tblPrEx>
        <w:trPr>
          <w:trHeight w:val="5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w:t>
            </w:r>
            <w:r>
              <w:rPr>
                <w:rFonts w:hint="eastAsia" w:ascii="仿宋" w:hAnsi="仿宋" w:eastAsia="仿宋" w:cs="仿宋"/>
                <w:color w:val="auto"/>
                <w:sz w:val="24"/>
                <w:highlight w:val="none"/>
                <w:lang w:val="en-US" w:eastAsia="zh-CN"/>
              </w:rPr>
              <w:t>10000.00元（大写：壹</w:t>
            </w:r>
            <w:r>
              <w:rPr>
                <w:rFonts w:hint="eastAsia" w:ascii="仿宋" w:hAnsi="仿宋" w:eastAsia="仿宋" w:cs="仿宋"/>
                <w:color w:val="auto"/>
                <w:sz w:val="24"/>
                <w:highlight w:val="none"/>
                <w:lang w:eastAsia="zh-CN"/>
              </w:rPr>
              <w:t>万元整</w:t>
            </w:r>
            <w:r>
              <w:rPr>
                <w:rFonts w:hint="eastAsia" w:ascii="仿宋" w:hAnsi="仿宋" w:eastAsia="仿宋" w:cs="仿宋"/>
                <w:color w:val="auto"/>
                <w:sz w:val="24"/>
                <w:highlight w:val="none"/>
                <w:lang w:val="en-US" w:eastAsia="zh-CN"/>
              </w:rPr>
              <w:t>）</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磋商保证金</w:t>
            </w:r>
            <w:r>
              <w:rPr>
                <w:rFonts w:hint="eastAsia" w:ascii="仿宋" w:hAnsi="仿宋" w:eastAsia="仿宋" w:cs="仿宋"/>
                <w:b w:val="0"/>
                <w:bCs w:val="0"/>
                <w:color w:val="auto"/>
                <w:sz w:val="24"/>
                <w:szCs w:val="24"/>
                <w:highlight w:val="none"/>
              </w:rPr>
              <w:t>银行及帐号：</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账户名：</w:t>
            </w:r>
            <w:r>
              <w:rPr>
                <w:rFonts w:hint="eastAsia" w:ascii="仿宋" w:hAnsi="仿宋" w:eastAsia="仿宋" w:cs="仿宋"/>
                <w:b w:val="0"/>
                <w:bCs w:val="0"/>
                <w:color w:val="auto"/>
                <w:sz w:val="24"/>
                <w:szCs w:val="24"/>
                <w:highlight w:val="none"/>
                <w:lang w:eastAsia="zh-CN"/>
              </w:rPr>
              <w:t>新疆卫中森工程管理服务有限公司</w:t>
            </w:r>
            <w:r>
              <w:rPr>
                <w:rFonts w:hint="eastAsia" w:ascii="仿宋" w:hAnsi="仿宋" w:eastAsia="仿宋" w:cs="仿宋"/>
                <w:b w:val="0"/>
                <w:bCs w:val="0"/>
                <w:color w:val="auto"/>
                <w:sz w:val="24"/>
                <w:szCs w:val="24"/>
                <w:highlight w:val="none"/>
              </w:rPr>
              <w:t xml:space="preserve"> </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开户行</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中信银行乌鲁木齐北京路支行</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帐 号：</w:t>
            </w:r>
            <w:r>
              <w:rPr>
                <w:rFonts w:hint="eastAsia" w:ascii="仿宋" w:hAnsi="仿宋" w:eastAsia="仿宋" w:cs="仿宋"/>
                <w:b w:val="0"/>
                <w:bCs w:val="0"/>
                <w:color w:val="auto"/>
                <w:sz w:val="24"/>
                <w:szCs w:val="24"/>
                <w:highlight w:val="none"/>
                <w:lang w:val="en-US" w:eastAsia="zh-CN"/>
              </w:rPr>
              <w:t>8113701013800154940</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szCs w:val="24"/>
                <w:lang w:eastAsia="zh-CN"/>
              </w:rPr>
              <w:t>注：须以转账或电汇等其他非现金形式递交保证金，磋商保证金</w:t>
            </w:r>
            <w:r>
              <w:rPr>
                <w:rFonts w:hint="eastAsia" w:ascii="仿宋" w:hAnsi="仿宋" w:eastAsia="仿宋" w:cs="仿宋"/>
                <w:b/>
                <w:bCs/>
                <w:color w:val="auto"/>
                <w:sz w:val="24"/>
                <w:szCs w:val="24"/>
              </w:rPr>
              <w:t>交款单据上须注明“</w:t>
            </w:r>
            <w:r>
              <w:rPr>
                <w:rFonts w:hint="eastAsia" w:ascii="仿宋" w:hAnsi="仿宋" w:eastAsia="仿宋" w:cs="仿宋"/>
                <w:b/>
                <w:bCs/>
                <w:color w:val="auto"/>
                <w:sz w:val="24"/>
                <w:szCs w:val="24"/>
                <w:lang w:eastAsia="zh-CN"/>
              </w:rPr>
              <w:t>XJWZS(ZC)2022-015</w:t>
            </w:r>
            <w:r>
              <w:rPr>
                <w:rFonts w:hint="eastAsia" w:ascii="仿宋" w:hAnsi="仿宋" w:eastAsia="仿宋" w:cs="仿宋"/>
                <w:b/>
                <w:bCs/>
                <w:color w:val="auto"/>
                <w:sz w:val="24"/>
                <w:szCs w:val="24"/>
              </w:rPr>
              <w:t>”字样。</w:t>
            </w:r>
            <w:r>
              <w:rPr>
                <w:rFonts w:hint="eastAsia" w:ascii="仿宋" w:hAnsi="仿宋" w:eastAsia="仿宋" w:cs="仿宋"/>
                <w:b/>
                <w:bCs/>
                <w:color w:val="auto"/>
                <w:sz w:val="24"/>
                <w:szCs w:val="24"/>
                <w:lang w:eastAsia="zh-CN"/>
              </w:rPr>
              <w:t>保证金于投标截止日之前确认到账，若供应商</w:t>
            </w:r>
            <w:r>
              <w:rPr>
                <w:rFonts w:hint="eastAsia" w:ascii="仿宋" w:hAnsi="仿宋" w:eastAsia="仿宋" w:cs="仿宋"/>
                <w:b/>
                <w:bCs/>
                <w:color w:val="auto"/>
                <w:sz w:val="24"/>
                <w:szCs w:val="24"/>
                <w:lang w:val="zh-CN" w:eastAsia="zh-CN"/>
              </w:rPr>
              <w:t>未按照上述规定缴纳保证金,响应文件将被拒绝评审。</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5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付款方式</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合同签订后支付合同价款的30%，设备安装调试完成验收后支付至货物部分的97%（留3%作为质保金）</w:t>
            </w:r>
            <w:r>
              <w:rPr>
                <w:rFonts w:hint="eastAsia" w:ascii="仿宋" w:hAnsi="仿宋" w:eastAsia="仿宋" w:cs="仿宋"/>
                <w:b w:val="0"/>
                <w:bCs w:val="0"/>
                <w:color w:val="auto"/>
                <w:sz w:val="24"/>
                <w:szCs w:val="24"/>
                <w:lang w:eastAsia="zh-CN"/>
              </w:rPr>
              <w:t>（具体以签订合同时为准）</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18</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近年完成的类似项目的年份要求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0000FF"/>
                <w:sz w:val="24"/>
                <w:highlight w:val="none"/>
              </w:rPr>
            </w:pPr>
            <w:r>
              <w:rPr>
                <w:rFonts w:hint="eastAsia" w:ascii="仿宋" w:hAnsi="仿宋" w:eastAsia="仿宋" w:cs="仿宋"/>
                <w:color w:val="0000FF"/>
                <w:sz w:val="24"/>
                <w:highlight w:val="none"/>
              </w:rPr>
              <w:t>近</w:t>
            </w:r>
            <w:r>
              <w:rPr>
                <w:rFonts w:hint="eastAsia" w:ascii="仿宋" w:hAnsi="仿宋" w:eastAsia="仿宋" w:cs="仿宋"/>
                <w:color w:val="0000FF"/>
                <w:sz w:val="24"/>
                <w:highlight w:val="none"/>
                <w:u w:val="single"/>
                <w:lang w:val="en-US" w:eastAsia="zh-CN"/>
              </w:rPr>
              <w:t xml:space="preserve"> 3</w:t>
            </w:r>
            <w:r>
              <w:rPr>
                <w:rFonts w:hint="eastAsia" w:ascii="仿宋" w:hAnsi="仿宋" w:eastAsia="仿宋" w:cs="仿宋"/>
                <w:color w:val="0000FF"/>
                <w:sz w:val="24"/>
                <w:highlight w:val="none"/>
                <w:u w:val="single"/>
              </w:rPr>
              <w:t xml:space="preserve"> </w:t>
            </w:r>
            <w:r>
              <w:rPr>
                <w:rFonts w:hint="eastAsia" w:ascii="仿宋" w:hAnsi="仿宋" w:eastAsia="仿宋" w:cs="仿宋"/>
                <w:color w:val="0000FF"/>
                <w:sz w:val="24"/>
                <w:highlight w:val="none"/>
              </w:rPr>
              <w:t xml:space="preserve">年 </w:t>
            </w:r>
          </w:p>
        </w:tc>
      </w:tr>
      <w:tr>
        <w:tblPrEx>
          <w:tblCellMar>
            <w:top w:w="0" w:type="dxa"/>
            <w:left w:w="108" w:type="dxa"/>
            <w:bottom w:w="0" w:type="dxa"/>
            <w:right w:w="108" w:type="dxa"/>
          </w:tblCellMar>
        </w:tblPrEx>
        <w:trPr>
          <w:trHeight w:val="512"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9</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签字和（或）盖章要求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法人公章   </w:t>
            </w:r>
          </w:p>
          <w:p>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2、企业法定代表人或其委托代理人</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组成</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正本壹份（单独密封），并标明“正本”字样。</w:t>
            </w:r>
            <w:r>
              <w:rPr>
                <w:rFonts w:hint="eastAsia" w:ascii="仿宋" w:hAnsi="仿宋" w:eastAsia="仿宋" w:cs="仿宋"/>
                <w:color w:val="auto"/>
                <w:sz w:val="24"/>
                <w:highlight w:val="none"/>
                <w:lang w:eastAsia="zh-CN"/>
              </w:rPr>
              <w:br w:type="textWrapping"/>
            </w:r>
            <w:r>
              <w:rPr>
                <w:rFonts w:hint="eastAsia" w:ascii="仿宋" w:hAnsi="仿宋" w:eastAsia="仿宋" w:cs="仿宋"/>
                <w:color w:val="auto"/>
                <w:sz w:val="24"/>
                <w:highlight w:val="none"/>
                <w:lang w:eastAsia="zh-CN"/>
              </w:rPr>
              <w:t>副本贰份（所有副本密封在一起），并标明 “副本”字样</w:t>
            </w:r>
            <w:r>
              <w:rPr>
                <w:rFonts w:hint="eastAsia" w:ascii="仿宋" w:hAnsi="仿宋" w:eastAsia="仿宋" w:cs="仿宋"/>
                <w:color w:val="auto"/>
                <w:sz w:val="24"/>
                <w:highlight w:val="none"/>
                <w:lang w:eastAsia="zh-CN"/>
              </w:rPr>
              <w:br w:type="textWrapping"/>
            </w:r>
            <w:r>
              <w:rPr>
                <w:rFonts w:hint="eastAsia" w:ascii="仿宋" w:hAnsi="仿宋" w:eastAsia="仿宋" w:cs="仿宋"/>
                <w:color w:val="auto"/>
                <w:sz w:val="24"/>
                <w:highlight w:val="none"/>
                <w:lang w:eastAsia="zh-CN"/>
              </w:rPr>
              <w:t>报价一览表一份（单独密封），并在信封上标明“报价一览表”字样。</w:t>
            </w:r>
          </w:p>
          <w:p>
            <w:pPr>
              <w:pStyle w:val="11"/>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提供响应文件电子版（必须是响应文件加盖公章的扫描件光盘或</w:t>
            </w:r>
            <w:r>
              <w:rPr>
                <w:rFonts w:hint="eastAsia" w:ascii="仿宋" w:hAnsi="仿宋" w:eastAsia="仿宋" w:cs="仿宋"/>
                <w:color w:val="auto"/>
                <w:sz w:val="24"/>
                <w:highlight w:val="none"/>
                <w:lang w:val="en-US" w:eastAsia="zh-CN"/>
              </w:rPr>
              <w:t>U盘</w:t>
            </w:r>
            <w:r>
              <w:rPr>
                <w:rFonts w:hint="eastAsia" w:ascii="仿宋" w:hAnsi="仿宋" w:eastAsia="仿宋" w:cs="仿宋"/>
                <w:color w:val="auto"/>
                <w:sz w:val="24"/>
                <w:highlight w:val="none"/>
                <w:lang w:eastAsia="zh-CN"/>
              </w:rPr>
              <w:t>）1份，并在信封上标明“电子版”字样。</w:t>
            </w:r>
          </w:p>
          <w:p>
            <w:pPr>
              <w:pStyle w:val="11"/>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正、副本不得采用活页装订，否则视为无效标处理，响应文件一律不退，未按照上述密封、封装的视为不响应文件要求，投标将被拒绝。</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109" w:type="dxa"/>
            <w:tcBorders>
              <w:top w:val="single" w:color="auto" w:sz="4" w:space="0"/>
              <w:left w:val="single" w:color="auto" w:sz="4" w:space="0"/>
              <w:bottom w:val="nil"/>
              <w:right w:val="single" w:color="auto" w:sz="4" w:space="0"/>
            </w:tcBorders>
            <w:vAlign w:val="center"/>
          </w:tcPr>
          <w:p>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对响应文件进行澄清或说明</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评标委员会可以要求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对响应文件中含义不明确的内容作必要的澄清或者说明，但是澄清或者说明不得超出响应文件的范围或者改变响应文件的实质性内容。</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评标时，若发现响应文件的内容有含义不明确、不一致或明显打字（书写）错误或纯属计算上的错误的情形，评标委员会则应通知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作出澄清或说明，以确认其正确的内容。对于明显打字（书写）错误或纯属计算上的错误，评标委员会应允许</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补正。澄清的要求和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的答复均应采取书面的形式。</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的答复必须经法定代表人或授权代理人签字，作为响应文件的组成部分。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在评标过程中，评标委员会发现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的报价明显低于其他</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，使得其</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可能低于其个别成本的，应当要求该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做出书面说明并提供相关证明材料。</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不能合理说明或者不能提供相关证明材料的，评标委员会认定该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以低于成本报价</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，其投标应作无效投标处理。</w:t>
            </w:r>
          </w:p>
        </w:tc>
      </w:tr>
      <w:tr>
        <w:tblPrEx>
          <w:tblCellMar>
            <w:top w:w="0" w:type="dxa"/>
            <w:left w:w="108" w:type="dxa"/>
            <w:bottom w:w="0" w:type="dxa"/>
            <w:right w:w="108" w:type="dxa"/>
          </w:tblCellMar>
        </w:tblPrEx>
        <w:trPr>
          <w:trHeight w:val="887" w:hRule="atLeast"/>
          <w:jc w:val="center"/>
        </w:trPr>
        <w:tc>
          <w:tcPr>
            <w:tcW w:w="874"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109"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人，其中采购人代表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rPr>
              <w:t>人（限采购人在职人员，且应当具备评标专家相应的或者类似的条件），专家</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  组 ：技术组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人，经济组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■不分组</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w:t>
            </w:r>
            <w:r>
              <w:rPr>
                <w:rFonts w:hint="eastAsia" w:ascii="仿宋" w:hAnsi="仿宋" w:eastAsia="仿宋" w:cs="仿宋"/>
                <w:color w:val="auto"/>
                <w:sz w:val="24"/>
                <w:highlight w:val="none"/>
                <w:u w:val="single"/>
              </w:rPr>
              <w:t>在</w:t>
            </w:r>
            <w:r>
              <w:rPr>
                <w:rFonts w:hint="eastAsia" w:ascii="仿宋" w:hAnsi="仿宋" w:eastAsia="仿宋" w:cs="仿宋"/>
                <w:color w:val="auto"/>
                <w:sz w:val="24"/>
                <w:highlight w:val="none"/>
                <w:u w:val="single"/>
                <w:lang w:eastAsia="zh-CN"/>
              </w:rPr>
              <w:t>新疆政府采购网政采云专家库</w:t>
            </w:r>
            <w:r>
              <w:rPr>
                <w:rFonts w:hint="eastAsia" w:ascii="仿宋" w:hAnsi="仿宋" w:eastAsia="仿宋" w:cs="仿宋"/>
                <w:color w:val="auto"/>
                <w:sz w:val="24"/>
                <w:highlight w:val="none"/>
                <w:u w:val="single"/>
              </w:rPr>
              <w:t>中随机抽取</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487" w:hRule="atLeast"/>
          <w:jc w:val="center"/>
        </w:trPr>
        <w:tc>
          <w:tcPr>
            <w:tcW w:w="874"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23</w:t>
            </w:r>
          </w:p>
        </w:tc>
        <w:tc>
          <w:tcPr>
            <w:tcW w:w="2109"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综合评分法：商务技术占</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%，报价占</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w:t>
            </w:r>
          </w:p>
        </w:tc>
      </w:tr>
      <w:tr>
        <w:tblPrEx>
          <w:tblCellMar>
            <w:top w:w="0" w:type="dxa"/>
            <w:left w:w="108" w:type="dxa"/>
            <w:bottom w:w="0" w:type="dxa"/>
            <w:right w:w="108" w:type="dxa"/>
          </w:tblCellMar>
        </w:tblPrEx>
        <w:trPr>
          <w:trHeight w:val="438"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成交公示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在成交通知书发出前，</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将成交候选人的情况在</w:t>
            </w:r>
            <w:r>
              <w:rPr>
                <w:rFonts w:hint="eastAsia" w:ascii="仿宋" w:hAnsi="仿宋" w:eastAsia="仿宋" w:cs="仿宋"/>
                <w:color w:val="auto"/>
                <w:sz w:val="24"/>
                <w:highlight w:val="none"/>
                <w:u w:val="single"/>
              </w:rPr>
              <w:t>新疆政府采购网</w:t>
            </w:r>
            <w:r>
              <w:rPr>
                <w:rFonts w:hint="eastAsia" w:ascii="仿宋" w:hAnsi="仿宋" w:eastAsia="仿宋" w:cs="仿宋"/>
                <w:color w:val="auto"/>
                <w:sz w:val="24"/>
                <w:highlight w:val="none"/>
              </w:rPr>
              <w:t>上予以公示，公示期不少于1个工作日。</w:t>
            </w:r>
          </w:p>
        </w:tc>
      </w:tr>
      <w:tr>
        <w:tblPrEx>
          <w:tblCellMar>
            <w:top w:w="0" w:type="dxa"/>
            <w:left w:w="108" w:type="dxa"/>
            <w:bottom w:w="0" w:type="dxa"/>
            <w:right w:w="108" w:type="dxa"/>
          </w:tblCellMar>
        </w:tblPrEx>
        <w:trPr>
          <w:trHeight w:val="438"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24</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不正当竞争</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预防措施</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在评标过程中，评标委员会认为</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的报价明显低于其他通过符合性审查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不能证明其报价合理性的，评标委员会应当将其作为无效投标处理。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书面说明应当按照国家财务会计制度的规定要求，逐项就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提供的货物、工程和服务的主营业务成本（应根据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企业类型予以区别）、税金及附加、销售费用、管理费用、财务费用等成本构成事项详细陈述。</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书面说明应当签字确认或者加盖公章，否则无效。书面说明的签字确认，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为法定代表人的，由其法定代表人或者代理人签字确认；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为其他组织的，由其主要负责人或者代理人签字确认。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提供书面说明后，评标委员会应当结合采购项目采购需求、专业实际情况、</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财务状况报告、与其他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比较情况等就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书面说明进行审查评价。</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拒绝或者变相拒绝提供有效书面说明或者书面说明不能证明其报价合理性的，评标委员会应当将其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作为无效处理。</w:t>
            </w:r>
          </w:p>
        </w:tc>
      </w:tr>
      <w:tr>
        <w:tblPrEx>
          <w:tblCellMar>
            <w:top w:w="0" w:type="dxa"/>
            <w:left w:w="108" w:type="dxa"/>
            <w:bottom w:w="0" w:type="dxa"/>
            <w:right w:w="108" w:type="dxa"/>
          </w:tblCellMar>
        </w:tblPrEx>
        <w:trPr>
          <w:trHeight w:val="59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25</w:t>
            </w:r>
          </w:p>
        </w:tc>
        <w:tc>
          <w:tcPr>
            <w:tcW w:w="93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应承担其参加本次招标活动自身所发生的费用。</w:t>
            </w:r>
          </w:p>
        </w:tc>
      </w:tr>
      <w:tr>
        <w:tblPrEx>
          <w:tblCellMar>
            <w:top w:w="0" w:type="dxa"/>
            <w:left w:w="108" w:type="dxa"/>
            <w:bottom w:w="0" w:type="dxa"/>
            <w:right w:w="108" w:type="dxa"/>
          </w:tblCellMar>
        </w:tblPrEx>
        <w:trPr>
          <w:trHeight w:val="488"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26</w:t>
            </w:r>
          </w:p>
        </w:tc>
        <w:tc>
          <w:tcPr>
            <w:tcW w:w="93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控制价为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万</w:t>
            </w:r>
            <w:r>
              <w:rPr>
                <w:rFonts w:hint="eastAsia" w:ascii="仿宋" w:hAnsi="仿宋" w:eastAsia="仿宋" w:cs="仿宋"/>
                <w:color w:val="auto"/>
                <w:sz w:val="24"/>
                <w:highlight w:val="none"/>
              </w:rPr>
              <w:t>元；</w:t>
            </w:r>
          </w:p>
        </w:tc>
      </w:tr>
      <w:tr>
        <w:tblPrEx>
          <w:tblCellMar>
            <w:top w:w="0" w:type="dxa"/>
            <w:left w:w="108" w:type="dxa"/>
            <w:bottom w:w="0" w:type="dxa"/>
            <w:right w:w="108" w:type="dxa"/>
          </w:tblCellMar>
        </w:tblPrEx>
        <w:trPr>
          <w:trHeight w:val="488" w:hRule="atLeast"/>
          <w:jc w:val="center"/>
        </w:trPr>
        <w:tc>
          <w:tcPr>
            <w:tcW w:w="874"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2114" w:type="dxa"/>
            <w:gridSpan w:val="2"/>
            <w:vMerge w:val="restart"/>
            <w:tcBorders>
              <w:top w:val="single" w:color="auto" w:sz="4" w:space="0"/>
              <w:left w:val="single" w:color="auto" w:sz="4" w:space="0"/>
              <w:right w:val="single" w:color="auto" w:sz="4" w:space="0"/>
            </w:tcBorders>
            <w:vAlign w:val="center"/>
          </w:tcPr>
          <w:p>
            <w:pPr>
              <w:pStyle w:val="11"/>
              <w:jc w:val="center"/>
              <w:rPr>
                <w:rFonts w:hint="eastAsia" w:eastAsia="黑体"/>
                <w:color w:val="auto"/>
                <w:lang w:eastAsia="zh-CN"/>
              </w:rPr>
            </w:pPr>
            <w:r>
              <w:rPr>
                <w:rFonts w:hint="eastAsia" w:ascii="仿宋" w:hAnsi="仿宋" w:eastAsia="仿宋" w:cs="仿宋"/>
                <w:color w:val="auto"/>
                <w:kern w:val="2"/>
                <w:sz w:val="24"/>
                <w:szCs w:val="24"/>
                <w:highlight w:val="none"/>
                <w:lang w:val="en-US" w:eastAsia="zh-CN" w:bidi="ar-SA"/>
              </w:rPr>
              <w:t>备注</w:t>
            </w:r>
          </w:p>
        </w:tc>
        <w:tc>
          <w:tcPr>
            <w:tcW w:w="7190" w:type="dxa"/>
            <w:gridSpan w:val="5"/>
            <w:tcBorders>
              <w:top w:val="single" w:color="auto" w:sz="4" w:space="0"/>
              <w:left w:val="single" w:color="auto" w:sz="4" w:space="0"/>
              <w:right w:val="single" w:color="auto" w:sz="4" w:space="0"/>
            </w:tcBorders>
            <w:vAlign w:val="center"/>
          </w:tcPr>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lang w:eastAsia="zh-CN"/>
              </w:rPr>
              <w:t>供应商</w:t>
            </w:r>
            <w:r>
              <w:rPr>
                <w:rFonts w:hint="eastAsia" w:ascii="仿宋" w:hAnsi="仿宋" w:eastAsia="仿宋" w:cs="仿宋"/>
                <w:b w:val="0"/>
                <w:bCs/>
                <w:color w:val="auto"/>
                <w:sz w:val="24"/>
                <w:szCs w:val="24"/>
              </w:rPr>
              <w:t>应认真阅读招标文件中的每一个条款及要求，因误读招标文件而造成的后果，</w:t>
            </w:r>
            <w:r>
              <w:rPr>
                <w:rFonts w:hint="eastAsia" w:ascii="仿宋" w:hAnsi="仿宋" w:eastAsia="仿宋" w:cs="仿宋"/>
                <w:b w:val="0"/>
                <w:bCs/>
                <w:color w:val="auto"/>
                <w:sz w:val="24"/>
                <w:szCs w:val="24"/>
                <w:lang w:eastAsia="zh-CN"/>
              </w:rPr>
              <w:t>采购人</w:t>
            </w:r>
            <w:r>
              <w:rPr>
                <w:rFonts w:hint="eastAsia" w:ascii="仿宋" w:hAnsi="仿宋" w:eastAsia="仿宋" w:cs="仿宋"/>
                <w:b w:val="0"/>
                <w:bCs/>
                <w:color w:val="auto"/>
                <w:sz w:val="24"/>
                <w:szCs w:val="24"/>
              </w:rPr>
              <w:t>概不负责。</w:t>
            </w:r>
          </w:p>
        </w:tc>
      </w:tr>
      <w:tr>
        <w:tblPrEx>
          <w:tblCellMar>
            <w:top w:w="0" w:type="dxa"/>
            <w:left w:w="108" w:type="dxa"/>
            <w:bottom w:w="0" w:type="dxa"/>
            <w:right w:w="108" w:type="dxa"/>
          </w:tblCellMar>
        </w:tblPrEx>
        <w:trPr>
          <w:trHeight w:val="488" w:hRule="atLeast"/>
          <w:jc w:val="center"/>
        </w:trPr>
        <w:tc>
          <w:tcPr>
            <w:tcW w:w="87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p>
        </w:tc>
        <w:tc>
          <w:tcPr>
            <w:tcW w:w="2114" w:type="dxa"/>
            <w:gridSpan w:val="2"/>
            <w:vMerge w:val="continue"/>
            <w:tcBorders>
              <w:left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p>
        </w:tc>
        <w:tc>
          <w:tcPr>
            <w:tcW w:w="719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lang w:val="en-US" w:eastAsia="zh-CN"/>
              </w:rPr>
              <w:t>各供应商须充分了解当地疫情防控措施政策，如因对当地政策解读不充分而导致的任何责任，均由供应商负责。</w:t>
            </w:r>
          </w:p>
        </w:tc>
      </w:tr>
      <w:tr>
        <w:tblPrEx>
          <w:tblCellMar>
            <w:top w:w="0" w:type="dxa"/>
            <w:left w:w="108" w:type="dxa"/>
            <w:bottom w:w="0" w:type="dxa"/>
            <w:right w:w="108" w:type="dxa"/>
          </w:tblCellMar>
        </w:tblPrEx>
        <w:trPr>
          <w:trHeight w:val="488"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1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olor w:val="auto"/>
              </w:rPr>
            </w:pPr>
            <w:r>
              <w:rPr>
                <w:rFonts w:hint="eastAsia" w:ascii="仿宋" w:hAnsi="仿宋" w:eastAsia="仿宋" w:cs="仿宋"/>
                <w:color w:val="auto"/>
              </w:rPr>
              <w:t>质疑</w:t>
            </w:r>
          </w:p>
        </w:tc>
        <w:tc>
          <w:tcPr>
            <w:tcW w:w="719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供应商认为自己的权益受到损害的，可以在知道或者应知其权益受到损害之日起七个工作日内，向采购代理机构提出质疑。质疑函的内容、格式：应符合《政府采购质疑和投诉办法》相关规定和财政部门制定的《政府采购质疑函范本》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二、供应商应在法定质疑期内一次性针对同一采购程序环节提出质疑，否则针对再次提出质疑将不予接收。（采购程序环节分为：磋商公告、磋商文件、磋商过程、成交结果）</w:t>
            </w:r>
          </w:p>
        </w:tc>
      </w:tr>
    </w:tbl>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bookmarkStart w:id="57" w:name="_Toc8273"/>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r>
        <w:rPr>
          <w:rFonts w:hint="eastAsia"/>
          <w:color w:val="auto"/>
        </w:rPr>
        <w:t>二、总  则</w:t>
      </w:r>
      <w:bookmarkEnd w:id="57"/>
      <w:bookmarkStart w:id="58" w:name="_Toc460703951"/>
      <w:bookmarkStart w:id="59" w:name="_Toc424059475"/>
      <w:bookmarkStart w:id="60" w:name="_Toc424211805"/>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（一）适用范围</w:t>
      </w:r>
      <w:bookmarkEnd w:id="58"/>
      <w:bookmarkEnd w:id="59"/>
      <w:bookmarkEnd w:id="60"/>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 本磋商文件仅适用于本次采购项目。</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 本磋商文件是根据《中华人民共和国政府采购法》、《政府采购竞争性磋商采购方式管理暂行办法》及其他相关法律、法规编制。</w:t>
      </w:r>
    </w:p>
    <w:p>
      <w:pPr>
        <w:pStyle w:val="36"/>
        <w:keepNext w:val="0"/>
        <w:spacing w:beforeLines="0" w:afterLines="0" w:line="360" w:lineRule="auto"/>
        <w:jc w:val="left"/>
        <w:rPr>
          <w:rFonts w:hint="eastAsia" w:ascii="仿宋" w:hAnsi="仿宋" w:eastAsia="仿宋" w:cs="仿宋"/>
          <w:b w:val="0"/>
          <w:color w:val="auto"/>
          <w:sz w:val="24"/>
          <w:szCs w:val="24"/>
          <w:highlight w:val="none"/>
        </w:rPr>
      </w:pPr>
      <w:bookmarkStart w:id="61" w:name="_Toc239822599"/>
      <w:bookmarkStart w:id="62" w:name="_Toc239822484"/>
      <w:bookmarkStart w:id="63" w:name="_Toc424211807"/>
      <w:bookmarkStart w:id="64" w:name="_Toc424059477"/>
      <w:bookmarkStart w:id="65" w:name="_Toc460703953"/>
      <w:r>
        <w:rPr>
          <w:rFonts w:hint="eastAsia" w:ascii="仿宋" w:hAnsi="仿宋" w:eastAsia="仿宋" w:cs="仿宋"/>
          <w:b w:val="0"/>
          <w:color w:val="auto"/>
          <w:sz w:val="24"/>
          <w:szCs w:val="24"/>
          <w:highlight w:val="none"/>
        </w:rPr>
        <w:t>（二）</w:t>
      </w:r>
      <w:bookmarkEnd w:id="61"/>
      <w:bookmarkEnd w:id="62"/>
      <w:r>
        <w:rPr>
          <w:rFonts w:hint="eastAsia" w:ascii="仿宋" w:hAnsi="仿宋" w:eastAsia="仿宋" w:cs="仿宋"/>
          <w:b w:val="0"/>
          <w:color w:val="auto"/>
          <w:sz w:val="24"/>
          <w:szCs w:val="24"/>
          <w:highlight w:val="none"/>
        </w:rPr>
        <w:t>合格的供应商应符合以下条件</w:t>
      </w:r>
      <w:bookmarkEnd w:id="63"/>
      <w:bookmarkEnd w:id="64"/>
      <w:bookmarkEnd w:id="65"/>
      <w:bookmarkStart w:id="66" w:name="_Toc239822485"/>
      <w:bookmarkStart w:id="67" w:name="_Toc239822600"/>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bookmarkStart w:id="68" w:name="_Toc460703954"/>
      <w:bookmarkStart w:id="69" w:name="_Toc424059478"/>
      <w:bookmarkStart w:id="70" w:name="_Toc424211808"/>
      <w:r>
        <w:rPr>
          <w:rFonts w:hint="eastAsia" w:ascii="仿宋" w:hAnsi="仿宋" w:eastAsia="仿宋" w:cs="Times New Roman"/>
          <w:color w:val="auto"/>
          <w:sz w:val="24"/>
          <w:szCs w:val="24"/>
          <w:lang w:val="en-US" w:eastAsia="zh-CN"/>
        </w:rPr>
        <w:t>（1）有效的工商营业执照、税务登记证、组织机构代码证或“三证合一”的营业执照；</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（2）法人代表或其委托代理人应携带本人身份证原件及复印件，委托代理人还应携带《法人代表授权委托书》；</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（4）单位负责人为同一人或者存在直接控股、管理关系的不同供应商，不得参加同一合同项下的政府采购活动；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（5）为采购项目提供整体设计、规范编制或者项目管理、监理、检测等服务的供应商，不得再参加该采购项目的其他采购活动；</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（6）本项目不接受联合体投标；</w:t>
      </w:r>
    </w:p>
    <w:p>
      <w:pPr>
        <w:pStyle w:val="2"/>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（7）磋商保证金凭证</w:t>
      </w:r>
    </w:p>
    <w:p>
      <w:pPr>
        <w:pStyle w:val="2"/>
        <w:numPr>
          <w:ilvl w:val="0"/>
          <w:numId w:val="0"/>
        </w:numPr>
        <w:spacing w:line="360" w:lineRule="auto"/>
        <w:ind w:firstLine="480" w:firstLineChars="200"/>
        <w:rPr>
          <w:rFonts w:hint="eastAsia" w:ascii="仿宋" w:hAnsi="仿宋" w:eastAsia="仿宋" w:cs="仿宋"/>
          <w:color w:val="auto"/>
          <w:highlight w:val="none"/>
        </w:rPr>
      </w:pPr>
      <w:r>
        <w:rPr>
          <w:rFonts w:hint="eastAsia" w:ascii="仿宋" w:hAnsi="仿宋" w:eastAsia="仿宋" w:cs="Times New Roman"/>
          <w:color w:val="auto"/>
          <w:sz w:val="24"/>
          <w:szCs w:val="24"/>
          <w:lang w:val="en-US" w:eastAsia="zh-CN"/>
        </w:rPr>
        <w:t xml:space="preserve">（8）法律、行政法规规定的其他条件。 </w:t>
      </w:r>
      <w:r>
        <w:rPr>
          <w:rFonts w:hint="eastAsia" w:ascii="仿宋" w:hAnsi="仿宋" w:eastAsia="仿宋" w:cs="仿宋"/>
          <w:b w:val="0"/>
          <w:bCs/>
          <w:color w:val="auto"/>
          <w:highlight w:val="none"/>
        </w:rPr>
        <w:t xml:space="preserve">   </w:t>
      </w:r>
      <w:r>
        <w:rPr>
          <w:rFonts w:hint="eastAsia" w:ascii="仿宋" w:hAnsi="仿宋" w:eastAsia="仿宋" w:cs="仿宋"/>
          <w:color w:val="auto"/>
          <w:highlight w:val="none"/>
        </w:rPr>
        <w:t xml:space="preserve"> </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（三）竞争性磋商费用</w:t>
      </w:r>
      <w:bookmarkEnd w:id="66"/>
      <w:bookmarkEnd w:id="67"/>
      <w:bookmarkEnd w:id="68"/>
      <w:bookmarkEnd w:id="69"/>
      <w:bookmarkEnd w:id="70"/>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供应商应自行承担所有与准备和参加磋商有关的费用。</w:t>
      </w:r>
    </w:p>
    <w:p>
      <w:pPr>
        <w:pStyle w:val="36"/>
        <w:keepNext w:val="0"/>
        <w:spacing w:beforeLines="0" w:afterLines="0" w:line="360" w:lineRule="auto"/>
        <w:jc w:val="left"/>
        <w:rPr>
          <w:rFonts w:hint="eastAsia" w:ascii="仿宋" w:hAnsi="仿宋" w:eastAsia="仿宋" w:cs="仿宋"/>
          <w:b w:val="0"/>
          <w:color w:val="auto"/>
          <w:sz w:val="24"/>
          <w:szCs w:val="24"/>
          <w:highlight w:val="none"/>
        </w:rPr>
      </w:pPr>
      <w:bookmarkStart w:id="71" w:name="_Toc460703956"/>
      <w:bookmarkStart w:id="72" w:name="_Toc424059480"/>
      <w:bookmarkStart w:id="73" w:name="_Toc424211810"/>
      <w:r>
        <w:rPr>
          <w:rFonts w:hint="eastAsia" w:ascii="仿宋" w:hAnsi="仿宋" w:eastAsia="仿宋" w:cs="仿宋"/>
          <w:b w:val="0"/>
          <w:color w:val="auto"/>
          <w:sz w:val="24"/>
          <w:szCs w:val="24"/>
          <w:highlight w:val="none"/>
        </w:rPr>
        <w:t>（四）竞争性磋商</w:t>
      </w:r>
      <w:bookmarkEnd w:id="71"/>
      <w:bookmarkEnd w:id="72"/>
      <w:bookmarkEnd w:id="73"/>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（五）保密</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参与招标投标活动的各方应对招标文件和</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中的商业和技术等秘密保密，违者应对由此造成的后果承担法律责任。</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（六）语言文字</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除专用术语外，与采购有关的语言均使用中文。必要时专用术语应附有中文注释。</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（七）计量单位</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所有计量均采用中华人民共和国法定计量单位。</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（八）踏勘现场</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1.磋商须知 规定组织踏勘现场的，采购人按磋商须知规定的时间、地点组织</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 xml:space="preserve">踏勘项目现场。 </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踏勘现场发生的费用自理。</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 除采购人的原因外，</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自行负责在踏勘现场中所发生的人员伤亡和财产损失。</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 采购人在踏勘现场中介绍的工程场地和相关的周边环境情况，供</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在编制</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时参考，采购人不对</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据此作出的判断和决策负责。</w:t>
      </w:r>
    </w:p>
    <w:p>
      <w:pPr>
        <w:pStyle w:val="36"/>
        <w:keepNext w:val="0"/>
        <w:spacing w:beforeLines="0" w:afterLines="0" w:line="360" w:lineRule="auto"/>
        <w:jc w:val="left"/>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（九）</w:t>
      </w:r>
      <w:r>
        <w:rPr>
          <w:rFonts w:hint="eastAsia" w:ascii="仿宋" w:hAnsi="仿宋" w:eastAsia="仿宋" w:cs="仿宋"/>
          <w:b w:val="0"/>
          <w:color w:val="auto"/>
          <w:sz w:val="24"/>
          <w:szCs w:val="24"/>
          <w:highlight w:val="none"/>
          <w:lang w:eastAsia="zh-CN"/>
        </w:rPr>
        <w:t>磋商报价</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1. </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应按第五章“响应文件格式附件”的要求填写相应表格。</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2. </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磋商报价</w:t>
      </w:r>
      <w:r>
        <w:rPr>
          <w:rFonts w:hint="eastAsia" w:ascii="仿宋" w:hAnsi="仿宋" w:eastAsia="仿宋" w:cs="仿宋"/>
          <w:b w:val="0"/>
          <w:color w:val="auto"/>
          <w:sz w:val="24"/>
          <w:szCs w:val="24"/>
          <w:highlight w:val="none"/>
        </w:rPr>
        <w:t>，应是完成本磋商须知所列服务内容、质量要求的全部内容。</w:t>
      </w:r>
    </w:p>
    <w:p>
      <w:pPr>
        <w:pStyle w:val="36"/>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（十） 纪律和监督</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1.对采购人的纪律要求</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采购人不得泄漏采购活动中应当保密的情况和资料，不得与</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串通损害国家利益、社会公共利益或者他人合法权益。</w:t>
      </w:r>
    </w:p>
    <w:p>
      <w:pPr>
        <w:pStyle w:val="36"/>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2.对</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的纪律要求</w:t>
      </w:r>
    </w:p>
    <w:p>
      <w:pPr>
        <w:pStyle w:val="36"/>
        <w:keepNext w:val="0"/>
        <w:spacing w:beforeLines="0" w:afterLines="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不得相互串通投标或者与采购人串通投标，不得向采购扔或者评标委员会成员行贿谋取中标，不得以他人名义投标或者以其他方式弄虚作假骗取中标；</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不得以任何方式干扰、影响评标工作。</w:t>
      </w:r>
    </w:p>
    <w:p>
      <w:pPr>
        <w:spacing w:line="360" w:lineRule="auto"/>
        <w:rPr>
          <w:rFonts w:hint="eastAsia" w:ascii="仿宋" w:hAnsi="仿宋" w:eastAsia="仿宋" w:cs="仿宋"/>
          <w:color w:val="auto"/>
          <w:highlight w:val="none"/>
        </w:rPr>
      </w:pPr>
    </w:p>
    <w:p>
      <w:pPr>
        <w:pStyle w:val="4"/>
        <w:bidi w:val="0"/>
        <w:rPr>
          <w:rFonts w:hint="eastAsia"/>
          <w:color w:val="auto"/>
          <w:lang w:eastAsia="zh-CN"/>
        </w:rPr>
      </w:pPr>
      <w:bookmarkStart w:id="74" w:name="_Toc11299"/>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pStyle w:val="4"/>
        <w:bidi w:val="0"/>
        <w:rPr>
          <w:rFonts w:hint="eastAsia"/>
          <w:color w:val="auto"/>
          <w:lang w:eastAsia="zh-CN"/>
        </w:rPr>
      </w:pPr>
    </w:p>
    <w:p>
      <w:pPr>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lang w:eastAsia="zh-CN"/>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r>
        <w:rPr>
          <w:rFonts w:hint="eastAsia"/>
          <w:color w:val="auto"/>
          <w:lang w:eastAsia="zh-CN"/>
        </w:rPr>
        <w:t>三</w:t>
      </w:r>
      <w:r>
        <w:rPr>
          <w:rFonts w:hint="eastAsia"/>
          <w:color w:val="auto"/>
        </w:rPr>
        <w:t>、磋商文件的说明</w:t>
      </w:r>
      <w:bookmarkEnd w:id="74"/>
    </w:p>
    <w:p>
      <w:pPr>
        <w:pStyle w:val="36"/>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 w:val="24"/>
          <w:highlight w:val="none"/>
        </w:rPr>
        <w:t>（一）磋商文件的组成</w:t>
      </w:r>
    </w:p>
    <w:p>
      <w:pPr>
        <w:pStyle w:val="36"/>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本磋商文件包括下列文件及所有按本磋商文件有关规定发出的补充资料。</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获取磋商文件后，应认真阅读磋商文件中的所有说明及条款，若</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的响应文件没有按照磋商文件的要求提交资料，或响应文件没有对磋商文件作出实质性响应，其风险由</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自行承担。</w:t>
      </w:r>
    </w:p>
    <w:p>
      <w:pPr>
        <w:pStyle w:val="36"/>
        <w:keepNext w:val="0"/>
        <w:spacing w:beforeLines="0" w:afterLines="0"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（二）磋商文件的修改和澄清</w:t>
      </w:r>
    </w:p>
    <w:p>
      <w:pPr>
        <w:pStyle w:val="36"/>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磋商文件发出后，在提交响应文件前3日，</w:t>
      </w:r>
      <w:r>
        <w:rPr>
          <w:rFonts w:hint="eastAsia" w:ascii="仿宋" w:hAnsi="仿宋" w:eastAsia="仿宋" w:cs="仿宋"/>
          <w:b w:val="0"/>
          <w:color w:val="auto"/>
          <w:sz w:val="24"/>
          <w:highlight w:val="none"/>
          <w:lang w:eastAsia="zh-CN"/>
        </w:rPr>
        <w:t>采购人</w:t>
      </w:r>
      <w:r>
        <w:rPr>
          <w:rFonts w:hint="eastAsia" w:ascii="仿宋" w:hAnsi="仿宋" w:eastAsia="仿宋" w:cs="仿宋"/>
          <w:b w:val="0"/>
          <w:color w:val="auto"/>
          <w:sz w:val="24"/>
          <w:highlight w:val="none"/>
        </w:rPr>
        <w:t>可以对磋商文件进行必要的澄清和修改。</w:t>
      </w:r>
    </w:p>
    <w:p>
      <w:pPr>
        <w:spacing w:line="360" w:lineRule="auto"/>
        <w:ind w:firstLine="480"/>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4"/>
        <w:numPr>
          <w:ilvl w:val="0"/>
          <w:numId w:val="4"/>
        </w:numPr>
        <w:bidi w:val="0"/>
        <w:rPr>
          <w:rFonts w:hint="eastAsia"/>
          <w:color w:val="auto"/>
        </w:rPr>
      </w:pPr>
      <w:bookmarkStart w:id="75" w:name="_Toc18511"/>
      <w:r>
        <w:rPr>
          <w:rFonts w:hint="eastAsia"/>
          <w:color w:val="auto"/>
        </w:rPr>
        <w:t>响应文件的编制</w:t>
      </w:r>
      <w:bookmarkEnd w:id="75"/>
      <w:r>
        <w:rPr>
          <w:rFonts w:hint="eastAsia"/>
          <w:color w:val="auto"/>
        </w:rPr>
        <w:t xml:space="preserve"> </w:t>
      </w:r>
    </w:p>
    <w:p>
      <w:pPr>
        <w:pStyle w:val="41"/>
        <w:numPr>
          <w:ilvl w:val="2"/>
          <w:numId w:val="0"/>
        </w:numPr>
        <w:spacing w:line="360" w:lineRule="auto"/>
        <w:ind w:leftChars="900"/>
        <w:outlineLvl w:val="9"/>
        <w:rPr>
          <w:rFonts w:hint="eastAsia" w:ascii="仿宋" w:hAnsi="仿宋" w:eastAsia="仿宋" w:cs="仿宋"/>
          <w:b/>
          <w:bCs w:val="0"/>
          <w:color w:val="auto"/>
          <w:sz w:val="30"/>
          <w:szCs w:val="30"/>
          <w:highlight w:val="none"/>
        </w:rPr>
      </w:pP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w:t>
      </w:r>
      <w:r>
        <w:rPr>
          <w:rFonts w:hint="eastAsia" w:ascii="仿宋" w:hAnsi="仿宋" w:eastAsia="仿宋" w:cs="仿宋"/>
          <w:b/>
          <w:color w:val="auto"/>
          <w:sz w:val="24"/>
          <w:highlight w:val="none"/>
          <w:lang w:eastAsia="zh-CN"/>
        </w:rPr>
        <w:t>磋商</w:t>
      </w:r>
      <w:r>
        <w:rPr>
          <w:rFonts w:hint="eastAsia" w:ascii="仿宋" w:hAnsi="仿宋" w:eastAsia="仿宋" w:cs="仿宋"/>
          <w:b/>
          <w:color w:val="auto"/>
          <w:sz w:val="24"/>
          <w:highlight w:val="none"/>
        </w:rPr>
        <w:t>有效期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从提交响应文件截止之日起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（日历日）天内，响应文件保持有效。</w:t>
      </w: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（二）、响应文件编制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1.响应文件的语言：汉语</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中所提供的格式填写齐全，其综合说明部分应根据要求对应阐述（表格可以按同样格式扩展）。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3.响应文件一般应无涂改和行间插字现象。表面整洁，如确需涂改或插字，应在修改处加盖法定代表人或者法定代表人委托印章。</w:t>
      </w: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（三）、响应文件由以下内容组成</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1、响应函</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报价单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3、报价明细表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4、法定代表人身份证明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5、授权委托书</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基本情况表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资格声明及相关证明文件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8、联合体协议书(</w:t>
      </w:r>
      <w:r>
        <w:rPr>
          <w:rFonts w:hint="eastAsia" w:ascii="仿宋" w:hAnsi="仿宋" w:eastAsia="仿宋" w:cs="仿宋"/>
          <w:color w:val="auto"/>
          <w:sz w:val="24"/>
          <w:highlight w:val="none"/>
          <w:lang w:eastAsia="zh-CN"/>
        </w:rPr>
        <w:t>无</w:t>
      </w:r>
      <w:r>
        <w:rPr>
          <w:rFonts w:hint="eastAsia" w:ascii="仿宋" w:hAnsi="仿宋" w:eastAsia="仿宋" w:cs="仿宋"/>
          <w:color w:val="auto"/>
          <w:sz w:val="24"/>
          <w:highlight w:val="none"/>
        </w:rPr>
        <w:t>)</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交纳凭证</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10.中小企业声明函（如有时提供）</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11.监狱企业声明函（如有时提供）</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12.残疾人福利性单位声明函（如有时提供）</w:t>
      </w:r>
    </w:p>
    <w:p>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13、商务</w:t>
      </w:r>
      <w:r>
        <w:rPr>
          <w:rFonts w:hint="eastAsia" w:ascii="仿宋" w:hAnsi="仿宋" w:eastAsia="仿宋" w:cs="仿宋"/>
          <w:color w:val="auto"/>
          <w:sz w:val="24"/>
          <w:highlight w:val="none"/>
          <w:lang w:eastAsia="zh-CN"/>
        </w:rPr>
        <w:t>偏离表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14、技术偏离表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15、类似项目业绩</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自行编写的技术文件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认为需要提供的其他文件和资料</w:t>
      </w:r>
    </w:p>
    <w:p>
      <w:pPr>
        <w:pStyle w:val="1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的内容包括但不仅限于上述内容，如有不足请自行补充。</w:t>
      </w:r>
    </w:p>
    <w:p>
      <w:pPr>
        <w:pStyle w:val="12"/>
        <w:rPr>
          <w:rFonts w:hint="eastAsia" w:ascii="仿宋" w:hAnsi="仿宋" w:eastAsia="仿宋" w:cs="仿宋"/>
          <w:color w:val="auto"/>
          <w:highlight w:val="none"/>
        </w:rPr>
      </w:pPr>
    </w:p>
    <w:p>
      <w:pPr>
        <w:pStyle w:val="43"/>
        <w:keepNext w:val="0"/>
        <w:spacing w:beforeLines="0" w:afterLines="0" w:line="360" w:lineRule="auto"/>
        <w:ind w:firstLine="482"/>
        <w:rPr>
          <w:rFonts w:hint="eastAsia" w:ascii="仿宋" w:hAnsi="仿宋" w:eastAsia="仿宋" w:cs="仿宋"/>
          <w:color w:val="auto"/>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的份数及签署</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数量：一式</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份。正本１份，副本</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份（并在封皮注明“正本”、“副本”字样）</w:t>
      </w:r>
      <w:r>
        <w:rPr>
          <w:rFonts w:hint="eastAsia" w:ascii="仿宋" w:hAnsi="仿宋" w:eastAsia="仿宋" w:cs="仿宋"/>
          <w:color w:val="auto"/>
          <w:sz w:val="24"/>
          <w:highlight w:val="none"/>
          <w:lang w:eastAsia="zh-CN"/>
        </w:rPr>
        <w:t>，正本、副本、响应文件电子版及报价一览表均单独密封</w:t>
      </w:r>
      <w:r>
        <w:rPr>
          <w:rFonts w:hint="eastAsia" w:ascii="仿宋" w:hAnsi="仿宋" w:eastAsia="仿宋" w:cs="仿宋"/>
          <w:color w:val="auto"/>
          <w:sz w:val="24"/>
          <w:highlight w:val="none"/>
        </w:rPr>
        <w:t>。</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的正本和副本均需打印或使用不褪色的墨水笔书写，字迹应清晰易于辨认。并应清楚地注明“正本”或“副本”。正本和副本如有不一致之处，以正本为准。</w:t>
      </w:r>
    </w:p>
    <w:p>
      <w:pPr>
        <w:spacing w:line="360" w:lineRule="auto"/>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3.全套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应无涂改或行间插字和增删，如有修改，修改处应由供应商加盖公章或由法定代表人授权代表签字。修改处应按要求签字或盖章。</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封面均应加盖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印章并经法定代表人或其委托代理人签字或盖章。</w:t>
      </w: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ind w:leftChars="900" w:firstLine="1205" w:firstLineChars="400"/>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outlineLvl w:val="9"/>
        <w:rPr>
          <w:rFonts w:hint="eastAsia" w:ascii="仿宋" w:hAnsi="仿宋" w:eastAsia="仿宋" w:cs="仿宋"/>
          <w:b/>
          <w:bCs w:val="0"/>
          <w:color w:val="auto"/>
          <w:sz w:val="30"/>
          <w:szCs w:val="30"/>
          <w:highlight w:val="none"/>
          <w:lang w:eastAsia="zh-CN"/>
        </w:rPr>
      </w:pPr>
    </w:p>
    <w:p>
      <w:pPr>
        <w:pStyle w:val="41"/>
        <w:numPr>
          <w:ilvl w:val="2"/>
          <w:numId w:val="0"/>
        </w:numPr>
        <w:spacing w:line="360" w:lineRule="auto"/>
        <w:outlineLvl w:val="9"/>
        <w:rPr>
          <w:rFonts w:hint="eastAsia" w:ascii="仿宋" w:hAnsi="仿宋" w:eastAsia="仿宋" w:cs="仿宋"/>
          <w:b/>
          <w:bCs w:val="0"/>
          <w:color w:val="auto"/>
          <w:sz w:val="30"/>
          <w:szCs w:val="30"/>
          <w:highlight w:val="none"/>
          <w:lang w:eastAsia="zh-CN"/>
        </w:rPr>
      </w:pPr>
    </w:p>
    <w:p>
      <w:pPr>
        <w:pStyle w:val="41"/>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900" w:firstLine="1205" w:firstLineChars="400"/>
        <w:textAlignment w:val="baseline"/>
        <w:outlineLvl w:val="9"/>
        <w:rPr>
          <w:rFonts w:hint="eastAsia" w:ascii="仿宋" w:hAnsi="仿宋" w:eastAsia="仿宋" w:cs="仿宋"/>
          <w:b/>
          <w:bCs w:val="0"/>
          <w:color w:val="auto"/>
          <w:sz w:val="30"/>
          <w:szCs w:val="30"/>
          <w:highlight w:val="none"/>
          <w:lang w:eastAsia="zh-CN"/>
        </w:rPr>
      </w:pPr>
    </w:p>
    <w:p>
      <w:pPr>
        <w:pStyle w:val="41"/>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900" w:firstLine="1205" w:firstLineChars="400"/>
        <w:textAlignment w:val="baseline"/>
        <w:outlineLvl w:val="1"/>
        <w:rPr>
          <w:rFonts w:hint="eastAsia" w:ascii="仿宋" w:hAnsi="仿宋" w:eastAsia="仿宋" w:cs="仿宋"/>
          <w:b/>
          <w:bCs w:val="0"/>
          <w:color w:val="auto"/>
          <w:sz w:val="30"/>
          <w:szCs w:val="30"/>
          <w:highlight w:val="none"/>
        </w:rPr>
      </w:pPr>
      <w:bookmarkStart w:id="76" w:name="_Toc2900"/>
      <w:r>
        <w:rPr>
          <w:rFonts w:hint="eastAsia" w:ascii="仿宋" w:hAnsi="仿宋" w:eastAsia="仿宋" w:cs="仿宋"/>
          <w:b/>
          <w:bCs w:val="0"/>
          <w:color w:val="auto"/>
          <w:sz w:val="30"/>
          <w:szCs w:val="30"/>
          <w:highlight w:val="none"/>
          <w:lang w:eastAsia="zh-CN"/>
        </w:rPr>
        <w:t>五、</w:t>
      </w:r>
      <w:r>
        <w:rPr>
          <w:rFonts w:hint="eastAsia" w:ascii="仿宋" w:hAnsi="仿宋" w:eastAsia="仿宋" w:cs="仿宋"/>
          <w:b/>
          <w:bCs w:val="0"/>
          <w:color w:val="auto"/>
          <w:sz w:val="30"/>
          <w:szCs w:val="30"/>
          <w:highlight w:val="none"/>
        </w:rPr>
        <w:t>磋商会议</w:t>
      </w:r>
      <w:bookmarkEnd w:id="76"/>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5.1磋商小组的组成</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5.1.1磋商小组由采购人代表和有关技术、经济等方面的专家组成。全面负责对响应文件的审查、评审、磋商、打分等全部评审工作。磋商小组人数以及技术、经济方面的专家组成见</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HYPERLINK "D:\\WordForm\\e944b4b1-01b6-4e42-b170-f783fcf7903a.doc" \l "_评标委员会"</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供应商须知前附表</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5.2磋商方法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5.2.1磋商小组将按照磋商文件确定的评审方法进行评审。磋商小组对响应文件的评审分为响应文件初审、澄清有关问题、比较与评价响应文件、推荐中标候选人名单。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5.2.1项目评审方法详见磋商文件“第四章 评审方法、步骤及标准”。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5.3响应文件的初审</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初审分为资格性检查和符合性检查。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5.3.1资格性检查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（1）磋商小组根据评审办法前附表规定的评审因素和评审标准，对供应商的响应文件进行资格评审。资格性检查不合格的供应商的响应文件作无效文件处理。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（2）磋商小组在进行资格检查时，不得改变磋商文件中已载明的资格条件、标准和办法。资格性检查不合格的供应商的响应文件作无效文件处理。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（3）供应商在递交响应文件的同时，应逐项对照上述资格性检查要求提交相应的原件和资格证明文件供磋商小组核查，否则评委将不予采信。</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（4）磋商小组在评审中必要时可按供应商提供的联系方式就有关问题进行查询核实，或要求供应商做出书面澄清，查询及澄清结果将作为审查的依据。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（5）资格性检查全部合格的供应商才能通过资格检查，其响应文件方可进入下一个检查阶段。</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5.3.2符合性检查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磋商小组根据评审办法前附表规定的评审因素和评审标准，对供应商的响应文件进行符合性检查。符合性检查不合格的供应商的响应文件作无效文件处理。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5.4违法违规行为 </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5.4.1在评审过程中，磋商小组发现供应商有下列情形之一的，作无效文件处理：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（1）属于同一集团下属单位的供应商；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（2）不同供应商委托同一单位或者个人办理投标事宜；</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（3）不同供应商的响应文件载明的项目管理成员为同一人；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（4）不同供应商的响应文件异常一致或者</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呈规律性差异；</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从同一单位或者个人的账户转出；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（7）使用伪造、变造的行政许可证件；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（8）提供虚假的财务状况或者业绩；</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（9）提供虚假的信用状况；</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（10）其他弄虚作假的行为。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 磋商小组审查响应文件是否完整、有无计算上的错误等。</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5.5.1 响应文件的修正及澄清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（1）磋商小组对确定为实质上响应磋商文件要求的响应文件进行校核，看其是否有计算或表达上的错误。</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内容的除外。</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5.5.3实质上没有响应磋商文件要求的响应文件将被视为无效文件。供应商不得通过修正或撤销不合要求的偏离从而使其成为实质上响应的文件。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等实质性内容做任何更改。有关澄清的答复均应由供应商的法定代表人或授权代表以书面形式作出并签字。</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5.5.5供应商的澄清文件是其响应文件的组成部分。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5.6磋商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5.6.1磋商小组根据需要可以与单一供应商分别进行磋商，并给予所有参加磋商的供应商平等的磋商机会。</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5.6.3对磋商文件作出的实质性变动是磋商文件的有效组成部分，磋商小组应当及时以书面形式同时通知所有参加磋商的供应商。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5.6.5磋商文件能够详细列明采购标的技术、服务要求的，磋商结束后，磋商小组应当要求所有实质性响应的供应商在规定时间内提交最后报价，提交最后报价的供应商不得少于3家。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5.5.6磋商文件不能详细列明采购标的技术、服务要求，需供应商提供最终设计方案或解决方案，磋商结束后，磋商小组应当按照少数服从多数的原则投票推荐3家或以上供应商的设计方案或者解决方案，并要求其在规定时间内提交最后报价。</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5.6.7已提交响应文件的供应商，在提交最后报价之前，可以根据磋商情况退出磋商。其磋商保证金将予以退还。</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5.6.8经磋商确定最终采购需求和提交最后报价的供应商后，由磋商小组采用综合评分法对提交最后报价的供应商的响应文件和最后报价进行综合评分。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5.6.9采购结果确认</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5.7.公示或公告</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
        <w:keepNext w:val="0"/>
        <w:keepLines/>
        <w:pageBreakBefore w:val="0"/>
        <w:widowControl w:val="0"/>
        <w:kinsoku/>
        <w:wordWrap/>
        <w:overflowPunct/>
        <w:topLinePunct w:val="0"/>
        <w:autoSpaceDE/>
        <w:autoSpaceDN/>
        <w:bidi w:val="0"/>
        <w:adjustRightInd/>
        <w:snapToGrid/>
        <w:spacing w:line="413" w:lineRule="auto"/>
        <w:jc w:val="center"/>
        <w:textAlignment w:val="auto"/>
        <w:rPr>
          <w:rFonts w:hint="eastAsia"/>
          <w:color w:val="auto"/>
        </w:rPr>
      </w:pPr>
      <w:bookmarkStart w:id="77" w:name="_Toc17108"/>
      <w:bookmarkStart w:id="78" w:name="_Toc73617365"/>
      <w:bookmarkStart w:id="79" w:name="_Toc14431"/>
      <w:r>
        <w:rPr>
          <w:rFonts w:hint="eastAsia"/>
          <w:color w:val="auto"/>
        </w:rPr>
        <w:t>六</w:t>
      </w:r>
      <w:r>
        <w:rPr>
          <w:rFonts w:hint="eastAsia"/>
          <w:color w:val="auto"/>
          <w:lang w:eastAsia="zh-CN"/>
        </w:rPr>
        <w:t>、</w:t>
      </w:r>
      <w:r>
        <w:rPr>
          <w:rFonts w:hint="eastAsia"/>
          <w:color w:val="auto"/>
        </w:rPr>
        <w:t>授予合同</w:t>
      </w:r>
      <w:bookmarkEnd w:id="77"/>
      <w:bookmarkEnd w:id="78"/>
      <w:bookmarkEnd w:id="79"/>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 签订合同</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6.1.1采购人应在成交通知书发出后5日内，根据成交结果和磋商文件、响应文件及有关补遗文件签订合同。</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6.1.2采购人应按磋商文件要求和中标人的响应文件承诺订立书面合同，不得超出磋商文件和中标人响应文件的范围，也不得再另行订立背离合同实质性内容的其他协议。</w:t>
      </w:r>
    </w:p>
    <w:p>
      <w:pPr>
        <w:pStyle w:val="4"/>
        <w:bidi w:val="0"/>
        <w:rPr>
          <w:rFonts w:hint="eastAsia"/>
          <w:color w:val="auto"/>
        </w:rPr>
      </w:pPr>
      <w:bookmarkStart w:id="80" w:name="_Toc293736016"/>
      <w:bookmarkStart w:id="81" w:name="_Toc293738997"/>
      <w:bookmarkStart w:id="82" w:name="_Toc446599316"/>
      <w:bookmarkStart w:id="83" w:name="_Toc293736059"/>
      <w:bookmarkStart w:id="84" w:name="_Toc73617366"/>
      <w:bookmarkStart w:id="85" w:name="_Toc30278"/>
      <w:bookmarkStart w:id="86" w:name="_Toc22752"/>
      <w:r>
        <w:rPr>
          <w:rFonts w:hint="eastAsia"/>
          <w:color w:val="auto"/>
        </w:rPr>
        <w:t>七</w:t>
      </w:r>
      <w:r>
        <w:rPr>
          <w:rFonts w:hint="eastAsia"/>
          <w:color w:val="auto"/>
          <w:lang w:eastAsia="zh-CN"/>
        </w:rPr>
        <w:t>、</w:t>
      </w:r>
      <w:r>
        <w:rPr>
          <w:rFonts w:hint="eastAsia"/>
          <w:color w:val="auto"/>
        </w:rPr>
        <w:t>质疑</w:t>
      </w:r>
      <w:bookmarkEnd w:id="80"/>
      <w:bookmarkEnd w:id="81"/>
      <w:bookmarkEnd w:id="82"/>
      <w:bookmarkEnd w:id="83"/>
      <w:r>
        <w:rPr>
          <w:rFonts w:hint="eastAsia"/>
          <w:color w:val="auto"/>
        </w:rPr>
        <w:t>和投诉</w:t>
      </w:r>
      <w:bookmarkEnd w:id="84"/>
      <w:bookmarkEnd w:id="85"/>
      <w:bookmarkEnd w:id="86"/>
    </w:p>
    <w:p>
      <w:pPr>
        <w:spacing w:line="360" w:lineRule="auto"/>
        <w:ind w:firstLine="480"/>
        <w:rPr>
          <w:rFonts w:hint="eastAsia" w:ascii="仿宋" w:hAnsi="仿宋" w:eastAsia="仿宋" w:cs="仿宋"/>
          <w:color w:val="auto"/>
          <w:sz w:val="24"/>
          <w:highlight w:val="none"/>
        </w:rPr>
      </w:pPr>
      <w:bookmarkStart w:id="87" w:name="_Toc446599317"/>
      <w:bookmarkStart w:id="88" w:name="_Toc294515577"/>
      <w:bookmarkStart w:id="89" w:name="_Toc293736060"/>
      <w:bookmarkStart w:id="90" w:name="_Toc293738998"/>
      <w:bookmarkStart w:id="91" w:name="_Toc293736017"/>
      <w:r>
        <w:rPr>
          <w:rFonts w:hint="eastAsia" w:ascii="仿宋" w:hAnsi="仿宋" w:eastAsia="仿宋" w:cs="仿宋"/>
          <w:color w:val="auto"/>
          <w:sz w:val="24"/>
          <w:highlight w:val="none"/>
        </w:rPr>
        <w:t>7.1质疑</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7.1.1供应商提出质疑应当符合以下条件：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如果供应商对此次采购活动有疑问，可依据《中华人民共和国政府采购法》等相关规定，在规定的时间内以书面形式向采购人或代理机构提出质疑。质疑书应当包括下列主要内容：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（1）质疑人的名称、地址、电话等；</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（2）质疑人法人签章和单位公章；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（3）具体的质疑事项及事实依据；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（4）明确的请求和必要合法来源的证明材料；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（5）以联合体形式参与资格预审的，则必须联合体各方共同签署、盖章；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（6）提起质疑的日期。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特注：未按上述程序规定的必备内容进行质疑的，采购人或代理机构将不予以受理。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7.1.4被质疑人应当在受理质疑后7个工作日内作出答复，并以书面形式通知质疑人和其他有关供应商，答复内容仅限于供应商所质疑的内容，不得涉及国家秘密和商业秘密。</w:t>
      </w:r>
    </w:p>
    <w:p>
      <w:pPr>
        <w:spacing w:line="360" w:lineRule="auto"/>
        <w:ind w:firstLine="480"/>
        <w:rPr>
          <w:rFonts w:hint="eastAsia" w:ascii="仿宋" w:hAnsi="仿宋" w:eastAsia="仿宋" w:cs="仿宋"/>
          <w:color w:val="auto"/>
          <w:sz w:val="24"/>
          <w:highlight w:val="none"/>
        </w:rPr>
      </w:pPr>
      <w:bookmarkStart w:id="92" w:name="_Toc450546725"/>
      <w:bookmarkStart w:id="93" w:name="_Toc456336161"/>
      <w:bookmarkStart w:id="94" w:name="_Toc483174929"/>
      <w:bookmarkStart w:id="95" w:name="_Toc9365"/>
      <w:r>
        <w:rPr>
          <w:rFonts w:hint="eastAsia" w:ascii="仿宋" w:hAnsi="仿宋" w:eastAsia="仿宋" w:cs="仿宋"/>
          <w:color w:val="auto"/>
          <w:sz w:val="24"/>
          <w:highlight w:val="none"/>
        </w:rPr>
        <w:t>7.2投诉</w:t>
      </w:r>
      <w:bookmarkEnd w:id="92"/>
      <w:bookmarkEnd w:id="93"/>
      <w:bookmarkEnd w:id="94"/>
      <w:bookmarkEnd w:id="95"/>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7.2.2投诉人提起投诉应符合以下条件：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(1)投诉人应是参与项目的供应商；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(2)投诉前已依法进行质疑；</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(3)投诉书内容必须符合国家相关法律、法规的规定；</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(4)在投诉有效期内；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(5)同一投诉事项未经处理的；</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GB"/>
        </w:rPr>
        <w:t>(6)</w:t>
      </w:r>
      <w:r>
        <w:rPr>
          <w:rFonts w:hint="eastAsia" w:ascii="仿宋" w:hAnsi="仿宋" w:eastAsia="仿宋" w:cs="仿宋"/>
          <w:color w:val="auto"/>
          <w:sz w:val="24"/>
          <w:highlight w:val="none"/>
        </w:rPr>
        <w:t>相关法律、法规和省级以上人民政府财政部门规定的其他条件。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7.2.3供应商投诉时，应当面提交投诉书，投诉书应当包括下列主要内容：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(1)投诉人的姓名或者名称、住所、联系方式及相关证明；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(2)被投诉人的名称、住所、联系方式；</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(3)具体的投诉事项、事实根据和法律依据；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(4)质疑和质疑答复情况及相关证明材料；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(5)提起投诉的日期。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投诉人为自然人的，应当由本人签字。投诉人为法人的，应当由其法定代表人签字并加盖单位公章。投诉人为其他组织的，应当由其主要负责人签字盖章并加盖单位公章。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7.2.4投诉人可以授权代理人办理投诉事务。代理人办理投诉事务时，除提交投诉书外，还应当向监督部门提交投诉人的授权委托书，授权委托书应当载明委托代理的具体权限和事项。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7.2.5投诉人不符合上述规定提起的投诉，政府采购监督部门不予受理。</w:t>
      </w:r>
    </w:p>
    <w:bookmarkEnd w:id="87"/>
    <w:bookmarkEnd w:id="88"/>
    <w:bookmarkEnd w:id="89"/>
    <w:bookmarkEnd w:id="90"/>
    <w:bookmarkEnd w:id="91"/>
    <w:p>
      <w:pPr>
        <w:pStyle w:val="41"/>
        <w:numPr>
          <w:ilvl w:val="2"/>
          <w:numId w:val="0"/>
        </w:numPr>
        <w:spacing w:line="360" w:lineRule="auto"/>
        <w:ind w:left="1260" w:leftChars="600" w:firstLine="1205" w:firstLineChars="400"/>
        <w:outlineLvl w:val="9"/>
        <w:rPr>
          <w:rFonts w:hint="eastAsia" w:ascii="仿宋" w:hAnsi="仿宋" w:eastAsia="仿宋" w:cs="仿宋"/>
          <w:b/>
          <w:bCs w:val="0"/>
          <w:color w:val="auto"/>
          <w:sz w:val="30"/>
          <w:szCs w:val="30"/>
          <w:highlight w:val="none"/>
        </w:rPr>
      </w:pPr>
    </w:p>
    <w:p>
      <w:pPr>
        <w:spacing w:line="360" w:lineRule="auto"/>
        <w:jc w:val="left"/>
        <w:rPr>
          <w:rFonts w:hint="eastAsia" w:ascii="仿宋" w:hAnsi="仿宋" w:eastAsia="仿宋" w:cs="仿宋"/>
          <w:color w:val="auto"/>
          <w:sz w:val="32"/>
          <w:szCs w:val="32"/>
          <w:highlight w:val="none"/>
        </w:rPr>
      </w:pPr>
    </w:p>
    <w:p>
      <w:pPr>
        <w:pStyle w:val="11"/>
        <w:rPr>
          <w:rFonts w:hint="eastAsia" w:ascii="仿宋" w:hAnsi="仿宋" w:eastAsia="仿宋" w:cs="仿宋"/>
          <w:color w:val="auto"/>
          <w:sz w:val="32"/>
          <w:szCs w:val="32"/>
          <w:highlight w:val="none"/>
        </w:rPr>
      </w:pPr>
    </w:p>
    <w:p>
      <w:pPr>
        <w:pStyle w:val="12"/>
        <w:rPr>
          <w:rFonts w:hint="eastAsia"/>
        </w:rPr>
      </w:pPr>
    </w:p>
    <w:p>
      <w:pPr>
        <w:pStyle w:val="11"/>
        <w:rPr>
          <w:rFonts w:hint="eastAsia" w:ascii="仿宋" w:hAnsi="仿宋" w:eastAsia="仿宋" w:cs="仿宋"/>
          <w:color w:val="auto"/>
          <w:sz w:val="32"/>
          <w:szCs w:val="32"/>
          <w:highlight w:val="none"/>
        </w:rPr>
      </w:pPr>
    </w:p>
    <w:p>
      <w:pPr>
        <w:pStyle w:val="3"/>
        <w:bidi w:val="0"/>
        <w:rPr>
          <w:rFonts w:hint="eastAsia"/>
          <w:lang w:val="en-US" w:eastAsia="zh-CN"/>
        </w:rPr>
      </w:pPr>
      <w:r>
        <w:rPr>
          <w:rFonts w:hint="eastAsia"/>
          <w:lang w:val="en-US" w:eastAsia="zh-CN"/>
        </w:rPr>
        <w:t>第三章 采购需求及技术要求</w:t>
      </w:r>
      <w:bookmarkStart w:id="96" w:name="_Toc7412"/>
    </w:p>
    <w:tbl>
      <w:tblPr>
        <w:tblStyle w:val="26"/>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350"/>
        <w:gridCol w:w="4204"/>
        <w:gridCol w:w="936"/>
        <w:gridCol w:w="906"/>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730" w:type="pct"/>
            <w:shd w:val="clear" w:color="auto" w:fill="auto"/>
            <w:vAlign w:val="center"/>
          </w:tcPr>
          <w:p>
            <w:pPr>
              <w:widowControl/>
              <w:jc w:val="center"/>
              <w:rPr>
                <w:rFonts w:hint="eastAsia" w:ascii="仿宋" w:hAnsi="仿宋" w:eastAsia="仿宋" w:cs="宋体"/>
                <w:b/>
                <w:bCs/>
                <w:color w:val="000000"/>
                <w:kern w:val="0"/>
                <w:sz w:val="24"/>
                <w:szCs w:val="24"/>
                <w:lang w:eastAsia="zh-CN"/>
              </w:rPr>
            </w:pPr>
            <w:r>
              <w:rPr>
                <w:rFonts w:hint="eastAsia" w:ascii="仿宋" w:hAnsi="仿宋" w:eastAsia="仿宋" w:cs="宋体"/>
                <w:b/>
                <w:bCs/>
                <w:color w:val="000000"/>
                <w:kern w:val="0"/>
                <w:sz w:val="24"/>
                <w:szCs w:val="24"/>
                <w:lang w:eastAsia="zh-CN"/>
              </w:rPr>
              <w:t>设备名称</w:t>
            </w:r>
          </w:p>
        </w:tc>
        <w:tc>
          <w:tcPr>
            <w:tcW w:w="2275"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配置参数</w:t>
            </w:r>
          </w:p>
        </w:tc>
        <w:tc>
          <w:tcPr>
            <w:tcW w:w="506"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49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319" w:type="pct"/>
            <w:gridSpan w:val="3"/>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一、机房设备</w:t>
            </w:r>
          </w:p>
        </w:tc>
        <w:tc>
          <w:tcPr>
            <w:tcW w:w="506"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49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服务器</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机架式服务器；2*3204/2*16G 原装内存/2*4T SATA/2G阵列卡/4*GE/2*550W</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313"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730"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智能数据交换终端（前置机）</w:t>
            </w:r>
          </w:p>
        </w:tc>
        <w:tc>
          <w:tcPr>
            <w:tcW w:w="2275"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提供与库点业务相适应的硬件设备，满足系统功能要求，按照省级平台对接规范，与省平台实现数据对接；</w:t>
            </w:r>
          </w:p>
        </w:tc>
        <w:tc>
          <w:tcPr>
            <w:tcW w:w="506"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网络交换机</w:t>
            </w:r>
          </w:p>
        </w:tc>
        <w:tc>
          <w:tcPr>
            <w:tcW w:w="2275" w:type="pct"/>
            <w:shd w:val="clear" w:color="auto" w:fill="auto"/>
            <w:vAlign w:val="center"/>
          </w:tcPr>
          <w:p>
            <w:pPr>
              <w:widowControl/>
              <w:rPr>
                <w:rFonts w:ascii="仿宋" w:hAnsi="仿宋" w:eastAsia="仿宋" w:cs="宋体"/>
                <w:color w:val="000000"/>
                <w:kern w:val="0"/>
                <w:sz w:val="21"/>
                <w:szCs w:val="21"/>
              </w:rPr>
            </w:pPr>
            <w:r>
              <w:rPr>
                <w:rFonts w:hint="eastAsia" w:ascii="仿宋" w:hAnsi="仿宋" w:eastAsia="仿宋" w:cs="宋体"/>
                <w:color w:val="000000"/>
                <w:kern w:val="0"/>
                <w:sz w:val="21"/>
                <w:szCs w:val="21"/>
              </w:rPr>
              <w:t>机架式设备，24个10/100/1000BASE-T以太网端口,4个千兆SFP,交流供电</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13"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4</w:t>
            </w:r>
          </w:p>
        </w:tc>
        <w:tc>
          <w:tcPr>
            <w:tcW w:w="730" w:type="pct"/>
            <w:shd w:val="clear" w:color="000000" w:fill="FFFFFF"/>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网络硬盘录像机</w:t>
            </w:r>
          </w:p>
        </w:tc>
        <w:tc>
          <w:tcPr>
            <w:tcW w:w="2275" w:type="pct"/>
            <w:shd w:val="clear" w:color="000000" w:fill="FFFFFF"/>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16路4盘位</w:t>
            </w:r>
          </w:p>
        </w:tc>
        <w:tc>
          <w:tcPr>
            <w:tcW w:w="506"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5</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监控硬盘</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xml:space="preserve">8T </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000000" w:fill="FFFFFF"/>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6</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标准机柜</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42U标准机柜</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8</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电脑</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主流品牌，配置不低于：处理器:Intel Core i5、内存:4G、128G SSD、 硬盘:500G、显示器:21.5英寸宽屏液晶显示器。</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9</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打印机</w:t>
            </w:r>
          </w:p>
        </w:tc>
        <w:tc>
          <w:tcPr>
            <w:tcW w:w="2275" w:type="pct"/>
            <w:shd w:val="clear" w:color="auto" w:fill="auto"/>
            <w:vAlign w:val="center"/>
          </w:tcPr>
          <w:p>
            <w:pPr>
              <w:widowControl/>
              <w:adjustRightInd w:val="0"/>
              <w:snapToGrid w:val="0"/>
              <w:jc w:val="center"/>
              <w:rPr>
                <w:rFonts w:ascii="仿宋" w:hAnsi="仿宋" w:eastAsia="仿宋" w:cs="宋体"/>
                <w:color w:val="000000"/>
                <w:kern w:val="0"/>
                <w:sz w:val="21"/>
                <w:szCs w:val="21"/>
              </w:rPr>
            </w:pPr>
            <w:r>
              <w:rPr>
                <w:rFonts w:ascii="仿宋" w:hAnsi="仿宋" w:eastAsia="仿宋" w:cs="宋体"/>
                <w:color w:val="000000"/>
                <w:kern w:val="0"/>
                <w:sz w:val="21"/>
                <w:szCs w:val="21"/>
              </w:rPr>
              <w:t>2.2 英寸 MGD 触摸屏（单色图形电源输入电压 200 至 240 VAC (+/- 10%)，50/60 Hz(+/- 3 Hz)</w:t>
            </w:r>
          </w:p>
          <w:p>
            <w:pPr>
              <w:widowControl/>
              <w:adjustRightInd w:val="0"/>
              <w:snapToGrid w:val="0"/>
              <w:ind w:right="720"/>
              <w:jc w:val="center"/>
              <w:rPr>
                <w:rFonts w:ascii="仿宋" w:hAnsi="仿宋" w:eastAsia="仿宋" w:cs="宋体"/>
                <w:color w:val="000000"/>
                <w:kern w:val="0"/>
                <w:sz w:val="21"/>
                <w:szCs w:val="21"/>
              </w:rPr>
            </w:pPr>
            <w:r>
              <w:rPr>
                <w:rFonts w:ascii="仿宋" w:hAnsi="仿宋" w:eastAsia="仿宋" w:cs="宋体"/>
                <w:color w:val="000000"/>
                <w:kern w:val="0"/>
                <w:sz w:val="21"/>
                <w:szCs w:val="21"/>
              </w:rPr>
              <w:t>功耗0.11 瓦（手动闭）、3.82 瓦（就绪）、0.71 瓦字发送性</w:t>
            </w:r>
          </w:p>
          <w:p>
            <w:pPr>
              <w:widowControl/>
              <w:adjustRightInd w:val="0"/>
              <w:snapToGrid w:val="0"/>
              <w:jc w:val="center"/>
              <w:rPr>
                <w:rFonts w:ascii="仿宋" w:hAnsi="仿宋" w:eastAsia="仿宋" w:cs="宋体"/>
                <w:color w:val="000000"/>
                <w:kern w:val="0"/>
                <w:sz w:val="21"/>
                <w:szCs w:val="21"/>
              </w:rPr>
            </w:pPr>
            <w:r>
              <w:rPr>
                <w:rFonts w:ascii="仿宋" w:hAnsi="仿宋" w:eastAsia="仿宋" w:cs="宋体"/>
                <w:color w:val="000000"/>
                <w:kern w:val="0"/>
                <w:sz w:val="21"/>
                <w:szCs w:val="21"/>
              </w:rPr>
              <w:t>日常扫描（扫描到 PDF）；HP Smar务 </w:t>
            </w:r>
          </w:p>
          <w:p>
            <w:pPr>
              <w:widowControl/>
              <w:adjustRightInd w:val="0"/>
              <w:snapToGrid w:val="0"/>
              <w:ind w:right="720"/>
              <w:jc w:val="center"/>
              <w:rPr>
                <w:rFonts w:ascii="仿宋" w:hAnsi="仿宋" w:eastAsia="仿宋" w:cs="宋体"/>
                <w:color w:val="000000"/>
                <w:kern w:val="0"/>
                <w:sz w:val="21"/>
                <w:szCs w:val="21"/>
              </w:rPr>
            </w:pPr>
            <w:r>
              <w:rPr>
                <w:rFonts w:ascii="仿宋" w:hAnsi="仿宋" w:eastAsia="仿宋" w:cs="宋体"/>
                <w:color w:val="000000"/>
                <w:kern w:val="0"/>
                <w:sz w:val="21"/>
                <w:szCs w:val="21"/>
              </w:rPr>
              <w:t>支持格式</w:t>
            </w:r>
          </w:p>
          <w:p>
            <w:pPr>
              <w:widowControl/>
              <w:adjustRightInd w:val="0"/>
              <w:snapToGrid w:val="0"/>
              <w:jc w:val="center"/>
              <w:rPr>
                <w:rFonts w:ascii="仿宋" w:hAnsi="仿宋" w:eastAsia="仿宋" w:cs="宋体"/>
                <w:color w:val="000000"/>
                <w:kern w:val="0"/>
                <w:sz w:val="21"/>
                <w:szCs w:val="21"/>
              </w:rPr>
            </w:pPr>
            <w:r>
              <w:rPr>
                <w:rFonts w:ascii="仿宋" w:hAnsi="仿宋" w:eastAsia="仿宋" w:cs="宋体"/>
                <w:color w:val="000000"/>
                <w:kern w:val="0"/>
                <w:sz w:val="21"/>
                <w:szCs w:val="21"/>
              </w:rPr>
              <w:t>BMP；PDF；JPGPNG；TIF </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10</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显示器</w:t>
            </w:r>
          </w:p>
        </w:tc>
        <w:tc>
          <w:tcPr>
            <w:tcW w:w="2275" w:type="pct"/>
            <w:shd w:val="clear" w:color="auto" w:fill="auto"/>
            <w:vAlign w:val="center"/>
          </w:tcPr>
          <w:p>
            <w:pPr>
              <w:widowControl/>
              <w:adjustRightInd w:val="0"/>
              <w:snapToGrid w:val="0"/>
              <w:jc w:val="center"/>
              <w:rPr>
                <w:rFonts w:hint="eastAsia" w:ascii="仿宋" w:hAnsi="仿宋" w:eastAsia="仿宋" w:cs="宋体"/>
                <w:color w:val="000000"/>
                <w:kern w:val="0"/>
                <w:sz w:val="21"/>
                <w:szCs w:val="21"/>
                <w:lang w:eastAsia="zh-CN"/>
              </w:rPr>
            </w:pPr>
            <w:r>
              <w:rPr>
                <w:rFonts w:hint="eastAsia" w:ascii="仿宋" w:hAnsi="仿宋" w:eastAsia="仿宋" w:cs="宋体"/>
                <w:color w:val="000000"/>
                <w:kern w:val="0"/>
                <w:sz w:val="21"/>
                <w:szCs w:val="21"/>
              </w:rPr>
              <w:t>显示屏</w:t>
            </w:r>
            <w:r>
              <w:rPr>
                <w:rFonts w:hint="eastAsia" w:ascii="仿宋" w:hAnsi="仿宋" w:eastAsia="仿宋" w:cs="宋体"/>
                <w:color w:val="000000"/>
                <w:kern w:val="0"/>
                <w:sz w:val="21"/>
                <w:szCs w:val="21"/>
                <w:lang w:eastAsia="zh-CN"/>
              </w:rPr>
              <w:t>：</w:t>
            </w:r>
          </w:p>
          <w:p>
            <w:pPr>
              <w:widowControl/>
              <w:numPr>
                <w:ilvl w:val="0"/>
                <w:numId w:val="5"/>
              </w:numPr>
              <w:adjustRightInd w:val="0"/>
              <w:snapToGrid w:val="0"/>
              <w:ind w:left="0"/>
              <w:jc w:val="both"/>
              <w:rPr>
                <w:rFonts w:ascii="仿宋" w:hAnsi="仿宋" w:eastAsia="仿宋" w:cs="宋体"/>
                <w:color w:val="000000"/>
                <w:kern w:val="0"/>
                <w:sz w:val="21"/>
                <w:szCs w:val="21"/>
              </w:rPr>
            </w:pPr>
            <w:r>
              <w:rPr>
                <w:rFonts w:hint="eastAsia" w:ascii="仿宋" w:hAnsi="仿宋" w:eastAsia="仿宋" w:cs="宋体"/>
                <w:color w:val="000000"/>
                <w:kern w:val="0"/>
                <w:sz w:val="21"/>
                <w:szCs w:val="21"/>
              </w:rPr>
              <w:t>屏幕尺寸50英寸级</w:t>
            </w:r>
          </w:p>
          <w:p>
            <w:pPr>
              <w:widowControl/>
              <w:numPr>
                <w:ilvl w:val="0"/>
                <w:numId w:val="5"/>
              </w:numPr>
              <w:adjustRightInd w:val="0"/>
              <w:snapToGrid w:val="0"/>
              <w:ind w:left="0"/>
              <w:jc w:val="both"/>
              <w:rPr>
                <w:rFonts w:ascii="仿宋" w:hAnsi="仿宋" w:eastAsia="仿宋" w:cs="宋体"/>
                <w:color w:val="000000"/>
                <w:kern w:val="0"/>
                <w:sz w:val="21"/>
                <w:szCs w:val="21"/>
              </w:rPr>
            </w:pPr>
            <w:r>
              <w:rPr>
                <w:rFonts w:hint="eastAsia" w:ascii="仿宋" w:hAnsi="仿宋" w:eastAsia="仿宋" w:cs="宋体"/>
                <w:color w:val="000000"/>
                <w:kern w:val="0"/>
                <w:sz w:val="21"/>
                <w:szCs w:val="21"/>
              </w:rPr>
              <w:t>分辨率3,840 x 2,160</w:t>
            </w:r>
          </w:p>
          <w:p>
            <w:pPr>
              <w:widowControl/>
              <w:adjustRightInd w:val="0"/>
              <w:snapToGrid w:val="0"/>
              <w:jc w:val="center"/>
              <w:rPr>
                <w:rFonts w:hint="eastAsia" w:ascii="仿宋" w:hAnsi="仿宋" w:eastAsia="仿宋" w:cs="宋体"/>
                <w:color w:val="000000"/>
                <w:kern w:val="0"/>
                <w:sz w:val="21"/>
                <w:szCs w:val="21"/>
                <w:lang w:eastAsia="zh-CN"/>
              </w:rPr>
            </w:pPr>
            <w:r>
              <w:rPr>
                <w:rFonts w:hint="eastAsia" w:ascii="仿宋" w:hAnsi="仿宋" w:eastAsia="仿宋" w:cs="宋体"/>
                <w:color w:val="000000"/>
                <w:kern w:val="0"/>
                <w:sz w:val="21"/>
                <w:szCs w:val="21"/>
              </w:rPr>
              <w:t>视频</w:t>
            </w:r>
            <w:r>
              <w:rPr>
                <w:rFonts w:hint="eastAsia" w:ascii="仿宋" w:hAnsi="仿宋" w:eastAsia="仿宋" w:cs="宋体"/>
                <w:color w:val="000000"/>
                <w:kern w:val="0"/>
                <w:sz w:val="21"/>
                <w:szCs w:val="21"/>
                <w:lang w:eastAsia="zh-CN"/>
              </w:rPr>
              <w:t>：</w:t>
            </w:r>
          </w:p>
          <w:p>
            <w:pPr>
              <w:widowControl/>
              <w:numPr>
                <w:ilvl w:val="0"/>
                <w:numId w:val="6"/>
              </w:numPr>
              <w:adjustRightInd w:val="0"/>
              <w:snapToGrid w:val="0"/>
              <w:ind w:left="0"/>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图像引擎量子点4K处理器Lite</w:t>
            </w:r>
          </w:p>
          <w:p>
            <w:pPr>
              <w:widowControl/>
              <w:numPr>
                <w:ilvl w:val="0"/>
                <w:numId w:val="0"/>
              </w:numPr>
              <w:adjustRightInd w:val="0"/>
              <w:snapToGrid w:val="0"/>
              <w:ind w:left="-360" w:leftChars="0"/>
              <w:jc w:val="both"/>
              <w:rPr>
                <w:rFonts w:ascii="仿宋" w:hAnsi="仿宋" w:eastAsia="仿宋" w:cs="宋体"/>
                <w:color w:val="000000"/>
                <w:kern w:val="0"/>
                <w:sz w:val="21"/>
                <w:szCs w:val="21"/>
              </w:rPr>
            </w:pP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319" w:type="pct"/>
            <w:gridSpan w:val="3"/>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二、粮情测控系统设备</w:t>
            </w:r>
          </w:p>
        </w:tc>
        <w:tc>
          <w:tcPr>
            <w:tcW w:w="506"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90"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82"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73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货物</w:t>
            </w:r>
          </w:p>
        </w:tc>
        <w:tc>
          <w:tcPr>
            <w:tcW w:w="2275"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配置参数</w:t>
            </w:r>
          </w:p>
        </w:tc>
        <w:tc>
          <w:tcPr>
            <w:tcW w:w="506"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49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3" w:type="pct"/>
            <w:vMerge w:val="restar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730" w:type="pct"/>
            <w:vMerge w:val="restar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粮情分机设备</w:t>
            </w:r>
          </w:p>
        </w:tc>
        <w:tc>
          <w:tcPr>
            <w:tcW w:w="2275" w:type="pct"/>
            <w:vMerge w:val="restart"/>
            <w:shd w:val="clear" w:color="auto" w:fill="auto"/>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2500吨仓房粮情</w:t>
            </w:r>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2500吨仓房粮情</w:t>
            </w:r>
          </w:p>
          <w:p>
            <w:pPr>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1500吨以下仓房粮情</w:t>
            </w:r>
          </w:p>
        </w:tc>
        <w:tc>
          <w:tcPr>
            <w:tcW w:w="506" w:type="pct"/>
            <w:vMerge w:val="restar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490" w:type="pct"/>
            <w:vMerge w:val="restar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和什粮站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 w:type="pct"/>
            <w:vMerge w:val="continue"/>
            <w:tcBorders>
              <w:bottom w:val="single" w:color="auto" w:sz="4" w:space="0"/>
            </w:tcBorders>
            <w:vAlign w:val="center"/>
          </w:tcPr>
          <w:p>
            <w:pPr>
              <w:widowControl/>
              <w:jc w:val="left"/>
              <w:rPr>
                <w:rFonts w:hint="eastAsia" w:ascii="仿宋" w:hAnsi="仿宋" w:eastAsia="仿宋" w:cs="仿宋"/>
                <w:color w:val="000000"/>
                <w:kern w:val="0"/>
                <w:sz w:val="21"/>
                <w:szCs w:val="21"/>
              </w:rPr>
            </w:pPr>
          </w:p>
        </w:tc>
        <w:tc>
          <w:tcPr>
            <w:tcW w:w="730" w:type="pct"/>
            <w:vMerge w:val="continue"/>
            <w:tcBorders>
              <w:bottom w:val="single" w:color="auto" w:sz="4" w:space="0"/>
            </w:tcBorders>
            <w:vAlign w:val="center"/>
          </w:tcPr>
          <w:p>
            <w:pPr>
              <w:widowControl/>
              <w:jc w:val="left"/>
              <w:rPr>
                <w:rFonts w:hint="eastAsia" w:ascii="仿宋" w:hAnsi="仿宋" w:eastAsia="仿宋" w:cs="仿宋"/>
                <w:color w:val="000000"/>
                <w:kern w:val="0"/>
                <w:sz w:val="21"/>
                <w:szCs w:val="21"/>
              </w:rPr>
            </w:pPr>
          </w:p>
        </w:tc>
        <w:tc>
          <w:tcPr>
            <w:tcW w:w="2275" w:type="pct"/>
            <w:vMerge w:val="continue"/>
            <w:tcBorders>
              <w:bottom w:val="single" w:color="auto" w:sz="4" w:space="0"/>
            </w:tcBorders>
            <w:shd w:val="clear" w:color="auto" w:fill="auto"/>
            <w:vAlign w:val="center"/>
          </w:tcPr>
          <w:p>
            <w:pPr>
              <w:jc w:val="left"/>
              <w:rPr>
                <w:rFonts w:hint="eastAsia" w:ascii="仿宋" w:hAnsi="仿宋" w:eastAsia="仿宋" w:cs="仿宋"/>
                <w:color w:val="000000"/>
                <w:kern w:val="0"/>
                <w:sz w:val="21"/>
                <w:szCs w:val="21"/>
              </w:rPr>
            </w:pPr>
          </w:p>
        </w:tc>
        <w:tc>
          <w:tcPr>
            <w:tcW w:w="506" w:type="pct"/>
            <w:vMerge w:val="continue"/>
            <w:tcBorders>
              <w:bottom w:val="single" w:color="auto" w:sz="4" w:space="0"/>
            </w:tcBorders>
            <w:shd w:val="clear" w:color="auto" w:fill="auto"/>
            <w:vAlign w:val="center"/>
          </w:tcPr>
          <w:p>
            <w:pPr>
              <w:jc w:val="center"/>
              <w:rPr>
                <w:rFonts w:hint="eastAsia" w:ascii="仿宋" w:hAnsi="仿宋" w:eastAsia="仿宋" w:cs="仿宋"/>
                <w:color w:val="000000"/>
                <w:kern w:val="0"/>
                <w:sz w:val="21"/>
                <w:szCs w:val="21"/>
              </w:rPr>
            </w:pPr>
          </w:p>
        </w:tc>
        <w:tc>
          <w:tcPr>
            <w:tcW w:w="490" w:type="pct"/>
            <w:vMerge w:val="continue"/>
            <w:tcBorders>
              <w:bottom w:val="single" w:color="auto" w:sz="4" w:space="0"/>
            </w:tcBorders>
            <w:shd w:val="clear" w:color="auto" w:fill="auto"/>
            <w:vAlign w:val="center"/>
          </w:tcPr>
          <w:p>
            <w:pPr>
              <w:jc w:val="center"/>
              <w:rPr>
                <w:rFonts w:hint="eastAsia" w:ascii="仿宋" w:hAnsi="仿宋" w:eastAsia="仿宋" w:cs="仿宋"/>
                <w:color w:val="000000"/>
                <w:kern w:val="0"/>
                <w:sz w:val="21"/>
                <w:szCs w:val="21"/>
              </w:rPr>
            </w:pPr>
          </w:p>
        </w:tc>
        <w:tc>
          <w:tcPr>
            <w:tcW w:w="682" w:type="pct"/>
            <w:tcBorders>
              <w:bottom w:val="single" w:color="auto" w:sz="4" w:space="0"/>
            </w:tcBorders>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夏孜盖粮站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730"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电脑</w:t>
            </w:r>
          </w:p>
        </w:tc>
        <w:tc>
          <w:tcPr>
            <w:tcW w:w="2275"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主流品牌，配置不低于：处理器:Intel Core i5、内存:4G、128G SSD、 硬盘:500G、显示器:21.5英寸宽屏液晶显示器。</w:t>
            </w:r>
          </w:p>
        </w:tc>
        <w:tc>
          <w:tcPr>
            <w:tcW w:w="506"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490"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台</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用于采集粮情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网络服务器</w:t>
            </w:r>
          </w:p>
        </w:tc>
        <w:tc>
          <w:tcPr>
            <w:tcW w:w="2275"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USR-TCP232-410s</w:t>
            </w: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7</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套</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温湿度传感器</w:t>
            </w:r>
          </w:p>
        </w:tc>
        <w:tc>
          <w:tcPr>
            <w:tcW w:w="2275"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WS-606</w:t>
            </w: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9</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支</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测温电缆</w:t>
            </w:r>
          </w:p>
        </w:tc>
        <w:tc>
          <w:tcPr>
            <w:tcW w:w="2275"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WGPV3</w:t>
            </w: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300</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根</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通道电缆</w:t>
            </w:r>
          </w:p>
        </w:tc>
        <w:tc>
          <w:tcPr>
            <w:tcW w:w="2275" w:type="pct"/>
            <w:shd w:val="clear" w:color="auto" w:fill="auto"/>
            <w:vAlign w:val="center"/>
          </w:tcPr>
          <w:p>
            <w:pPr>
              <w:spacing w:line="220" w:lineRule="atLeast"/>
              <w:jc w:val="center"/>
              <w:rPr>
                <w:rFonts w:hint="eastAsia" w:ascii="仿宋" w:hAnsi="仿宋" w:eastAsia="仿宋" w:cs="仿宋"/>
                <w:sz w:val="21"/>
                <w:szCs w:val="21"/>
              </w:rPr>
            </w:pP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1480</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米</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电源电缆</w:t>
            </w:r>
          </w:p>
        </w:tc>
        <w:tc>
          <w:tcPr>
            <w:tcW w:w="2275" w:type="pct"/>
            <w:shd w:val="clear" w:color="auto" w:fill="auto"/>
            <w:vAlign w:val="center"/>
          </w:tcPr>
          <w:p>
            <w:pPr>
              <w:spacing w:line="220" w:lineRule="atLeast"/>
              <w:jc w:val="center"/>
              <w:rPr>
                <w:rFonts w:hint="eastAsia" w:ascii="仿宋" w:hAnsi="仿宋" w:eastAsia="仿宋" w:cs="仿宋"/>
                <w:sz w:val="21"/>
                <w:szCs w:val="21"/>
              </w:rPr>
            </w:pP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270</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米</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控制箱</w:t>
            </w:r>
          </w:p>
        </w:tc>
        <w:tc>
          <w:tcPr>
            <w:tcW w:w="2275" w:type="pct"/>
            <w:shd w:val="clear" w:color="auto" w:fill="auto"/>
            <w:vAlign w:val="center"/>
          </w:tcPr>
          <w:p>
            <w:pPr>
              <w:spacing w:line="220" w:lineRule="atLeast"/>
              <w:jc w:val="center"/>
              <w:rPr>
                <w:rFonts w:hint="eastAsia" w:ascii="仿宋" w:hAnsi="仿宋" w:eastAsia="仿宋" w:cs="仿宋"/>
                <w:sz w:val="21"/>
                <w:szCs w:val="21"/>
              </w:rPr>
            </w:pP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7</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套</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3" w:type="pct"/>
            <w:shd w:val="clear" w:color="auto" w:fill="auto"/>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730" w:type="pct"/>
            <w:shd w:val="clear" w:color="auto" w:fill="auto"/>
            <w:vAlign w:val="center"/>
          </w:tcPr>
          <w:p>
            <w:pPr>
              <w:spacing w:line="220" w:lineRule="atLeast"/>
              <w:jc w:val="center"/>
              <w:rPr>
                <w:rFonts w:hint="eastAsia" w:ascii="仿宋" w:hAnsi="仿宋" w:eastAsia="仿宋" w:cs="仿宋"/>
                <w:sz w:val="21"/>
                <w:szCs w:val="21"/>
              </w:rPr>
            </w:pPr>
            <w:r>
              <w:rPr>
                <w:rFonts w:hint="eastAsia" w:ascii="仿宋" w:hAnsi="仿宋" w:eastAsia="仿宋" w:cs="仿宋"/>
                <w:sz w:val="21"/>
                <w:szCs w:val="21"/>
              </w:rPr>
              <w:t>打印机</w:t>
            </w:r>
          </w:p>
        </w:tc>
        <w:tc>
          <w:tcPr>
            <w:tcW w:w="2275" w:type="pct"/>
            <w:shd w:val="clear" w:color="auto" w:fill="auto"/>
            <w:vAlign w:val="center"/>
          </w:tcPr>
          <w:p>
            <w:pPr>
              <w:spacing w:line="220" w:lineRule="atLeast"/>
              <w:jc w:val="center"/>
              <w:rPr>
                <w:rFonts w:hint="eastAsia" w:ascii="仿宋" w:hAnsi="仿宋" w:eastAsia="仿宋" w:cs="仿宋"/>
                <w:sz w:val="21"/>
                <w:szCs w:val="21"/>
              </w:rPr>
            </w:pPr>
          </w:p>
        </w:tc>
        <w:tc>
          <w:tcPr>
            <w:tcW w:w="506"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490" w:type="pct"/>
            <w:shd w:val="clear" w:color="auto" w:fill="auto"/>
            <w:vAlign w:val="center"/>
          </w:tcPr>
          <w:p>
            <w:pPr>
              <w:pStyle w:val="48"/>
              <w:adjustRightInd w:val="0"/>
              <w:snapToGrid w:val="0"/>
              <w:spacing w:line="26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台</w:t>
            </w:r>
          </w:p>
        </w:tc>
        <w:tc>
          <w:tcPr>
            <w:tcW w:w="682" w:type="pct"/>
            <w:shd w:val="clear" w:color="auto" w:fill="auto"/>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319" w:type="pct"/>
            <w:gridSpan w:val="3"/>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三、安防监控系统设备</w:t>
            </w:r>
          </w:p>
        </w:tc>
        <w:tc>
          <w:tcPr>
            <w:tcW w:w="506"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90"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73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货物</w:t>
            </w:r>
          </w:p>
        </w:tc>
        <w:tc>
          <w:tcPr>
            <w:tcW w:w="2275"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配置参数</w:t>
            </w:r>
          </w:p>
        </w:tc>
        <w:tc>
          <w:tcPr>
            <w:tcW w:w="506"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49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730"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仓内防熏蒸白光球机</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室内吊装</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8</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730"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红外半球</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壁装</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left"/>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730"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红外枪机</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壁装</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left"/>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4</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球机支架</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14</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个</w:t>
            </w:r>
          </w:p>
        </w:tc>
        <w:tc>
          <w:tcPr>
            <w:tcW w:w="682" w:type="pct"/>
            <w:shd w:val="clear" w:color="auto" w:fill="auto"/>
            <w:vAlign w:val="center"/>
          </w:tcPr>
          <w:p>
            <w:pPr>
              <w:widowControl/>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5</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光纤收发器</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千兆单模单纤光纤收发器</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19</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只</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p>
            <w:pPr>
              <w:widowControl/>
              <w:jc w:val="center"/>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6</w:t>
            </w:r>
          </w:p>
        </w:tc>
        <w:tc>
          <w:tcPr>
            <w:tcW w:w="730" w:type="pct"/>
            <w:shd w:val="clear" w:color="auto" w:fill="auto"/>
            <w:vAlign w:val="center"/>
          </w:tcPr>
          <w:p>
            <w:pPr>
              <w:widowControl/>
              <w:adjustRightInd w:val="0"/>
              <w:snapToGrid w:val="0"/>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交换机</w:t>
            </w:r>
          </w:p>
        </w:tc>
        <w:tc>
          <w:tcPr>
            <w:tcW w:w="2275" w:type="pct"/>
            <w:shd w:val="clear" w:color="auto" w:fill="auto"/>
            <w:vAlign w:val="center"/>
          </w:tcPr>
          <w:p>
            <w:pPr>
              <w:widowControl/>
              <w:adjustRightInd w:val="0"/>
              <w:snapToGrid w:val="0"/>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含DC电源，千兆SFP光工业级模块，单模双纤，LC接口，20km,波长1310nm*2</w:t>
            </w:r>
          </w:p>
        </w:tc>
        <w:tc>
          <w:tcPr>
            <w:tcW w:w="506" w:type="pct"/>
            <w:shd w:val="clear" w:color="auto" w:fill="auto"/>
            <w:vAlign w:val="center"/>
          </w:tcPr>
          <w:p>
            <w:pPr>
              <w:widowControl/>
              <w:adjustRightInd w:val="0"/>
              <w:snapToGrid w:val="0"/>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5</w:t>
            </w:r>
          </w:p>
        </w:tc>
        <w:tc>
          <w:tcPr>
            <w:tcW w:w="490" w:type="pct"/>
            <w:shd w:val="clear" w:color="auto" w:fill="auto"/>
            <w:vAlign w:val="center"/>
          </w:tcPr>
          <w:p>
            <w:pPr>
              <w:widowControl/>
              <w:adjustRightInd w:val="0"/>
              <w:snapToGrid w:val="0"/>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7</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工业以太网交换机</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L2+模块化网管工业级POE千兆4光12电，导轨式-DC48~57V，AF/AT/BT供电标准供电-宽温（-40℃-85℃）-支持1588时钟协议-支持环网-WEB/CLI管理-SNMP-VLAN-CE-FCC-RoHS-公安部检验报告-工信部入网许可证。含DC电源，千兆SFP光工业级模块，单模双纤，LC接口，20km,波长1310nm*2</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7</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台</w:t>
            </w:r>
          </w:p>
        </w:tc>
        <w:tc>
          <w:tcPr>
            <w:tcW w:w="682"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8</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光纤</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4芯单模光缆，铠装敷设，空中飞线+钢丝</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1400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米</w:t>
            </w:r>
          </w:p>
        </w:tc>
        <w:tc>
          <w:tcPr>
            <w:tcW w:w="682" w:type="pct"/>
            <w:shd w:val="clear" w:color="auto" w:fill="auto"/>
            <w:vAlign w:val="center"/>
          </w:tcPr>
          <w:p>
            <w:pPr>
              <w:widowControl/>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9</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网线</w:t>
            </w:r>
          </w:p>
        </w:tc>
        <w:tc>
          <w:tcPr>
            <w:tcW w:w="2275" w:type="pct"/>
            <w:shd w:val="clear" w:color="auto" w:fill="auto"/>
            <w:vAlign w:val="center"/>
          </w:tcPr>
          <w:p>
            <w:pPr>
              <w:widowControl/>
              <w:rPr>
                <w:rFonts w:ascii="仿宋" w:hAnsi="仿宋" w:eastAsia="仿宋" w:cs="宋体"/>
                <w:color w:val="000000"/>
                <w:kern w:val="0"/>
                <w:sz w:val="21"/>
                <w:szCs w:val="21"/>
              </w:rPr>
            </w:pPr>
            <w:r>
              <w:rPr>
                <w:rFonts w:hint="eastAsia" w:ascii="仿宋" w:hAnsi="仿宋" w:eastAsia="仿宋" w:cs="宋体"/>
                <w:color w:val="000000"/>
                <w:kern w:val="0"/>
                <w:sz w:val="21"/>
                <w:szCs w:val="21"/>
              </w:rPr>
              <w:t>CAT5e</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1440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米</w:t>
            </w:r>
          </w:p>
        </w:tc>
        <w:tc>
          <w:tcPr>
            <w:tcW w:w="682" w:type="pct"/>
            <w:shd w:val="clear" w:color="auto" w:fill="auto"/>
            <w:vAlign w:val="center"/>
          </w:tcPr>
          <w:p>
            <w:pPr>
              <w:widowControl/>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10</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6米立杆</w:t>
            </w:r>
          </w:p>
        </w:tc>
        <w:tc>
          <w:tcPr>
            <w:tcW w:w="2275" w:type="pct"/>
            <w:shd w:val="clear" w:color="auto" w:fill="auto"/>
            <w:vAlign w:val="center"/>
          </w:tcPr>
          <w:p>
            <w:pPr>
              <w:widowControl/>
              <w:rPr>
                <w:rFonts w:ascii="仿宋" w:hAnsi="仿宋" w:eastAsia="仿宋" w:cs="宋体"/>
                <w:color w:val="000000"/>
                <w:kern w:val="0"/>
                <w:sz w:val="21"/>
                <w:szCs w:val="21"/>
              </w:rPr>
            </w:pP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根</w:t>
            </w:r>
          </w:p>
        </w:tc>
        <w:tc>
          <w:tcPr>
            <w:tcW w:w="682" w:type="pct"/>
            <w:shd w:val="clear" w:color="auto" w:fill="auto"/>
            <w:vAlign w:val="center"/>
          </w:tcPr>
          <w:p>
            <w:pPr>
              <w:widowControl/>
              <w:jc w:val="center"/>
              <w:rPr>
                <w:rFonts w:ascii="仿宋" w:hAnsi="仿宋" w:eastAsia="仿宋" w:cs="宋体"/>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11</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电源线</w:t>
            </w:r>
          </w:p>
        </w:tc>
        <w:tc>
          <w:tcPr>
            <w:tcW w:w="2275" w:type="pct"/>
            <w:shd w:val="clear" w:color="auto" w:fill="auto"/>
            <w:vAlign w:val="center"/>
          </w:tcPr>
          <w:p>
            <w:pPr>
              <w:widowControl/>
              <w:rPr>
                <w:rFonts w:ascii="仿宋" w:hAnsi="仿宋" w:eastAsia="仿宋" w:cs="宋体"/>
                <w:color w:val="000000"/>
                <w:kern w:val="0"/>
                <w:sz w:val="21"/>
                <w:szCs w:val="21"/>
              </w:rPr>
            </w:pPr>
            <w:r>
              <w:rPr>
                <w:rFonts w:hint="eastAsia" w:ascii="仿宋" w:hAnsi="仿宋" w:eastAsia="仿宋" w:cs="宋体"/>
                <w:color w:val="000000"/>
                <w:kern w:val="0"/>
                <w:sz w:val="21"/>
                <w:szCs w:val="21"/>
              </w:rPr>
              <w:t>2*2.5</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500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米</w:t>
            </w:r>
          </w:p>
        </w:tc>
        <w:tc>
          <w:tcPr>
            <w:tcW w:w="682" w:type="pct"/>
            <w:shd w:val="clear" w:color="auto" w:fill="auto"/>
            <w:vAlign w:val="center"/>
          </w:tcPr>
          <w:p>
            <w:pPr>
              <w:widowControl/>
              <w:jc w:val="center"/>
              <w:rPr>
                <w:rFonts w:ascii="仿宋" w:hAnsi="仿宋" w:eastAsia="仿宋" w:cs="宋体"/>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12</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硬化路面开沟回填</w:t>
            </w:r>
          </w:p>
        </w:tc>
        <w:tc>
          <w:tcPr>
            <w:tcW w:w="2275" w:type="pct"/>
            <w:shd w:val="clear" w:color="auto" w:fill="auto"/>
            <w:vAlign w:val="center"/>
          </w:tcPr>
          <w:p>
            <w:pPr>
              <w:widowControl/>
              <w:rPr>
                <w:rFonts w:ascii="仿宋" w:hAnsi="仿宋" w:eastAsia="仿宋" w:cs="宋体"/>
                <w:color w:val="000000"/>
                <w:kern w:val="0"/>
                <w:sz w:val="21"/>
                <w:szCs w:val="21"/>
              </w:rPr>
            </w:pP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30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米</w:t>
            </w:r>
          </w:p>
        </w:tc>
        <w:tc>
          <w:tcPr>
            <w:tcW w:w="682" w:type="pct"/>
            <w:shd w:val="clear" w:color="auto" w:fill="auto"/>
            <w:vAlign w:val="center"/>
          </w:tcPr>
          <w:p>
            <w:pPr>
              <w:widowControl/>
              <w:jc w:val="center"/>
              <w:rPr>
                <w:rFonts w:ascii="仿宋" w:hAnsi="仿宋" w:eastAsia="仿宋" w:cs="宋体"/>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13</w:t>
            </w:r>
          </w:p>
        </w:tc>
        <w:tc>
          <w:tcPr>
            <w:tcW w:w="730" w:type="pct"/>
            <w:shd w:val="clear" w:color="auto" w:fill="auto"/>
            <w:vAlign w:val="center"/>
          </w:tcPr>
          <w:p>
            <w:pPr>
              <w:widowControl/>
              <w:rPr>
                <w:rFonts w:ascii="仿宋" w:hAnsi="仿宋" w:eastAsia="仿宋" w:cs="宋体"/>
                <w:color w:val="000000"/>
                <w:kern w:val="0"/>
                <w:sz w:val="21"/>
                <w:szCs w:val="21"/>
              </w:rPr>
            </w:pPr>
            <w:r>
              <w:rPr>
                <w:rFonts w:hint="eastAsia" w:ascii="仿宋" w:hAnsi="仿宋" w:eastAsia="仿宋" w:cs="宋体"/>
                <w:color w:val="000000"/>
                <w:kern w:val="0"/>
                <w:sz w:val="21"/>
                <w:szCs w:val="21"/>
              </w:rPr>
              <w:t>绿化带开沟回填</w:t>
            </w:r>
          </w:p>
        </w:tc>
        <w:tc>
          <w:tcPr>
            <w:tcW w:w="2275" w:type="pct"/>
            <w:shd w:val="clear" w:color="auto" w:fill="auto"/>
            <w:vAlign w:val="center"/>
          </w:tcPr>
          <w:p>
            <w:pPr>
              <w:widowControl/>
              <w:rPr>
                <w:rFonts w:ascii="仿宋" w:hAnsi="仿宋" w:eastAsia="仿宋" w:cs="宋体"/>
                <w:color w:val="000000"/>
                <w:kern w:val="0"/>
                <w:sz w:val="21"/>
                <w:szCs w:val="21"/>
              </w:rPr>
            </w:pP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90</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米</w:t>
            </w:r>
          </w:p>
        </w:tc>
        <w:tc>
          <w:tcPr>
            <w:tcW w:w="682" w:type="pct"/>
            <w:shd w:val="clear" w:color="auto" w:fill="auto"/>
            <w:vAlign w:val="center"/>
          </w:tcPr>
          <w:p>
            <w:pPr>
              <w:widowControl/>
              <w:jc w:val="center"/>
              <w:rPr>
                <w:rFonts w:ascii="仿宋" w:hAnsi="仿宋" w:eastAsia="仿宋" w:cs="宋体"/>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14</w:t>
            </w:r>
          </w:p>
        </w:tc>
        <w:tc>
          <w:tcPr>
            <w:tcW w:w="73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辅材</w:t>
            </w:r>
          </w:p>
        </w:tc>
        <w:tc>
          <w:tcPr>
            <w:tcW w:w="2275"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506"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批</w:t>
            </w:r>
          </w:p>
        </w:tc>
        <w:tc>
          <w:tcPr>
            <w:tcW w:w="682" w:type="pct"/>
            <w:shd w:val="clear" w:color="auto" w:fill="auto"/>
            <w:vAlign w:val="center"/>
          </w:tcPr>
          <w:p>
            <w:pPr>
              <w:widowControl/>
              <w:jc w:val="center"/>
              <w:rPr>
                <w:rFonts w:ascii="仿宋" w:hAnsi="仿宋" w:eastAsia="仿宋" w:cs="宋体"/>
                <w:b/>
                <w:bCs/>
                <w:color w:val="000000"/>
                <w:kern w:val="0"/>
                <w:sz w:val="21"/>
                <w:szCs w:val="21"/>
              </w:rPr>
            </w:pPr>
            <w:r>
              <w:rPr>
                <w:rFonts w:hint="eastAsia" w:ascii="仿宋" w:hAnsi="仿宋" w:eastAsia="仿宋" w:cs="宋体"/>
                <w:b/>
                <w:bCs/>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319" w:type="pct"/>
            <w:gridSpan w:val="3"/>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四、软件平台</w:t>
            </w:r>
          </w:p>
        </w:tc>
        <w:tc>
          <w:tcPr>
            <w:tcW w:w="506"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90" w:type="pc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13"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73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货物</w:t>
            </w:r>
          </w:p>
        </w:tc>
        <w:tc>
          <w:tcPr>
            <w:tcW w:w="2275"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配置参数</w:t>
            </w:r>
          </w:p>
        </w:tc>
        <w:tc>
          <w:tcPr>
            <w:tcW w:w="506"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490"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682" w:type="pct"/>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313"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730"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智能粮库管理系统</w:t>
            </w:r>
          </w:p>
        </w:tc>
        <w:tc>
          <w:tcPr>
            <w:tcW w:w="2275"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1、完成7个仓房的粮情采集接入；</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2、完成7个仓房的仓内视频的接入；</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3、实现与省级平台的数据对接，满足自治区智能粮库管理的要求。</w:t>
            </w:r>
          </w:p>
        </w:tc>
        <w:tc>
          <w:tcPr>
            <w:tcW w:w="506" w:type="pct"/>
            <w:shd w:val="clear" w:color="auto" w:fill="auto"/>
            <w:vAlign w:val="center"/>
          </w:tcPr>
          <w:p>
            <w:pPr>
              <w:widowControl/>
              <w:jc w:val="right"/>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490" w:type="pct"/>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682" w:type="pct"/>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bl>
    <w:p>
      <w:pPr>
        <w:pStyle w:val="2"/>
        <w:rPr>
          <w:rFonts w:hint="eastAsia"/>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3"/>
        <w:numPr>
          <w:ilvl w:val="0"/>
          <w:numId w:val="0"/>
        </w:numPr>
        <w:bidi w:val="0"/>
        <w:jc w:val="center"/>
        <w:rPr>
          <w:rFonts w:hint="eastAsia" w:ascii="仿宋" w:hAnsi="仿宋" w:eastAsia="仿宋" w:cs="仿宋"/>
          <w:color w:val="auto"/>
          <w:highlight w:val="none"/>
        </w:rPr>
      </w:pPr>
      <w:r>
        <w:rPr>
          <w:rFonts w:hint="eastAsia"/>
          <w:color w:val="auto"/>
          <w:lang w:val="en-US" w:eastAsia="zh-CN"/>
        </w:rPr>
        <w:t>第四章 详细评审</w:t>
      </w:r>
      <w:bookmarkEnd w:id="96"/>
    </w:p>
    <w:p>
      <w:pPr>
        <w:spacing w:line="360" w:lineRule="auto"/>
        <w:jc w:val="left"/>
        <w:outlineLvl w:val="1"/>
        <w:rPr>
          <w:rFonts w:hint="eastAsia" w:ascii="仿宋" w:hAnsi="仿宋" w:eastAsia="仿宋" w:cs="仿宋"/>
          <w:b/>
          <w:bCs/>
          <w:color w:val="auto"/>
          <w:sz w:val="24"/>
          <w:szCs w:val="22"/>
          <w:highlight w:val="none"/>
        </w:rPr>
      </w:pPr>
      <w:bookmarkStart w:id="97" w:name="_Toc23270"/>
      <w:r>
        <w:rPr>
          <w:rFonts w:hint="eastAsia" w:ascii="仿宋" w:hAnsi="仿宋" w:eastAsia="仿宋" w:cs="仿宋"/>
          <w:b/>
          <w:bCs/>
          <w:color w:val="auto"/>
          <w:sz w:val="24"/>
          <w:szCs w:val="22"/>
          <w:highlight w:val="none"/>
        </w:rPr>
        <w:t>1</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rPr>
        <w:t>资格性审查</w:t>
      </w:r>
      <w:bookmarkEnd w:id="97"/>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2791" w:type="dxa"/>
            <w:gridSpan w:val="4"/>
            <w:tcBorders>
              <w:top w:val="single" w:color="auto" w:sz="12" w:space="0"/>
              <w:left w:val="single" w:color="auto" w:sz="4" w:space="0"/>
              <w:bottom w:val="single" w:color="auto"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778" w:type="dxa"/>
            <w:tcBorders>
              <w:top w:val="single" w:color="auto" w:sz="4" w:space="0"/>
              <w:left w:val="single" w:color="auto" w:sz="4" w:space="0"/>
              <w:right w:val="single" w:color="auto" w:sz="4" w:space="0"/>
            </w:tcBorders>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8" w:type="dxa"/>
            <w:tcBorders>
              <w:top w:val="single" w:color="auto" w:sz="4" w:space="0"/>
              <w:left w:val="single" w:color="auto" w:sz="4" w:space="0"/>
            </w:tcBorders>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8"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57"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415" w:type="dxa"/>
            <w:tcBorders>
              <w:right w:val="single" w:color="auto" w:sz="4" w:space="0"/>
            </w:tcBorders>
            <w:vAlign w:val="center"/>
          </w:tcPr>
          <w:p>
            <w:pPr>
              <w:pStyle w:val="2"/>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有效的工商营业执照、税务登记证、组织机构代码证或“三证合一”的营业执照；</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sz w:val="24"/>
                <w:szCs w:val="24"/>
                <w:lang w:val="en-US" w:eastAsia="zh-CN"/>
              </w:rPr>
              <w:t>法人代表或其委托代理人应携带本人身份证原件及复印件，委托代理人还应携带《法人代表授权委托书》；</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15" w:type="dxa"/>
            <w:tcBorders>
              <w:right w:val="single" w:color="auto" w:sz="4" w:space="0"/>
            </w:tcBorders>
            <w:vAlign w:val="center"/>
          </w:tcPr>
          <w:p>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由第三方会计师事务所出具的近三年（201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年度）任</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年财务审计报告（复印件或扫描件加盖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公章）或银行出具的资信证明（开标前3个月内开具的）</w:t>
            </w:r>
            <w:r>
              <w:rPr>
                <w:rFonts w:hint="eastAsia" w:ascii="仿宋" w:hAnsi="仿宋" w:eastAsia="仿宋" w:cs="仿宋"/>
                <w:color w:val="auto"/>
                <w:sz w:val="24"/>
              </w:rPr>
              <w:t>，新成立企业可提供当年的验资报告（复印件或扫描件加盖供应商公章）</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15" w:type="dxa"/>
            <w:tcBorders>
              <w:right w:val="single" w:color="auto" w:sz="4" w:space="0"/>
            </w:tcBorders>
            <w:vAlign w:val="center"/>
          </w:tcPr>
          <w:p>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具有履行合同所必需的设备和专业技术能力</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415" w:type="dxa"/>
            <w:tcBorders>
              <w:right w:val="single" w:color="auto" w:sz="4" w:space="0"/>
            </w:tcBorders>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社会保障资金证明须提供参加本次项目近</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个月中任意月的（费用月份、缴费年月为</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月，非记账、转账或打印时间）的缴纳社会保障资金的入账票据凭证复印件，并加盖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p>
          <w:p>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纳税证明须提供参加本次项目近</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个月任意月的（所属时期、日期为202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月，非记账、转账或打印时间）的有效票据凭证复印件，并加盖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公章。如近</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个月未达到应缴税标准，须提供相应说明及证明材料（如：增</w:t>
            </w:r>
            <w:r>
              <w:rPr>
                <w:rFonts w:hint="eastAsia" w:ascii="仿宋" w:hAnsi="仿宋" w:eastAsia="仿宋" w:cs="仿宋"/>
                <w:color w:val="auto"/>
                <w:sz w:val="24"/>
                <w:szCs w:val="24"/>
              </w:rPr>
              <w:t>值税纳税申报表），并加盖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sz w:val="24"/>
                <w:szCs w:val="24"/>
                <w:lang w:val="en-US" w:eastAsia="zh-CN"/>
              </w:rPr>
              <w:t>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sz w:val="24"/>
                <w:szCs w:val="24"/>
                <w:lang w:val="en-US" w:eastAsia="zh-CN"/>
              </w:rPr>
              <w:t>单位负责人为同一人或者存在直接控股、管理关系的不同供应商，不得参加同一合同项下的政府采购活动；</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sz w:val="24"/>
                <w:szCs w:val="24"/>
                <w:lang w:val="en-US" w:eastAsia="zh-CN"/>
              </w:rPr>
              <w:t>为采购项目提供整体设计、规范编制或者项目管理、监理、检测等服务的供应商，不得再参加该采购项目的其他采购活动；</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Times New Roman"/>
                <w:color w:val="auto"/>
                <w:sz w:val="24"/>
                <w:szCs w:val="24"/>
                <w:lang w:val="en-US" w:eastAsia="zh-CN"/>
              </w:rPr>
              <w:t>本项目不接受联合体投标；</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415" w:type="dxa"/>
            <w:tcBorders>
              <w:right w:val="single" w:color="auto" w:sz="4" w:space="0"/>
            </w:tcBorders>
            <w:vAlign w:val="center"/>
          </w:tcPr>
          <w:p>
            <w:pPr>
              <w:pStyle w:val="2"/>
              <w:numPr>
                <w:ilvl w:val="0"/>
                <w:numId w:val="0"/>
              </w:numPr>
              <w:spacing w:line="360" w:lineRule="auto"/>
              <w:ind w:left="0" w:leftChars="0" w:firstLine="0" w:firstLineChars="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sz w:val="24"/>
                <w:szCs w:val="24"/>
                <w:lang w:val="en-US" w:eastAsia="zh-CN"/>
              </w:rPr>
              <w:t>磋商保证金凭证</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6415" w:type="dxa"/>
            <w:tcBorders>
              <w:right w:val="single" w:color="auto" w:sz="4" w:space="0"/>
            </w:tcBorders>
            <w:vAlign w:val="center"/>
          </w:tcPr>
          <w:p>
            <w:pPr>
              <w:pStyle w:val="2"/>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法律、行政法规规定的其他条件。</w:t>
            </w:r>
          </w:p>
        </w:tc>
        <w:tc>
          <w:tcPr>
            <w:tcW w:w="778" w:type="dxa"/>
            <w:tcBorders>
              <w:left w:val="single" w:color="auto" w:sz="4" w:space="0"/>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24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24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w:t>
            </w:r>
          </w:p>
        </w:tc>
        <w:tc>
          <w:tcPr>
            <w:tcW w:w="778" w:type="dxa"/>
            <w:tcBorders>
              <w:left w:val="single" w:color="auto" w:sz="4" w:space="0"/>
              <w:bottom w:val="single" w:color="auto" w:sz="12" w:space="0"/>
              <w:right w:val="single" w:color="auto" w:sz="4" w:space="0"/>
            </w:tcBorders>
          </w:tcPr>
          <w:p>
            <w:pPr>
              <w:spacing w:line="240" w:lineRule="auto"/>
              <w:jc w:val="left"/>
              <w:rPr>
                <w:rFonts w:hint="eastAsia" w:ascii="仿宋" w:hAnsi="仿宋" w:eastAsia="仿宋" w:cs="仿宋"/>
                <w:color w:val="auto"/>
                <w:sz w:val="24"/>
                <w:szCs w:val="24"/>
                <w:highlight w:val="none"/>
              </w:rPr>
            </w:pPr>
          </w:p>
        </w:tc>
        <w:tc>
          <w:tcPr>
            <w:tcW w:w="778" w:type="dxa"/>
            <w:tcBorders>
              <w:left w:val="single" w:color="auto" w:sz="4" w:space="0"/>
              <w:bottom w:val="single" w:color="auto" w:sz="12" w:space="0"/>
            </w:tcBorders>
          </w:tcPr>
          <w:p>
            <w:pPr>
              <w:spacing w:line="240" w:lineRule="auto"/>
              <w:jc w:val="left"/>
              <w:rPr>
                <w:rFonts w:hint="eastAsia" w:ascii="仿宋" w:hAnsi="仿宋" w:eastAsia="仿宋" w:cs="仿宋"/>
                <w:color w:val="auto"/>
                <w:sz w:val="24"/>
                <w:szCs w:val="24"/>
                <w:highlight w:val="none"/>
              </w:rPr>
            </w:pPr>
          </w:p>
        </w:tc>
        <w:tc>
          <w:tcPr>
            <w:tcW w:w="778" w:type="dxa"/>
            <w:tcBorders>
              <w:bottom w:val="single" w:color="auto" w:sz="12" w:space="0"/>
            </w:tcBorders>
          </w:tcPr>
          <w:p>
            <w:pPr>
              <w:spacing w:line="240" w:lineRule="auto"/>
              <w:jc w:val="left"/>
              <w:rPr>
                <w:rFonts w:hint="eastAsia" w:ascii="仿宋" w:hAnsi="仿宋" w:eastAsia="仿宋" w:cs="仿宋"/>
                <w:color w:val="auto"/>
                <w:sz w:val="24"/>
                <w:szCs w:val="24"/>
                <w:highlight w:val="none"/>
              </w:rPr>
            </w:pPr>
          </w:p>
        </w:tc>
        <w:tc>
          <w:tcPr>
            <w:tcW w:w="457" w:type="dxa"/>
            <w:tcBorders>
              <w:bottom w:val="single" w:color="auto" w:sz="12" w:space="0"/>
            </w:tcBorders>
          </w:tcPr>
          <w:p>
            <w:pPr>
              <w:spacing w:line="240" w:lineRule="auto"/>
              <w:jc w:val="left"/>
              <w:rPr>
                <w:rFonts w:hint="eastAsia" w:ascii="仿宋" w:hAnsi="仿宋" w:eastAsia="仿宋" w:cs="仿宋"/>
                <w:color w:val="auto"/>
                <w:sz w:val="24"/>
                <w:szCs w:val="24"/>
                <w:highlight w:val="none"/>
              </w:rPr>
            </w:pPr>
          </w:p>
        </w:tc>
      </w:tr>
    </w:tbl>
    <w:p>
      <w:pPr>
        <w:spacing w:line="360" w:lineRule="auto"/>
        <w:jc w:val="left"/>
        <w:outlineLvl w:val="1"/>
        <w:rPr>
          <w:rFonts w:hint="eastAsia" w:ascii="仿宋" w:hAnsi="仿宋" w:eastAsia="仿宋" w:cs="仿宋"/>
          <w:b/>
          <w:bCs/>
          <w:color w:val="auto"/>
          <w:sz w:val="24"/>
          <w:szCs w:val="22"/>
          <w:highlight w:val="none"/>
        </w:rPr>
      </w:pPr>
      <w:bookmarkStart w:id="98" w:name="_Toc16209"/>
      <w:r>
        <w:rPr>
          <w:rFonts w:hint="eastAsia" w:ascii="仿宋" w:hAnsi="仿宋" w:eastAsia="仿宋" w:cs="仿宋"/>
          <w:b/>
          <w:bCs/>
          <w:color w:val="auto"/>
          <w:sz w:val="24"/>
          <w:szCs w:val="22"/>
          <w:highlight w:val="none"/>
        </w:rPr>
        <w:t>2</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rPr>
        <w:t>符合性审查</w:t>
      </w:r>
      <w:bookmarkEnd w:id="98"/>
    </w:p>
    <w:tbl>
      <w:tblPr>
        <w:tblStyle w:val="26"/>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748"/>
        <w:gridCol w:w="651"/>
        <w:gridCol w:w="651"/>
        <w:gridCol w:w="651"/>
        <w:gridCol w:w="6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398" w:type="dxa"/>
            <w:gridSpan w:val="2"/>
            <w:vMerge w:val="restart"/>
            <w:tcBorders>
              <w:top w:val="single" w:color="auto" w:sz="12"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2561" w:type="dxa"/>
            <w:gridSpan w:val="4"/>
            <w:tcBorders>
              <w:top w:val="single" w:color="auto" w:sz="12" w:space="0"/>
              <w:left w:val="single" w:color="auto" w:sz="4" w:space="0"/>
              <w:bottom w:val="single" w:color="auto"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398" w:type="dxa"/>
            <w:gridSpan w:val="2"/>
            <w:vMerge w:val="continue"/>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right w:val="single" w:color="auto" w:sz="4" w:space="0"/>
            </w:tcBorders>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51" w:type="dxa"/>
            <w:tcBorders>
              <w:top w:val="single" w:color="auto" w:sz="4" w:space="0"/>
              <w:left w:val="single" w:color="auto" w:sz="4" w:space="0"/>
            </w:tcBorders>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51"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08"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650"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交货期</w:t>
            </w:r>
            <w:r>
              <w:rPr>
                <w:rFonts w:hint="eastAsia" w:ascii="仿宋" w:hAnsi="仿宋" w:eastAsia="仿宋" w:cs="仿宋"/>
                <w:color w:val="auto"/>
                <w:sz w:val="24"/>
                <w:szCs w:val="24"/>
                <w:highlight w:val="none"/>
              </w:rPr>
              <w:t>是否满足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650"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磋商有效期是否满足磋商文件要求；</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50" w:type="dxa"/>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磋商报价</w:t>
            </w:r>
            <w:r>
              <w:rPr>
                <w:rFonts w:hint="eastAsia" w:ascii="仿宋" w:hAnsi="仿宋" w:eastAsia="仿宋" w:cs="仿宋"/>
                <w:color w:val="auto"/>
                <w:sz w:val="24"/>
                <w:szCs w:val="24"/>
                <w:highlight w:val="none"/>
              </w:rPr>
              <w:t>是否超过采购预算金额（或最高限价）；</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650" w:type="dxa"/>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对同一招标项目作出两个以上报价未明确效力的；</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650" w:type="dxa"/>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是否按规定的格式填写，内容不全或关键字迹模糊、无法辨认的；</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50" w:type="dxa"/>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文件是否附有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人不能接受的条件；</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50" w:type="dxa"/>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是否有不符合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中规定的其他实质性要求；</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650"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748" w:type="dxa"/>
            <w:tcBorders>
              <w:right w:val="single" w:color="auto" w:sz="4" w:space="0"/>
            </w:tcBorders>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是否有违法招标投标纪律的。</w:t>
            </w:r>
          </w:p>
        </w:tc>
        <w:tc>
          <w:tcPr>
            <w:tcW w:w="65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24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24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7398" w:type="dxa"/>
            <w:gridSpan w:val="2"/>
            <w:tcBorders>
              <w:bottom w:val="single" w:color="auto" w:sz="12" w:space="0"/>
              <w:right w:val="single" w:color="auto" w:sz="4" w:space="0"/>
            </w:tcBorders>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w:t>
            </w:r>
          </w:p>
        </w:tc>
        <w:tc>
          <w:tcPr>
            <w:tcW w:w="651" w:type="dxa"/>
            <w:tcBorders>
              <w:left w:val="single" w:color="auto" w:sz="4" w:space="0"/>
              <w:bottom w:val="single" w:color="auto" w:sz="12" w:space="0"/>
              <w:right w:val="single" w:color="auto" w:sz="4" w:space="0"/>
            </w:tcBorders>
          </w:tcPr>
          <w:p>
            <w:pPr>
              <w:spacing w:line="240" w:lineRule="auto"/>
              <w:jc w:val="center"/>
              <w:rPr>
                <w:rFonts w:hint="eastAsia" w:ascii="仿宋" w:hAnsi="仿宋" w:eastAsia="仿宋" w:cs="仿宋"/>
                <w:color w:val="auto"/>
                <w:sz w:val="24"/>
                <w:szCs w:val="24"/>
                <w:highlight w:val="none"/>
              </w:rPr>
            </w:pPr>
          </w:p>
        </w:tc>
        <w:tc>
          <w:tcPr>
            <w:tcW w:w="651" w:type="dxa"/>
            <w:tcBorders>
              <w:left w:val="single" w:color="auto" w:sz="4" w:space="0"/>
              <w:bottom w:val="single" w:color="auto" w:sz="12" w:space="0"/>
            </w:tcBorders>
          </w:tcPr>
          <w:p>
            <w:pPr>
              <w:spacing w:line="240" w:lineRule="auto"/>
              <w:jc w:val="center"/>
              <w:rPr>
                <w:rFonts w:hint="eastAsia" w:ascii="仿宋" w:hAnsi="仿宋" w:eastAsia="仿宋" w:cs="仿宋"/>
                <w:color w:val="auto"/>
                <w:sz w:val="24"/>
                <w:szCs w:val="24"/>
                <w:highlight w:val="none"/>
              </w:rPr>
            </w:pPr>
          </w:p>
        </w:tc>
        <w:tc>
          <w:tcPr>
            <w:tcW w:w="651" w:type="dxa"/>
            <w:tcBorders>
              <w:bottom w:val="single" w:color="auto" w:sz="12" w:space="0"/>
            </w:tcBorders>
          </w:tcPr>
          <w:p>
            <w:pPr>
              <w:spacing w:line="240" w:lineRule="auto"/>
              <w:jc w:val="center"/>
              <w:rPr>
                <w:rFonts w:hint="eastAsia" w:ascii="仿宋" w:hAnsi="仿宋" w:eastAsia="仿宋" w:cs="仿宋"/>
                <w:color w:val="auto"/>
                <w:sz w:val="24"/>
                <w:szCs w:val="24"/>
                <w:highlight w:val="none"/>
              </w:rPr>
            </w:pPr>
          </w:p>
        </w:tc>
        <w:tc>
          <w:tcPr>
            <w:tcW w:w="608" w:type="dxa"/>
            <w:tcBorders>
              <w:bottom w:val="single" w:color="auto" w:sz="12" w:space="0"/>
            </w:tcBorders>
          </w:tcPr>
          <w:p>
            <w:pPr>
              <w:spacing w:line="240" w:lineRule="auto"/>
              <w:jc w:val="center"/>
              <w:rPr>
                <w:rFonts w:hint="eastAsia" w:ascii="仿宋" w:hAnsi="仿宋" w:eastAsia="仿宋" w:cs="仿宋"/>
                <w:color w:val="auto"/>
                <w:sz w:val="24"/>
                <w:szCs w:val="24"/>
                <w:highlight w:val="none"/>
              </w:rPr>
            </w:pPr>
          </w:p>
        </w:tc>
      </w:tr>
    </w:tbl>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响应程度初步审查通过的投标企业，进入下一步详细评审阶段，未通过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响应程度初步审查的企业，其投标作为无效标，不进入后期评审阶段。</w:t>
      </w:r>
    </w:p>
    <w:p>
      <w:pPr>
        <w:numPr>
          <w:ilvl w:val="0"/>
          <w:numId w:val="0"/>
        </w:numPr>
        <w:spacing w:line="360" w:lineRule="auto"/>
        <w:ind w:leftChars="0"/>
        <w:jc w:val="left"/>
        <w:outlineLvl w:val="1"/>
        <w:rPr>
          <w:rFonts w:hint="eastAsia" w:ascii="仿宋" w:hAnsi="仿宋" w:eastAsia="仿宋" w:cs="仿宋"/>
          <w:b/>
          <w:bCs/>
          <w:color w:val="auto"/>
          <w:sz w:val="24"/>
          <w:szCs w:val="22"/>
          <w:highlight w:val="none"/>
        </w:rPr>
      </w:pPr>
      <w:bookmarkStart w:id="99" w:name="_Toc2170"/>
      <w:r>
        <w:rPr>
          <w:rFonts w:hint="eastAsia" w:ascii="仿宋" w:hAnsi="仿宋" w:eastAsia="仿宋" w:cs="仿宋"/>
          <w:b/>
          <w:bCs/>
          <w:color w:val="auto"/>
          <w:sz w:val="24"/>
          <w:szCs w:val="22"/>
          <w:highlight w:val="none"/>
          <w:lang w:val="en-US" w:eastAsia="zh-CN"/>
        </w:rPr>
        <w:t>3、</w:t>
      </w:r>
      <w:r>
        <w:rPr>
          <w:rFonts w:hint="eastAsia" w:ascii="仿宋" w:hAnsi="仿宋" w:eastAsia="仿宋" w:cs="仿宋"/>
          <w:b/>
          <w:bCs/>
          <w:color w:val="auto"/>
          <w:sz w:val="24"/>
          <w:szCs w:val="22"/>
          <w:highlight w:val="none"/>
        </w:rPr>
        <w:t>详细评审</w:t>
      </w:r>
      <w:bookmarkEnd w:id="99"/>
    </w:p>
    <w:p>
      <w:pPr>
        <w:pStyle w:val="33"/>
        <w:spacing w:line="360" w:lineRule="auto"/>
        <w:jc w:val="both"/>
        <w:rPr>
          <w:rFonts w:hint="eastAsia" w:ascii="仿宋" w:hAnsi="仿宋" w:eastAsia="仿宋" w:cs="仿宋"/>
          <w:color w:val="auto"/>
          <w:sz w:val="28"/>
          <w:szCs w:val="28"/>
          <w:highlight w:val="none"/>
        </w:rPr>
      </w:pPr>
      <w:r>
        <w:rPr>
          <w:rFonts w:hint="eastAsia" w:ascii="仿宋" w:hAnsi="仿宋" w:eastAsia="仿宋" w:cs="仿宋"/>
          <w:b/>
          <w:bCs/>
          <w:color w:val="auto"/>
          <w:sz w:val="24"/>
          <w:szCs w:val="22"/>
          <w:highlight w:val="none"/>
          <w:lang w:val="en-US" w:eastAsia="zh-CN"/>
        </w:rPr>
        <w:t>3.1 商务技术评审表（70分）</w:t>
      </w:r>
    </w:p>
    <w:p>
      <w:pPr>
        <w:pStyle w:val="33"/>
        <w:spacing w:line="360" w:lineRule="auto"/>
        <w:jc w:val="both"/>
        <w:rPr>
          <w:rFonts w:hint="eastAsia" w:ascii="仿宋" w:hAnsi="仿宋" w:eastAsia="仿宋" w:cs="仿宋"/>
          <w:color w:val="auto"/>
          <w:sz w:val="28"/>
          <w:szCs w:val="28"/>
          <w:highlight w:val="none"/>
        </w:rPr>
      </w:pPr>
    </w:p>
    <w:p>
      <w:pPr>
        <w:pStyle w:val="33"/>
        <w:spacing w:line="360" w:lineRule="auto"/>
        <w:jc w:val="both"/>
        <w:rPr>
          <w:rFonts w:hint="eastAsia" w:ascii="仿宋" w:hAnsi="仿宋" w:eastAsia="仿宋" w:cs="仿宋"/>
          <w:color w:val="auto"/>
          <w:sz w:val="28"/>
          <w:szCs w:val="28"/>
          <w:highlight w:val="none"/>
        </w:rPr>
      </w:pPr>
    </w:p>
    <w:p>
      <w:pPr>
        <w:pStyle w:val="33"/>
        <w:spacing w:line="360" w:lineRule="auto"/>
        <w:jc w:val="both"/>
        <w:rPr>
          <w:rFonts w:hint="eastAsia" w:ascii="仿宋" w:hAnsi="仿宋" w:eastAsia="仿宋" w:cs="仿宋"/>
          <w:color w:val="auto"/>
          <w:sz w:val="28"/>
          <w:szCs w:val="28"/>
          <w:highlight w:val="none"/>
        </w:rPr>
      </w:pPr>
    </w:p>
    <w:tbl>
      <w:tblPr>
        <w:tblStyle w:val="26"/>
        <w:tblpPr w:leftFromText="180" w:rightFromText="180" w:vertAnchor="text" w:horzAnchor="page" w:tblpX="1402" w:tblpY="-245"/>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85"/>
        <w:gridCol w:w="1515"/>
        <w:gridCol w:w="705"/>
        <w:gridCol w:w="5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80" w:type="dxa"/>
            <w:gridSpan w:val="3"/>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评审因素</w:t>
            </w:r>
          </w:p>
        </w:tc>
        <w:tc>
          <w:tcPr>
            <w:tcW w:w="705"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5685"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vMerge w:val="restart"/>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商务评价（20分）</w:t>
            </w: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p>
        </w:tc>
        <w:tc>
          <w:tcPr>
            <w:tcW w:w="151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类似项目业绩</w:t>
            </w:r>
          </w:p>
        </w:tc>
        <w:tc>
          <w:tcPr>
            <w:tcW w:w="70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68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供应商提供(2019年01月01日至今)的类似项目业绩证明材料，以中标（成交）通知书或合同协议书为准（提供相关证明），每提供 1 项得2 分，未提供不得分,满分为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vMerge w:val="continue"/>
            <w:noWrap w:val="0"/>
            <w:vAlign w:val="center"/>
          </w:tcPr>
          <w:p>
            <w:pPr>
              <w:widowControl/>
              <w:spacing w:line="360" w:lineRule="auto"/>
              <w:jc w:val="center"/>
              <w:rPr>
                <w:rFonts w:hint="eastAsia"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51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商务一般条款的响应程度</w:t>
            </w:r>
          </w:p>
        </w:tc>
        <w:tc>
          <w:tcPr>
            <w:tcW w:w="70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568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不能实质性满足采购文件重要商务条款要求的为无效投标。在满足采购文件重要商务条款的基础上，对投标人商务条款响应程度进行综合比较评价：</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响应全面，描述完备、细致，完全满足且部分优于采购需求，得3分；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响应较全面、细致，满足采购需求，得2分；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基本响应采购需求，但有缺陷或部分一般指标不满足需求，得1分。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80" w:type="dxa"/>
            <w:vMerge w:val="continue"/>
            <w:noWrap w:val="0"/>
            <w:vAlign w:val="center"/>
          </w:tcPr>
          <w:p>
            <w:pPr>
              <w:widowControl/>
              <w:spacing w:line="360" w:lineRule="auto"/>
              <w:jc w:val="center"/>
              <w:rPr>
                <w:rFonts w:hint="eastAsia"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151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产品的检测报告</w:t>
            </w:r>
          </w:p>
        </w:tc>
        <w:tc>
          <w:tcPr>
            <w:tcW w:w="70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685" w:type="dxa"/>
            <w:noWrap w:val="0"/>
            <w:vAlign w:val="center"/>
          </w:tcPr>
          <w:p>
            <w:pPr>
              <w:widowControl/>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产品的检测报告提供齐全得5分；</w:t>
            </w:r>
          </w:p>
          <w:p>
            <w:pPr>
              <w:widowControl/>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产品的检测报告提供较少，不齐全得3分；</w:t>
            </w:r>
          </w:p>
          <w:p>
            <w:pPr>
              <w:widowControl/>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未提供相应产品的检测报告得0分。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80" w:type="dxa"/>
            <w:vMerge w:val="continue"/>
            <w:noWrap w:val="0"/>
            <w:vAlign w:val="center"/>
          </w:tcPr>
          <w:p>
            <w:pPr>
              <w:widowControl/>
              <w:spacing w:line="360" w:lineRule="auto"/>
              <w:jc w:val="center"/>
              <w:rPr>
                <w:rFonts w:hint="eastAsia"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51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70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5685" w:type="dxa"/>
            <w:noWrap w:val="0"/>
            <w:vAlign w:val="center"/>
          </w:tcPr>
          <w:p>
            <w:pPr>
              <w:widowControl/>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质保期每增加一年得1分，本项最多2分。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80" w:type="dxa"/>
            <w:vMerge w:val="restart"/>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技术评价（50分）</w:t>
            </w: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p>
        </w:tc>
        <w:tc>
          <w:tcPr>
            <w:tcW w:w="1515" w:type="dxa"/>
            <w:noWrap w:val="0"/>
            <w:vAlign w:val="center"/>
          </w:tcPr>
          <w:p>
            <w:pPr>
              <w:spacing w:line="360" w:lineRule="auto"/>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设备技术及质量</w:t>
            </w:r>
          </w:p>
        </w:tc>
        <w:tc>
          <w:tcPr>
            <w:tcW w:w="70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568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全部技术指标完全满足参数要求，正规厂家生产，标识齐全规范，得17分；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1.有负偏离或缺漏的，每一项扣基础分2分，扣完为止；</w:t>
            </w:r>
          </w:p>
          <w:p>
            <w:pPr>
              <w:widowControl/>
              <w:spacing w:line="360" w:lineRule="auto"/>
              <w:ind w:firstLine="480" w:firstLineChars="200"/>
              <w:jc w:val="left"/>
              <w:rPr>
                <w:rFonts w:hint="eastAsia"/>
                <w:color w:val="auto"/>
                <w:lang w:val="en-US" w:eastAsia="zh-CN"/>
              </w:rPr>
            </w:pPr>
            <w:r>
              <w:rPr>
                <w:rFonts w:hint="eastAsia" w:ascii="仿宋" w:hAnsi="仿宋" w:eastAsia="仿宋" w:cs="仿宋"/>
                <w:color w:val="auto"/>
                <w:sz w:val="24"/>
                <w:szCs w:val="24"/>
                <w:lang w:val="en-US" w:eastAsia="zh-CN"/>
              </w:rPr>
              <w:t>2.投标人的技术指标、参数优于招标文件规定的相应技术指标、参数的，提供相关证明材料，每有一项加1分，最多加3分。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80" w:type="dxa"/>
            <w:vMerge w:val="continue"/>
            <w:noWrap w:val="0"/>
            <w:vAlign w:val="center"/>
          </w:tcPr>
          <w:p>
            <w:pPr>
              <w:widowControl/>
              <w:spacing w:line="360" w:lineRule="auto"/>
              <w:jc w:val="center"/>
              <w:rPr>
                <w:rFonts w:hint="default"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1515" w:type="dxa"/>
            <w:noWrap w:val="0"/>
            <w:vAlign w:val="center"/>
          </w:tcPr>
          <w:p>
            <w:pPr>
              <w:spacing w:line="360" w:lineRule="auto"/>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实施方案</w:t>
            </w:r>
          </w:p>
        </w:tc>
        <w:tc>
          <w:tcPr>
            <w:tcW w:w="70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68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根据投标人提供的项目服务方案进行评审：</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1、服务方案完善科学、可行性高、能优于响应采购人需求，配套措施完善合理的，得10-6分；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2、服务方案完善、可行性较好、能及时响应采购人需求，配套措施较合理的，得6-3分；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3、服务方案一般、可行性一般、能及时响应采购人需求，配套措施一般的，得3-1分；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4、没有提供服务实施方案的不得分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0" w:type="dxa"/>
            <w:vMerge w:val="continue"/>
            <w:noWrap w:val="0"/>
            <w:vAlign w:val="center"/>
          </w:tcPr>
          <w:p>
            <w:pPr>
              <w:widowControl/>
              <w:spacing w:line="360" w:lineRule="auto"/>
              <w:jc w:val="center"/>
              <w:rPr>
                <w:rFonts w:hint="default"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1515" w:type="dxa"/>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培训方案</w:t>
            </w:r>
          </w:p>
        </w:tc>
        <w:tc>
          <w:tcPr>
            <w:tcW w:w="705"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568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产品厂家及供货商售后服务体系完善，针对本项目设有专业的培训支持人员，并在响应文件中列出完整的培训内容方式的得6-3分，提供方案较完善的得3-1分，未提供方案的不得分。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0" w:type="dxa"/>
            <w:vMerge w:val="continue"/>
            <w:noWrap w:val="0"/>
            <w:vAlign w:val="center"/>
          </w:tcPr>
          <w:p>
            <w:pPr>
              <w:widowControl/>
              <w:spacing w:line="360" w:lineRule="auto"/>
              <w:jc w:val="center"/>
              <w:rPr>
                <w:rFonts w:hint="default" w:ascii="仿宋" w:hAnsi="仿宋" w:eastAsia="仿宋" w:cs="仿宋"/>
                <w:color w:val="auto"/>
                <w:sz w:val="24"/>
                <w:szCs w:val="24"/>
                <w:lang w:val="en-US" w:eastAsia="zh-CN"/>
              </w:rPr>
            </w:pPr>
          </w:p>
        </w:tc>
        <w:tc>
          <w:tcPr>
            <w:tcW w:w="585" w:type="dxa"/>
            <w:vMerge w:val="restart"/>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c>
          <w:tcPr>
            <w:tcW w:w="1515" w:type="dxa"/>
            <w:vMerge w:val="restart"/>
            <w:noWrap w:val="0"/>
            <w:vAlign w:val="center"/>
          </w:tcPr>
          <w:p>
            <w:pPr>
              <w:pStyle w:val="49"/>
              <w:spacing w:before="0" w:after="0" w:line="280" w:lineRule="exact"/>
              <w:ind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实施及售后服务</w:t>
            </w:r>
          </w:p>
        </w:tc>
        <w:tc>
          <w:tcPr>
            <w:tcW w:w="705" w:type="dxa"/>
            <w:noWrap w:val="0"/>
            <w:vAlign w:val="center"/>
          </w:tcPr>
          <w:p>
            <w:pPr>
              <w:pStyle w:val="49"/>
              <w:spacing w:before="0" w:after="0" w:line="280" w:lineRule="exact"/>
              <w:ind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5685" w:type="dxa"/>
            <w:noWrap w:val="0"/>
            <w:vAlign w:val="center"/>
          </w:tcPr>
          <w:p>
            <w:pPr>
              <w:widowControl/>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根据实施方案及售后服务体系建设的合理性、先进性及备品备件、本地售后机构等服务，综合比较打分，方案及体系建设合理、先进、有保障的得6分，较合理、较先进的得3分，不合理的不得分。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0" w:type="dxa"/>
            <w:vMerge w:val="continue"/>
            <w:noWrap w:val="0"/>
            <w:vAlign w:val="center"/>
          </w:tcPr>
          <w:p>
            <w:pPr>
              <w:widowControl/>
              <w:spacing w:line="360" w:lineRule="auto"/>
              <w:jc w:val="center"/>
              <w:rPr>
                <w:rFonts w:hint="default" w:ascii="仿宋" w:hAnsi="仿宋" w:eastAsia="仿宋" w:cs="仿宋"/>
                <w:color w:val="auto"/>
                <w:sz w:val="24"/>
                <w:szCs w:val="24"/>
                <w:lang w:val="en-US" w:eastAsia="zh-CN"/>
              </w:rPr>
            </w:pPr>
          </w:p>
        </w:tc>
        <w:tc>
          <w:tcPr>
            <w:tcW w:w="585" w:type="dxa"/>
            <w:vMerge w:val="continue"/>
            <w:noWrap w:val="0"/>
            <w:vAlign w:val="center"/>
          </w:tcPr>
          <w:p>
            <w:pPr>
              <w:widowControl/>
              <w:spacing w:line="360" w:lineRule="auto"/>
              <w:jc w:val="center"/>
              <w:rPr>
                <w:rFonts w:hint="eastAsia" w:ascii="仿宋" w:hAnsi="仿宋" w:eastAsia="仿宋" w:cs="仿宋"/>
                <w:color w:val="auto"/>
                <w:sz w:val="24"/>
                <w:szCs w:val="24"/>
                <w:lang w:val="en-US" w:eastAsia="zh-CN"/>
              </w:rPr>
            </w:pPr>
          </w:p>
        </w:tc>
        <w:tc>
          <w:tcPr>
            <w:tcW w:w="1515" w:type="dxa"/>
            <w:vMerge w:val="continue"/>
            <w:noWrap w:val="0"/>
            <w:vAlign w:val="center"/>
          </w:tcPr>
          <w:p>
            <w:pPr>
              <w:pStyle w:val="49"/>
              <w:spacing w:before="0" w:after="0" w:line="280" w:lineRule="exact"/>
              <w:ind w:firstLine="0" w:firstLineChars="0"/>
              <w:jc w:val="center"/>
              <w:rPr>
                <w:rFonts w:hint="eastAsia" w:ascii="仿宋" w:hAnsi="仿宋" w:eastAsia="仿宋" w:cs="仿宋"/>
                <w:b w:val="0"/>
                <w:color w:val="auto"/>
                <w:kern w:val="2"/>
                <w:sz w:val="24"/>
                <w:szCs w:val="24"/>
                <w:lang w:val="en-US" w:eastAsia="zh-CN" w:bidi="ar-SA"/>
              </w:rPr>
            </w:pPr>
          </w:p>
        </w:tc>
        <w:tc>
          <w:tcPr>
            <w:tcW w:w="705" w:type="dxa"/>
            <w:noWrap w:val="0"/>
            <w:vAlign w:val="center"/>
          </w:tcPr>
          <w:p>
            <w:pPr>
              <w:pStyle w:val="49"/>
              <w:spacing w:before="0" w:after="0" w:line="280" w:lineRule="exact"/>
              <w:ind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5685" w:type="dxa"/>
            <w:noWrap w:val="0"/>
            <w:vAlign w:val="center"/>
          </w:tcPr>
          <w:p>
            <w:pPr>
              <w:pStyle w:val="49"/>
              <w:numPr>
                <w:ilvl w:val="0"/>
                <w:numId w:val="0"/>
              </w:numPr>
              <w:spacing w:before="0" w:after="0" w:line="360" w:lineRule="auto"/>
              <w:ind w:left="0" w:leftChars="0" w:firstLine="0" w:firstLineChars="0"/>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提供本企业专职人员2人及以上于运维服务期内进行驻场运维服务，驻场人员需提供本地分支机构出具的社保缴纳证明，满足以上条件得2分。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80" w:type="dxa"/>
            <w:vMerge w:val="continue"/>
            <w:noWrap w:val="0"/>
            <w:vAlign w:val="center"/>
          </w:tcPr>
          <w:p>
            <w:pPr>
              <w:widowControl/>
              <w:spacing w:line="360" w:lineRule="auto"/>
              <w:jc w:val="center"/>
              <w:rPr>
                <w:rFonts w:hint="eastAsia" w:ascii="仿宋" w:hAnsi="仿宋" w:eastAsia="仿宋" w:cs="仿宋"/>
                <w:color w:val="auto"/>
                <w:sz w:val="24"/>
                <w:szCs w:val="24"/>
                <w:lang w:val="en-US" w:eastAsia="zh-CN"/>
              </w:rPr>
            </w:pPr>
          </w:p>
        </w:tc>
        <w:tc>
          <w:tcPr>
            <w:tcW w:w="585" w:type="dxa"/>
            <w:noWrap w:val="0"/>
            <w:vAlign w:val="center"/>
          </w:tcPr>
          <w:p>
            <w:pPr>
              <w:widowControl/>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w:t>
            </w:r>
          </w:p>
        </w:tc>
        <w:tc>
          <w:tcPr>
            <w:tcW w:w="1515" w:type="dxa"/>
            <w:noWrap w:val="0"/>
            <w:vAlign w:val="center"/>
          </w:tcPr>
          <w:p>
            <w:pPr>
              <w:spacing w:line="36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应急处理方案</w:t>
            </w:r>
          </w:p>
        </w:tc>
        <w:tc>
          <w:tcPr>
            <w:tcW w:w="705" w:type="dxa"/>
            <w:noWrap w:val="0"/>
            <w:vAlign w:val="center"/>
          </w:tcPr>
          <w:p>
            <w:pPr>
              <w:spacing w:line="360" w:lineRule="auto"/>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w:t>
            </w:r>
          </w:p>
        </w:tc>
        <w:tc>
          <w:tcPr>
            <w:tcW w:w="5685" w:type="dxa"/>
            <w:noWrap w:val="0"/>
            <w:vAlign w:val="center"/>
          </w:tcPr>
          <w:p>
            <w:pPr>
              <w:pStyle w:val="52"/>
              <w:spacing w:before="93" w:line="340" w:lineRule="auto"/>
              <w:ind w:left="107" w:right="97" w:firstLine="480" w:firstLineChars="200"/>
              <w:rPr>
                <w:rFonts w:hint="eastAsia" w:ascii="仿宋" w:hAnsi="仿宋" w:eastAsia="仿宋" w:cs="仿宋"/>
                <w:b w:val="0"/>
                <w:color w:val="auto"/>
                <w:kern w:val="2"/>
                <w:sz w:val="24"/>
                <w:szCs w:val="24"/>
                <w:lang w:val="en-US" w:eastAsia="zh-CN" w:bidi="ar-SA"/>
              </w:rPr>
            </w:pPr>
            <w:bookmarkStart w:id="185" w:name="_GoBack"/>
            <w:r>
              <w:rPr>
                <w:rFonts w:hint="eastAsia" w:ascii="仿宋" w:hAnsi="仿宋" w:eastAsia="仿宋" w:cs="仿宋"/>
                <w:b w:val="0"/>
                <w:color w:val="auto"/>
                <w:kern w:val="2"/>
                <w:sz w:val="24"/>
                <w:szCs w:val="24"/>
                <w:lang w:val="en-US" w:eastAsia="zh-CN" w:bidi="ar-SA"/>
              </w:rPr>
              <w:t>供应商对更换及安装过程中可能发生的突发事件制定的应急处理方案内容全面完备、有针对性，得 6-4分；</w:t>
            </w:r>
          </w:p>
          <w:p>
            <w:pPr>
              <w:pStyle w:val="52"/>
              <w:spacing w:before="93" w:line="340" w:lineRule="auto"/>
              <w:ind w:left="107" w:right="97"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应急处理方案内容较为详细，有条理性得 4-2 分；</w:t>
            </w:r>
          </w:p>
          <w:p>
            <w:pPr>
              <w:pStyle w:val="52"/>
              <w:spacing w:before="93" w:line="340" w:lineRule="auto"/>
              <w:ind w:left="107" w:right="97"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应急预案方案单一、内容繁琐得 2 -1分；</w:t>
            </w:r>
          </w:p>
          <w:p>
            <w:pPr>
              <w:pStyle w:val="52"/>
              <w:spacing w:before="93" w:line="340" w:lineRule="auto"/>
              <w:ind w:left="107" w:leftChars="0" w:right="97" w:rightChars="0"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缺项不得分。</w:t>
            </w:r>
            <w:bookmarkEnd w:id="185"/>
          </w:p>
        </w:tc>
      </w:tr>
    </w:tbl>
    <w:p>
      <w:pPr>
        <w:pStyle w:val="33"/>
        <w:spacing w:line="360" w:lineRule="auto"/>
        <w:jc w:val="both"/>
        <w:rPr>
          <w:rFonts w:hint="eastAsia" w:ascii="仿宋" w:hAnsi="仿宋" w:eastAsia="仿宋" w:cs="仿宋"/>
          <w:b/>
          <w:bCs/>
          <w:color w:val="auto"/>
          <w:sz w:val="24"/>
          <w:szCs w:val="22"/>
          <w:highlight w:val="none"/>
          <w:lang w:val="en-US" w:eastAsia="zh-CN"/>
        </w:rPr>
      </w:pPr>
    </w:p>
    <w:p>
      <w:pPr>
        <w:pStyle w:val="33"/>
        <w:spacing w:line="360" w:lineRule="auto"/>
        <w:jc w:val="both"/>
        <w:rPr>
          <w:rFonts w:hint="eastAsia" w:ascii="仿宋" w:hAnsi="仿宋" w:eastAsia="仿宋" w:cs="仿宋"/>
          <w:color w:val="auto"/>
          <w:sz w:val="28"/>
          <w:szCs w:val="28"/>
          <w:highlight w:val="none"/>
        </w:rPr>
      </w:pPr>
      <w:r>
        <w:rPr>
          <w:rFonts w:hint="eastAsia" w:ascii="仿宋" w:hAnsi="仿宋" w:eastAsia="仿宋" w:cs="仿宋"/>
          <w:b/>
          <w:bCs/>
          <w:color w:val="auto"/>
          <w:sz w:val="24"/>
          <w:szCs w:val="22"/>
          <w:highlight w:val="none"/>
          <w:lang w:val="en-US" w:eastAsia="zh-CN"/>
        </w:rPr>
        <w:t>3.2 报价评审表（30分）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5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restart"/>
            <w:vAlign w:val="center"/>
          </w:tcPr>
          <w:p>
            <w:pPr>
              <w:spacing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投标报价评分标准</w:t>
            </w:r>
          </w:p>
          <w:p>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（满分 30 分）</w:t>
            </w:r>
          </w:p>
        </w:tc>
        <w:tc>
          <w:tcPr>
            <w:tcW w:w="2759"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评标基准价</w:t>
            </w:r>
          </w:p>
        </w:tc>
        <w:tc>
          <w:tcPr>
            <w:tcW w:w="3762"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价格分统一采用低价优先法计算，即满足磋商文件要求且最后报价最低的供应商的价格为磋商基准价，其价格分为满分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continue"/>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p>
        </w:tc>
        <w:tc>
          <w:tcPr>
            <w:tcW w:w="2759"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投标报价得分</w:t>
            </w:r>
          </w:p>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计算方法</w:t>
            </w:r>
          </w:p>
        </w:tc>
        <w:tc>
          <w:tcPr>
            <w:tcW w:w="3762" w:type="dxa"/>
            <w:vAlign w:val="center"/>
          </w:tcPr>
          <w:p>
            <w:pPr>
              <w:spacing w:line="360" w:lineRule="auto"/>
              <w:ind w:firstLine="482" w:firstLineChars="200"/>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价格得分=（评标基准价÷投标报价）×30</w:t>
            </w:r>
          </w:p>
        </w:tc>
      </w:tr>
    </w:tbl>
    <w:p>
      <w:pPr>
        <w:spacing w:line="360" w:lineRule="auto"/>
        <w:ind w:firstLine="472" w:firstLineChars="200"/>
        <w:rPr>
          <w:rFonts w:hint="eastAsia" w:ascii="仿宋" w:hAnsi="仿宋" w:eastAsia="仿宋" w:cs="仿宋"/>
          <w:color w:val="auto"/>
          <w:spacing w:val="-2"/>
          <w:sz w:val="24"/>
          <w:highlight w:val="none"/>
        </w:rPr>
      </w:pPr>
    </w:p>
    <w:p>
      <w:pPr>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 xml:space="preserve"> 说明：1、经初步评审合格的响应文件，评标委员会应当根据</w:t>
      </w:r>
      <w:r>
        <w:rPr>
          <w:rFonts w:hint="eastAsia" w:ascii="仿宋" w:hAnsi="仿宋" w:eastAsia="仿宋" w:cs="仿宋"/>
          <w:color w:val="auto"/>
          <w:spacing w:val="-2"/>
          <w:sz w:val="24"/>
          <w:highlight w:val="none"/>
          <w:lang w:eastAsia="zh-CN"/>
        </w:rPr>
        <w:t>磋商文件</w:t>
      </w:r>
      <w:r>
        <w:rPr>
          <w:rFonts w:hint="eastAsia" w:ascii="仿宋" w:hAnsi="仿宋" w:eastAsia="仿宋" w:cs="仿宋"/>
          <w:color w:val="auto"/>
          <w:spacing w:val="-2"/>
          <w:sz w:val="24"/>
          <w:highlight w:val="none"/>
        </w:rPr>
        <w:t>确定的评标标准和方法，对其技术和商务部分作进一步的评审和比较。</w:t>
      </w:r>
    </w:p>
    <w:p>
      <w:pPr>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2、在评审过程中，为了有助于对</w:t>
      </w:r>
      <w:r>
        <w:rPr>
          <w:rFonts w:hint="eastAsia" w:ascii="仿宋" w:hAnsi="仿宋" w:eastAsia="仿宋" w:cs="仿宋"/>
          <w:color w:val="auto"/>
          <w:spacing w:val="-2"/>
          <w:sz w:val="24"/>
          <w:highlight w:val="none"/>
          <w:lang w:eastAsia="zh-CN"/>
        </w:rPr>
        <w:t>响应文件</w:t>
      </w:r>
      <w:r>
        <w:rPr>
          <w:rFonts w:hint="eastAsia" w:ascii="仿宋" w:hAnsi="仿宋" w:eastAsia="仿宋" w:cs="仿宋"/>
          <w:color w:val="auto"/>
          <w:spacing w:val="-2"/>
          <w:sz w:val="24"/>
          <w:highlight w:val="none"/>
        </w:rPr>
        <w:t>进行审查、评估和比较，招标方有权向</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质疑，请</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澄清投标内容。</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有责任按照采购方通知的时间、地点指派专人进行答疑和澄清。评标委员会可能要求</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就响应文件中的内容进行答辩，采购方将以书面形式通知</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应按要求进行答辩。</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rPr>
          <w:rFonts w:hint="eastAsia" w:ascii="仿宋" w:hAnsi="仿宋" w:eastAsia="仿宋" w:cs="仿宋"/>
          <w:b/>
          <w:color w:val="auto"/>
          <w:sz w:val="24"/>
          <w:highlight w:val="none"/>
        </w:rPr>
      </w:pPr>
    </w:p>
    <w:p>
      <w:pPr>
        <w:pStyle w:val="41"/>
        <w:numPr>
          <w:ilvl w:val="0"/>
          <w:numId w:val="0"/>
        </w:numPr>
        <w:spacing w:line="360" w:lineRule="auto"/>
        <w:ind w:firstLine="3915" w:firstLineChars="1300"/>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定标</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1、确定</w:t>
      </w:r>
      <w:r>
        <w:rPr>
          <w:rFonts w:hint="eastAsia" w:ascii="仿宋" w:hAnsi="仿宋" w:eastAsia="仿宋" w:cs="仿宋"/>
          <w:color w:val="auto"/>
          <w:kern w:val="0"/>
          <w:sz w:val="24"/>
          <w:szCs w:val="24"/>
          <w:highlight w:val="none"/>
          <w:lang w:eastAsia="zh-CN"/>
        </w:rPr>
        <w:t>成交单位</w:t>
      </w:r>
      <w:r>
        <w:rPr>
          <w:rFonts w:hint="eastAsia" w:ascii="仿宋" w:hAnsi="仿宋" w:eastAsia="仿宋" w:cs="仿宋"/>
          <w:color w:val="auto"/>
          <w:kern w:val="0"/>
          <w:sz w:val="24"/>
          <w:szCs w:val="24"/>
          <w:highlight w:val="none"/>
        </w:rPr>
        <w:t xml:space="preserve">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 评委会根据本竞争性磋商文件规定评分办法与评分标准向采购人推荐</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 xml:space="preserve">候选人排名。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 采购单位公示期限1个工作日。</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1.3若有充分证据证明，入围单位出现下列情况之一的，一经查实，将被取消入围资格：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（1）提供虚假材料谋取入围的。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（2）向采购单位或招标代理公司行贿或者提供其他不正当利益的。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（3）恶意竞争，</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 xml:space="preserve">总报价明显低于其自身合理成本且又无法提供证明的。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（4）属于本文件规定的无效条件，但在评标过程中又未被评委会发现的。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（5）与采购人或者其他供应商恶意串通的。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（6）采取不正当手段诋毁、排挤其他供应商的。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有下列情形之一的，视为</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 xml:space="preserve">串通投标，投标无效：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由同一单位或者个人编制。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 xml:space="preserve">委托同一单位或者个人办理投标事宜。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载明的项目管理成员或者联系人员为同一人。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异常一致或者</w:t>
      </w:r>
      <w:r>
        <w:rPr>
          <w:rFonts w:hint="eastAsia" w:ascii="仿宋" w:hAnsi="仿宋" w:eastAsia="仿宋" w:cs="仿宋"/>
          <w:color w:val="auto"/>
          <w:kern w:val="0"/>
          <w:sz w:val="24"/>
          <w:szCs w:val="24"/>
          <w:highlight w:val="none"/>
          <w:lang w:eastAsia="zh-CN"/>
        </w:rPr>
        <w:t>磋商报价</w:t>
      </w:r>
      <w:r>
        <w:rPr>
          <w:rFonts w:hint="eastAsia" w:ascii="仿宋" w:hAnsi="仿宋" w:eastAsia="仿宋" w:cs="仿宋"/>
          <w:color w:val="auto"/>
          <w:kern w:val="0"/>
          <w:sz w:val="24"/>
          <w:szCs w:val="24"/>
          <w:highlight w:val="none"/>
        </w:rPr>
        <w:t xml:space="preserve">呈规律性差异。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相互混装。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磋商保证金</w:t>
      </w:r>
      <w:r>
        <w:rPr>
          <w:rFonts w:hint="eastAsia" w:ascii="仿宋" w:hAnsi="仿宋" w:eastAsia="仿宋" w:cs="仿宋"/>
          <w:color w:val="auto"/>
          <w:kern w:val="0"/>
          <w:sz w:val="24"/>
          <w:szCs w:val="24"/>
          <w:highlight w:val="none"/>
        </w:rPr>
        <w:t xml:space="preserve">从同一单位或者个人的账户转出。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3、如磋商小组认为有必要，可以对第一成交候选人就</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所提供的内容进行资格后审。如果确定第一成交候选人无法履行合同，将依次对其他成交候选人进行类似的审查。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4不接受最终审查或在最终审查过程中提供虚假资料的成交候选人，成交候选人资格将被取消，同时按照政府采购的相关法律、法规子以处罚。</w:t>
      </w:r>
    </w:p>
    <w:p>
      <w:pPr>
        <w:spacing w:line="360" w:lineRule="auto"/>
        <w:rPr>
          <w:rFonts w:hint="eastAsia" w:ascii="仿宋" w:hAnsi="仿宋" w:eastAsia="仿宋" w:cs="仿宋"/>
          <w:b/>
          <w:color w:val="auto"/>
          <w:sz w:val="24"/>
          <w:highlight w:val="none"/>
        </w:rPr>
      </w:pPr>
    </w:p>
    <w:p>
      <w:pPr>
        <w:pStyle w:val="41"/>
        <w:numPr>
          <w:ilvl w:val="0"/>
          <w:numId w:val="0"/>
        </w:numPr>
        <w:spacing w:line="360" w:lineRule="auto"/>
        <w:ind w:firstLine="3012" w:firstLineChars="1000"/>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成交公示</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成交通知书</w:t>
      </w:r>
      <w:r>
        <w:rPr>
          <w:rFonts w:hint="eastAsia" w:ascii="仿宋" w:hAnsi="仿宋" w:eastAsia="仿宋" w:cs="仿宋"/>
          <w:color w:val="auto"/>
          <w:kern w:val="0"/>
          <w:sz w:val="24"/>
          <w:szCs w:val="24"/>
          <w:highlight w:val="none"/>
        </w:rPr>
        <w:t>发出前，</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的情况在政采云平台https://www.zcygov.cn上予以公示，公示期为一个工作日。</w:t>
      </w:r>
    </w:p>
    <w:p>
      <w:pPr>
        <w:pStyle w:val="8"/>
        <w:spacing w:line="360" w:lineRule="auto"/>
        <w:ind w:firstLine="0"/>
        <w:rPr>
          <w:rFonts w:hint="eastAsia" w:ascii="仿宋" w:hAnsi="仿宋" w:eastAsia="仿宋" w:cs="仿宋"/>
          <w:color w:val="auto"/>
          <w:sz w:val="24"/>
          <w:highlight w:val="none"/>
        </w:rPr>
      </w:pPr>
    </w:p>
    <w:p>
      <w:pPr>
        <w:pStyle w:val="8"/>
        <w:spacing w:line="360" w:lineRule="auto"/>
        <w:ind w:firstLine="0"/>
        <w:rPr>
          <w:rFonts w:hint="eastAsia" w:ascii="仿宋" w:hAnsi="仿宋" w:eastAsia="仿宋" w:cs="仿宋"/>
          <w:color w:val="auto"/>
          <w:sz w:val="24"/>
          <w:highlight w:val="none"/>
        </w:rPr>
      </w:pPr>
    </w:p>
    <w:p>
      <w:pPr>
        <w:pStyle w:val="41"/>
        <w:numPr>
          <w:ilvl w:val="0"/>
          <w:numId w:val="0"/>
        </w:numPr>
        <w:spacing w:line="360" w:lineRule="auto"/>
        <w:ind w:firstLine="3012" w:firstLineChars="1000"/>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lang w:eastAsia="zh-CN"/>
        </w:rPr>
        <w:t>成交通知书</w:t>
      </w:r>
      <w:r>
        <w:rPr>
          <w:rFonts w:hint="eastAsia" w:ascii="仿宋" w:hAnsi="仿宋" w:eastAsia="仿宋" w:cs="仿宋"/>
          <w:b/>
          <w:bCs w:val="0"/>
          <w:color w:val="auto"/>
          <w:sz w:val="30"/>
          <w:szCs w:val="30"/>
          <w:highlight w:val="none"/>
        </w:rPr>
        <w:t>的发放</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拟</w:t>
      </w:r>
      <w:r>
        <w:rPr>
          <w:rFonts w:hint="eastAsia" w:ascii="仿宋" w:hAnsi="仿宋" w:eastAsia="仿宋" w:cs="仿宋"/>
          <w:color w:val="auto"/>
          <w:sz w:val="24"/>
          <w:highlight w:val="none"/>
          <w:lang w:eastAsia="zh-CN"/>
        </w:rPr>
        <w:t>成交单位</w:t>
      </w:r>
      <w:r>
        <w:rPr>
          <w:rFonts w:hint="eastAsia" w:ascii="仿宋" w:hAnsi="仿宋" w:eastAsia="仿宋" w:cs="仿宋"/>
          <w:color w:val="auto"/>
          <w:sz w:val="24"/>
          <w:highlight w:val="none"/>
        </w:rPr>
        <w:t>确定后，由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签发</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w:t>
      </w:r>
    </w:p>
    <w:p>
      <w:pPr>
        <w:pStyle w:val="25"/>
        <w:spacing w:line="360" w:lineRule="auto"/>
        <w:ind w:firstLine="560"/>
        <w:rPr>
          <w:rFonts w:hint="eastAsia" w:ascii="仿宋" w:hAnsi="仿宋" w:eastAsia="仿宋" w:cs="仿宋"/>
          <w:color w:val="auto"/>
          <w:highlight w:val="none"/>
        </w:rPr>
      </w:pPr>
    </w:p>
    <w:p>
      <w:pPr>
        <w:pStyle w:val="11"/>
        <w:spacing w:line="360" w:lineRule="auto"/>
        <w:rPr>
          <w:rFonts w:hint="eastAsia" w:ascii="仿宋" w:hAnsi="仿宋" w:eastAsia="仿宋" w:cs="仿宋"/>
          <w:color w:val="auto"/>
          <w:sz w:val="24"/>
          <w:highlight w:val="none"/>
        </w:rPr>
      </w:pPr>
    </w:p>
    <w:p>
      <w:pPr>
        <w:pStyle w:val="11"/>
        <w:spacing w:line="360" w:lineRule="auto"/>
        <w:rPr>
          <w:rFonts w:hint="eastAsia" w:ascii="仿宋" w:hAnsi="仿宋" w:eastAsia="仿宋" w:cs="仿宋"/>
          <w:color w:val="auto"/>
          <w:sz w:val="24"/>
          <w:highlight w:val="none"/>
        </w:rPr>
      </w:pPr>
    </w:p>
    <w:p>
      <w:pPr>
        <w:pStyle w:val="3"/>
        <w:keepNext w:val="0"/>
        <w:keepLines/>
        <w:pageBreakBefore w:val="0"/>
        <w:widowControl w:val="0"/>
        <w:kinsoku/>
        <w:wordWrap/>
        <w:overflowPunct/>
        <w:topLinePunct w:val="0"/>
        <w:autoSpaceDE/>
        <w:autoSpaceDN/>
        <w:bidi w:val="0"/>
        <w:adjustRightInd/>
        <w:snapToGrid/>
        <w:textAlignment w:val="auto"/>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textAlignment w:val="auto"/>
        <w:rPr>
          <w:rFonts w:hint="eastAsia"/>
          <w:color w:val="auto"/>
        </w:rPr>
      </w:pPr>
      <w:bookmarkStart w:id="100" w:name="_Toc5685"/>
      <w:r>
        <w:rPr>
          <w:rFonts w:hint="eastAsia"/>
          <w:color w:val="auto"/>
          <w:lang w:val="en-US" w:eastAsia="zh-CN"/>
        </w:rPr>
        <w:t xml:space="preserve">第五章   </w:t>
      </w:r>
      <w:r>
        <w:rPr>
          <w:rFonts w:hint="eastAsia"/>
          <w:color w:val="auto"/>
        </w:rPr>
        <w:t>政府采购合同</w:t>
      </w:r>
      <w:bookmarkEnd w:id="100"/>
    </w:p>
    <w:p>
      <w:pPr>
        <w:spacing w:line="600" w:lineRule="exact"/>
        <w:jc w:val="center"/>
        <w:outlineLvl w:val="1"/>
        <w:rPr>
          <w:rFonts w:hint="eastAsia" w:ascii="仿宋" w:hAnsi="仿宋" w:eastAsia="仿宋" w:cs="仿宋"/>
          <w:b/>
          <w:bCs/>
          <w:sz w:val="24"/>
          <w:szCs w:val="24"/>
          <w:lang w:eastAsia="zh-CN"/>
        </w:rPr>
      </w:pPr>
      <w:bookmarkStart w:id="101" w:name="_Toc12292"/>
      <w:r>
        <w:rPr>
          <w:rFonts w:hint="eastAsia" w:ascii="仿宋" w:hAnsi="仿宋" w:eastAsia="仿宋" w:cs="仿宋"/>
          <w:b/>
          <w:bCs/>
          <w:sz w:val="24"/>
          <w:szCs w:val="24"/>
        </w:rPr>
        <w:t>购货合同</w:t>
      </w:r>
      <w:bookmarkEnd w:id="101"/>
      <w:r>
        <w:rPr>
          <w:rFonts w:hint="eastAsia" w:ascii="仿宋" w:hAnsi="仿宋" w:eastAsia="仿宋" w:cs="仿宋"/>
          <w:b/>
          <w:bCs/>
          <w:sz w:val="24"/>
          <w:szCs w:val="24"/>
          <w:lang w:eastAsia="zh-CN"/>
        </w:rPr>
        <w:t>（仅供参考）</w:t>
      </w:r>
    </w:p>
    <w:p>
      <w:pPr>
        <w:widowControl/>
        <w:shd w:val="clear" w:color="auto" w:fill="FFFFFF"/>
        <w:spacing w:before="156" w:beforeLines="50" w:after="156" w:afterLines="50"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甲方：</w:t>
      </w:r>
      <w:r>
        <w:rPr>
          <w:rFonts w:hint="eastAsia" w:ascii="仿宋" w:hAnsi="仿宋" w:eastAsia="仿宋" w:cs="仿宋"/>
          <w:color w:val="auto"/>
          <w:sz w:val="24"/>
          <w:lang w:val="en-US" w:eastAsia="zh-CN"/>
        </w:rPr>
        <w:t xml:space="preserve"> </w:t>
      </w:r>
    </w:p>
    <w:p>
      <w:pPr>
        <w:widowControl/>
        <w:shd w:val="clear" w:color="auto" w:fill="FFFFFF"/>
        <w:spacing w:before="156" w:beforeLines="50" w:after="156" w:afterLines="50"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乙方：</w:t>
      </w:r>
    </w:p>
    <w:p>
      <w:pPr>
        <w:spacing w:line="600" w:lineRule="exact"/>
        <w:ind w:firstLine="600" w:firstLineChars="250"/>
        <w:rPr>
          <w:rFonts w:hint="eastAsia" w:ascii="仿宋" w:hAnsi="仿宋" w:eastAsia="仿宋" w:cs="仿宋"/>
          <w:bCs/>
          <w:sz w:val="24"/>
          <w:szCs w:val="24"/>
        </w:rPr>
      </w:pPr>
      <w:r>
        <w:rPr>
          <w:rFonts w:hint="eastAsia" w:ascii="仿宋" w:hAnsi="仿宋" w:eastAsia="仿宋" w:cs="仿宋"/>
          <w:sz w:val="24"/>
          <w:szCs w:val="24"/>
        </w:rPr>
        <w:t>甲、乙双方根据《中华人民共和国政府采购法》和《中华人民共和国合同法》的规定，按照公平、公正、平等自愿和诚实信用、协商一致的原则，就甲、乙双方授权代表就所供设备的购销、安装、调试和售后服务等事宜达成如下条款：</w:t>
      </w:r>
    </w:p>
    <w:p>
      <w:pPr>
        <w:outlineLvl w:val="1"/>
        <w:rPr>
          <w:rFonts w:hint="eastAsia" w:ascii="仿宋" w:hAnsi="仿宋" w:eastAsia="仿宋" w:cs="仿宋"/>
          <w:b/>
          <w:sz w:val="24"/>
        </w:rPr>
      </w:pPr>
      <w:bookmarkStart w:id="102" w:name="_Toc24975"/>
      <w:r>
        <w:rPr>
          <w:rFonts w:hint="eastAsia" w:ascii="仿宋" w:hAnsi="仿宋" w:eastAsia="仿宋" w:cs="仿宋"/>
          <w:b/>
          <w:sz w:val="24"/>
        </w:rPr>
        <w:t>一、货物名称、型号、数量及价格（单位：元）</w:t>
      </w:r>
      <w:bookmarkEnd w:id="102"/>
    </w:p>
    <w:tbl>
      <w:tblPr>
        <w:tblStyle w:val="26"/>
        <w:tblpPr w:leftFromText="180" w:rightFromText="180" w:bottomFromText="200" w:vertAnchor="text" w:horzAnchor="page" w:tblpX="1280" w:tblpY="174"/>
        <w:tblOverlap w:val="never"/>
        <w:tblW w:w="0" w:type="auto"/>
        <w:tblInd w:w="0" w:type="dxa"/>
        <w:tblLayout w:type="fixed"/>
        <w:tblCellMar>
          <w:top w:w="0" w:type="dxa"/>
          <w:left w:w="108" w:type="dxa"/>
          <w:bottom w:w="0" w:type="dxa"/>
          <w:right w:w="108" w:type="dxa"/>
        </w:tblCellMar>
      </w:tblPr>
      <w:tblGrid>
        <w:gridCol w:w="2000"/>
        <w:gridCol w:w="1843"/>
        <w:gridCol w:w="1275"/>
        <w:gridCol w:w="1418"/>
        <w:gridCol w:w="1295"/>
        <w:gridCol w:w="1829"/>
      </w:tblGrid>
      <w:tr>
        <w:tblPrEx>
          <w:tblCellMar>
            <w:top w:w="0" w:type="dxa"/>
            <w:left w:w="108" w:type="dxa"/>
            <w:bottom w:w="0" w:type="dxa"/>
            <w:right w:w="108" w:type="dxa"/>
          </w:tblCellMar>
        </w:tblPrEx>
        <w:trPr>
          <w:trHeight w:val="264" w:hRule="atLeast"/>
        </w:trPr>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184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生产厂家</w:t>
            </w:r>
          </w:p>
        </w:tc>
        <w:tc>
          <w:tcPr>
            <w:tcW w:w="12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价格/元</w:t>
            </w:r>
          </w:p>
        </w:tc>
        <w:tc>
          <w:tcPr>
            <w:tcW w:w="1295"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数量/台</w:t>
            </w:r>
          </w:p>
        </w:tc>
        <w:tc>
          <w:tcPr>
            <w:tcW w:w="1829"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小计/元</w:t>
            </w:r>
          </w:p>
        </w:tc>
      </w:tr>
      <w:tr>
        <w:tblPrEx>
          <w:tblCellMar>
            <w:top w:w="0" w:type="dxa"/>
            <w:left w:w="108" w:type="dxa"/>
            <w:bottom w:w="0" w:type="dxa"/>
            <w:right w:w="108" w:type="dxa"/>
          </w:tblCellMar>
        </w:tblPrEx>
        <w:trPr>
          <w:trHeight w:val="1044" w:hRule="atLeast"/>
        </w:trPr>
        <w:tc>
          <w:tcPr>
            <w:tcW w:w="200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600" w:lineRule="exact"/>
              <w:textAlignment w:val="center"/>
              <w:rPr>
                <w:rFonts w:hint="eastAsia" w:ascii="仿宋" w:hAnsi="仿宋" w:eastAsia="仿宋" w:cs="仿宋"/>
                <w:sz w:val="24"/>
                <w:szCs w:val="24"/>
              </w:rPr>
            </w:pPr>
          </w:p>
        </w:tc>
        <w:tc>
          <w:tcPr>
            <w:tcW w:w="184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p>
        </w:tc>
        <w:tc>
          <w:tcPr>
            <w:tcW w:w="12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ind w:left="120"/>
              <w:jc w:val="center"/>
              <w:textAlignment w:val="center"/>
              <w:rPr>
                <w:rFonts w:hint="eastAsia" w:ascii="仿宋" w:hAnsi="仿宋" w:eastAsia="仿宋" w:cs="仿宋"/>
                <w:sz w:val="24"/>
                <w:szCs w:val="24"/>
              </w:rPr>
            </w:pPr>
          </w:p>
        </w:tc>
        <w:tc>
          <w:tcPr>
            <w:tcW w:w="1418"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600" w:lineRule="exact"/>
              <w:jc w:val="center"/>
              <w:rPr>
                <w:rFonts w:hint="eastAsia" w:ascii="仿宋" w:hAnsi="仿宋" w:eastAsia="仿宋" w:cs="仿宋"/>
                <w:sz w:val="24"/>
                <w:szCs w:val="24"/>
              </w:rPr>
            </w:pPr>
          </w:p>
        </w:tc>
        <w:tc>
          <w:tcPr>
            <w:tcW w:w="1295" w:type="dxa"/>
            <w:tcBorders>
              <w:top w:val="single" w:color="000000" w:sz="4" w:space="0"/>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p>
        </w:tc>
        <w:tc>
          <w:tcPr>
            <w:tcW w:w="1829" w:type="dxa"/>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spacing w:line="600" w:lineRule="exact"/>
              <w:jc w:val="center"/>
              <w:textAlignment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08" w:hRule="atLeast"/>
        </w:trPr>
        <w:tc>
          <w:tcPr>
            <w:tcW w:w="966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600" w:lineRule="exact"/>
              <w:rPr>
                <w:rFonts w:hint="eastAsia" w:ascii="仿宋" w:hAnsi="仿宋" w:eastAsia="仿宋" w:cs="仿宋"/>
                <w:sz w:val="24"/>
                <w:szCs w:val="24"/>
                <w:u w:val="single"/>
              </w:rPr>
            </w:pPr>
            <w:r>
              <w:rPr>
                <w:rFonts w:hint="eastAsia" w:ascii="仿宋" w:hAnsi="仿宋" w:eastAsia="仿宋" w:cs="仿宋"/>
                <w:sz w:val="24"/>
                <w:szCs w:val="24"/>
                <w:u w:val="single"/>
              </w:rPr>
              <w:t>总价：大写：小写：(</w:t>
            </w:r>
            <w:r>
              <w:rPr>
                <w:rFonts w:hint="eastAsia" w:ascii="仿宋" w:hAnsi="仿宋" w:eastAsia="仿宋" w:cs="仿宋"/>
                <w:spacing w:val="8"/>
                <w:sz w:val="24"/>
                <w:szCs w:val="24"/>
                <w:u w:val="single"/>
              </w:rPr>
              <w:t>含税及运费、安装、调试、乙方发生的差旅等费用等所有相关费用</w:t>
            </w:r>
            <w:r>
              <w:rPr>
                <w:rFonts w:hint="eastAsia" w:ascii="仿宋" w:hAnsi="仿宋" w:eastAsia="仿宋" w:cs="仿宋"/>
                <w:sz w:val="24"/>
                <w:szCs w:val="24"/>
                <w:u w:val="single"/>
              </w:rPr>
              <w:t>)</w:t>
            </w:r>
          </w:p>
        </w:tc>
      </w:tr>
    </w:tbl>
    <w:p>
      <w:pPr>
        <w:spacing w:line="360" w:lineRule="auto"/>
        <w:outlineLvl w:val="1"/>
        <w:rPr>
          <w:rFonts w:hint="eastAsia" w:ascii="仿宋" w:hAnsi="仿宋" w:eastAsia="仿宋" w:cs="仿宋"/>
          <w:b/>
          <w:sz w:val="24"/>
        </w:rPr>
      </w:pPr>
      <w:bookmarkStart w:id="103" w:name="_Toc29452"/>
      <w:r>
        <w:rPr>
          <w:rFonts w:hint="eastAsia" w:ascii="仿宋" w:hAnsi="仿宋" w:eastAsia="仿宋" w:cs="仿宋"/>
          <w:b/>
          <w:sz w:val="24"/>
        </w:rPr>
        <w:t>二、报价币种、合同总价:</w:t>
      </w:r>
      <w:bookmarkEnd w:id="103"/>
    </w:p>
    <w:p>
      <w:pPr>
        <w:spacing w:line="360" w:lineRule="auto"/>
        <w:outlineLvl w:val="1"/>
        <w:rPr>
          <w:rFonts w:hint="eastAsia" w:ascii="仿宋" w:hAnsi="仿宋" w:eastAsia="仿宋" w:cs="仿宋"/>
          <w:b/>
          <w:sz w:val="24"/>
        </w:rPr>
      </w:pPr>
      <w:bookmarkStart w:id="104" w:name="_Toc104"/>
      <w:r>
        <w:rPr>
          <w:rFonts w:hint="eastAsia" w:ascii="仿宋" w:hAnsi="仿宋" w:eastAsia="仿宋" w:cs="仿宋"/>
          <w:b/>
          <w:sz w:val="24"/>
        </w:rPr>
        <w:t>三、付款方式</w:t>
      </w:r>
      <w:bookmarkEnd w:id="104"/>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3.1</w:t>
      </w:r>
      <w:r>
        <w:rPr>
          <w:rFonts w:hint="eastAsia" w:ascii="仿宋" w:hAnsi="仿宋" w:eastAsia="仿宋" w:cs="仿宋"/>
          <w:color w:val="auto"/>
          <w:sz w:val="24"/>
          <w:szCs w:val="24"/>
          <w:lang w:eastAsia="zh-CN"/>
        </w:rPr>
        <w:t>合同签订</w:t>
      </w:r>
      <w:r>
        <w:rPr>
          <w:rFonts w:hint="eastAsia" w:ascii="仿宋" w:hAnsi="仿宋" w:eastAsia="仿宋" w:cs="仿宋"/>
          <w:color w:val="auto"/>
          <w:sz w:val="24"/>
          <w:szCs w:val="24"/>
        </w:rPr>
        <w:t>后付款30%，</w:t>
      </w:r>
      <w:r>
        <w:rPr>
          <w:rFonts w:hint="eastAsia" w:ascii="仿宋" w:hAnsi="仿宋" w:eastAsia="仿宋" w:cs="仿宋"/>
          <w:color w:val="auto"/>
          <w:sz w:val="24"/>
          <w:szCs w:val="24"/>
          <w:lang w:eastAsia="zh-CN"/>
        </w:rPr>
        <w:t>货到完成安装调试付款至</w:t>
      </w:r>
      <w:r>
        <w:rPr>
          <w:rFonts w:hint="eastAsia" w:ascii="仿宋" w:hAnsi="仿宋" w:eastAsia="仿宋" w:cs="仿宋"/>
          <w:color w:val="auto"/>
          <w:sz w:val="24"/>
          <w:szCs w:val="24"/>
          <w:lang w:val="en-US" w:eastAsia="zh-CN"/>
        </w:rPr>
        <w:t>97</w:t>
      </w:r>
      <w:r>
        <w:rPr>
          <w:rFonts w:hint="eastAsia" w:ascii="仿宋" w:hAnsi="仿宋" w:eastAsia="仿宋" w:cs="仿宋"/>
          <w:color w:val="auto"/>
          <w:sz w:val="24"/>
          <w:szCs w:val="24"/>
        </w:rPr>
        <w:t>%，质保期满后付清余款。此处约定的期限并非质保期，质保期以第七条约定为准。</w:t>
      </w:r>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3.2乙方应在甲方付款前提供符合甲方财务做账需求的等额发票及书面申请，经甲方财务部门审批过后付款，按照银行承兑的汇票、本票、网银或者银行支票进行结算，否则甲方有权拒付款项且不承担违约责任。</w:t>
      </w:r>
    </w:p>
    <w:p>
      <w:pPr>
        <w:spacing w:line="360" w:lineRule="auto"/>
        <w:outlineLvl w:val="1"/>
        <w:rPr>
          <w:rFonts w:hint="eastAsia" w:ascii="仿宋" w:hAnsi="仿宋" w:eastAsia="仿宋" w:cs="仿宋"/>
          <w:b/>
          <w:sz w:val="24"/>
        </w:rPr>
      </w:pPr>
      <w:bookmarkStart w:id="105" w:name="_Toc13902"/>
      <w:r>
        <w:rPr>
          <w:rFonts w:hint="eastAsia" w:ascii="仿宋" w:hAnsi="仿宋" w:eastAsia="仿宋" w:cs="仿宋"/>
          <w:b/>
          <w:sz w:val="24"/>
        </w:rPr>
        <w:t>四、交货日期</w:t>
      </w:r>
      <w:bookmarkEnd w:id="105"/>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4.1</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lang w:val="en-US" w:eastAsia="zh-CN"/>
        </w:rPr>
        <w:t>30日内</w:t>
      </w:r>
      <w:r>
        <w:rPr>
          <w:rFonts w:hint="eastAsia" w:ascii="仿宋" w:hAnsi="仿宋" w:eastAsia="仿宋" w:cs="仿宋"/>
          <w:color w:val="auto"/>
          <w:sz w:val="24"/>
          <w:szCs w:val="24"/>
          <w:lang w:eastAsia="zh-CN"/>
        </w:rPr>
        <w:t>安装并完成调试</w:t>
      </w:r>
      <w:r>
        <w:rPr>
          <w:rFonts w:hint="eastAsia" w:ascii="仿宋" w:hAnsi="仿宋" w:eastAsia="仿宋" w:cs="仿宋"/>
          <w:color w:val="auto"/>
          <w:sz w:val="24"/>
          <w:szCs w:val="24"/>
        </w:rPr>
        <w:t>。</w:t>
      </w:r>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4.2其它备注说明：如因甲方原因造成无法安装或延期安装，交货期限可后延。</w:t>
      </w:r>
    </w:p>
    <w:p>
      <w:pPr>
        <w:spacing w:line="360" w:lineRule="auto"/>
        <w:outlineLvl w:val="1"/>
        <w:rPr>
          <w:rFonts w:hint="eastAsia" w:ascii="仿宋" w:hAnsi="仿宋" w:eastAsia="仿宋" w:cs="仿宋"/>
          <w:b/>
          <w:sz w:val="24"/>
        </w:rPr>
      </w:pPr>
      <w:bookmarkStart w:id="106" w:name="_Toc20575"/>
      <w:r>
        <w:rPr>
          <w:rFonts w:hint="eastAsia" w:ascii="仿宋" w:hAnsi="仿宋" w:eastAsia="仿宋" w:cs="仿宋"/>
          <w:b/>
          <w:sz w:val="24"/>
        </w:rPr>
        <w:t>五、交货地点：</w:t>
      </w:r>
      <w:bookmarkEnd w:id="106"/>
      <w:r>
        <w:rPr>
          <w:rFonts w:hint="eastAsia" w:ascii="仿宋" w:hAnsi="仿宋" w:eastAsia="仿宋" w:cs="仿宋"/>
          <w:b/>
          <w:sz w:val="24"/>
          <w:lang w:val="en-US" w:eastAsia="zh-CN"/>
        </w:rPr>
        <w:t xml:space="preserve"> </w:t>
      </w:r>
    </w:p>
    <w:p>
      <w:pPr>
        <w:spacing w:line="360" w:lineRule="auto"/>
        <w:outlineLvl w:val="1"/>
        <w:rPr>
          <w:rFonts w:hint="eastAsia" w:ascii="仿宋" w:hAnsi="仿宋" w:eastAsia="仿宋" w:cs="仿宋"/>
          <w:b/>
          <w:sz w:val="24"/>
        </w:rPr>
      </w:pPr>
      <w:bookmarkStart w:id="107" w:name="_Toc3537"/>
      <w:r>
        <w:rPr>
          <w:rFonts w:hint="eastAsia" w:ascii="仿宋" w:hAnsi="仿宋" w:eastAsia="仿宋" w:cs="仿宋"/>
          <w:b/>
          <w:sz w:val="24"/>
        </w:rPr>
        <w:t>六、货物质量保证</w:t>
      </w:r>
      <w:bookmarkEnd w:id="107"/>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6.1乙方保证提供的合同约定货物均为全新的产品，未使用过的，并符合合同规定的质量、规格和性能。</w:t>
      </w:r>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6.2乙方所提供的货物型号、数量、规格及技术、质量标准、售后服务必须满足投标文件约定的技术要求。</w:t>
      </w:r>
    </w:p>
    <w:p>
      <w:pPr>
        <w:pStyle w:val="53"/>
        <w:spacing w:line="6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6.3乙方保证提供的货物符合国家标准要求。</w:t>
      </w:r>
    </w:p>
    <w:p>
      <w:pPr>
        <w:spacing w:line="360" w:lineRule="auto"/>
        <w:outlineLvl w:val="1"/>
        <w:rPr>
          <w:rFonts w:hint="eastAsia" w:ascii="仿宋" w:hAnsi="仿宋" w:eastAsia="仿宋" w:cs="仿宋"/>
          <w:b/>
          <w:sz w:val="24"/>
        </w:rPr>
      </w:pPr>
      <w:bookmarkStart w:id="108" w:name="_Toc13751"/>
      <w:r>
        <w:rPr>
          <w:rFonts w:hint="eastAsia" w:ascii="仿宋" w:hAnsi="仿宋" w:eastAsia="仿宋" w:cs="仿宋"/>
          <w:b/>
          <w:sz w:val="24"/>
        </w:rPr>
        <w:t>七．质保期</w:t>
      </w:r>
      <w:bookmarkEnd w:id="108"/>
    </w:p>
    <w:p>
      <w:pPr>
        <w:pStyle w:val="53"/>
        <w:spacing w:line="6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整机设备安装验收合格之日起质保</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Cs/>
          <w:color w:val="auto"/>
          <w:sz w:val="24"/>
          <w:szCs w:val="24"/>
          <w:highlight w:val="none"/>
        </w:rPr>
        <w:t>年（含所有配件）。终身免费维护维修，软件免费升级，质保期内产品出现质量问题（除人为因素外）全部免费更换配件，免费维修，并承担由此产生的一切费用。质保期外，设备维修或涉及更换配件的，只收取配件材料成本费，其他费用不在收取。</w:t>
      </w:r>
    </w:p>
    <w:p>
      <w:pPr>
        <w:spacing w:line="360" w:lineRule="auto"/>
        <w:outlineLvl w:val="1"/>
        <w:rPr>
          <w:rFonts w:hint="eastAsia" w:ascii="仿宋" w:hAnsi="仿宋" w:eastAsia="仿宋" w:cs="仿宋"/>
          <w:b/>
          <w:sz w:val="24"/>
        </w:rPr>
      </w:pPr>
      <w:bookmarkStart w:id="109" w:name="_Toc21445"/>
      <w:r>
        <w:rPr>
          <w:rFonts w:hint="eastAsia" w:ascii="仿宋" w:hAnsi="仿宋" w:eastAsia="仿宋" w:cs="仿宋"/>
          <w:b/>
          <w:sz w:val="24"/>
        </w:rPr>
        <w:t>八、技术资料</w:t>
      </w:r>
      <w:bookmarkEnd w:id="109"/>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乙方需向甲方提供下述资料：所供货物的型号、规格、数量及生产厂家的产品检验证书、出厂检验报告、使用说明书。</w:t>
      </w:r>
    </w:p>
    <w:p>
      <w:pPr>
        <w:spacing w:line="360" w:lineRule="auto"/>
        <w:outlineLvl w:val="1"/>
        <w:rPr>
          <w:rFonts w:hint="eastAsia" w:ascii="仿宋" w:hAnsi="仿宋" w:eastAsia="仿宋" w:cs="仿宋"/>
          <w:b/>
          <w:sz w:val="24"/>
        </w:rPr>
      </w:pPr>
      <w:bookmarkStart w:id="110" w:name="_Toc21772"/>
      <w:r>
        <w:rPr>
          <w:rFonts w:hint="eastAsia" w:ascii="仿宋" w:hAnsi="仿宋" w:eastAsia="仿宋" w:cs="仿宋"/>
          <w:b/>
          <w:sz w:val="24"/>
        </w:rPr>
        <w:t>九、其他</w:t>
      </w:r>
      <w:bookmarkEnd w:id="110"/>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9.1乙方须向甲方提供全部中文、英文操作手册、维修手册、图纸各一套，提供全套专用维修工具，应标明配置、规格、承诺作为合同附件，与合同具有同等法律效力。</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9.2乙方提供所有合格有效证件、包括软件使用证，中英文维修手册、操作手册和电路图，提供用户所在地技术监督部门的检测合格报告，所产生的费用由乙方承担，首次使用计量检测费由乙方负责。</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9.3应提供医院技术人员一人以上内地培训，合格后乙方还应提供疆内培训及现场技术培训，保证使用人员能够正确地使用设备各种功能（至少两次）。</w:t>
      </w:r>
    </w:p>
    <w:p>
      <w:pPr>
        <w:spacing w:line="360" w:lineRule="auto"/>
        <w:outlineLvl w:val="1"/>
        <w:rPr>
          <w:rFonts w:hint="eastAsia" w:ascii="仿宋" w:hAnsi="仿宋" w:eastAsia="仿宋" w:cs="仿宋"/>
          <w:b/>
          <w:sz w:val="24"/>
        </w:rPr>
      </w:pPr>
      <w:bookmarkStart w:id="111" w:name="_Toc10451"/>
      <w:r>
        <w:rPr>
          <w:rFonts w:hint="eastAsia" w:ascii="仿宋" w:hAnsi="仿宋" w:eastAsia="仿宋" w:cs="仿宋"/>
          <w:b/>
          <w:sz w:val="24"/>
        </w:rPr>
        <w:t>十、包装及验收</w:t>
      </w:r>
      <w:bookmarkEnd w:id="111"/>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10.1所提供货物必须进行包装，免收包装费，包装物不回收。</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10.2因包装不妥在运输过程中发生丢失或损坏由乙方承担全部责任。货物风险自通过甲方书面验收并交付甲方之后转移。</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验收：按合同约定的型号、技术参数、数量、产地，并根据制造商签发的《产品合格证》、《出厂清单》、《技术文件》进行现场初验，待安装调试完毕且正常运行后，由甲、乙双方共同验收。如有异议七天内以书面形式通知对方。</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10.4按照合同目的和甲方需求所应提供的其他技术资料.</w:t>
      </w:r>
    </w:p>
    <w:p>
      <w:pPr>
        <w:spacing w:line="360" w:lineRule="auto"/>
        <w:outlineLvl w:val="1"/>
        <w:rPr>
          <w:rFonts w:hint="eastAsia" w:ascii="仿宋" w:hAnsi="仿宋" w:eastAsia="仿宋" w:cs="仿宋"/>
          <w:b/>
          <w:sz w:val="24"/>
        </w:rPr>
      </w:pPr>
      <w:bookmarkStart w:id="112" w:name="_Toc10462"/>
      <w:r>
        <w:rPr>
          <w:rFonts w:hint="eastAsia" w:ascii="仿宋" w:hAnsi="仿宋" w:eastAsia="仿宋" w:cs="仿宋"/>
          <w:b/>
          <w:sz w:val="24"/>
        </w:rPr>
        <w:t>十一、甲、乙双方的权利及义务</w:t>
      </w:r>
      <w:bookmarkEnd w:id="112"/>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11.1乙方须按合同要求提供质量合格的货物，如期交付到甲方指定的地点，并负责安装调试。</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11.2在质保期内所发生的一切费用由乙方承担。质保期内，如产品发生质量问题，接到甲方通知后2小时内响应，4小时内到达现场。乙方2小时未响应，4小时内未到达现场，有责任向甲方说明情况。故甲方有权另行聘请专业人员进行维修，产生的合理费用在质保金中予以扣除，不足部分，乙方应予以补足。</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11.3质保期后有责任向甲方书面说明故障的解决方法，提供优惠的配件供应。提供质保期后无偿技术支持。</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11.4甲方应提供维修站或维修工程师姓名及联系方式。</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11.5提供正规的备品备件价格表。质保期后的维修费用，先维修后付款。零备件的购买，先交货后付款。</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11.6乙方对售与甲方的货物提供的质量保证期的质量保证范围，不包括意外事件、不可抗力原因及违规使用。</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11.7若乙方在交货时，由于甲方的原因或要求，不能及时将货物送达指定地点和验收时，则甲方负责承担与仓储及再次运输相关的费用，并给予乙方书面确认书，视为乙方已按期交付货物。</w:t>
      </w:r>
    </w:p>
    <w:p>
      <w:pPr>
        <w:pStyle w:val="53"/>
        <w:spacing w:line="6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11.8乙方销售代表，在合同签订及履行过程中，不得实施商业贿赂。若有商业贿赂行为，按照国卫法制发（2013）50号文件《关于建立医药购销领域商业贿赂不良记录的规定》中有关规定执行。</w:t>
      </w:r>
    </w:p>
    <w:p>
      <w:pPr>
        <w:spacing w:line="360" w:lineRule="auto"/>
        <w:outlineLvl w:val="1"/>
        <w:rPr>
          <w:rFonts w:hint="eastAsia" w:ascii="仿宋" w:hAnsi="仿宋" w:eastAsia="仿宋" w:cs="仿宋"/>
          <w:b/>
          <w:sz w:val="24"/>
        </w:rPr>
      </w:pPr>
      <w:bookmarkStart w:id="113" w:name="_Toc28685"/>
      <w:r>
        <w:rPr>
          <w:rFonts w:hint="eastAsia" w:ascii="仿宋" w:hAnsi="仿宋" w:eastAsia="仿宋" w:cs="仿宋"/>
          <w:b/>
          <w:sz w:val="24"/>
        </w:rPr>
        <w:t>十二、合同变更、违约及其它</w:t>
      </w:r>
      <w:bookmarkEnd w:id="113"/>
      <w:r>
        <w:rPr>
          <w:rFonts w:hint="eastAsia" w:ascii="仿宋" w:hAnsi="仿宋" w:eastAsia="仿宋" w:cs="仿宋"/>
          <w:b/>
          <w:sz w:val="24"/>
        </w:rPr>
        <w:tab/>
      </w:r>
    </w:p>
    <w:p>
      <w:pPr>
        <w:tabs>
          <w:tab w:val="left" w:pos="285"/>
        </w:tabs>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12.1合同的变更需甲、乙双方协商一致并签订补充协议，补充协议与本合同具有同等法律效力。</w:t>
      </w:r>
    </w:p>
    <w:p>
      <w:pPr>
        <w:tabs>
          <w:tab w:val="left" w:pos="285"/>
        </w:tabs>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12.2若甲方对采购的货物有更改，包括货物的型号、品种、规格、数量、颜色、交货期等事宜，应在双方签订合同后7天内书面通知乙方，交货期相应从变更之日起顺延;若乙方接到通知后不予更改，由此造成的甲方损失，由乙方承担。</w:t>
      </w:r>
    </w:p>
    <w:p>
      <w:pPr>
        <w:pStyle w:val="53"/>
        <w:spacing w:line="600" w:lineRule="exact"/>
        <w:ind w:left="-4" w:leftChars="-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12.3乙方必须在本合同规定的时间内按时交货，否则由乙方负责承担全部责任。乙方提供的产品或服务不符合合同约定的，甲方有权选择要求乙方重新供货或单方解除合同。甲方选择单方解除合同的，乙方另行承担合同总额【20】%的违约金。</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12.4乙方应严格按照合同约定的产品规格、型号名称、数量和质量提供相应的货物及服务，否则将视为乙方违约，甲方有权拒收产品，由此造成的损失由乙方自行承担。</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12.5合同经甲、乙双方法定代表或授权代理人签字/盖章且加盖单位公章后即行生效。合同生效后，乙方中止履行合同或不履行合同的（不可抗力原因除外），应向甲方支付合同总金额10%的违约金；造成甲方损失的，还应按实际损失向甲方支付赔偿金。乙方违约的，甲方有权将相应违约金从应给乙方支付的货款中直接予以扣除。</w:t>
      </w:r>
    </w:p>
    <w:p>
      <w:pPr>
        <w:pStyle w:val="53"/>
        <w:spacing w:line="600" w:lineRule="exact"/>
        <w:ind w:left="-2" w:leftChars="-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12.6本合同未尽事项由双方另行协商确定或依照法律的相关规定执行。</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12.7甲、乙双方发生争议时，应先协商解决。协商不能达成一致，任何一方均可依法向合同签订地乌鲁木齐市有管辖权的人民法院提起诉讼。</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12.8本合同一式六份，甲方执五份，乙方执一份。本合同自双方法定代表人或授权代理人签字/盖章且加盖单位公章之日起生效。</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12.9本合同尾部载明的双方地址、电话等信息，系双方有效联系方式如发生变更，应提前书面通知另一方，否则依该联系方式送达相关文书的，视为送达成功。</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12.10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12.11未经另外一方的事先书面同意，任何一方均不得向第三方或其关联企业转让本协议项下的权利义务。</w:t>
      </w:r>
    </w:p>
    <w:p>
      <w:pPr>
        <w:pStyle w:val="53"/>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12.12本合同根据磋商文件、中标通知书及谈判会议上的答疑记录等均作为合同的附件进行审核签订，是本合同不可分割的组成部分，均与本合同具有同等的法律效力。</w:t>
      </w: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spacing w:line="360" w:lineRule="auto"/>
        <w:rPr>
          <w:rFonts w:hint="eastAsia" w:ascii="仿宋" w:hAnsi="仿宋" w:eastAsia="仿宋" w:cs="仿宋"/>
          <w:color w:val="auto"/>
          <w:sz w:val="24"/>
          <w:highlight w:val="none"/>
        </w:rPr>
      </w:pPr>
    </w:p>
    <w:p>
      <w:pPr>
        <w:pStyle w:val="8"/>
        <w:rPr>
          <w:rFonts w:hint="eastAsia" w:ascii="仿宋" w:hAnsi="仿宋" w:eastAsia="仿宋" w:cs="仿宋"/>
          <w:color w:val="auto"/>
          <w:sz w:val="24"/>
          <w:highlight w:val="none"/>
        </w:rPr>
      </w:pPr>
    </w:p>
    <w:p>
      <w:pPr>
        <w:pStyle w:val="8"/>
        <w:rPr>
          <w:rFonts w:hint="eastAsia" w:ascii="仿宋" w:hAnsi="仿宋" w:eastAsia="仿宋" w:cs="仿宋"/>
          <w:color w:val="auto"/>
          <w:sz w:val="24"/>
          <w:highlight w:val="none"/>
        </w:rPr>
      </w:pPr>
    </w:p>
    <w:p>
      <w:pPr>
        <w:pStyle w:val="8"/>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pStyle w:val="8"/>
        <w:rPr>
          <w:rFonts w:hint="eastAsia" w:ascii="仿宋" w:hAnsi="仿宋" w:eastAsia="仿宋" w:cs="仿宋"/>
          <w:color w:val="auto"/>
          <w:sz w:val="24"/>
          <w:highlight w:val="none"/>
        </w:rPr>
      </w:pPr>
    </w:p>
    <w:p>
      <w:pPr>
        <w:pStyle w:val="8"/>
        <w:rPr>
          <w:rFonts w:hint="eastAsia" w:ascii="仿宋" w:hAnsi="仿宋" w:eastAsia="仿宋" w:cs="仿宋"/>
          <w:color w:val="auto"/>
          <w:sz w:val="24"/>
          <w:highlight w:val="none"/>
        </w:rPr>
      </w:pPr>
    </w:p>
    <w:p>
      <w:pPr>
        <w:spacing w:line="360" w:lineRule="auto"/>
        <w:rPr>
          <w:rFonts w:hint="eastAsia" w:ascii="仿宋" w:hAnsi="仿宋" w:eastAsia="仿宋" w:cs="仿宋"/>
          <w:color w:val="auto"/>
          <w:highlight w:val="none"/>
        </w:rPr>
      </w:pPr>
    </w:p>
    <w:p>
      <w:pPr>
        <w:spacing w:line="360" w:lineRule="auto"/>
        <w:ind w:firstLine="2168" w:firstLineChars="600"/>
        <w:outlineLvl w:val="0"/>
        <w:rPr>
          <w:rFonts w:hint="eastAsia" w:ascii="仿宋" w:hAnsi="仿宋" w:eastAsia="仿宋" w:cs="仿宋"/>
          <w:color w:val="auto"/>
          <w:sz w:val="24"/>
          <w:highlight w:val="none"/>
        </w:rPr>
      </w:pPr>
      <w:bookmarkStart w:id="114" w:name="_Toc15742"/>
      <w:r>
        <w:rPr>
          <w:rFonts w:hint="eastAsia" w:ascii="仿宋" w:hAnsi="仿宋" w:eastAsia="仿宋" w:cs="仿宋"/>
          <w:b/>
          <w:color w:val="auto"/>
          <w:sz w:val="36"/>
          <w:highlight w:val="none"/>
        </w:rPr>
        <w:t>第</w:t>
      </w:r>
      <w:r>
        <w:rPr>
          <w:rFonts w:hint="eastAsia" w:ascii="仿宋" w:hAnsi="仿宋" w:eastAsia="仿宋" w:cs="仿宋"/>
          <w:b/>
          <w:color w:val="auto"/>
          <w:sz w:val="36"/>
          <w:highlight w:val="none"/>
          <w:lang w:eastAsia="zh-CN"/>
        </w:rPr>
        <w:t>六</w:t>
      </w:r>
      <w:r>
        <w:rPr>
          <w:rFonts w:hint="eastAsia" w:ascii="仿宋" w:hAnsi="仿宋" w:eastAsia="仿宋" w:cs="仿宋"/>
          <w:b/>
          <w:color w:val="auto"/>
          <w:sz w:val="36"/>
          <w:highlight w:val="none"/>
        </w:rPr>
        <w:t>章   响应文件格式附件</w:t>
      </w:r>
      <w:bookmarkEnd w:id="114"/>
      <w:r>
        <w:rPr>
          <w:rFonts w:hint="eastAsia" w:ascii="仿宋" w:hAnsi="仿宋" w:eastAsia="仿宋" w:cs="仿宋"/>
          <w:b/>
          <w:color w:val="auto"/>
          <w:sz w:val="36"/>
          <w:highlight w:val="none"/>
        </w:rPr>
        <w:t xml:space="preserve"> </w:t>
      </w: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24"/>
          <w:highlight w:val="none"/>
        </w:rPr>
        <w:t xml:space="preserve"> </w:t>
      </w:r>
    </w:p>
    <w:p>
      <w:pPr>
        <w:spacing w:line="360" w:lineRule="auto"/>
        <w:ind w:firstLine="2240" w:firstLineChars="800"/>
        <w:rPr>
          <w:rFonts w:hint="eastAsia" w:ascii="仿宋" w:hAnsi="仿宋" w:eastAsia="仿宋" w:cs="仿宋"/>
          <w:color w:val="auto"/>
          <w:sz w:val="28"/>
          <w:szCs w:val="28"/>
          <w:highlight w:val="none"/>
        </w:rPr>
      </w:pPr>
    </w:p>
    <w:p>
      <w:pPr>
        <w:pStyle w:val="8"/>
        <w:spacing w:line="360" w:lineRule="auto"/>
        <w:ind w:firstLine="3817" w:firstLineChars="1193"/>
        <w:jc w:val="both"/>
        <w:outlineLvl w:val="0"/>
        <w:rPr>
          <w:rFonts w:hint="eastAsia" w:ascii="仿宋" w:hAnsi="仿宋" w:eastAsia="仿宋" w:cs="仿宋"/>
          <w:color w:val="auto"/>
          <w:sz w:val="32"/>
          <w:szCs w:val="32"/>
          <w:highlight w:val="none"/>
        </w:rPr>
      </w:pPr>
      <w:bookmarkStart w:id="115" w:name="_Toc16951"/>
      <w:r>
        <w:rPr>
          <w:rFonts w:hint="eastAsia" w:ascii="仿宋" w:hAnsi="仿宋" w:eastAsia="仿宋" w:cs="仿宋"/>
          <w:color w:val="auto"/>
          <w:sz w:val="32"/>
          <w:szCs w:val="32"/>
          <w:highlight w:val="none"/>
        </w:rPr>
        <w:t>目</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录</w:t>
      </w:r>
      <w:bookmarkEnd w:id="115"/>
    </w:p>
    <w:p>
      <w:pPr>
        <w:pStyle w:val="8"/>
        <w:spacing w:line="360" w:lineRule="auto"/>
        <w:ind w:firstLine="2223" w:firstLineChars="794"/>
        <w:rPr>
          <w:rFonts w:hint="eastAsia" w:ascii="仿宋" w:hAnsi="仿宋" w:eastAsia="仿宋" w:cs="仿宋"/>
          <w:color w:val="auto"/>
          <w:sz w:val="28"/>
          <w:szCs w:val="28"/>
          <w:highlight w:val="none"/>
        </w:rPr>
      </w:pPr>
    </w:p>
    <w:p>
      <w:pPr>
        <w:spacing w:line="360" w:lineRule="auto"/>
        <w:ind w:firstLine="480"/>
        <w:outlineLvl w:val="0"/>
        <w:rPr>
          <w:rFonts w:hint="eastAsia" w:ascii="仿宋" w:hAnsi="仿宋" w:eastAsia="仿宋" w:cs="仿宋"/>
          <w:color w:val="auto"/>
          <w:sz w:val="24"/>
          <w:highlight w:val="none"/>
        </w:rPr>
      </w:pPr>
      <w:bookmarkStart w:id="116" w:name="_Toc11003"/>
      <w:bookmarkStart w:id="117" w:name="_Toc4882"/>
      <w:r>
        <w:rPr>
          <w:rFonts w:hint="eastAsia" w:ascii="仿宋" w:hAnsi="仿宋" w:eastAsia="仿宋" w:cs="仿宋"/>
          <w:color w:val="auto"/>
          <w:sz w:val="24"/>
          <w:highlight w:val="none"/>
        </w:rPr>
        <w:t>1、响应函</w:t>
      </w:r>
      <w:bookmarkEnd w:id="116"/>
      <w:bookmarkEnd w:id="117"/>
    </w:p>
    <w:p>
      <w:pPr>
        <w:spacing w:line="360" w:lineRule="auto"/>
        <w:ind w:firstLine="480"/>
        <w:outlineLvl w:val="0"/>
        <w:rPr>
          <w:rFonts w:hint="eastAsia" w:ascii="仿宋" w:hAnsi="仿宋" w:eastAsia="仿宋" w:cs="仿宋"/>
          <w:color w:val="auto"/>
          <w:sz w:val="24"/>
          <w:highlight w:val="none"/>
        </w:rPr>
      </w:pPr>
      <w:bookmarkStart w:id="118" w:name="_Toc5220"/>
      <w:bookmarkStart w:id="119" w:name="_Toc17055"/>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报价单</w:t>
      </w:r>
      <w:bookmarkEnd w:id="118"/>
      <w:bookmarkEnd w:id="119"/>
    </w:p>
    <w:p>
      <w:pPr>
        <w:spacing w:line="360" w:lineRule="auto"/>
        <w:ind w:firstLine="480"/>
        <w:outlineLvl w:val="0"/>
        <w:rPr>
          <w:rFonts w:hint="eastAsia" w:ascii="仿宋" w:hAnsi="仿宋" w:eastAsia="仿宋" w:cs="仿宋"/>
          <w:color w:val="auto"/>
          <w:sz w:val="24"/>
          <w:highlight w:val="none"/>
        </w:rPr>
      </w:pPr>
      <w:bookmarkStart w:id="120" w:name="_Toc10335"/>
      <w:bookmarkStart w:id="121" w:name="_Toc20493"/>
      <w:r>
        <w:rPr>
          <w:rFonts w:hint="eastAsia" w:ascii="仿宋" w:hAnsi="仿宋" w:eastAsia="仿宋" w:cs="仿宋"/>
          <w:color w:val="auto"/>
          <w:sz w:val="24"/>
          <w:highlight w:val="none"/>
        </w:rPr>
        <w:t>3、报价明细表</w:t>
      </w:r>
      <w:bookmarkEnd w:id="120"/>
      <w:bookmarkEnd w:id="121"/>
    </w:p>
    <w:p>
      <w:pPr>
        <w:spacing w:line="360" w:lineRule="auto"/>
        <w:ind w:firstLine="480"/>
        <w:outlineLvl w:val="0"/>
        <w:rPr>
          <w:rFonts w:hint="eastAsia" w:ascii="仿宋" w:hAnsi="仿宋" w:eastAsia="仿宋" w:cs="仿宋"/>
          <w:color w:val="auto"/>
          <w:sz w:val="24"/>
          <w:highlight w:val="none"/>
        </w:rPr>
      </w:pPr>
      <w:bookmarkStart w:id="122" w:name="_Toc19451"/>
      <w:bookmarkStart w:id="123" w:name="_Toc3119"/>
      <w:r>
        <w:rPr>
          <w:rFonts w:hint="eastAsia" w:ascii="仿宋" w:hAnsi="仿宋" w:eastAsia="仿宋" w:cs="仿宋"/>
          <w:color w:val="auto"/>
          <w:sz w:val="24"/>
          <w:highlight w:val="none"/>
        </w:rPr>
        <w:t>4、法定代表人身份证明</w:t>
      </w:r>
      <w:bookmarkEnd w:id="122"/>
      <w:bookmarkEnd w:id="123"/>
    </w:p>
    <w:p>
      <w:pPr>
        <w:spacing w:line="360" w:lineRule="auto"/>
        <w:ind w:firstLine="480"/>
        <w:outlineLvl w:val="0"/>
        <w:rPr>
          <w:rFonts w:hint="eastAsia" w:ascii="仿宋" w:hAnsi="仿宋" w:eastAsia="仿宋" w:cs="仿宋"/>
          <w:color w:val="auto"/>
          <w:sz w:val="24"/>
          <w:highlight w:val="none"/>
        </w:rPr>
      </w:pPr>
      <w:bookmarkStart w:id="124" w:name="_Toc4591"/>
      <w:bookmarkStart w:id="125" w:name="_Toc16500"/>
      <w:r>
        <w:rPr>
          <w:rFonts w:hint="eastAsia" w:ascii="仿宋" w:hAnsi="仿宋" w:eastAsia="仿宋" w:cs="仿宋"/>
          <w:color w:val="auto"/>
          <w:sz w:val="24"/>
          <w:highlight w:val="none"/>
        </w:rPr>
        <w:t>5、授权委托书</w:t>
      </w:r>
      <w:bookmarkEnd w:id="124"/>
      <w:bookmarkEnd w:id="125"/>
    </w:p>
    <w:p>
      <w:pPr>
        <w:spacing w:line="360" w:lineRule="auto"/>
        <w:ind w:firstLine="480"/>
        <w:outlineLvl w:val="0"/>
        <w:rPr>
          <w:rFonts w:hint="eastAsia" w:ascii="仿宋" w:hAnsi="仿宋" w:eastAsia="仿宋" w:cs="仿宋"/>
          <w:color w:val="auto"/>
          <w:sz w:val="24"/>
          <w:highlight w:val="none"/>
        </w:rPr>
      </w:pPr>
      <w:bookmarkStart w:id="126" w:name="_Toc32618"/>
      <w:bookmarkStart w:id="127" w:name="_Toc26584"/>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基本情况表</w:t>
      </w:r>
      <w:bookmarkEnd w:id="126"/>
      <w:bookmarkEnd w:id="127"/>
    </w:p>
    <w:p>
      <w:pPr>
        <w:spacing w:line="360" w:lineRule="auto"/>
        <w:ind w:firstLine="480"/>
        <w:outlineLvl w:val="0"/>
        <w:rPr>
          <w:rFonts w:hint="eastAsia" w:ascii="仿宋" w:hAnsi="仿宋" w:eastAsia="仿宋" w:cs="仿宋"/>
          <w:color w:val="auto"/>
          <w:sz w:val="24"/>
          <w:highlight w:val="none"/>
        </w:rPr>
      </w:pPr>
      <w:bookmarkStart w:id="128" w:name="_Toc17382"/>
      <w:bookmarkStart w:id="129" w:name="_Toc27268"/>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资格声明及相关证明文件</w:t>
      </w:r>
      <w:bookmarkEnd w:id="128"/>
      <w:bookmarkEnd w:id="129"/>
    </w:p>
    <w:p>
      <w:pPr>
        <w:spacing w:line="360" w:lineRule="auto"/>
        <w:ind w:firstLine="480"/>
        <w:outlineLvl w:val="0"/>
        <w:rPr>
          <w:rFonts w:hint="eastAsia" w:ascii="仿宋" w:hAnsi="仿宋" w:eastAsia="仿宋" w:cs="仿宋"/>
          <w:color w:val="auto"/>
          <w:sz w:val="24"/>
          <w:highlight w:val="none"/>
        </w:rPr>
      </w:pPr>
      <w:bookmarkStart w:id="130" w:name="_Toc11992"/>
      <w:bookmarkStart w:id="131" w:name="_Toc26536"/>
      <w:r>
        <w:rPr>
          <w:rFonts w:hint="eastAsia" w:ascii="仿宋" w:hAnsi="仿宋" w:eastAsia="仿宋" w:cs="仿宋"/>
          <w:color w:val="auto"/>
          <w:sz w:val="24"/>
          <w:highlight w:val="none"/>
        </w:rPr>
        <w:t>8、联合体协议书(</w:t>
      </w:r>
      <w:r>
        <w:rPr>
          <w:rFonts w:hint="eastAsia" w:ascii="仿宋" w:hAnsi="仿宋" w:eastAsia="仿宋" w:cs="仿宋"/>
          <w:color w:val="auto"/>
          <w:sz w:val="24"/>
          <w:highlight w:val="none"/>
          <w:lang w:eastAsia="zh-CN"/>
        </w:rPr>
        <w:t>无</w:t>
      </w:r>
      <w:r>
        <w:rPr>
          <w:rFonts w:hint="eastAsia" w:ascii="仿宋" w:hAnsi="仿宋" w:eastAsia="仿宋" w:cs="仿宋"/>
          <w:color w:val="auto"/>
          <w:sz w:val="24"/>
          <w:highlight w:val="none"/>
        </w:rPr>
        <w:t>)</w:t>
      </w:r>
      <w:bookmarkEnd w:id="130"/>
      <w:bookmarkEnd w:id="131"/>
    </w:p>
    <w:p>
      <w:pPr>
        <w:spacing w:line="360" w:lineRule="auto"/>
        <w:ind w:firstLine="480"/>
        <w:outlineLvl w:val="0"/>
        <w:rPr>
          <w:rFonts w:hint="eastAsia" w:ascii="仿宋" w:hAnsi="仿宋" w:eastAsia="仿宋" w:cs="仿宋"/>
          <w:color w:val="auto"/>
          <w:sz w:val="24"/>
          <w:highlight w:val="none"/>
        </w:rPr>
      </w:pPr>
      <w:bookmarkStart w:id="132" w:name="_Toc20917"/>
      <w:bookmarkStart w:id="133" w:name="_Toc26431"/>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交纳凭证</w:t>
      </w:r>
      <w:bookmarkEnd w:id="132"/>
      <w:bookmarkEnd w:id="133"/>
    </w:p>
    <w:p>
      <w:pPr>
        <w:spacing w:line="360" w:lineRule="auto"/>
        <w:ind w:firstLine="480"/>
        <w:outlineLvl w:val="0"/>
        <w:rPr>
          <w:rFonts w:hint="eastAsia" w:ascii="仿宋" w:hAnsi="仿宋" w:eastAsia="仿宋" w:cs="仿宋"/>
          <w:color w:val="auto"/>
          <w:sz w:val="24"/>
          <w:highlight w:val="none"/>
        </w:rPr>
      </w:pPr>
      <w:bookmarkStart w:id="134" w:name="_Toc11007"/>
      <w:bookmarkStart w:id="135" w:name="_Toc23633"/>
      <w:r>
        <w:rPr>
          <w:rFonts w:hint="eastAsia" w:ascii="仿宋" w:hAnsi="仿宋" w:eastAsia="仿宋" w:cs="仿宋"/>
          <w:color w:val="auto"/>
          <w:sz w:val="24"/>
          <w:highlight w:val="none"/>
        </w:rPr>
        <w:t>10.中小企业声明函（如有时提供）</w:t>
      </w:r>
      <w:bookmarkEnd w:id="134"/>
      <w:bookmarkEnd w:id="135"/>
    </w:p>
    <w:p>
      <w:pPr>
        <w:spacing w:line="360" w:lineRule="auto"/>
        <w:ind w:firstLine="480"/>
        <w:outlineLvl w:val="0"/>
        <w:rPr>
          <w:rFonts w:hint="eastAsia" w:ascii="仿宋" w:hAnsi="仿宋" w:eastAsia="仿宋" w:cs="仿宋"/>
          <w:color w:val="auto"/>
          <w:sz w:val="24"/>
          <w:highlight w:val="none"/>
        </w:rPr>
      </w:pPr>
      <w:bookmarkStart w:id="136" w:name="_Toc20177"/>
      <w:bookmarkStart w:id="137" w:name="_Toc23204"/>
      <w:r>
        <w:rPr>
          <w:rFonts w:hint="eastAsia" w:ascii="仿宋" w:hAnsi="仿宋" w:eastAsia="仿宋" w:cs="仿宋"/>
          <w:color w:val="auto"/>
          <w:sz w:val="24"/>
          <w:highlight w:val="none"/>
        </w:rPr>
        <w:t>11.监狱企业声明函（如有时提供）</w:t>
      </w:r>
      <w:bookmarkEnd w:id="136"/>
      <w:bookmarkEnd w:id="137"/>
    </w:p>
    <w:p>
      <w:pPr>
        <w:spacing w:line="360" w:lineRule="auto"/>
        <w:ind w:firstLine="480"/>
        <w:outlineLvl w:val="0"/>
        <w:rPr>
          <w:rFonts w:hint="eastAsia" w:ascii="仿宋" w:hAnsi="仿宋" w:eastAsia="仿宋" w:cs="仿宋"/>
          <w:color w:val="auto"/>
          <w:sz w:val="24"/>
          <w:highlight w:val="none"/>
        </w:rPr>
      </w:pPr>
      <w:bookmarkStart w:id="138" w:name="_Toc13399"/>
      <w:bookmarkStart w:id="139" w:name="_Toc23529"/>
      <w:r>
        <w:rPr>
          <w:rFonts w:hint="eastAsia" w:ascii="仿宋" w:hAnsi="仿宋" w:eastAsia="仿宋" w:cs="仿宋"/>
          <w:color w:val="auto"/>
          <w:sz w:val="24"/>
          <w:highlight w:val="none"/>
        </w:rPr>
        <w:t>12.残疾人福利性单位声明函（如有时提供）</w:t>
      </w:r>
      <w:bookmarkEnd w:id="138"/>
      <w:bookmarkEnd w:id="139"/>
    </w:p>
    <w:p>
      <w:pPr>
        <w:spacing w:line="360" w:lineRule="auto"/>
        <w:ind w:firstLine="480"/>
        <w:outlineLvl w:val="0"/>
        <w:rPr>
          <w:rFonts w:hint="eastAsia" w:ascii="仿宋" w:hAnsi="仿宋" w:eastAsia="仿宋" w:cs="仿宋"/>
          <w:color w:val="auto"/>
          <w:sz w:val="24"/>
          <w:highlight w:val="none"/>
          <w:lang w:eastAsia="zh-CN"/>
        </w:rPr>
      </w:pPr>
      <w:bookmarkStart w:id="140" w:name="_Toc30276"/>
      <w:bookmarkStart w:id="141" w:name="_Toc8016"/>
      <w:r>
        <w:rPr>
          <w:rFonts w:hint="eastAsia" w:ascii="仿宋" w:hAnsi="仿宋" w:eastAsia="仿宋" w:cs="仿宋"/>
          <w:color w:val="auto"/>
          <w:sz w:val="24"/>
          <w:highlight w:val="none"/>
        </w:rPr>
        <w:t>13、商务</w:t>
      </w:r>
      <w:r>
        <w:rPr>
          <w:rFonts w:hint="eastAsia" w:ascii="仿宋" w:hAnsi="仿宋" w:eastAsia="仿宋" w:cs="仿宋"/>
          <w:color w:val="auto"/>
          <w:sz w:val="24"/>
          <w:highlight w:val="none"/>
          <w:lang w:eastAsia="zh-CN"/>
        </w:rPr>
        <w:t>偏离表</w:t>
      </w:r>
      <w:bookmarkEnd w:id="140"/>
      <w:bookmarkEnd w:id="141"/>
    </w:p>
    <w:p>
      <w:pPr>
        <w:spacing w:line="360" w:lineRule="auto"/>
        <w:ind w:firstLine="480"/>
        <w:outlineLvl w:val="0"/>
        <w:rPr>
          <w:rFonts w:hint="eastAsia" w:ascii="仿宋" w:hAnsi="仿宋" w:eastAsia="仿宋" w:cs="仿宋"/>
          <w:color w:val="auto"/>
          <w:sz w:val="24"/>
          <w:highlight w:val="none"/>
        </w:rPr>
      </w:pPr>
      <w:bookmarkStart w:id="142" w:name="_Toc2987"/>
      <w:bookmarkStart w:id="143" w:name="_Toc26797"/>
      <w:r>
        <w:rPr>
          <w:rFonts w:hint="eastAsia" w:ascii="仿宋" w:hAnsi="仿宋" w:eastAsia="仿宋" w:cs="仿宋"/>
          <w:color w:val="auto"/>
          <w:sz w:val="24"/>
          <w:highlight w:val="none"/>
        </w:rPr>
        <w:t>14、技术偏离表</w:t>
      </w:r>
      <w:bookmarkEnd w:id="142"/>
      <w:bookmarkEnd w:id="143"/>
    </w:p>
    <w:p>
      <w:pPr>
        <w:spacing w:line="360" w:lineRule="auto"/>
        <w:ind w:firstLine="480"/>
        <w:outlineLvl w:val="0"/>
        <w:rPr>
          <w:rFonts w:hint="eastAsia" w:ascii="仿宋" w:hAnsi="仿宋" w:eastAsia="仿宋" w:cs="仿宋"/>
          <w:color w:val="auto"/>
          <w:sz w:val="24"/>
          <w:highlight w:val="none"/>
        </w:rPr>
      </w:pPr>
      <w:bookmarkStart w:id="144" w:name="_Toc31188"/>
      <w:bookmarkStart w:id="145" w:name="_Toc15960"/>
      <w:r>
        <w:rPr>
          <w:rFonts w:hint="eastAsia" w:ascii="仿宋" w:hAnsi="仿宋" w:eastAsia="仿宋" w:cs="仿宋"/>
          <w:color w:val="auto"/>
          <w:sz w:val="24"/>
          <w:highlight w:val="none"/>
        </w:rPr>
        <w:t>15、类似项目业绩</w:t>
      </w:r>
      <w:bookmarkEnd w:id="144"/>
      <w:bookmarkEnd w:id="145"/>
    </w:p>
    <w:p>
      <w:pPr>
        <w:spacing w:line="360" w:lineRule="auto"/>
        <w:ind w:firstLine="480"/>
        <w:outlineLvl w:val="0"/>
        <w:rPr>
          <w:rFonts w:hint="eastAsia" w:ascii="仿宋" w:hAnsi="仿宋" w:eastAsia="仿宋" w:cs="仿宋"/>
          <w:color w:val="auto"/>
          <w:sz w:val="24"/>
          <w:highlight w:val="none"/>
        </w:rPr>
      </w:pPr>
      <w:bookmarkStart w:id="146" w:name="_Toc6761"/>
      <w:bookmarkStart w:id="147" w:name="_Toc11459"/>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自行编写的技术文件</w:t>
      </w:r>
      <w:bookmarkEnd w:id="146"/>
      <w:bookmarkEnd w:id="147"/>
    </w:p>
    <w:p>
      <w:pPr>
        <w:spacing w:line="360" w:lineRule="auto"/>
        <w:ind w:firstLine="480"/>
        <w:outlineLvl w:val="0"/>
        <w:rPr>
          <w:rFonts w:hint="eastAsia" w:ascii="仿宋" w:hAnsi="仿宋" w:eastAsia="仿宋" w:cs="仿宋"/>
          <w:color w:val="auto"/>
          <w:sz w:val="24"/>
          <w:highlight w:val="none"/>
        </w:rPr>
      </w:pPr>
      <w:bookmarkStart w:id="148" w:name="_Toc21752"/>
      <w:bookmarkStart w:id="149" w:name="_Toc17694"/>
      <w:r>
        <w:rPr>
          <w:rFonts w:hint="eastAsia" w:ascii="仿宋" w:hAnsi="仿宋" w:eastAsia="仿宋" w:cs="仿宋"/>
          <w:color w:val="auto"/>
          <w:sz w:val="24"/>
          <w:highlight w:val="none"/>
        </w:rPr>
        <w:t>17、</w:t>
      </w:r>
      <w:bookmarkEnd w:id="148"/>
      <w:bookmarkEnd w:id="149"/>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认为需要提供的其他文件和资料</w:t>
      </w:r>
    </w:p>
    <w:p>
      <w:pPr>
        <w:pStyle w:val="8"/>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p>
    <w:p>
      <w:pPr>
        <w:pStyle w:val="8"/>
        <w:numPr>
          <w:ilvl w:val="0"/>
          <w:numId w:val="7"/>
        </w:numPr>
        <w:tabs>
          <w:tab w:val="left" w:pos="1000"/>
        </w:tabs>
        <w:spacing w:line="360" w:lineRule="auto"/>
        <w:ind w:firstLine="42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目录、序号和页码由供应商自行编列；</w:t>
      </w:r>
    </w:p>
    <w:p>
      <w:pPr>
        <w:pStyle w:val="8"/>
        <w:numPr>
          <w:ilvl w:val="0"/>
          <w:numId w:val="7"/>
        </w:numPr>
        <w:tabs>
          <w:tab w:val="left" w:pos="1000"/>
        </w:tabs>
        <w:spacing w:line="360" w:lineRule="auto"/>
        <w:ind w:firstLine="422"/>
        <w:rPr>
          <w:rFonts w:hint="eastAsia" w:ascii="仿宋" w:hAnsi="仿宋" w:eastAsia="仿宋" w:cs="仿宋"/>
          <w:b/>
          <w:color w:val="auto"/>
          <w:sz w:val="24"/>
          <w:szCs w:val="24"/>
          <w:highlight w:val="none"/>
        </w:rPr>
      </w:pPr>
      <w:r>
        <w:rPr>
          <w:rFonts w:hint="eastAsia" w:ascii="仿宋" w:hAnsi="仿宋" w:eastAsia="仿宋" w:cs="仿宋"/>
          <w:b/>
          <w:bCs/>
          <w:color w:val="auto"/>
          <w:kern w:val="1"/>
          <w:sz w:val="24"/>
          <w:szCs w:val="24"/>
          <w:highlight w:val="none"/>
        </w:rPr>
        <w:t>使用本文件提供的表格格式附件时，可以按同样格式扩展。没有提供制式格式的，供应商可以自行设计。</w:t>
      </w:r>
    </w:p>
    <w:p>
      <w:pPr>
        <w:pStyle w:val="8"/>
        <w:numPr>
          <w:ilvl w:val="0"/>
          <w:numId w:val="7"/>
        </w:numPr>
        <w:tabs>
          <w:tab w:val="left" w:pos="1000"/>
        </w:tabs>
        <w:spacing w:line="360" w:lineRule="auto"/>
        <w:ind w:firstLine="422"/>
        <w:rPr>
          <w:rFonts w:hint="eastAsia"/>
          <w:color w:val="auto"/>
          <w:sz w:val="24"/>
          <w:szCs w:val="24"/>
        </w:rPr>
      </w:pPr>
      <w:r>
        <w:rPr>
          <w:rFonts w:hint="eastAsia" w:ascii="仿宋" w:hAnsi="仿宋" w:eastAsia="仿宋" w:cs="仿宋"/>
          <w:b/>
          <w:color w:val="auto"/>
          <w:sz w:val="24"/>
          <w:szCs w:val="24"/>
          <w:highlight w:val="none"/>
          <w:lang w:val="en-US" w:eastAsia="zh-CN"/>
        </w:rPr>
        <w:t>响应文件</w:t>
      </w:r>
      <w:r>
        <w:rPr>
          <w:rFonts w:hint="eastAsia" w:ascii="仿宋" w:hAnsi="仿宋" w:eastAsia="仿宋" w:cs="仿宋"/>
          <w:b/>
          <w:color w:val="auto"/>
          <w:sz w:val="24"/>
          <w:szCs w:val="24"/>
          <w:highlight w:val="none"/>
        </w:rPr>
        <w:t>的内容包括但不仅限于上述内容，如有不足请自行补充。</w:t>
      </w:r>
    </w:p>
    <w:p>
      <w:pPr>
        <w:ind w:firstLine="482" w:firstLineChars="200"/>
        <w:rPr>
          <w:rFonts w:hint="eastAsia"/>
          <w:color w:val="auto"/>
          <w:sz w:val="24"/>
          <w:szCs w:val="24"/>
        </w:rPr>
      </w:pPr>
      <w:r>
        <w:rPr>
          <w:rFonts w:hint="eastAsia" w:ascii="仿宋" w:hAnsi="仿宋" w:eastAsia="仿宋" w:cs="仿宋"/>
          <w:b/>
          <w:bCs/>
          <w:color w:val="auto"/>
          <w:sz w:val="24"/>
          <w:szCs w:val="24"/>
          <w:highlight w:val="none"/>
          <w:lang w:val="en-US" w:eastAsia="zh-CN"/>
        </w:rPr>
        <w:t>4、响应文件</w:t>
      </w:r>
      <w:r>
        <w:rPr>
          <w:rFonts w:hint="eastAsia" w:ascii="仿宋" w:hAnsi="仿宋" w:eastAsia="仿宋" w:cs="仿宋"/>
          <w:b/>
          <w:bCs/>
          <w:color w:val="auto"/>
          <w:sz w:val="24"/>
          <w:szCs w:val="24"/>
          <w:highlight w:val="none"/>
        </w:rPr>
        <w:t>的内容包括但不仅限于上述内容，如有不足请自行补充。</w:t>
      </w:r>
    </w:p>
    <w:p>
      <w:pPr>
        <w:pStyle w:val="8"/>
        <w:tabs>
          <w:tab w:val="left" w:pos="1000"/>
        </w:tabs>
        <w:spacing w:line="360" w:lineRule="auto"/>
        <w:ind w:left="0" w:leftChars="0" w:firstLine="0" w:firstLineChars="0"/>
        <w:rPr>
          <w:rFonts w:hint="eastAsia" w:ascii="仿宋" w:hAnsi="仿宋" w:eastAsia="仿宋" w:cs="仿宋"/>
          <w:b/>
          <w:color w:val="auto"/>
          <w:sz w:val="24"/>
          <w:szCs w:val="24"/>
          <w:highlight w:val="none"/>
        </w:rPr>
        <w:sectPr>
          <w:footerReference r:id="rId6" w:type="first"/>
          <w:footerReference r:id="rId5" w:type="default"/>
          <w:pgSz w:w="11906" w:h="16838"/>
          <w:pgMar w:top="1402" w:right="1418" w:bottom="1400" w:left="1418" w:header="851" w:footer="992" w:gutter="0"/>
          <w:pgNumType w:fmt="decimal" w:start="1"/>
          <w:cols w:space="720" w:num="1"/>
          <w:titlePg/>
        </w:sectPr>
      </w:pPr>
    </w:p>
    <w:p>
      <w:pPr>
        <w:pStyle w:val="4"/>
        <w:bidi w:val="0"/>
        <w:outlineLvl w:val="0"/>
        <w:rPr>
          <w:rFonts w:hint="eastAsia"/>
          <w:color w:val="auto"/>
        </w:rPr>
      </w:pPr>
      <w:r>
        <w:rPr>
          <w:rFonts w:hint="eastAsia"/>
          <w:color w:val="auto"/>
        </w:rPr>
        <w:t xml:space="preserve">  </w:t>
      </w:r>
      <w:bookmarkStart w:id="150" w:name="_Toc5109"/>
      <w:r>
        <w:rPr>
          <w:rFonts w:hint="eastAsia"/>
          <w:color w:val="auto"/>
        </w:rPr>
        <w:t>1、响 应 函</w:t>
      </w:r>
      <w:bookmarkEnd w:id="150"/>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sz w:val="24"/>
          <w:highlight w:val="none"/>
          <w:u w:val="single"/>
        </w:rPr>
        <w:t>：</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我们收到你们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和布克赛尔县粮油购销公司粮库智能化改造项目</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，经认真研究，我们决定参加投标。</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⒈ 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中的一切要求服务。</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 xml:space="preserve">总报价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元（用阿拉伯数字书写）人民币，明细见报价明细表。</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⒉ 如果我们的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被接受，我们将履行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中规定的每一项要求，按期、按质、按量完成测量、定级、确权、估价服务等任务。</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⒊ 我们同意按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的有效期为投标截止期后</w:t>
      </w: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60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⒋ 我们愿意提供采购人在</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中要求的所有资料。</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⒌ 我们认为你们有选择或拒绝任何供应商的权力。我们理解，最低报价不是成交的唯一条件。</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⒍ 我们愿按合同法履行自己的全部责任。</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⒎ 我方愿意遵守国家有关规定及招标文件中规定的收费标准，承付成交服务费。</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⒏ 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在投标截止期后的有效期内保持有效，不作任何更改和变动。</w:t>
      </w:r>
    </w:p>
    <w:p>
      <w:pPr>
        <w:spacing w:line="360" w:lineRule="auto"/>
        <w:ind w:firstLine="567"/>
        <w:outlineLvl w:val="0"/>
        <w:rPr>
          <w:rFonts w:hint="eastAsia" w:ascii="仿宋" w:hAnsi="仿宋" w:eastAsia="仿宋" w:cs="仿宋"/>
          <w:color w:val="auto"/>
          <w:sz w:val="24"/>
          <w:highlight w:val="none"/>
        </w:rPr>
      </w:pPr>
      <w:bookmarkStart w:id="151" w:name="_Toc14791"/>
      <w:bookmarkStart w:id="152" w:name="_Toc20169"/>
      <w:r>
        <w:rPr>
          <w:rFonts w:hint="eastAsia" w:ascii="仿宋" w:hAnsi="仿宋" w:eastAsia="仿宋" w:cs="仿宋"/>
          <w:color w:val="auto"/>
          <w:sz w:val="24"/>
          <w:highlight w:val="none"/>
        </w:rPr>
        <w:t>9. 综合说明：</w:t>
      </w:r>
      <w:bookmarkEnd w:id="151"/>
      <w:bookmarkEnd w:id="152"/>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（1）项目的详细技术参数、技术条件、技术标准、拟达到的质量标准和保险期限。</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（2）培训计划及人员安排。</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（3）技术服务。</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（4）要求项目单位提供的配合。</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（5）对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内容有不同意见的偏离说明。</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（6）其它。</w:t>
      </w:r>
    </w:p>
    <w:p>
      <w:pPr>
        <w:spacing w:line="360" w:lineRule="auto"/>
        <w:ind w:firstLine="567"/>
        <w:outlineLvl w:val="0"/>
        <w:rPr>
          <w:rFonts w:hint="eastAsia" w:ascii="仿宋" w:hAnsi="仿宋" w:eastAsia="仿宋" w:cs="仿宋"/>
          <w:color w:val="auto"/>
          <w:sz w:val="24"/>
          <w:highlight w:val="none"/>
        </w:rPr>
      </w:pPr>
      <w:bookmarkStart w:id="153" w:name="_Toc21698"/>
      <w:bookmarkStart w:id="154" w:name="_Toc31486"/>
      <w:r>
        <w:rPr>
          <w:rFonts w:hint="eastAsia" w:ascii="仿宋" w:hAnsi="仿宋" w:eastAsia="仿宋" w:cs="仿宋"/>
          <w:color w:val="auto"/>
          <w:sz w:val="24"/>
          <w:highlight w:val="none"/>
        </w:rPr>
        <w:t>10.所有有关本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的函电，请按下列地址联系：</w:t>
      </w:r>
      <w:bookmarkEnd w:id="153"/>
      <w:bookmarkEnd w:id="154"/>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单       位：</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p>
    <w:p>
      <w:pPr>
        <w:spacing w:line="360" w:lineRule="auto"/>
        <w:ind w:firstLine="567"/>
        <w:rPr>
          <w:rFonts w:hint="eastAsia" w:ascii="仿宋" w:hAnsi="仿宋" w:eastAsia="仿宋" w:cs="仿宋"/>
          <w:color w:val="auto"/>
          <w:sz w:val="24"/>
          <w:highlight w:val="none"/>
        </w:rPr>
      </w:pPr>
    </w:p>
    <w:p>
      <w:pPr>
        <w:spacing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pacing w:line="360" w:lineRule="auto"/>
        <w:ind w:firstLine="432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spacing w:line="360" w:lineRule="auto"/>
        <w:ind w:firstLine="5176" w:firstLineChars="2157"/>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  月  日</w:t>
      </w:r>
    </w:p>
    <w:p>
      <w:pPr>
        <w:spacing w:line="360" w:lineRule="auto"/>
        <w:rPr>
          <w:rFonts w:hint="eastAsia" w:ascii="仿宋" w:hAnsi="仿宋" w:eastAsia="仿宋" w:cs="仿宋"/>
          <w:color w:val="auto"/>
          <w:sz w:val="24"/>
          <w:highlight w:val="none"/>
        </w:rPr>
        <w:sectPr>
          <w:pgSz w:w="11906" w:h="16838"/>
          <w:pgMar w:top="1418" w:right="1418" w:bottom="1418" w:left="1418" w:header="851" w:footer="992" w:gutter="0"/>
          <w:pgNumType w:fmt="decimal"/>
          <w:cols w:space="720" w:num="1"/>
          <w:docGrid w:linePitch="312" w:charSpace="0"/>
        </w:sectPr>
      </w:pPr>
    </w:p>
    <w:p>
      <w:pPr>
        <w:pStyle w:val="4"/>
        <w:bidi w:val="0"/>
        <w:outlineLvl w:val="0"/>
        <w:rPr>
          <w:rFonts w:hint="eastAsia"/>
          <w:color w:val="auto"/>
        </w:rPr>
      </w:pPr>
      <w:bookmarkStart w:id="155" w:name="_Toc14510"/>
      <w:r>
        <w:rPr>
          <w:rFonts w:hint="eastAsia"/>
          <w:color w:val="auto"/>
          <w:lang w:val="en-US" w:eastAsia="zh-CN"/>
        </w:rPr>
        <w:t>2、</w:t>
      </w:r>
      <w:r>
        <w:rPr>
          <w:rFonts w:hint="eastAsia"/>
          <w:color w:val="auto"/>
          <w:lang w:eastAsia="zh-CN"/>
        </w:rPr>
        <w:t>磋商</w:t>
      </w:r>
      <w:r>
        <w:rPr>
          <w:rFonts w:hint="eastAsia"/>
          <w:color w:val="auto"/>
        </w:rPr>
        <w:t>报价单</w:t>
      </w:r>
      <w:bookmarkEnd w:id="155"/>
    </w:p>
    <w:p>
      <w:pPr>
        <w:spacing w:line="360" w:lineRule="auto"/>
        <w:rPr>
          <w:rFonts w:hint="eastAsia" w:ascii="仿宋" w:hAnsi="仿宋" w:eastAsia="仿宋" w:cs="仿宋"/>
          <w:color w:val="auto"/>
          <w:kern w:val="1"/>
          <w:szCs w:val="28"/>
          <w:highlight w:val="none"/>
        </w:rPr>
      </w:pPr>
      <w:r>
        <w:rPr>
          <w:rFonts w:hint="eastAsia" w:ascii="仿宋" w:hAnsi="仿宋" w:eastAsia="仿宋" w:cs="仿宋"/>
          <w:color w:val="auto"/>
          <w:kern w:val="1"/>
          <w:szCs w:val="28"/>
          <w:highlight w:val="none"/>
        </w:rPr>
        <w:t>项目名称：</w:t>
      </w:r>
    </w:p>
    <w:tbl>
      <w:tblPr>
        <w:tblStyle w:val="26"/>
        <w:tblW w:w="0" w:type="auto"/>
        <w:tblInd w:w="0" w:type="dxa"/>
        <w:tblLayout w:type="fixed"/>
        <w:tblCellMar>
          <w:top w:w="0" w:type="dxa"/>
          <w:left w:w="108" w:type="dxa"/>
          <w:bottom w:w="0" w:type="dxa"/>
          <w:right w:w="108" w:type="dxa"/>
        </w:tblCellMar>
      </w:tblPr>
      <w:tblGrid>
        <w:gridCol w:w="2293"/>
        <w:gridCol w:w="2293"/>
        <w:gridCol w:w="2294"/>
        <w:gridCol w:w="2294"/>
      </w:tblGrid>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highlight w:val="none"/>
              </w:rPr>
              <w:t>序号</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tabs>
                <w:tab w:val="left" w:pos="1090"/>
              </w:tabs>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名称</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磋商报价</w:t>
            </w:r>
            <w:r>
              <w:rPr>
                <w:rFonts w:hint="eastAsia" w:ascii="仿宋" w:hAnsi="仿宋" w:eastAsia="仿宋" w:cs="仿宋"/>
                <w:color w:val="auto"/>
                <w:highlight w:val="none"/>
              </w:rPr>
              <w:t>（元）</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1</w:t>
            </w:r>
          </w:p>
        </w:tc>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合计</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highlight w:val="none"/>
              </w:rPr>
              <w:t>小写：</w:t>
            </w:r>
            <w:r>
              <w:rPr>
                <w:rFonts w:hint="eastAsia" w:ascii="仿宋" w:hAnsi="仿宋" w:eastAsia="仿宋" w:cs="仿宋"/>
                <w:color w:val="auto"/>
                <w:kern w:val="1"/>
                <w:highlight w:val="none"/>
                <w:u w:val="single"/>
              </w:rPr>
              <w:t xml:space="preserve">            </w:t>
            </w:r>
            <w:r>
              <w:rPr>
                <w:rFonts w:hint="eastAsia" w:ascii="仿宋" w:hAnsi="仿宋" w:eastAsia="仿宋" w:cs="仿宋"/>
                <w:color w:val="auto"/>
                <w:kern w:val="1"/>
                <w:highlight w:val="none"/>
              </w:rPr>
              <w:t>元；大写：</w:t>
            </w:r>
            <w:r>
              <w:rPr>
                <w:rFonts w:hint="eastAsia" w:ascii="仿宋" w:hAnsi="仿宋" w:eastAsia="仿宋" w:cs="仿宋"/>
                <w:color w:val="auto"/>
                <w:kern w:val="1"/>
                <w:highlight w:val="none"/>
                <w:u w:val="single"/>
              </w:rPr>
              <w:t xml:space="preserve">              </w:t>
            </w:r>
            <w:r>
              <w:rPr>
                <w:rFonts w:hint="eastAsia" w:ascii="仿宋" w:hAnsi="仿宋" w:eastAsia="仿宋" w:cs="仿宋"/>
                <w:color w:val="auto"/>
                <w:kern w:val="1"/>
                <w:highlight w:val="none"/>
              </w:rPr>
              <w:t>元整</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lang w:eastAsia="zh-CN"/>
              </w:rPr>
              <w:t>交货期</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bl>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kern w:val="1"/>
          <w:szCs w:val="28"/>
          <w:highlight w:val="none"/>
        </w:rPr>
      </w:pPr>
      <w:r>
        <w:rPr>
          <w:rFonts w:hint="eastAsia" w:ascii="仿宋" w:hAnsi="仿宋" w:eastAsia="仿宋" w:cs="仿宋"/>
          <w:color w:val="auto"/>
          <w:kern w:val="1"/>
          <w:szCs w:val="28"/>
          <w:highlight w:val="none"/>
        </w:rPr>
        <w:t xml:space="preserve">注：1. </w:t>
      </w:r>
      <w:r>
        <w:rPr>
          <w:rFonts w:hint="eastAsia" w:ascii="仿宋" w:hAnsi="仿宋" w:eastAsia="仿宋" w:cs="仿宋"/>
          <w:color w:val="auto"/>
          <w:highlight w:val="none"/>
          <w:lang w:eastAsia="zh-CN"/>
        </w:rPr>
        <w:t>磋商报价</w:t>
      </w:r>
      <w:r>
        <w:rPr>
          <w:rFonts w:hint="eastAsia" w:ascii="仿宋" w:hAnsi="仿宋" w:eastAsia="仿宋" w:cs="仿宋"/>
          <w:color w:val="auto"/>
          <w:kern w:val="1"/>
          <w:szCs w:val="28"/>
          <w:highlight w:val="none"/>
        </w:rPr>
        <w:t>应是完成合同条款上所列招标范围及服务期所需的全部费用（包含人工费、交通费、食宿费、通讯费、成果编制费、印刷费、设备使用与购置费、专家咨询劳务费、管理费、风险费、税金。完成包括但不限于以下工作内容:成果编制、印刷、咨询等所有内容），不得以任何理由予以重复，未列和没有填写的项目费用，采购人将视为已包含在报价总价中。</w:t>
      </w:r>
    </w:p>
    <w:p>
      <w:pPr>
        <w:tabs>
          <w:tab w:val="left" w:pos="1365"/>
        </w:tabs>
        <w:spacing w:line="360" w:lineRule="auto"/>
        <w:ind w:firstLine="420"/>
        <w:outlineLvl w:val="0"/>
        <w:rPr>
          <w:rFonts w:hint="eastAsia" w:ascii="仿宋" w:hAnsi="仿宋" w:eastAsia="仿宋" w:cs="仿宋"/>
          <w:color w:val="auto"/>
          <w:kern w:val="1"/>
          <w:szCs w:val="28"/>
          <w:highlight w:val="none"/>
        </w:rPr>
      </w:pPr>
      <w:bookmarkStart w:id="156" w:name="_Toc6862"/>
      <w:bookmarkStart w:id="157" w:name="_Toc8128"/>
      <w:r>
        <w:rPr>
          <w:rFonts w:hint="eastAsia" w:ascii="仿宋" w:hAnsi="仿宋" w:eastAsia="仿宋" w:cs="仿宋"/>
          <w:color w:val="auto"/>
          <w:kern w:val="1"/>
          <w:szCs w:val="28"/>
          <w:highlight w:val="none"/>
        </w:rPr>
        <w:t>2. 本表中的</w:t>
      </w:r>
      <w:r>
        <w:rPr>
          <w:rFonts w:hint="eastAsia" w:ascii="仿宋" w:hAnsi="仿宋" w:eastAsia="仿宋" w:cs="仿宋"/>
          <w:color w:val="auto"/>
          <w:kern w:val="1"/>
          <w:szCs w:val="28"/>
          <w:highlight w:val="none"/>
          <w:lang w:eastAsia="zh-CN"/>
        </w:rPr>
        <w:t>磋商报价</w:t>
      </w:r>
      <w:r>
        <w:rPr>
          <w:rFonts w:hint="eastAsia" w:ascii="仿宋" w:hAnsi="仿宋" w:eastAsia="仿宋" w:cs="仿宋"/>
          <w:color w:val="auto"/>
          <w:kern w:val="1"/>
          <w:szCs w:val="28"/>
          <w:highlight w:val="none"/>
        </w:rPr>
        <w:t>应与分项报价表中的总价相一致。</w:t>
      </w:r>
      <w:bookmarkEnd w:id="156"/>
      <w:bookmarkEnd w:id="157"/>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bookmarkStart w:id="158" w:name="OLE_LINK7"/>
      <w:r>
        <w:rPr>
          <w:rFonts w:hint="eastAsia" w:ascii="仿宋" w:hAnsi="仿宋" w:eastAsia="仿宋" w:cs="仿宋"/>
          <w:color w:val="auto"/>
          <w:sz w:val="24"/>
          <w:highlight w:val="none"/>
        </w:rPr>
        <w:t>签字或盖章</w:t>
      </w:r>
      <w:bookmarkEnd w:id="158"/>
      <w:r>
        <w:rPr>
          <w:rFonts w:hint="eastAsia" w:ascii="仿宋" w:hAnsi="仿宋" w:eastAsia="仿宋" w:cs="仿宋"/>
          <w:color w:val="auto"/>
          <w:sz w:val="24"/>
          <w:highlight w:val="none"/>
        </w:rPr>
        <w:t>）：                           年   月   日</w:t>
      </w: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法人委托代理人（签字或盖章）：                      年   月   日</w:t>
      </w:r>
    </w:p>
    <w:p>
      <w:pPr>
        <w:spacing w:line="360" w:lineRule="auto"/>
        <w:rPr>
          <w:rFonts w:hint="eastAsia" w:ascii="仿宋" w:hAnsi="仿宋" w:eastAsia="仿宋" w:cs="仿宋"/>
          <w:color w:val="auto"/>
          <w:sz w:val="24"/>
          <w:highlight w:val="none"/>
        </w:rPr>
        <w:sectPr>
          <w:headerReference r:id="rId7" w:type="default"/>
          <w:footerReference r:id="rId8" w:type="default"/>
          <w:footerReference r:id="rId9" w:type="even"/>
          <w:pgSz w:w="11906" w:h="16838"/>
          <w:pgMar w:top="1402" w:right="926" w:bottom="1712" w:left="1985" w:header="851" w:footer="992" w:gutter="0"/>
          <w:pgNumType w:fmt="decimal"/>
          <w:cols w:space="720" w:num="1"/>
          <w:docGrid w:linePitch="312" w:charSpace="0"/>
        </w:sectPr>
      </w:pPr>
    </w:p>
    <w:p>
      <w:pPr>
        <w:pStyle w:val="4"/>
        <w:bidi w:val="0"/>
        <w:outlineLvl w:val="0"/>
        <w:rPr>
          <w:rFonts w:hint="eastAsia"/>
          <w:color w:val="auto"/>
        </w:rPr>
      </w:pPr>
      <w:bookmarkStart w:id="159" w:name="_Toc23990"/>
      <w:r>
        <w:rPr>
          <w:rFonts w:hint="eastAsia"/>
          <w:color w:val="auto"/>
        </w:rPr>
        <w:t>3、 报价明细表</w:t>
      </w:r>
      <w:bookmarkEnd w:id="159"/>
    </w:p>
    <w:p>
      <w:pPr>
        <w:spacing w:line="360" w:lineRule="auto"/>
        <w:rPr>
          <w:rFonts w:hint="eastAsia" w:ascii="仿宋" w:hAnsi="仿宋" w:eastAsia="仿宋" w:cs="仿宋"/>
          <w:b/>
          <w:color w:val="auto"/>
          <w:szCs w:val="21"/>
          <w:highlight w:val="none"/>
        </w:rPr>
      </w:pPr>
    </w:p>
    <w:p>
      <w:pPr>
        <w:spacing w:line="360" w:lineRule="auto"/>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项目名称：</w:t>
      </w:r>
      <w:r>
        <w:rPr>
          <w:rFonts w:hint="eastAsia" w:ascii="仿宋" w:hAnsi="仿宋" w:eastAsia="仿宋" w:cs="仿宋"/>
          <w:color w:val="auto"/>
          <w:kern w:val="1"/>
          <w:szCs w:val="21"/>
          <w:highlight w:val="none"/>
          <w:u w:val="single"/>
        </w:rPr>
        <w:t xml:space="preserve">                     </w:t>
      </w:r>
      <w:r>
        <w:rPr>
          <w:rFonts w:hint="eastAsia" w:ascii="仿宋" w:hAnsi="仿宋" w:eastAsia="仿宋" w:cs="仿宋"/>
          <w:color w:val="auto"/>
          <w:kern w:val="1"/>
          <w:szCs w:val="21"/>
          <w:highlight w:val="none"/>
        </w:rPr>
        <w:t xml:space="preserve">                       </w:t>
      </w:r>
    </w:p>
    <w:tbl>
      <w:tblPr>
        <w:tblStyle w:val="26"/>
        <w:tblW w:w="0" w:type="auto"/>
        <w:tblInd w:w="-34" w:type="dxa"/>
        <w:tblLayout w:type="fixed"/>
        <w:tblCellMar>
          <w:top w:w="0" w:type="dxa"/>
          <w:left w:w="108" w:type="dxa"/>
          <w:bottom w:w="0" w:type="dxa"/>
          <w:right w:w="108" w:type="dxa"/>
        </w:tblCellMar>
      </w:tblPr>
      <w:tblGrid>
        <w:gridCol w:w="851"/>
        <w:gridCol w:w="2126"/>
        <w:gridCol w:w="2127"/>
        <w:gridCol w:w="850"/>
        <w:gridCol w:w="992"/>
        <w:gridCol w:w="1105"/>
        <w:gridCol w:w="1022"/>
      </w:tblGrid>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明细名称</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简要说明</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单价</w:t>
            </w: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合计</w:t>
            </w: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9073" w:type="dxa"/>
            <w:gridSpan w:val="7"/>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left"/>
              <w:rPr>
                <w:rFonts w:hint="eastAsia" w:ascii="仿宋" w:hAnsi="仿宋" w:eastAsia="仿宋" w:cs="仿宋"/>
                <w:b/>
                <w:color w:val="auto"/>
                <w:sz w:val="21"/>
                <w:szCs w:val="21"/>
                <w:highlight w:val="none"/>
                <w:lang w:val="en-US"/>
              </w:rPr>
            </w:pPr>
            <w:r>
              <w:rPr>
                <w:rFonts w:hint="eastAsia" w:ascii="仿宋" w:hAnsi="仿宋" w:eastAsia="仿宋" w:cs="仿宋"/>
                <w:b/>
                <w:color w:val="auto"/>
                <w:sz w:val="21"/>
                <w:szCs w:val="21"/>
                <w:highlight w:val="none"/>
                <w:lang w:val="en-US"/>
              </w:rPr>
              <w:t>总价：</w:t>
            </w:r>
          </w:p>
        </w:tc>
      </w:tr>
    </w:tbl>
    <w:p>
      <w:pPr>
        <w:pStyle w:val="1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 1.如果不提供详细分项报价将视为没有实质性响应</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w:t>
      </w:r>
    </w:p>
    <w:p>
      <w:pPr>
        <w:pStyle w:val="15"/>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2.上述各项的详细分项报价，可另页描述。</w:t>
      </w:r>
    </w:p>
    <w:p>
      <w:pPr>
        <w:pStyle w:val="15"/>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3.本报价中应包含供应商在执行本项目中所发生的所有费用，采购人将不再支付其他费用。</w:t>
      </w:r>
    </w:p>
    <w:p>
      <w:pPr>
        <w:pStyle w:val="15"/>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4.供应商应严格按照上述分项内容进行报价，各分项所需附加费用应含在该分项报价中，</w:t>
      </w:r>
      <w:r>
        <w:rPr>
          <w:rFonts w:hint="eastAsia" w:ascii="仿宋" w:hAnsi="仿宋" w:eastAsia="仿宋" w:cs="仿宋"/>
          <w:b/>
          <w:color w:val="auto"/>
          <w:highlight w:val="none"/>
        </w:rPr>
        <w:t>不得再单独列出</w:t>
      </w:r>
      <w:r>
        <w:rPr>
          <w:rFonts w:hint="eastAsia" w:ascii="仿宋" w:hAnsi="仿宋" w:eastAsia="仿宋" w:cs="仿宋"/>
          <w:color w:val="auto"/>
          <w:highlight w:val="none"/>
        </w:rPr>
        <w:t>进行报价（如税费、利润、差旅费、管理费、中标服务费等）。</w:t>
      </w:r>
    </w:p>
    <w:p>
      <w:pPr>
        <w:spacing w:line="360" w:lineRule="auto"/>
        <w:rPr>
          <w:rFonts w:hint="eastAsia" w:ascii="仿宋" w:hAnsi="仿宋" w:eastAsia="仿宋" w:cs="仿宋"/>
          <w:color w:val="auto"/>
          <w:kern w:val="1"/>
          <w:szCs w:val="21"/>
          <w:highlight w:val="none"/>
        </w:rPr>
      </w:pPr>
    </w:p>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szCs w:val="21"/>
          <w:highlight w:val="none"/>
        </w:rPr>
        <w:t>供应商</w:t>
      </w:r>
      <w:r>
        <w:rPr>
          <w:rFonts w:hint="eastAsia" w:ascii="仿宋" w:hAnsi="仿宋" w:eastAsia="仿宋" w:cs="仿宋"/>
          <w:color w:val="auto"/>
          <w:kern w:val="1"/>
          <w:highlight w:val="none"/>
        </w:rPr>
        <w:t>：（加盖公章）</w:t>
      </w:r>
    </w:p>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highlight w:val="none"/>
        </w:rPr>
        <w:t>法定代表人或其全权代表：（签字或印章）</w:t>
      </w:r>
    </w:p>
    <w:p>
      <w:pPr>
        <w:spacing w:line="360" w:lineRule="auto"/>
        <w:rPr>
          <w:rFonts w:hint="eastAsia" w:ascii="仿宋" w:hAnsi="仿宋" w:eastAsia="仿宋" w:cs="仿宋"/>
          <w:color w:val="auto"/>
          <w:kern w:val="1"/>
          <w:szCs w:val="21"/>
          <w:highlight w:val="none"/>
        </w:rPr>
        <w:sectPr>
          <w:headerReference r:id="rId11" w:type="first"/>
          <w:footerReference r:id="rId13" w:type="first"/>
          <w:headerReference r:id="rId10" w:type="default"/>
          <w:footerReference r:id="rId12" w:type="default"/>
          <w:pgSz w:w="11906" w:h="16838"/>
          <w:pgMar w:top="1402" w:right="1418" w:bottom="1400" w:left="1418" w:header="851" w:footer="992" w:gutter="0"/>
          <w:pgNumType w:fmt="decimal"/>
          <w:cols w:space="720" w:num="1"/>
          <w:titlePg/>
        </w:sectPr>
      </w:pPr>
      <w:r>
        <w:rPr>
          <w:rFonts w:hint="eastAsia" w:ascii="仿宋" w:hAnsi="仿宋" w:eastAsia="仿宋" w:cs="仿宋"/>
          <w:color w:val="auto"/>
          <w:kern w:val="1"/>
          <w:highlight w:val="none"/>
        </w:rPr>
        <w:t xml:space="preserve">日  期：    年  月 </w:t>
      </w:r>
    </w:p>
    <w:p>
      <w:pPr>
        <w:pStyle w:val="4"/>
        <w:bidi w:val="0"/>
        <w:outlineLvl w:val="0"/>
        <w:rPr>
          <w:rFonts w:hint="eastAsia"/>
          <w:color w:val="auto"/>
        </w:rPr>
      </w:pPr>
      <w:bookmarkStart w:id="160" w:name="_Toc1860"/>
      <w:r>
        <w:rPr>
          <w:rFonts w:hint="eastAsia"/>
          <w:color w:val="auto"/>
        </w:rPr>
        <w:t>4、法定代表人身份证明</w:t>
      </w:r>
      <w:bookmarkEnd w:id="160"/>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w:t>
      </w:r>
    </w:p>
    <w:p>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附：法定代表人身份证复印件</w:t>
      </w:r>
    </w:p>
    <w:p>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0288" behindDoc="0" locked="0" layoutInCell="1" allowOverlap="1">
                <wp:simplePos x="0" y="0"/>
                <wp:positionH relativeFrom="column">
                  <wp:posOffset>2894330</wp:posOffset>
                </wp:positionH>
                <wp:positionV relativeFrom="paragraph">
                  <wp:posOffset>268605</wp:posOffset>
                </wp:positionV>
                <wp:extent cx="2350770" cy="1276985"/>
                <wp:effectExtent l="5080" t="4445" r="6350" b="13970"/>
                <wp:wrapNone/>
                <wp:docPr id="3" name="文本框 3"/>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7.9pt;margin-top:21.15pt;height:100.55pt;width:185.1pt;z-index:251660288;mso-width-relative:page;mso-height-relative:page;" fillcolor="#FFFFFF" filled="t" stroked="t" coordsize="21600,21600" o:gfxdata="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XyEttoAAAAKAQAADwAAAAAAAAAB&#10;ACAAAAAiAAAAZHJzL2Rvd25yZXYueG1sUEsBAhQAFAAAAAgAh07iQHqUXeQOAgAANwQAAA4AAAAA&#10;AAAAAQAgAAAAKQEAAGRycy9lMm9Eb2MueG1sUEsFBgAAAAAGAAYAWQEAAKkFA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287655</wp:posOffset>
                </wp:positionV>
                <wp:extent cx="2350770" cy="1276985"/>
                <wp:effectExtent l="5080" t="4445" r="6350" b="13970"/>
                <wp:wrapNone/>
                <wp:docPr id="4" name="文本框 4"/>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9pt;margin-top:22.65pt;height:100.55pt;width:185.1pt;z-index:251661312;mso-width-relative:page;mso-height-relative:page;" fillcolor="#FFFFFF" filled="t" stroked="t" coordsize="21600,21600" o:gfxdata="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fsXZAAAACAEAAA8AAAAAAAAAAQAg&#10;AAAAIgAAAGRycy9kb3ducmV2LnhtbFBLAQIUABQAAAAIAIdO4kCN86obDQIAADcEAAAOAAAAAAAA&#10;AAEAIAAAACgBAABkcnMvZTJvRG9jLnhtbFBLBQYAAAAABgAGAFkBAACnBQAAAAA=&#10;">
                <v:fill on="t" focussize="0,0"/>
                <v:stroke color="#000000" joinstyle="miter" dashstyle="1 1" endcap="round"/>
                <v:imagedata o:title=""/>
                <o:lock v:ext="edit" aspectratio="f"/>
                <v:textbo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pStyle w:val="4"/>
        <w:bidi w:val="0"/>
        <w:outlineLvl w:val="0"/>
        <w:rPr>
          <w:rFonts w:hint="eastAsia"/>
          <w:color w:val="auto"/>
        </w:rPr>
      </w:pPr>
      <w:bookmarkStart w:id="161" w:name="_Toc27000"/>
      <w:r>
        <w:rPr>
          <w:rFonts w:hint="eastAsia"/>
          <w:color w:val="auto"/>
        </w:rPr>
        <w:t>5、法定代表人的授权委托书</w:t>
      </w:r>
      <w:bookmarkEnd w:id="161"/>
    </w:p>
    <w:p>
      <w:pPr>
        <w:spacing w:line="360" w:lineRule="auto"/>
        <w:rPr>
          <w:rFonts w:hint="eastAsia" w:ascii="仿宋" w:hAnsi="仿宋" w:eastAsia="仿宋" w:cs="仿宋"/>
          <w:color w:val="auto"/>
          <w:szCs w:val="21"/>
          <w:highlight w:val="none"/>
        </w:rPr>
      </w:pPr>
    </w:p>
    <w:p>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名称）的法定代表人，现委托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（姓名）为我方代理人。代理人根据授权，以我方名义签署、澄清、说明、补正、递交、撤回、修改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标段项目</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、签订合同和处理有关事宜，其法律后果由我方承担。</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委托期限：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附：委托代理人身份证复印件</w:t>
      </w:r>
    </w:p>
    <w:p>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2989580</wp:posOffset>
                </wp:positionH>
                <wp:positionV relativeFrom="paragraph">
                  <wp:posOffset>127635</wp:posOffset>
                </wp:positionV>
                <wp:extent cx="2350770" cy="1276985"/>
                <wp:effectExtent l="5080" t="4445" r="6350" b="13970"/>
                <wp:wrapNone/>
                <wp:docPr id="2" name="文本框 2"/>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5.4pt;margin-top:10.05pt;height:100.55pt;width:185.1pt;z-index:251663360;mso-width-relative:page;mso-height-relative:page;" fillcolor="#FFFFFF" filled="t" stroked="t" coordsize="21600,21600" o:gfxdata="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BIVYPZAAAACgEAAA8AAAAAAAAAAQAg&#10;AAAAIgAAAGRycy9kb3ducmV2LnhtbFBLAQIUABQAAAAIAIdO4kDGNvwPDQIAADcEAAAOAAAAAAAA&#10;AAEAIAAAACg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2336" behindDoc="0" locked="0" layoutInCell="1" allowOverlap="1">
                <wp:simplePos x="0" y="0"/>
                <wp:positionH relativeFrom="column">
                  <wp:posOffset>222250</wp:posOffset>
                </wp:positionH>
                <wp:positionV relativeFrom="paragraph">
                  <wp:posOffset>149860</wp:posOffset>
                </wp:positionV>
                <wp:extent cx="2350770" cy="1276985"/>
                <wp:effectExtent l="5080" t="4445" r="6350" b="13970"/>
                <wp:wrapNone/>
                <wp:docPr id="1" name="文本框 1"/>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7.5pt;margin-top:11.8pt;height:100.55pt;width:185.1pt;z-index:251662336;mso-width-relative:page;mso-height-relative:page;" fillcolor="#FFFFFF" filled="t" stroked="t" coordsize="21600,21600" o:gfxdata="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QB/2LaAAAACQEAAA8AAAAAAAAAAQAg&#10;AAAAIgAAAGRycy9kb3ducmV2LnhtbFBLAQIUABQAAAAIAIdO4kBD12/oDAIAADcEAAAOAAAAAAAA&#10;AAEAIAAAACk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v:textbox>
              </v:shape>
            </w:pict>
          </mc:Fallback>
        </mc:AlternateConten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（盖章或签字）</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（盖章或签字） </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Start w:id="162" w:name="_Toc424212009"/>
      <w:bookmarkStart w:id="163" w:name="_Toc460703987"/>
    </w:p>
    <w:p>
      <w:pPr>
        <w:spacing w:line="360" w:lineRule="auto"/>
        <w:rPr>
          <w:rFonts w:hint="eastAsia" w:ascii="仿宋" w:hAnsi="仿宋" w:eastAsia="仿宋" w:cs="仿宋"/>
          <w:color w:val="auto"/>
          <w:sz w:val="24"/>
          <w:highlight w:val="none"/>
        </w:rPr>
      </w:pPr>
    </w:p>
    <w:p>
      <w:pPr>
        <w:pStyle w:val="4"/>
        <w:bidi w:val="0"/>
        <w:outlineLvl w:val="0"/>
        <w:rPr>
          <w:rFonts w:hint="eastAsia"/>
          <w:color w:val="auto"/>
        </w:rPr>
      </w:pPr>
      <w:bookmarkStart w:id="164" w:name="_Toc19121"/>
      <w:r>
        <w:rPr>
          <w:rFonts w:hint="eastAsia"/>
          <w:color w:val="auto"/>
        </w:rPr>
        <w:t>6.</w:t>
      </w:r>
      <w:r>
        <w:rPr>
          <w:rFonts w:hint="eastAsia"/>
          <w:color w:val="auto"/>
          <w:lang w:eastAsia="zh-CN"/>
        </w:rPr>
        <w:t>供应商</w:t>
      </w:r>
      <w:r>
        <w:rPr>
          <w:rFonts w:hint="eastAsia"/>
          <w:color w:val="auto"/>
        </w:rPr>
        <w:t>基本情况表</w:t>
      </w:r>
      <w:bookmarkEnd w:id="16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502"/>
        <w:gridCol w:w="1524"/>
        <w:gridCol w:w="1524"/>
        <w:gridCol w:w="541"/>
        <w:gridCol w:w="99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p>
        </w:tc>
        <w:tc>
          <w:tcPr>
            <w:tcW w:w="7637" w:type="dxa"/>
            <w:gridSpan w:val="6"/>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p>
        </w:tc>
        <w:tc>
          <w:tcPr>
            <w:tcW w:w="7637" w:type="dxa"/>
            <w:gridSpan w:val="6"/>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502" w:type="dxa"/>
            <w:vAlign w:val="center"/>
          </w:tcPr>
          <w:p>
            <w:pPr>
              <w:spacing w:line="360" w:lineRule="auto"/>
              <w:rPr>
                <w:rFonts w:hint="eastAsia" w:ascii="仿宋" w:hAnsi="仿宋" w:eastAsia="仿宋" w:cs="仿宋"/>
                <w:color w:val="auto"/>
                <w:sz w:val="24"/>
                <w:highlight w:val="none"/>
              </w:rPr>
            </w:pPr>
          </w:p>
        </w:tc>
        <w:tc>
          <w:tcPr>
            <w:tcW w:w="1524"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524" w:type="dxa"/>
            <w:vAlign w:val="center"/>
          </w:tcPr>
          <w:p>
            <w:pPr>
              <w:spacing w:line="360" w:lineRule="auto"/>
              <w:rPr>
                <w:rFonts w:hint="eastAsia" w:ascii="仿宋" w:hAnsi="仿宋" w:eastAsia="仿宋" w:cs="仿宋"/>
                <w:color w:val="auto"/>
                <w:sz w:val="24"/>
                <w:highlight w:val="none"/>
              </w:rPr>
            </w:pPr>
          </w:p>
        </w:tc>
        <w:tc>
          <w:tcPr>
            <w:tcW w:w="1537" w:type="dxa"/>
            <w:gridSpan w:val="2"/>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550" w:type="dxa"/>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注册时间</w:t>
            </w:r>
          </w:p>
        </w:tc>
        <w:tc>
          <w:tcPr>
            <w:tcW w:w="3026" w:type="dxa"/>
            <w:gridSpan w:val="2"/>
          </w:tcPr>
          <w:p>
            <w:pPr>
              <w:spacing w:line="360" w:lineRule="auto"/>
              <w:rPr>
                <w:rFonts w:hint="eastAsia" w:ascii="仿宋" w:hAnsi="仿宋" w:eastAsia="仿宋" w:cs="仿宋"/>
                <w:color w:val="auto"/>
                <w:sz w:val="24"/>
                <w:highlight w:val="none"/>
              </w:rPr>
            </w:pP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经济类型</w:t>
            </w:r>
          </w:p>
        </w:tc>
        <w:tc>
          <w:tcPr>
            <w:tcW w:w="3087" w:type="dxa"/>
            <w:gridSpan w:val="3"/>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558" w:type="dxa"/>
            <w:gridSpan w:val="3"/>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近三年内有经营活动中有无重大违法纪录</w:t>
            </w:r>
          </w:p>
        </w:tc>
        <w:tc>
          <w:tcPr>
            <w:tcW w:w="4611" w:type="dxa"/>
            <w:gridSpan w:val="4"/>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是否依法缴纳税收</w:t>
            </w:r>
          </w:p>
        </w:tc>
        <w:tc>
          <w:tcPr>
            <w:tcW w:w="3026" w:type="dxa"/>
            <w:gridSpan w:val="2"/>
            <w:vAlign w:val="center"/>
          </w:tcPr>
          <w:p>
            <w:pPr>
              <w:spacing w:line="360" w:lineRule="auto"/>
              <w:rPr>
                <w:rFonts w:hint="eastAsia" w:ascii="仿宋" w:hAnsi="仿宋" w:eastAsia="仿宋" w:cs="仿宋"/>
                <w:color w:val="auto"/>
                <w:sz w:val="24"/>
                <w:highlight w:val="none"/>
              </w:rPr>
            </w:pPr>
          </w:p>
        </w:tc>
        <w:tc>
          <w:tcPr>
            <w:tcW w:w="2065" w:type="dxa"/>
            <w:gridSpan w:val="2"/>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是否依法缴纳社会保障资金</w:t>
            </w:r>
          </w:p>
        </w:tc>
        <w:tc>
          <w:tcPr>
            <w:tcW w:w="2546" w:type="dxa"/>
            <w:gridSpan w:val="2"/>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32" w:type="dxa"/>
            <w:vMerge w:val="restart"/>
          </w:tcPr>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位</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况</w:t>
            </w:r>
          </w:p>
        </w:tc>
        <w:tc>
          <w:tcPr>
            <w:tcW w:w="150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注册资本</w:t>
            </w: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万元</w:t>
            </w: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占地面积</w:t>
            </w:r>
          </w:p>
        </w:tc>
        <w:tc>
          <w:tcPr>
            <w:tcW w:w="3087" w:type="dxa"/>
            <w:gridSpan w:val="3"/>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trPr>
        <w:tc>
          <w:tcPr>
            <w:tcW w:w="1532" w:type="dxa"/>
            <w:vMerge w:val="continue"/>
          </w:tcPr>
          <w:p>
            <w:pPr>
              <w:spacing w:line="360" w:lineRule="auto"/>
              <w:rPr>
                <w:rFonts w:hint="eastAsia" w:ascii="仿宋" w:hAnsi="仿宋" w:eastAsia="仿宋" w:cs="仿宋"/>
                <w:color w:val="auto"/>
                <w:sz w:val="24"/>
                <w:highlight w:val="none"/>
              </w:rPr>
            </w:pPr>
          </w:p>
        </w:tc>
        <w:tc>
          <w:tcPr>
            <w:tcW w:w="150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职工总数</w:t>
            </w:r>
          </w:p>
          <w:p>
            <w:pPr>
              <w:spacing w:line="360" w:lineRule="auto"/>
              <w:rPr>
                <w:rFonts w:hint="eastAsia" w:ascii="仿宋" w:hAnsi="仿宋" w:eastAsia="仿宋" w:cs="仿宋"/>
                <w:color w:val="auto"/>
                <w:sz w:val="24"/>
                <w:highlight w:val="none"/>
              </w:rPr>
            </w:pPr>
          </w:p>
        </w:tc>
        <w:tc>
          <w:tcPr>
            <w:tcW w:w="15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人</w:t>
            </w:r>
          </w:p>
        </w:tc>
        <w:tc>
          <w:tcPr>
            <w:tcW w:w="15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建筑面积</w:t>
            </w:r>
          </w:p>
        </w:tc>
        <w:tc>
          <w:tcPr>
            <w:tcW w:w="3087" w:type="dxa"/>
            <w:gridSpan w:val="3"/>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财务状况</w:t>
            </w:r>
          </w:p>
          <w:p>
            <w:pPr>
              <w:spacing w:line="360" w:lineRule="auto"/>
              <w:rPr>
                <w:rFonts w:hint="eastAsia" w:ascii="仿宋" w:hAnsi="仿宋" w:eastAsia="仿宋" w:cs="仿宋"/>
                <w:color w:val="auto"/>
                <w:sz w:val="24"/>
                <w:highlight w:val="none"/>
              </w:rPr>
            </w:pPr>
          </w:p>
        </w:tc>
        <w:tc>
          <w:tcPr>
            <w:tcW w:w="7637" w:type="dxa"/>
            <w:gridSpan w:val="6"/>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说明：1、在按要求填写此表格后，各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可以用其它的方式，就公司整体情况作出详细的介绍。</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供应商名称（加盖公章）：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4"/>
        <w:bidi w:val="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65" w:name="_Toc25145"/>
      <w:r>
        <w:rPr>
          <w:rFonts w:hint="eastAsia" w:ascii="仿宋" w:hAnsi="仿宋" w:eastAsia="仿宋" w:cs="仿宋"/>
          <w:b/>
          <w:color w:val="auto"/>
          <w:sz w:val="32"/>
          <w:szCs w:val="32"/>
          <w:highlight w:val="none"/>
        </w:rPr>
        <w:t>7.</w:t>
      </w:r>
      <w:r>
        <w:rPr>
          <w:rFonts w:hint="eastAsia" w:ascii="仿宋" w:hAnsi="仿宋" w:eastAsia="仿宋" w:cs="仿宋"/>
          <w:b/>
          <w:color w:val="auto"/>
          <w:sz w:val="32"/>
          <w:szCs w:val="32"/>
          <w:highlight w:val="none"/>
          <w:lang w:eastAsia="zh-CN"/>
        </w:rPr>
        <w:t>供应商</w:t>
      </w:r>
      <w:r>
        <w:rPr>
          <w:rFonts w:hint="eastAsia" w:ascii="仿宋" w:hAnsi="仿宋" w:eastAsia="仿宋" w:cs="仿宋"/>
          <w:b/>
          <w:color w:val="auto"/>
          <w:sz w:val="32"/>
          <w:szCs w:val="32"/>
          <w:highlight w:val="none"/>
        </w:rPr>
        <w:t>资格声明及相关证明文件</w:t>
      </w:r>
      <w:bookmarkEnd w:id="165"/>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资格声明文件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贵单位组织的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，我公司自愿参加，并证明提交的下列文件、证明和陈述均是准确的、真实的。若与真实情况不符，我公司愿意承担由此而产生的一切后果。</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（1）营业执照副本；</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（2）未被“信用中国”（www.creditchina.gov.cn）、中国政府采购网（www.ccgp.gov.cn）列入失信被执行人、重大税收违法案件当事人名单、政府采购严重违法失信行为记录名单截屏；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rPr>
        <w:t>由第三方会计师事务所出具的近三年（201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年度）任</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年财务审计报告（复印件或扫描件加盖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公章）或银行出具的资信证明（开标前3个月内开具的）</w:t>
      </w:r>
      <w:r>
        <w:rPr>
          <w:rFonts w:hint="eastAsia" w:ascii="仿宋" w:hAnsi="仿宋" w:eastAsia="仿宋" w:cs="仿宋"/>
          <w:color w:val="auto"/>
          <w:sz w:val="24"/>
        </w:rPr>
        <w:t>，新成立企业可提供当年的验资报告（复印件或扫描件加盖供应商公章）</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szCs w:val="24"/>
          <w:highlight w:val="none"/>
        </w:rPr>
        <w:t>（4）</w:t>
      </w:r>
      <w:r>
        <w:rPr>
          <w:rFonts w:hint="eastAsia" w:ascii="仿宋" w:hAnsi="仿宋" w:eastAsia="仿宋" w:cs="仿宋"/>
          <w:color w:val="auto"/>
          <w:sz w:val="24"/>
        </w:rPr>
        <w:t>具有履行合同所必需的设备和专业技术能力</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szCs w:val="24"/>
        </w:rPr>
        <w:t>社会保障资金证明须提供参加本次项目近</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个月中任意月的（费用月份、缴费年月为</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月，非记账、转账或打印时间）的缴纳社会保障资金的入账票据凭证复印件，并加盖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纳税证明须提供参加本次项目近</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个月任意月的（所属时期、日期为202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月，非记账、转账或打印时间）的有效票据凭证复印件，并加盖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公章。如近</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个月未达到应缴税标准，须提供相应说明及证明材料（如：增</w:t>
      </w:r>
      <w:r>
        <w:rPr>
          <w:rFonts w:hint="eastAsia" w:ascii="仿宋" w:hAnsi="仿宋" w:eastAsia="仿宋" w:cs="仿宋"/>
          <w:color w:val="auto"/>
          <w:sz w:val="24"/>
          <w:szCs w:val="24"/>
        </w:rPr>
        <w:t>值税纳税申报表），并加盖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所要求的及我单位认为有必要提供的其他证明文件。</w:t>
      </w:r>
    </w:p>
    <w:p>
      <w:pPr>
        <w:pStyle w:val="2"/>
        <w:spacing w:line="360" w:lineRule="auto"/>
        <w:ind w:left="0" w:leftChars="0" w:firstLine="0" w:firstLineChars="0"/>
        <w:rPr>
          <w:rFonts w:hint="eastAsia" w:eastAsia="仿宋"/>
          <w:lang w:eastAsia="zh-CN"/>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供应商名称（加盖公章）：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4"/>
        <w:keepNext w:val="0"/>
        <w:keepLines/>
        <w:pageBreakBefore w:val="0"/>
        <w:widowControl w:val="0"/>
        <w:kinsoku/>
        <w:wordWrap/>
        <w:overflowPunct/>
        <w:topLinePunct w:val="0"/>
        <w:autoSpaceDE/>
        <w:autoSpaceDN/>
        <w:bidi w:val="0"/>
        <w:adjustRightInd/>
        <w:snapToGrid/>
        <w:spacing w:line="413" w:lineRule="auto"/>
        <w:jc w:val="center"/>
        <w:textAlignment w:val="auto"/>
        <w:outlineLvl w:val="0"/>
        <w:rPr>
          <w:rFonts w:hint="eastAsia"/>
          <w:color w:val="auto"/>
        </w:rPr>
      </w:pPr>
      <w:bookmarkStart w:id="166" w:name="_Toc12796"/>
      <w:r>
        <w:rPr>
          <w:rFonts w:hint="eastAsia"/>
          <w:color w:val="auto"/>
        </w:rPr>
        <w:t>8、联合体协议书(若有时填报)</w:t>
      </w:r>
      <w:bookmarkEnd w:id="166"/>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牵头人名称：</w:t>
      </w:r>
      <w:r>
        <w:rPr>
          <w:rFonts w:hint="eastAsia" w:ascii="仿宋" w:hAnsi="仿宋" w:eastAsia="仿宋" w:cs="仿宋"/>
          <w:color w:val="auto"/>
          <w:sz w:val="24"/>
          <w:szCs w:val="21"/>
          <w:highlight w:val="none"/>
          <w:u w:val="single"/>
        </w:rPr>
        <w:t xml:space="preserve">                                                          </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w:t>
      </w:r>
      <w:r>
        <w:rPr>
          <w:rFonts w:hint="eastAsia" w:ascii="仿宋" w:hAnsi="仿宋" w:eastAsia="仿宋" w:cs="仿宋"/>
          <w:color w:val="auto"/>
          <w:sz w:val="24"/>
          <w:szCs w:val="21"/>
          <w:highlight w:val="none"/>
          <w:u w:val="single"/>
        </w:rPr>
        <w:t xml:space="preserve">                                                          </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法定住所：</w:t>
      </w:r>
      <w:r>
        <w:rPr>
          <w:rFonts w:hint="eastAsia" w:ascii="仿宋" w:hAnsi="仿宋" w:eastAsia="仿宋" w:cs="仿宋"/>
          <w:color w:val="auto"/>
          <w:sz w:val="24"/>
          <w:szCs w:val="21"/>
          <w:highlight w:val="none"/>
          <w:u w:val="single"/>
        </w:rPr>
        <w:t xml:space="preserve">                                                            </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成员二名称：</w:t>
      </w:r>
      <w:r>
        <w:rPr>
          <w:rFonts w:hint="eastAsia" w:ascii="仿宋" w:hAnsi="仿宋" w:eastAsia="仿宋" w:cs="仿宋"/>
          <w:color w:val="auto"/>
          <w:sz w:val="24"/>
          <w:szCs w:val="21"/>
          <w:highlight w:val="none"/>
          <w:u w:val="single"/>
        </w:rPr>
        <w:t xml:space="preserve">                                                          </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w:t>
      </w:r>
      <w:r>
        <w:rPr>
          <w:rFonts w:hint="eastAsia" w:ascii="仿宋" w:hAnsi="仿宋" w:eastAsia="仿宋" w:cs="仿宋"/>
          <w:color w:val="auto"/>
          <w:sz w:val="24"/>
          <w:szCs w:val="21"/>
          <w:highlight w:val="none"/>
          <w:u w:val="single"/>
        </w:rPr>
        <w:t xml:space="preserve">                                                          </w:t>
      </w:r>
    </w:p>
    <w:p>
      <w:pPr>
        <w:spacing w:line="360" w:lineRule="auto"/>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法定住所：</w:t>
      </w:r>
      <w:r>
        <w:rPr>
          <w:rFonts w:hint="eastAsia" w:ascii="仿宋" w:hAnsi="仿宋" w:eastAsia="仿宋" w:cs="仿宋"/>
          <w:color w:val="auto"/>
          <w:sz w:val="24"/>
          <w:szCs w:val="21"/>
          <w:highlight w:val="none"/>
          <w:u w:val="single"/>
        </w:rPr>
        <w:t xml:space="preserve">                                                            </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鉴于上述各成员单位经过友好协商，自愿组成</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（联合体名称）联合体，共同参加</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（采购人名称）（以下简称采购人）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（项目名称）</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标段（以下简称本项目）的项目投标并争取赢得本项目采购合同（以下简称合同）。现就联合体投标事宜订立如下协议：</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（某成员单位名称）为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（联合体名称）牵头人。</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2．在本项目投标阶段，联合体牵头人合法代表联合体各成员负责本项目</w:t>
      </w:r>
      <w:r>
        <w:rPr>
          <w:rFonts w:hint="eastAsia" w:ascii="仿宋" w:hAnsi="仿宋" w:eastAsia="仿宋" w:cs="仿宋"/>
          <w:color w:val="auto"/>
          <w:sz w:val="24"/>
          <w:szCs w:val="21"/>
          <w:highlight w:val="none"/>
          <w:lang w:eastAsia="zh-CN"/>
        </w:rPr>
        <w:t>响应文件</w:t>
      </w:r>
      <w:r>
        <w:rPr>
          <w:rFonts w:hint="eastAsia" w:ascii="仿宋" w:hAnsi="仿宋" w:eastAsia="仿宋" w:cs="仿宋"/>
          <w:color w:val="auto"/>
          <w:sz w:val="24"/>
          <w:szCs w:val="21"/>
          <w:highlight w:val="none"/>
        </w:rPr>
        <w:t>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3．联合体将严格按照</w:t>
      </w:r>
      <w:r>
        <w:rPr>
          <w:rFonts w:hint="eastAsia" w:ascii="仿宋" w:hAnsi="仿宋" w:eastAsia="仿宋" w:cs="仿宋"/>
          <w:color w:val="auto"/>
          <w:sz w:val="24"/>
          <w:szCs w:val="21"/>
          <w:highlight w:val="none"/>
          <w:lang w:eastAsia="zh-CN"/>
        </w:rPr>
        <w:t>磋商文件</w:t>
      </w:r>
      <w:r>
        <w:rPr>
          <w:rFonts w:hint="eastAsia" w:ascii="仿宋" w:hAnsi="仿宋" w:eastAsia="仿宋" w:cs="仿宋"/>
          <w:color w:val="auto"/>
          <w:sz w:val="24"/>
          <w:szCs w:val="21"/>
          <w:highlight w:val="none"/>
        </w:rPr>
        <w:t>的各项要求，递交</w:t>
      </w:r>
      <w:r>
        <w:rPr>
          <w:rFonts w:hint="eastAsia" w:ascii="仿宋" w:hAnsi="仿宋" w:eastAsia="仿宋" w:cs="仿宋"/>
          <w:color w:val="auto"/>
          <w:sz w:val="24"/>
          <w:szCs w:val="21"/>
          <w:highlight w:val="none"/>
          <w:lang w:eastAsia="zh-CN"/>
        </w:rPr>
        <w:t>响应文件</w:t>
      </w:r>
      <w:r>
        <w:rPr>
          <w:rFonts w:hint="eastAsia" w:ascii="仿宋" w:hAnsi="仿宋" w:eastAsia="仿宋" w:cs="仿宋"/>
          <w:color w:val="auto"/>
          <w:sz w:val="24"/>
          <w:szCs w:val="21"/>
          <w:highlight w:val="none"/>
        </w:rPr>
        <w:t>，履行投标义务和中标后的合同，共同承担合同规定的一切义务和责任，联合体各成员单位按照内部职责的部分，承担各自所负的责任和风险，并向采购人承担连带责任。</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4．联合体各成员单位内部的职责分工如下：</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。按照本条上述分工，联合体成员单位各自所承担的合同工作量比例如下：</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5．投标工作和联合体在中标后项目实施过程中的有关费用按各自承担的工作量分摊。</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6．联合体中标后，本联合体协议是合同的附件，对联合体各成员单位有合同约束力。</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7．本协议书自签署之日起生效，联合体未中标或者中标时合同履行完毕后自动失效。</w:t>
      </w:r>
    </w:p>
    <w:p>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8．本协议书一式</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份，联合体成员和</w:t>
      </w:r>
      <w:r>
        <w:rPr>
          <w:rFonts w:hint="eastAsia" w:ascii="仿宋" w:hAnsi="仿宋" w:eastAsia="仿宋" w:cs="仿宋"/>
          <w:color w:val="auto"/>
          <w:sz w:val="24"/>
          <w:szCs w:val="21"/>
          <w:highlight w:val="none"/>
          <w:lang w:eastAsia="zh-CN"/>
        </w:rPr>
        <w:t>采购人</w:t>
      </w:r>
      <w:r>
        <w:rPr>
          <w:rFonts w:hint="eastAsia" w:ascii="仿宋" w:hAnsi="仿宋" w:eastAsia="仿宋" w:cs="仿宋"/>
          <w:color w:val="auto"/>
          <w:sz w:val="24"/>
          <w:szCs w:val="21"/>
          <w:highlight w:val="none"/>
        </w:rPr>
        <w:t>各执一份。</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牵头人名称：</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（盖单位章）</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法定代表人或其委托代理人：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（签字或盖章）</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成员二名称：</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（盖单位章）</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法定代表人或其委托代理人：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（签字或盖章）</w:t>
      </w:r>
    </w:p>
    <w:p>
      <w:pPr>
        <w:spacing w:line="360" w:lineRule="auto"/>
        <w:jc w:val="righ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年</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月</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日           </w:t>
      </w:r>
    </w:p>
    <w:p>
      <w:pPr>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备注：本协议书由委托代理人签字的，应附法定代表人签字的授权委托书。</w:t>
      </w:r>
    </w:p>
    <w:p>
      <w:pPr>
        <w:pStyle w:val="4"/>
        <w:bidi w:val="0"/>
        <w:outlineLvl w:val="9"/>
        <w:rPr>
          <w:rFonts w:hint="eastAsia"/>
          <w:color w:val="auto"/>
        </w:rPr>
      </w:pPr>
    </w:p>
    <w:p>
      <w:pPr>
        <w:pStyle w:val="4"/>
        <w:bidi w:val="0"/>
        <w:outlineLvl w:val="9"/>
        <w:rPr>
          <w:rFonts w:hint="eastAsia"/>
          <w:color w:val="auto"/>
        </w:rPr>
      </w:pPr>
    </w:p>
    <w:p>
      <w:pPr>
        <w:pStyle w:val="4"/>
        <w:bidi w:val="0"/>
        <w:outlineLvl w:val="9"/>
        <w:rPr>
          <w:rFonts w:hint="eastAsia"/>
          <w:color w:val="auto"/>
        </w:rPr>
      </w:pPr>
    </w:p>
    <w:p>
      <w:pPr>
        <w:pStyle w:val="4"/>
        <w:bidi w:val="0"/>
        <w:outlineLvl w:val="9"/>
        <w:rPr>
          <w:rFonts w:hint="eastAsia"/>
          <w:color w:val="auto"/>
        </w:rPr>
      </w:pPr>
    </w:p>
    <w:p>
      <w:pPr>
        <w:pStyle w:val="4"/>
        <w:bidi w:val="0"/>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bookmarkStart w:id="167" w:name="_Toc26574"/>
      <w:r>
        <w:rPr>
          <w:rFonts w:hint="eastAsia"/>
          <w:color w:val="auto"/>
        </w:rPr>
        <w:t>9.中小企业声明函（如有时提供）</w:t>
      </w:r>
      <w:bookmarkEnd w:id="167"/>
    </w:p>
    <w:p>
      <w:pPr>
        <w:widowControl/>
        <w:spacing w:before="100" w:beforeAutospacing="1" w:after="100" w:afterAutospacing="1"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　　</w:t>
      </w:r>
      <w:r>
        <w:rPr>
          <w:rFonts w:hint="eastAsia" w:ascii="仿宋" w:hAnsi="仿宋" w:eastAsia="仿宋" w:cs="仿宋"/>
          <w:color w:val="auto"/>
          <w:sz w:val="24"/>
          <w:szCs w:val="24"/>
          <w:highlight w:val="none"/>
        </w:rPr>
        <w:t>本公司郑重声明，根据《政府采购促进中小企业发展暂行办法》（财库〔2011〕181号）的规定，本公司为______（请填写：中型、小型、微型）企业。即，本公司同时满足以下条件：</w:t>
      </w:r>
    </w:p>
    <w:p>
      <w:pPr>
        <w:widowControl/>
        <w:spacing w:before="100" w:beforeAutospacing="1" w:after="100" w:afterAutospacing="1"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根据《工业和信息化部、国家统计局、国家发展和改革委员会、财政部关于印发中小企业划型标准规定的通知》（工信部联企业〔2011〕300号）规定的划分标准，本公司为______（请填写：中型、小型、微型）企业。</w:t>
      </w:r>
    </w:p>
    <w:p>
      <w:pPr>
        <w:widowControl/>
        <w:spacing w:before="100" w:beforeAutospacing="1" w:after="100" w:afterAutospacing="1"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bookmarkStart w:id="168" w:name="_Toc11243"/>
    </w:p>
    <w:p>
      <w:pPr>
        <w:widowControl/>
        <w:spacing w:before="100" w:beforeAutospacing="1" w:after="100" w:afterAutospacing="1" w:line="360" w:lineRule="auto"/>
        <w:ind w:firstLine="48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（3）、□本企业（单位）为联合体一方，提供本企业（单位）的服务，由本企业（单位）承担项目、提供服务。本企业（单位）提供协议合同金额占到共同投标协议合同总金额的比例为</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w:t>
      </w:r>
      <w:bookmarkEnd w:id="168"/>
      <w:bookmarkStart w:id="169" w:name="_Toc7891"/>
    </w:p>
    <w:p>
      <w:pPr>
        <w:widowControl/>
        <w:spacing w:before="100" w:beforeAutospacing="1" w:after="100" w:afterAutospacing="1" w:line="360" w:lineRule="auto"/>
        <w:ind w:firstLine="48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本企业（单位）对上述声明的真实性负责。如有虚假，将依法承担相应责任。</w:t>
      </w:r>
      <w:bookmarkEnd w:id="169"/>
      <w:bookmarkStart w:id="170" w:name="_Toc4850"/>
    </w:p>
    <w:p>
      <w:pPr>
        <w:widowControl/>
        <w:spacing w:before="100" w:beforeAutospacing="1" w:after="100" w:afterAutospacing="1" w:line="360" w:lineRule="auto"/>
        <w:ind w:firstLine="48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供应商名称（盖单位章）：___________</w:t>
      </w:r>
      <w:bookmarkEnd w:id="170"/>
      <w:r>
        <w:rPr>
          <w:rFonts w:hint="eastAsia" w:ascii="仿宋" w:hAnsi="仿宋" w:eastAsia="仿宋" w:cs="仿宋"/>
          <w:bCs/>
          <w:color w:val="auto"/>
          <w:sz w:val="24"/>
          <w:szCs w:val="24"/>
          <w:highlight w:val="none"/>
        </w:rPr>
        <w:t xml:space="preserve"> </w:t>
      </w:r>
      <w:bookmarkStart w:id="171" w:name="_Toc22978"/>
    </w:p>
    <w:p>
      <w:pPr>
        <w:widowControl/>
        <w:spacing w:before="100" w:beforeAutospacing="1" w:after="100" w:afterAutospacing="1" w:line="360" w:lineRule="auto"/>
        <w:ind w:firstLine="48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期：____________    </w:t>
      </w:r>
      <w:bookmarkEnd w:id="171"/>
    </w:p>
    <w:p>
      <w:pPr>
        <w:pStyle w:val="11"/>
        <w:spacing w:line="360" w:lineRule="auto"/>
        <w:rPr>
          <w:rFonts w:hint="eastAsia" w:ascii="仿宋" w:hAnsi="仿宋" w:eastAsia="仿宋" w:cs="仿宋"/>
          <w:color w:val="auto"/>
          <w:sz w:val="28"/>
          <w:szCs w:val="28"/>
          <w:highlight w:val="none"/>
        </w:rPr>
      </w:pPr>
    </w:p>
    <w:p>
      <w:pPr>
        <w:pStyle w:val="4"/>
        <w:bidi w:val="0"/>
        <w:outlineLvl w:val="9"/>
        <w:rPr>
          <w:rFonts w:hint="eastAsia"/>
          <w:color w:val="auto"/>
        </w:rPr>
      </w:pPr>
    </w:p>
    <w:p>
      <w:pPr>
        <w:pStyle w:val="4"/>
        <w:bidi w:val="0"/>
        <w:outlineLvl w:val="9"/>
        <w:rPr>
          <w:rFonts w:hint="eastAsia"/>
          <w:color w:val="auto"/>
        </w:rPr>
      </w:pPr>
    </w:p>
    <w:p>
      <w:pPr>
        <w:pStyle w:val="4"/>
        <w:bidi w:val="0"/>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bookmarkStart w:id="172" w:name="_Toc24182"/>
      <w:r>
        <w:rPr>
          <w:rFonts w:hint="eastAsia"/>
          <w:color w:val="auto"/>
        </w:rPr>
        <w:t>10.</w:t>
      </w:r>
      <w:bookmarkStart w:id="173" w:name="_Toc54697431"/>
      <w:r>
        <w:rPr>
          <w:rFonts w:hint="eastAsia"/>
          <w:color w:val="auto"/>
        </w:rPr>
        <w:t>监狱企业声明函（如有时提供）</w:t>
      </w:r>
      <w:bookmarkEnd w:id="172"/>
      <w:bookmarkEnd w:id="173"/>
    </w:p>
    <w:p>
      <w:pPr>
        <w:pStyle w:val="39"/>
        <w:spacing w:line="360" w:lineRule="auto"/>
        <w:ind w:firstLine="5280" w:firstLineChars="2200"/>
        <w:rPr>
          <w:rFonts w:hint="eastAsia" w:ascii="仿宋" w:hAnsi="仿宋" w:eastAsia="仿宋" w:cs="仿宋"/>
          <w:color w:val="auto"/>
          <w:highlight w:val="none"/>
        </w:rPr>
      </w:pPr>
      <w:bookmarkStart w:id="174" w:name="_Toc54697432"/>
      <w:r>
        <w:rPr>
          <w:rFonts w:hint="eastAsia" w:ascii="仿宋" w:hAnsi="仿宋" w:eastAsia="仿宋" w:cs="仿宋"/>
          <w:color w:val="auto"/>
          <w:highlight w:val="none"/>
        </w:rPr>
        <w:t>（监狱企业适用）</w:t>
      </w:r>
      <w:bookmarkEnd w:id="174"/>
    </w:p>
    <w:p>
      <w:pPr>
        <w:widowControl/>
        <w:spacing w:before="100" w:beforeAutospacing="1" w:after="100" w:afterAutospacing="1"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本公司郑重声明，根据《关于政府采购支持监狱企业发展有关问题的通知》（财库[2014]68号）的规定，本公司为监狱企业。</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本公司参加______单位的______项目采购活动，采购活动提供本企业（填写制造的货物，由本企业承担工程、提供服务）。</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本条所称货物不包括使用大型企业注册商标的货物和服务。</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本公司对上述声明的真实性负责。如有虚假，将依法承担相应责任。</w:t>
      </w:r>
    </w:p>
    <w:p>
      <w:pPr>
        <w:widowControl/>
        <w:spacing w:before="100" w:beforeAutospacing="1" w:after="100" w:afterAutospacing="1" w:line="360" w:lineRule="auto"/>
        <w:ind w:firstLine="4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供应商名称（盖章）：</w:t>
      </w:r>
    </w:p>
    <w:p>
      <w:pPr>
        <w:widowControl/>
        <w:spacing w:before="100" w:beforeAutospacing="1" w:after="100" w:afterAutospacing="1" w:line="360" w:lineRule="auto"/>
        <w:ind w:firstLine="4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法定代表人（负责人）或其授权代表人(签字或盖章)：</w:t>
      </w:r>
    </w:p>
    <w:p>
      <w:pPr>
        <w:widowControl/>
        <w:spacing w:before="100" w:beforeAutospacing="1" w:after="100" w:afterAutospacing="1" w:line="360" w:lineRule="auto"/>
        <w:ind w:firstLine="470"/>
        <w:jc w:val="right"/>
        <w:rPr>
          <w:rFonts w:hint="eastAsia" w:ascii="仿宋" w:hAnsi="仿宋" w:eastAsia="仿宋" w:cs="仿宋"/>
          <w:bCs/>
          <w:color w:val="auto"/>
          <w:sz w:val="32"/>
          <w:highlight w:val="none"/>
        </w:rPr>
      </w:pPr>
      <w:r>
        <w:rPr>
          <w:rFonts w:hint="eastAsia" w:ascii="仿宋" w:hAnsi="仿宋" w:eastAsia="仿宋" w:cs="仿宋"/>
          <w:color w:val="auto"/>
          <w:sz w:val="24"/>
          <w:highlight w:val="none"/>
        </w:rPr>
        <w:t>日期：　年月日</w:t>
      </w: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仿宋" w:hAnsi="仿宋" w:eastAsia="仿宋" w:cs="仿宋"/>
          <w:bCs/>
          <w:color w:val="auto"/>
          <w:sz w:val="32"/>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ascii="仿宋" w:hAnsi="仿宋" w:eastAsia="仿宋" w:cs="仿宋"/>
          <w:color w:val="auto"/>
          <w:kern w:val="2"/>
          <w:sz w:val="28"/>
          <w:highlight w:val="none"/>
        </w:rPr>
      </w:pPr>
      <w:bookmarkStart w:id="175" w:name="_Toc23506"/>
      <w:r>
        <w:rPr>
          <w:rFonts w:hint="eastAsia" w:ascii="仿宋" w:hAnsi="仿宋" w:eastAsia="仿宋" w:cs="仿宋"/>
          <w:bCs/>
          <w:color w:val="auto"/>
          <w:sz w:val="32"/>
          <w:highlight w:val="none"/>
        </w:rPr>
        <w:t>11.</w:t>
      </w:r>
      <w:bookmarkStart w:id="176" w:name="_Toc54697433"/>
      <w:r>
        <w:rPr>
          <w:rFonts w:hint="eastAsia" w:ascii="仿宋" w:hAnsi="仿宋" w:eastAsia="仿宋" w:cs="仿宋"/>
          <w:b/>
          <w:color w:val="auto"/>
          <w:sz w:val="32"/>
          <w:highlight w:val="none"/>
        </w:rPr>
        <w:t>残疾人福利性单位声明函（如有时提供）</w:t>
      </w:r>
      <w:bookmarkEnd w:id="175"/>
      <w:bookmarkEnd w:id="176"/>
    </w:p>
    <w:p>
      <w:pPr>
        <w:widowControl/>
        <w:spacing w:before="100" w:beforeAutospacing="1" w:after="100" w:afterAutospacing="1"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供应商名称（盖公章）：</w:t>
      </w:r>
    </w:p>
    <w:p>
      <w:pPr>
        <w:widowControl/>
        <w:spacing w:before="100" w:beforeAutospacing="1" w:after="100" w:afterAutospacing="1" w:line="360" w:lineRule="auto"/>
        <w:ind w:firstLine="3120" w:firstLineChars="1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法定代表人（负责人）或其授权代表人(签字或盖章)：</w:t>
      </w:r>
    </w:p>
    <w:p>
      <w:pPr>
        <w:widowControl/>
        <w:spacing w:before="100" w:beforeAutospacing="1" w:after="100" w:afterAutospacing="1" w:line="360" w:lineRule="auto"/>
        <w:ind w:firstLine="470"/>
        <w:jc w:val="right"/>
        <w:rPr>
          <w:rFonts w:hint="eastAsia" w:ascii="仿宋" w:hAnsi="仿宋" w:eastAsia="仿宋" w:cs="仿宋"/>
          <w:bCs/>
          <w:color w:val="auto"/>
          <w:sz w:val="32"/>
          <w:highlight w:val="none"/>
        </w:rPr>
      </w:pPr>
      <w:r>
        <w:rPr>
          <w:rFonts w:hint="eastAsia" w:ascii="仿宋" w:hAnsi="仿宋" w:eastAsia="仿宋" w:cs="仿宋"/>
          <w:color w:val="auto"/>
          <w:sz w:val="24"/>
          <w:highlight w:val="none"/>
        </w:rPr>
        <w:t>日期：　年月日</w:t>
      </w: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bookmarkStart w:id="177" w:name="_Toc690"/>
      <w:r>
        <w:rPr>
          <w:rFonts w:hint="eastAsia"/>
          <w:color w:val="auto"/>
        </w:rPr>
        <w:t>12.</w:t>
      </w:r>
      <w:r>
        <w:rPr>
          <w:rFonts w:hint="eastAsia"/>
          <w:color w:val="auto"/>
          <w:lang w:eastAsia="zh-CN"/>
        </w:rPr>
        <w:t>磋商保证金</w:t>
      </w:r>
      <w:r>
        <w:rPr>
          <w:rFonts w:hint="eastAsia"/>
          <w:color w:val="auto"/>
        </w:rPr>
        <w:t>交纳凭证</w:t>
      </w:r>
      <w:bookmarkEnd w:id="162"/>
      <w:bookmarkEnd w:id="163"/>
      <w:bookmarkEnd w:id="177"/>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ind w:firstLine="2240" w:firstLineChars="8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（附交纳凭证复印件并加盖公章）</w:t>
      </w:r>
    </w:p>
    <w:p>
      <w:pPr>
        <w:spacing w:line="360" w:lineRule="auto"/>
        <w:jc w:val="center"/>
        <w:rPr>
          <w:rFonts w:hint="eastAsia" w:ascii="仿宋" w:hAnsi="仿宋" w:eastAsia="仿宋" w:cs="仿宋"/>
          <w:color w:val="auto"/>
          <w:sz w:val="24"/>
          <w:highlight w:val="none"/>
        </w:rPr>
        <w:sectPr>
          <w:footerReference r:id="rId14" w:type="default"/>
          <w:pgSz w:w="11906" w:h="16838"/>
          <w:pgMar w:top="1418" w:right="1418" w:bottom="1418" w:left="1418" w:header="851" w:footer="992" w:gutter="0"/>
          <w:pgNumType w:fmt="decimal"/>
          <w:cols w:space="720" w:num="1"/>
          <w:docGrid w:linePitch="312" w:charSpace="0"/>
        </w:sectPr>
      </w:pPr>
    </w:p>
    <w:p>
      <w:pPr>
        <w:pStyle w:val="4"/>
        <w:bidi w:val="0"/>
        <w:rPr>
          <w:rFonts w:hint="eastAsia"/>
          <w:color w:val="auto"/>
        </w:rPr>
      </w:pPr>
      <w:bookmarkStart w:id="178" w:name="_Toc10343"/>
      <w:r>
        <w:rPr>
          <w:rFonts w:hint="eastAsia"/>
          <w:color w:val="auto"/>
        </w:rPr>
        <w:t>13、商务偏离表</w:t>
      </w:r>
      <w:bookmarkEnd w:id="178"/>
    </w:p>
    <w:p>
      <w:pPr>
        <w:spacing w:line="360" w:lineRule="auto"/>
        <w:ind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w:t>
      </w:r>
    </w:p>
    <w:tbl>
      <w:tblPr>
        <w:tblStyle w:val="26"/>
        <w:tblW w:w="0" w:type="auto"/>
        <w:tblInd w:w="108" w:type="dxa"/>
        <w:tblLayout w:type="fixed"/>
        <w:tblCellMar>
          <w:top w:w="0" w:type="dxa"/>
          <w:left w:w="108" w:type="dxa"/>
          <w:bottom w:w="0" w:type="dxa"/>
          <w:right w:w="108" w:type="dxa"/>
        </w:tblCellMar>
      </w:tblPr>
      <w:tblGrid>
        <w:gridCol w:w="920"/>
        <w:gridCol w:w="3770"/>
        <w:gridCol w:w="4510"/>
        <w:gridCol w:w="5111"/>
      </w:tblGrid>
      <w:tr>
        <w:tblPrEx>
          <w:tblCellMar>
            <w:top w:w="0" w:type="dxa"/>
            <w:left w:w="108" w:type="dxa"/>
            <w:bottom w:w="0" w:type="dxa"/>
            <w:right w:w="108" w:type="dxa"/>
          </w:tblCellMar>
        </w:tblPrEx>
        <w:trPr>
          <w:trHeight w:val="554" w:hRule="atLeast"/>
        </w:trPr>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37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招标规格</w:t>
            </w:r>
          </w:p>
        </w:tc>
        <w:tc>
          <w:tcPr>
            <w:tcW w:w="4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投标规格</w:t>
            </w:r>
          </w:p>
        </w:tc>
        <w:tc>
          <w:tcPr>
            <w:tcW w:w="5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377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451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511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377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451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5111"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bl>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before="240" w:beforeLines="100" w:after="120" w:afterLines="50"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before="240" w:beforeLines="100" w:after="120" w:afterLines="50" w:line="360" w:lineRule="auto"/>
        <w:jc w:val="right"/>
        <w:rPr>
          <w:rFonts w:hint="eastAsia" w:ascii="仿宋" w:hAnsi="仿宋" w:eastAsia="仿宋" w:cs="仿宋"/>
          <w:b/>
          <w:color w:val="auto"/>
          <w:sz w:val="36"/>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
        <w:bidi w:val="0"/>
        <w:rPr>
          <w:rFonts w:hint="eastAsia"/>
          <w:color w:val="auto"/>
        </w:rPr>
      </w:pPr>
      <w:bookmarkStart w:id="179" w:name="_Toc17083"/>
      <w:r>
        <w:rPr>
          <w:rFonts w:hint="eastAsia"/>
          <w:color w:val="auto"/>
        </w:rPr>
        <w:t>14、</w:t>
      </w:r>
      <w:r>
        <w:rPr>
          <w:rFonts w:hint="eastAsia"/>
          <w:color w:val="auto"/>
          <w:lang w:eastAsia="zh-CN"/>
        </w:rPr>
        <w:t>技术</w:t>
      </w:r>
      <w:r>
        <w:rPr>
          <w:rFonts w:hint="eastAsia"/>
          <w:color w:val="auto"/>
        </w:rPr>
        <w:t>偏离表</w:t>
      </w:r>
      <w:bookmarkEnd w:id="179"/>
    </w:p>
    <w:p>
      <w:pPr>
        <w:spacing w:line="360" w:lineRule="auto"/>
        <w:ind w:right="352"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 </w:t>
      </w:r>
    </w:p>
    <w:tbl>
      <w:tblPr>
        <w:tblStyle w:val="26"/>
        <w:tblW w:w="0" w:type="auto"/>
        <w:tblInd w:w="108" w:type="dxa"/>
        <w:tblLayout w:type="fixed"/>
        <w:tblCellMar>
          <w:top w:w="0" w:type="dxa"/>
          <w:left w:w="108" w:type="dxa"/>
          <w:bottom w:w="0" w:type="dxa"/>
          <w:right w:w="108" w:type="dxa"/>
        </w:tblCellMar>
      </w:tblPr>
      <w:tblGrid>
        <w:gridCol w:w="918"/>
        <w:gridCol w:w="1806"/>
        <w:gridCol w:w="3576"/>
        <w:gridCol w:w="4320"/>
        <w:gridCol w:w="3474"/>
      </w:tblGrid>
      <w:tr>
        <w:tblPrEx>
          <w:tblCellMar>
            <w:top w:w="0" w:type="dxa"/>
            <w:left w:w="108" w:type="dxa"/>
            <w:bottom w:w="0" w:type="dxa"/>
            <w:right w:w="108" w:type="dxa"/>
          </w:tblCellMar>
        </w:tblPrEx>
        <w:trPr>
          <w:trHeight w:val="62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条款序号</w:t>
            </w: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bl>
    <w:p>
      <w:pPr>
        <w:spacing w:line="360" w:lineRule="auto"/>
        <w:ind w:firstLine="105" w:firstLineChars="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before="240" w:beforeLines="100" w:after="120" w:afterLines="50" w:line="360" w:lineRule="auto"/>
        <w:ind w:firstLine="105" w:firstLineChars="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before="240" w:beforeLines="100" w:after="120" w:afterLines="50" w:line="360" w:lineRule="auto"/>
        <w:ind w:firstLine="120" w:firstLineChars="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
        <w:bidi w:val="0"/>
        <w:rPr>
          <w:rFonts w:hint="eastAsia"/>
          <w:color w:val="auto"/>
        </w:rPr>
      </w:pPr>
      <w:bookmarkStart w:id="180" w:name="_Toc531"/>
      <w:r>
        <w:rPr>
          <w:rFonts w:hint="eastAsia"/>
          <w:color w:val="auto"/>
        </w:rPr>
        <w:t>15、供应商近</w:t>
      </w:r>
      <w:r>
        <w:rPr>
          <w:rFonts w:hint="eastAsia"/>
          <w:color w:val="auto"/>
          <w:lang w:eastAsia="zh-CN"/>
        </w:rPr>
        <w:t>三</w:t>
      </w:r>
      <w:r>
        <w:rPr>
          <w:rFonts w:hint="eastAsia"/>
          <w:color w:val="auto"/>
        </w:rPr>
        <w:t>年类似项目业绩情况一览表</w:t>
      </w:r>
      <w:bookmarkEnd w:id="180"/>
    </w:p>
    <w:tbl>
      <w:tblPr>
        <w:tblStyle w:val="26"/>
        <w:tblpPr w:leftFromText="180" w:rightFromText="180" w:vertAnchor="text" w:horzAnchor="page" w:tblpX="1742" w:tblpY="484"/>
        <w:tblOverlap w:val="never"/>
        <w:tblW w:w="0" w:type="auto"/>
        <w:tblInd w:w="0" w:type="dxa"/>
        <w:tblLayout w:type="fixed"/>
        <w:tblCellMar>
          <w:top w:w="0" w:type="dxa"/>
          <w:left w:w="108" w:type="dxa"/>
          <w:bottom w:w="0" w:type="dxa"/>
          <w:right w:w="108" w:type="dxa"/>
        </w:tblCellMar>
      </w:tblPr>
      <w:tblGrid>
        <w:gridCol w:w="3005"/>
        <w:gridCol w:w="3420"/>
        <w:gridCol w:w="1080"/>
        <w:gridCol w:w="1975"/>
        <w:gridCol w:w="1236"/>
        <w:gridCol w:w="2916"/>
      </w:tblGrid>
      <w:tr>
        <w:tblPrEx>
          <w:tblCellMar>
            <w:top w:w="0" w:type="dxa"/>
            <w:left w:w="108" w:type="dxa"/>
            <w:bottom w:w="0" w:type="dxa"/>
            <w:right w:w="108" w:type="dxa"/>
          </w:tblCellMar>
        </w:tblPrEx>
        <w:trPr>
          <w:cantSplit/>
          <w:trHeight w:val="646" w:hRule="atLeast"/>
        </w:trPr>
        <w:tc>
          <w:tcPr>
            <w:tcW w:w="300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采购单位名称</w:t>
            </w:r>
          </w:p>
        </w:tc>
        <w:tc>
          <w:tcPr>
            <w:tcW w:w="34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项目时间/地点</w:t>
            </w:r>
          </w:p>
        </w:tc>
        <w:tc>
          <w:tcPr>
            <w:tcW w:w="197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项目主要内容</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合同金额</w:t>
            </w:r>
          </w:p>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（元）</w:t>
            </w:r>
          </w:p>
        </w:tc>
        <w:tc>
          <w:tcPr>
            <w:tcW w:w="291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采购单位联系人及</w:t>
            </w:r>
          </w:p>
          <w:p>
            <w:pPr>
              <w:spacing w:before="50" w:after="120"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联系电话</w:t>
            </w:r>
          </w:p>
        </w:tc>
      </w:tr>
      <w:tr>
        <w:tblPrEx>
          <w:tblCellMar>
            <w:top w:w="0" w:type="dxa"/>
            <w:left w:w="108" w:type="dxa"/>
            <w:bottom w:w="0" w:type="dxa"/>
            <w:right w:w="108" w:type="dxa"/>
          </w:tblCellMar>
        </w:tblPrEx>
        <w:trPr>
          <w:cantSplit/>
          <w:trHeight w:val="760" w:hRule="atLeast"/>
        </w:trPr>
        <w:tc>
          <w:tcPr>
            <w:tcW w:w="30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34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2916" w:type="dxa"/>
            <w:vMerge w:val="continue"/>
            <w:tcBorders>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rPr>
          <w:trHeight w:val="710" w:hRule="atLeast"/>
        </w:trPr>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ind w:firstLine="840" w:firstLineChars="400"/>
              <w:jc w:val="left"/>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备注</w:t>
            </w:r>
          </w:p>
        </w:tc>
        <w:tc>
          <w:tcPr>
            <w:tcW w:w="10627" w:type="dxa"/>
            <w:gridSpan w:val="5"/>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须提供类似项目合同复印件或</w:t>
            </w:r>
            <w:r>
              <w:rPr>
                <w:rFonts w:hint="eastAsia" w:ascii="仿宋" w:hAnsi="仿宋" w:eastAsia="仿宋" w:cs="仿宋"/>
                <w:color w:val="auto"/>
                <w:kern w:val="1"/>
                <w:szCs w:val="21"/>
                <w:highlight w:val="none"/>
                <w:lang w:eastAsia="zh-CN"/>
              </w:rPr>
              <w:t>中标</w:t>
            </w:r>
            <w:r>
              <w:rPr>
                <w:rFonts w:hint="eastAsia" w:ascii="仿宋" w:hAnsi="仿宋" w:eastAsia="仿宋" w:cs="仿宋"/>
                <w:color w:val="auto"/>
                <w:kern w:val="1"/>
                <w:szCs w:val="21"/>
                <w:highlight w:val="none"/>
                <w:lang w:val="en-US" w:eastAsia="zh-CN"/>
              </w:rPr>
              <w:t>/成交</w:t>
            </w:r>
            <w:r>
              <w:rPr>
                <w:rFonts w:hint="eastAsia" w:ascii="仿宋" w:hAnsi="仿宋" w:eastAsia="仿宋" w:cs="仿宋"/>
                <w:color w:val="auto"/>
                <w:kern w:val="1"/>
                <w:szCs w:val="21"/>
                <w:highlight w:val="none"/>
                <w:lang w:eastAsia="zh-CN"/>
              </w:rPr>
              <w:t>通知书</w:t>
            </w:r>
            <w:r>
              <w:rPr>
                <w:rFonts w:hint="eastAsia" w:ascii="仿宋" w:hAnsi="仿宋" w:eastAsia="仿宋" w:cs="仿宋"/>
                <w:color w:val="auto"/>
                <w:kern w:val="1"/>
                <w:szCs w:val="21"/>
                <w:highlight w:val="none"/>
              </w:rPr>
              <w:t>复印件</w:t>
            </w:r>
          </w:p>
        </w:tc>
      </w:tr>
    </w:tbl>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项目名称：</w:t>
      </w:r>
    </w:p>
    <w:p>
      <w:pPr>
        <w:spacing w:line="360" w:lineRule="auto"/>
        <w:ind w:firstLine="315" w:firstLineChars="150"/>
        <w:rPr>
          <w:rFonts w:hint="eastAsia" w:ascii="仿宋" w:hAnsi="仿宋" w:eastAsia="仿宋" w:cs="仿宋"/>
          <w:color w:val="auto"/>
          <w:highlight w:val="none"/>
        </w:rPr>
      </w:pPr>
    </w:p>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line="360" w:lineRule="auto"/>
        <w:rPr>
          <w:rFonts w:hint="eastAsia" w:ascii="仿宋" w:hAnsi="仿宋" w:eastAsia="仿宋" w:cs="仿宋"/>
          <w:color w:val="auto"/>
          <w:highlight w:val="none"/>
        </w:rPr>
      </w:pPr>
    </w:p>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line="360" w:lineRule="auto"/>
        <w:ind w:firstLine="315" w:firstLineChars="150"/>
        <w:jc w:val="right"/>
        <w:rPr>
          <w:rFonts w:hint="eastAsia" w:ascii="仿宋" w:hAnsi="仿宋" w:eastAsia="仿宋" w:cs="仿宋"/>
          <w:color w:val="auto"/>
          <w:highlight w:val="none"/>
        </w:rPr>
        <w:sectPr>
          <w:headerReference r:id="rId15" w:type="default"/>
          <w:footerReference r:id="rId16" w:type="default"/>
          <w:pgSz w:w="16838" w:h="11906" w:orient="landscape"/>
          <w:pgMar w:top="1418" w:right="1418" w:bottom="1418" w:left="1418" w:header="851" w:footer="992" w:gutter="0"/>
          <w:pgNumType w:fmt="decimal"/>
          <w:cols w:space="720" w:num="1"/>
          <w:docGrid w:linePitch="312" w:charSpace="0"/>
        </w:sect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pStyle w:val="4"/>
        <w:bidi w:val="0"/>
        <w:rPr>
          <w:rFonts w:hint="eastAsia"/>
          <w:color w:val="auto"/>
        </w:rPr>
      </w:pPr>
      <w:bookmarkStart w:id="181" w:name="_Toc18179"/>
      <w:r>
        <w:rPr>
          <w:rFonts w:hint="eastAsia"/>
          <w:color w:val="auto"/>
        </w:rPr>
        <w:t>16.</w:t>
      </w:r>
      <w:r>
        <w:rPr>
          <w:rFonts w:hint="eastAsia"/>
          <w:color w:val="auto"/>
          <w:lang w:eastAsia="zh-CN"/>
        </w:rPr>
        <w:t>供应商</w:t>
      </w:r>
      <w:r>
        <w:rPr>
          <w:rFonts w:hint="eastAsia"/>
          <w:color w:val="auto"/>
        </w:rPr>
        <w:t>自行编写的技术文件</w:t>
      </w:r>
      <w:bookmarkEnd w:id="181"/>
    </w:p>
    <w:p>
      <w:pPr>
        <w:pStyle w:val="25"/>
        <w:spacing w:line="360" w:lineRule="auto"/>
        <w:ind w:firstLine="0" w:firstLineChars="0"/>
        <w:outlineLvl w:val="0"/>
        <w:rPr>
          <w:rFonts w:hint="eastAsia" w:ascii="仿宋" w:hAnsi="仿宋" w:eastAsia="仿宋" w:cs="仿宋"/>
          <w:color w:val="auto"/>
          <w:highlight w:val="none"/>
        </w:rPr>
      </w:pPr>
      <w:bookmarkStart w:id="182" w:name="_Toc9595"/>
      <w:bookmarkStart w:id="183" w:name="_Toc14016"/>
      <w:r>
        <w:rPr>
          <w:rFonts w:hint="eastAsia" w:ascii="仿宋" w:hAnsi="仿宋" w:eastAsia="仿宋" w:cs="仿宋"/>
          <w:b/>
          <w:bCs/>
          <w:i w:val="0"/>
          <w:iCs w:val="0"/>
          <w:color w:val="auto"/>
          <w:highlight w:val="none"/>
          <w:lang w:val="en-US" w:eastAsia="zh-CN"/>
        </w:rPr>
        <w:t>供应商应按磋商文件要求的内容和顺序编写，格式自拟。</w:t>
      </w:r>
      <w:bookmarkEnd w:id="182"/>
      <w:bookmarkEnd w:id="183"/>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①针对本项目的理解（</w:t>
      </w:r>
      <w:r>
        <w:rPr>
          <w:rFonts w:hint="eastAsia" w:ascii="仿宋" w:hAnsi="仿宋" w:eastAsia="仿宋" w:cs="仿宋"/>
          <w:color w:val="auto"/>
          <w:kern w:val="0"/>
          <w:sz w:val="24"/>
          <w:szCs w:val="24"/>
          <w:highlight w:val="none"/>
        </w:rPr>
        <w:t>对项目理解和熟悉程度</w:t>
      </w:r>
      <w:r>
        <w:rPr>
          <w:rFonts w:hint="eastAsia" w:ascii="仿宋" w:hAnsi="仿宋" w:eastAsia="仿宋" w:cs="仿宋"/>
          <w:color w:val="auto"/>
          <w:kern w:val="0"/>
          <w:sz w:val="24"/>
          <w:szCs w:val="24"/>
          <w:highlight w:val="none"/>
          <w:lang w:eastAsia="zh-CN"/>
        </w:rPr>
        <w:t>；</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②具体</w:t>
      </w:r>
      <w:r>
        <w:rPr>
          <w:rFonts w:hint="eastAsia" w:ascii="仿宋" w:hAnsi="仿宋" w:eastAsia="仿宋" w:cs="仿宋"/>
          <w:color w:val="auto"/>
          <w:kern w:val="0"/>
          <w:sz w:val="24"/>
          <w:szCs w:val="24"/>
          <w:highlight w:val="none"/>
        </w:rPr>
        <w:t>项目总体</w:t>
      </w:r>
      <w:r>
        <w:rPr>
          <w:rFonts w:hint="eastAsia" w:ascii="仿宋" w:hAnsi="仿宋" w:eastAsia="仿宋" w:cs="仿宋"/>
          <w:color w:val="auto"/>
          <w:kern w:val="0"/>
          <w:sz w:val="24"/>
          <w:szCs w:val="24"/>
          <w:highlight w:val="none"/>
          <w:lang w:eastAsia="zh-CN"/>
        </w:rPr>
        <w:t>实施</w:t>
      </w:r>
      <w:r>
        <w:rPr>
          <w:rFonts w:hint="eastAsia" w:ascii="仿宋" w:hAnsi="仿宋" w:eastAsia="仿宋" w:cs="仿宋"/>
          <w:color w:val="auto"/>
          <w:kern w:val="0"/>
          <w:sz w:val="24"/>
          <w:szCs w:val="24"/>
          <w:highlight w:val="none"/>
        </w:rPr>
        <w:t>方案</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③</w:t>
      </w: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eastAsia="zh-CN"/>
        </w:rPr>
        <w:t>培训方案</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④技术服务能力</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⑤后期服务保障措施</w:t>
      </w:r>
    </w:p>
    <w:p>
      <w:pPr>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⑥</w:t>
      </w:r>
      <w:r>
        <w:rPr>
          <w:rFonts w:hint="eastAsia" w:ascii="仿宋" w:hAnsi="仿宋" w:eastAsia="仿宋" w:cs="仿宋"/>
          <w:bCs/>
          <w:color w:val="auto"/>
          <w:sz w:val="24"/>
          <w:highlight w:val="none"/>
          <w:lang w:eastAsia="zh-CN"/>
        </w:rPr>
        <w:t>应急处理方案</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⑦拟投入人员</w:t>
      </w:r>
    </w:p>
    <w:p>
      <w:pPr>
        <w:spacing w:line="360" w:lineRule="auto"/>
        <w:ind w:firstLine="420" w:firstLineChars="200"/>
        <w:rPr>
          <w:rFonts w:hint="eastAsia" w:ascii="仿宋" w:hAnsi="仿宋" w:eastAsia="仿宋" w:cs="仿宋"/>
          <w:color w:val="auto"/>
          <w:highlight w:val="none"/>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outlineLvl w:val="9"/>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jc w:val="both"/>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413" w:lineRule="auto"/>
        <w:textAlignment w:val="auto"/>
        <w:rPr>
          <w:rFonts w:hint="eastAsia"/>
          <w:color w:val="auto"/>
        </w:rPr>
      </w:pPr>
      <w:bookmarkStart w:id="184" w:name="_Toc22542"/>
      <w:r>
        <w:rPr>
          <w:rFonts w:hint="eastAsia"/>
          <w:color w:val="auto"/>
        </w:rPr>
        <w:t>1</w:t>
      </w:r>
      <w:r>
        <w:rPr>
          <w:rFonts w:hint="eastAsia"/>
          <w:color w:val="auto"/>
          <w:lang w:val="en-US" w:eastAsia="zh-CN"/>
        </w:rPr>
        <w:t>7</w:t>
      </w:r>
      <w:r>
        <w:rPr>
          <w:rFonts w:hint="eastAsia"/>
          <w:color w:val="auto"/>
        </w:rPr>
        <w:t>.</w:t>
      </w:r>
      <w:r>
        <w:rPr>
          <w:rFonts w:hint="eastAsia"/>
          <w:color w:val="auto"/>
          <w:lang w:eastAsia="zh-CN"/>
        </w:rPr>
        <w:t>供应商</w:t>
      </w:r>
      <w:r>
        <w:rPr>
          <w:rFonts w:hint="eastAsia"/>
          <w:color w:val="auto"/>
        </w:rPr>
        <w:t>认为需要提供的其他文件和资料</w:t>
      </w:r>
      <w:bookmarkEnd w:id="184"/>
    </w:p>
    <w:p>
      <w:pPr>
        <w:pStyle w:val="3"/>
        <w:spacing w:line="360" w:lineRule="auto"/>
        <w:outlineLvl w:val="9"/>
        <w:rPr>
          <w:rFonts w:hint="eastAsia" w:ascii="仿宋" w:hAnsi="仿宋" w:eastAsia="仿宋" w:cs="仿宋"/>
          <w:color w:val="auto"/>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kern w:val="1"/>
      </w:rPr>
    </w:pPr>
    <w:r>
      <w:rPr>
        <w:kern w:val="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b/>
        <w:bCs w:val="0"/>
        <w:kern w:val="1"/>
        <w:u w:val="none"/>
      </w:rPr>
      <w:t xml:space="preserve"> </w:t>
    </w:r>
    <w:r>
      <w:rPr>
        <w:kern w:val="1"/>
      </w:rPr>
      <w:t xml:space="preserve">                                                              </w:t>
    </w:r>
  </w:p>
  <w:p>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p>
    <w:pPr>
      <w:rPr>
        <w:kern w:val="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772AA"/>
    <w:multiLevelType w:val="singleLevel"/>
    <w:tmpl w:val="A54772AA"/>
    <w:lvl w:ilvl="0" w:tentative="0">
      <w:start w:val="1"/>
      <w:numFmt w:val="decimal"/>
      <w:suff w:val="nothing"/>
      <w:lvlText w:val="%1、"/>
      <w:lvlJc w:val="left"/>
    </w:lvl>
  </w:abstractNum>
  <w:abstractNum w:abstractNumId="1">
    <w:nsid w:val="24E9233C"/>
    <w:multiLevelType w:val="singleLevel"/>
    <w:tmpl w:val="24E9233C"/>
    <w:lvl w:ilvl="0" w:tentative="0">
      <w:start w:val="1"/>
      <w:numFmt w:val="decimal"/>
      <w:suff w:val="nothing"/>
      <w:lvlText w:val="%1、"/>
      <w:lvlJc w:val="left"/>
    </w:lvl>
  </w:abstractNum>
  <w:abstractNum w:abstractNumId="2">
    <w:nsid w:val="3213D7BF"/>
    <w:multiLevelType w:val="singleLevel"/>
    <w:tmpl w:val="3213D7BF"/>
    <w:lvl w:ilvl="0" w:tentative="0">
      <w:start w:val="7"/>
      <w:numFmt w:val="chineseCounting"/>
      <w:suff w:val="nothing"/>
      <w:lvlText w:val="%1、"/>
      <w:lvlJc w:val="left"/>
      <w:rPr>
        <w:rFonts w:hint="eastAsia"/>
      </w:rPr>
    </w:lvl>
  </w:abstractNum>
  <w:abstractNum w:abstractNumId="3">
    <w:nsid w:val="4E4F7161"/>
    <w:multiLevelType w:val="multilevel"/>
    <w:tmpl w:val="4E4F71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41FA9ED"/>
    <w:multiLevelType w:val="singleLevel"/>
    <w:tmpl w:val="641FA9ED"/>
    <w:lvl w:ilvl="0" w:tentative="0">
      <w:start w:val="4"/>
      <w:numFmt w:val="chineseCounting"/>
      <w:suff w:val="nothing"/>
      <w:lvlText w:val="%1、"/>
      <w:lvlJc w:val="left"/>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6215F37"/>
    <w:multiLevelType w:val="multilevel"/>
    <w:tmpl w:val="66215F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NTlmODlmZTcxYjczNTRmYjIwMTEyZTUxMmMifQ=="/>
  </w:docVars>
  <w:rsids>
    <w:rsidRoot w:val="533A3374"/>
    <w:rsid w:val="001B1EC5"/>
    <w:rsid w:val="00421B21"/>
    <w:rsid w:val="00484594"/>
    <w:rsid w:val="005728A8"/>
    <w:rsid w:val="006C3971"/>
    <w:rsid w:val="008C6DF1"/>
    <w:rsid w:val="00AA5CF9"/>
    <w:rsid w:val="00B9558D"/>
    <w:rsid w:val="00B97AED"/>
    <w:rsid w:val="00DD59FC"/>
    <w:rsid w:val="00E233BD"/>
    <w:rsid w:val="00F9793A"/>
    <w:rsid w:val="013B1C11"/>
    <w:rsid w:val="031A2974"/>
    <w:rsid w:val="031A6024"/>
    <w:rsid w:val="065E20A8"/>
    <w:rsid w:val="07312F52"/>
    <w:rsid w:val="09CA6827"/>
    <w:rsid w:val="0B71448F"/>
    <w:rsid w:val="0BD06CE1"/>
    <w:rsid w:val="0DB461AA"/>
    <w:rsid w:val="0F016FE0"/>
    <w:rsid w:val="119A6379"/>
    <w:rsid w:val="1690716B"/>
    <w:rsid w:val="16DD54C7"/>
    <w:rsid w:val="192445E6"/>
    <w:rsid w:val="1A1D1D2E"/>
    <w:rsid w:val="1BF82D82"/>
    <w:rsid w:val="1BFE752C"/>
    <w:rsid w:val="1C1E4A30"/>
    <w:rsid w:val="1C31538B"/>
    <w:rsid w:val="1D77484D"/>
    <w:rsid w:val="22EF2C15"/>
    <w:rsid w:val="2659224D"/>
    <w:rsid w:val="277A47F9"/>
    <w:rsid w:val="2ADC0829"/>
    <w:rsid w:val="2B0B3387"/>
    <w:rsid w:val="2B385120"/>
    <w:rsid w:val="2B66432B"/>
    <w:rsid w:val="2D18713E"/>
    <w:rsid w:val="2D711A28"/>
    <w:rsid w:val="2DFA6B3A"/>
    <w:rsid w:val="2E732966"/>
    <w:rsid w:val="2F2D28C9"/>
    <w:rsid w:val="30C63421"/>
    <w:rsid w:val="31F933F3"/>
    <w:rsid w:val="325823C7"/>
    <w:rsid w:val="32B17DD0"/>
    <w:rsid w:val="32E92893"/>
    <w:rsid w:val="33581A44"/>
    <w:rsid w:val="35742332"/>
    <w:rsid w:val="37784C93"/>
    <w:rsid w:val="387805F3"/>
    <w:rsid w:val="3B4A3736"/>
    <w:rsid w:val="3E6B3A3F"/>
    <w:rsid w:val="3FFC7B78"/>
    <w:rsid w:val="416165F9"/>
    <w:rsid w:val="42A62FC5"/>
    <w:rsid w:val="42BD4343"/>
    <w:rsid w:val="43FD177C"/>
    <w:rsid w:val="45296F79"/>
    <w:rsid w:val="4648236F"/>
    <w:rsid w:val="47087C64"/>
    <w:rsid w:val="48115850"/>
    <w:rsid w:val="49A6613E"/>
    <w:rsid w:val="49AE29D1"/>
    <w:rsid w:val="4B1F2E32"/>
    <w:rsid w:val="4BB8527C"/>
    <w:rsid w:val="4DDC6EDC"/>
    <w:rsid w:val="4E2F3A85"/>
    <w:rsid w:val="504B2A35"/>
    <w:rsid w:val="50BE38D4"/>
    <w:rsid w:val="533A3374"/>
    <w:rsid w:val="539F3CEC"/>
    <w:rsid w:val="543E4774"/>
    <w:rsid w:val="581B5557"/>
    <w:rsid w:val="5AC706A9"/>
    <w:rsid w:val="5BFA410C"/>
    <w:rsid w:val="5CCB6D1C"/>
    <w:rsid w:val="5E2F295A"/>
    <w:rsid w:val="5F260587"/>
    <w:rsid w:val="63ED24AC"/>
    <w:rsid w:val="650B613E"/>
    <w:rsid w:val="663D275F"/>
    <w:rsid w:val="68D40935"/>
    <w:rsid w:val="68D83051"/>
    <w:rsid w:val="6ADC2B0C"/>
    <w:rsid w:val="6BBC2F66"/>
    <w:rsid w:val="6C8451E8"/>
    <w:rsid w:val="6DB81668"/>
    <w:rsid w:val="6FCF4A33"/>
    <w:rsid w:val="702F108A"/>
    <w:rsid w:val="704E3B2F"/>
    <w:rsid w:val="706343D8"/>
    <w:rsid w:val="73831A70"/>
    <w:rsid w:val="73D3144D"/>
    <w:rsid w:val="749F2F69"/>
    <w:rsid w:val="76852BB8"/>
    <w:rsid w:val="772B0AD4"/>
    <w:rsid w:val="78F5087A"/>
    <w:rsid w:val="79946D25"/>
    <w:rsid w:val="7B8A1461"/>
    <w:rsid w:val="7BCA3407"/>
    <w:rsid w:val="7D4E2978"/>
    <w:rsid w:val="7E3B33A4"/>
    <w:rsid w:val="7E460D3B"/>
    <w:rsid w:val="7ECF4F07"/>
    <w:rsid w:val="7F1A6D50"/>
    <w:rsid w:val="7FF2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仿宋"/>
      <w:b/>
      <w:bCs/>
      <w:kern w:val="44"/>
      <w:sz w:val="32"/>
      <w:szCs w:val="44"/>
    </w:rPr>
  </w:style>
  <w:style w:type="paragraph" w:styleId="4">
    <w:name w:val="heading 2"/>
    <w:basedOn w:val="1"/>
    <w:next w:val="1"/>
    <w:unhideWhenUsed/>
    <w:qFormat/>
    <w:uiPriority w:val="0"/>
    <w:pPr>
      <w:keepNext/>
      <w:keepLines/>
      <w:spacing w:before="260" w:after="260" w:line="413" w:lineRule="auto"/>
      <w:jc w:val="center"/>
      <w:outlineLvl w:val="1"/>
    </w:pPr>
    <w:rPr>
      <w:rFonts w:ascii="Arial" w:hAnsi="Arial" w:eastAsia="仿宋"/>
      <w:b/>
      <w:bCs/>
      <w:sz w:val="30"/>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unhideWhenUsed/>
    <w:qFormat/>
    <w:uiPriority w:val="9"/>
    <w:pPr>
      <w:keepNext/>
      <w:spacing w:before="240" w:after="60"/>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7">
    <w:name w:val="List 3"/>
    <w:basedOn w:val="1"/>
    <w:qFormat/>
    <w:uiPriority w:val="0"/>
    <w:pPr>
      <w:ind w:left="1260" w:hanging="420"/>
    </w:pPr>
    <w:rPr>
      <w:szCs w:val="20"/>
    </w:rPr>
  </w:style>
  <w:style w:type="paragraph" w:styleId="8">
    <w:name w:val="Normal Indent"/>
    <w:basedOn w:val="1"/>
    <w:next w:val="1"/>
    <w:qFormat/>
    <w:uiPriority w:val="0"/>
    <w:pPr>
      <w:adjustRightInd w:val="0"/>
      <w:spacing w:line="312" w:lineRule="atLeast"/>
      <w:ind w:firstLine="200"/>
      <w:textAlignment w:val="baseline"/>
    </w:pPr>
    <w:rPr>
      <w:kern w:val="0"/>
    </w:rPr>
  </w:style>
  <w:style w:type="paragraph" w:styleId="9">
    <w:name w:val="caption"/>
    <w:basedOn w:val="1"/>
    <w:next w:val="1"/>
    <w:qFormat/>
    <w:uiPriority w:val="0"/>
    <w:rPr>
      <w:rFonts w:ascii="Arial" w:hAnsi="Arial" w:eastAsia="黑体" w:cs="Arial"/>
      <w:kern w:val="1"/>
      <w:sz w:val="20"/>
      <w:szCs w:val="20"/>
    </w:rPr>
  </w:style>
  <w:style w:type="paragraph" w:styleId="10">
    <w:name w:val="Body Text 3"/>
    <w:basedOn w:val="1"/>
    <w:qFormat/>
    <w:uiPriority w:val="0"/>
    <w:pPr>
      <w:spacing w:after="120"/>
    </w:pPr>
    <w:rPr>
      <w:sz w:val="16"/>
      <w:szCs w:val="16"/>
    </w:rPr>
  </w:style>
  <w:style w:type="paragraph" w:styleId="11">
    <w:name w:val="Body Text"/>
    <w:basedOn w:val="1"/>
    <w:next w:val="12"/>
    <w:unhideWhenUsed/>
    <w:qFormat/>
    <w:uiPriority w:val="99"/>
    <w:rPr>
      <w:rFonts w:eastAsia="黑体"/>
      <w:sz w:val="36"/>
    </w:rPr>
  </w:style>
  <w:style w:type="paragraph" w:styleId="12">
    <w:name w:val="Body Text First Indent"/>
    <w:basedOn w:val="11"/>
    <w:next w:val="1"/>
    <w:qFormat/>
    <w:uiPriority w:val="0"/>
    <w:pPr>
      <w:widowControl/>
      <w:ind w:firstLine="420"/>
      <w:jc w:val="left"/>
    </w:pPr>
    <w:rPr>
      <w:kern w:val="0"/>
      <w:sz w:val="20"/>
    </w:rPr>
  </w:style>
  <w:style w:type="paragraph" w:styleId="13">
    <w:name w:val="Body Text Indent"/>
    <w:basedOn w:val="1"/>
    <w:qFormat/>
    <w:uiPriority w:val="0"/>
    <w:pPr>
      <w:spacing w:line="360" w:lineRule="auto"/>
      <w:ind w:firstLine="570"/>
    </w:pPr>
    <w:rPr>
      <w:rFonts w:ascii="宋体" w:hAnsi="宋体"/>
      <w:i/>
      <w:iCs/>
      <w:sz w:val="28"/>
      <w:szCs w:val="20"/>
    </w:rPr>
  </w:style>
  <w:style w:type="paragraph" w:styleId="14">
    <w:name w:val="List 2"/>
    <w:basedOn w:val="1"/>
    <w:qFormat/>
    <w:uiPriority w:val="0"/>
    <w:pPr>
      <w:ind w:left="840" w:hanging="420"/>
    </w:pPr>
    <w:rPr>
      <w:szCs w:val="20"/>
    </w:rPr>
  </w:style>
  <w:style w:type="paragraph" w:styleId="15">
    <w:name w:val="Plain Text"/>
    <w:basedOn w:val="1"/>
    <w:qFormat/>
    <w:uiPriority w:val="0"/>
    <w:rPr>
      <w:rFonts w:ascii="宋体" w:hAnsi="Courier New"/>
      <w:szCs w:val="21"/>
    </w:rPr>
  </w:style>
  <w:style w:type="paragraph" w:styleId="16">
    <w:name w:val="Date"/>
    <w:basedOn w:val="1"/>
    <w:next w:val="1"/>
    <w:qFormat/>
    <w:uiPriority w:val="0"/>
    <w:rPr>
      <w:rFonts w:ascii="宋体"/>
      <w:szCs w:val="20"/>
    </w:rPr>
  </w:style>
  <w:style w:type="paragraph" w:styleId="17">
    <w:name w:val="Balloon Text"/>
    <w:basedOn w:val="1"/>
    <w:qFormat/>
    <w:uiPriority w:val="0"/>
    <w:rPr>
      <w:kern w:val="1"/>
      <w:sz w:val="18"/>
      <w:szCs w:val="18"/>
      <w:lang w:val="zh-CN"/>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line="440" w:lineRule="exact"/>
      <w:ind w:firstLine="480" w:firstLineChars="200"/>
    </w:pPr>
    <w:rPr>
      <w:sz w:val="24"/>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4">
    <w:name w:val="Title"/>
    <w:basedOn w:val="1"/>
    <w:next w:val="1"/>
    <w:qFormat/>
    <w:uiPriority w:val="10"/>
    <w:pPr>
      <w:spacing w:before="240" w:after="60"/>
      <w:jc w:val="center"/>
      <w:outlineLvl w:val="0"/>
    </w:pPr>
    <w:rPr>
      <w:rFonts w:ascii="等线 Light" w:hAnsi="等线 Light" w:eastAsia="等线 Light"/>
      <w:b/>
      <w:bCs/>
      <w:sz w:val="32"/>
      <w:szCs w:val="32"/>
    </w:rPr>
  </w:style>
  <w:style w:type="paragraph" w:styleId="25">
    <w:name w:val="Body Text First Indent 2"/>
    <w:basedOn w:val="13"/>
    <w:next w:val="12"/>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2）二级标题 段前分页"/>
    <w:basedOn w:val="1"/>
    <w:qFormat/>
    <w:uiPriority w:val="0"/>
    <w:pPr>
      <w:pageBreakBefore/>
      <w:spacing w:before="156" w:beforeLines="50" w:after="156" w:afterLines="50"/>
      <w:jc w:val="center"/>
      <w:outlineLvl w:val="1"/>
    </w:pPr>
    <w:rPr>
      <w:rFonts w:eastAsia="仿宋_GB2312"/>
      <w:b/>
      <w:sz w:val="36"/>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6">
    <w:name w:val="3）三级标题 与下段同页"/>
    <w:basedOn w:val="1"/>
    <w:qFormat/>
    <w:uiPriority w:val="0"/>
    <w:pPr>
      <w:keepNext/>
      <w:spacing w:before="156" w:beforeLines="50" w:after="156" w:afterLines="50"/>
      <w:jc w:val="center"/>
      <w:outlineLvl w:val="2"/>
    </w:pPr>
    <w:rPr>
      <w:rFonts w:eastAsia="仿宋_GB2312"/>
      <w:b/>
      <w:sz w:val="32"/>
    </w:rPr>
  </w:style>
  <w:style w:type="paragraph" w:customStyle="1" w:styleId="37">
    <w:name w:val="5）标书正文 首行缩进2字符"/>
    <w:basedOn w:val="1"/>
    <w:qFormat/>
    <w:uiPriority w:val="0"/>
    <w:pPr>
      <w:spacing w:line="520" w:lineRule="exact"/>
      <w:ind w:firstLine="560" w:firstLineChars="200"/>
    </w:pPr>
    <w:rPr>
      <w:rFonts w:eastAsia="仿宋_GB2312"/>
      <w:sz w:val="28"/>
    </w:rPr>
  </w:style>
  <w:style w:type="paragraph" w:customStyle="1" w:styleId="38">
    <w:name w:val="正文1"/>
    <w:qFormat/>
    <w:uiPriority w:val="0"/>
    <w:rPr>
      <w:rFonts w:ascii="Times New Roman" w:hAnsi="Times New Roman" w:eastAsia="Times New Roman" w:cs="Times New Roman"/>
      <w:sz w:val="24"/>
      <w:szCs w:val="24"/>
      <w:lang w:val="en-US" w:eastAsia="zh-CN" w:bidi="ar-SA"/>
    </w:rPr>
  </w:style>
  <w:style w:type="paragraph" w:customStyle="1" w:styleId="39">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样式 标题 3 + (中文) 黑体 小四 非加粗 段前: 7.8 磅 段后: 0 磅 行距: 固定值 20 磅"/>
    <w:basedOn w:val="5"/>
    <w:qFormat/>
    <w:uiPriority w:val="0"/>
    <w:pPr>
      <w:spacing w:before="0" w:after="0" w:line="400" w:lineRule="exact"/>
    </w:pPr>
    <w:rPr>
      <w:rFonts w:eastAsia="黑体"/>
      <w:b w:val="0"/>
      <w:sz w:val="24"/>
      <w:szCs w:val="20"/>
    </w:rPr>
  </w:style>
  <w:style w:type="paragraph" w:customStyle="1" w:styleId="4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4）小标题 加黑 左对齐"/>
    <w:basedOn w:val="1"/>
    <w:next w:val="37"/>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4">
    <w:name w:val="偏离"/>
    <w:basedOn w:val="1"/>
    <w:unhideWhenUsed/>
    <w:qFormat/>
    <w:uiPriority w:val="1"/>
    <w:pPr>
      <w:widowControl/>
      <w:spacing w:line="360" w:lineRule="auto"/>
      <w:jc w:val="center"/>
    </w:p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3"/>
    <w:basedOn w:val="5"/>
    <w:qFormat/>
    <w:uiPriority w:val="0"/>
    <w:pPr>
      <w:keepNext/>
      <w:keepLines/>
      <w:widowControl w:val="0"/>
      <w:pBdr>
        <w:bottom w:val="none" w:color="auto" w:sz="0" w:space="0"/>
      </w:pBdr>
      <w:spacing w:before="120" w:beforeLines="0" w:after="120" w:afterLines="0" w:line="360" w:lineRule="auto"/>
      <w:jc w:val="both"/>
    </w:pPr>
    <w:rPr>
      <w:rFonts w:ascii="Calibri" w:hAnsi="Calibri"/>
      <w:color w:val="000000"/>
      <w:kern w:val="2"/>
      <w:sz w:val="28"/>
      <w:szCs w:val="32"/>
      <w:lang w:val="de-DE"/>
    </w:rPr>
  </w:style>
  <w:style w:type="paragraph" w:customStyle="1" w:styleId="48">
    <w:name w:val="列出段落1"/>
    <w:basedOn w:val="1"/>
    <w:qFormat/>
    <w:uiPriority w:val="34"/>
    <w:pPr>
      <w:ind w:firstLine="420" w:firstLineChars="200"/>
    </w:pPr>
    <w:rPr>
      <w:rFonts w:ascii="Times New Roman" w:hAnsi="Times New Roman" w:eastAsia="宋体" w:cs="Times New Roman"/>
      <w:szCs w:val="20"/>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50">
    <w:name w:val="答复表头"/>
    <w:basedOn w:val="51"/>
    <w:next w:val="1"/>
    <w:qFormat/>
    <w:uiPriority w:val="0"/>
    <w:pPr>
      <w:tabs>
        <w:tab w:val="left" w:pos="480"/>
      </w:tabs>
    </w:pPr>
    <w:rPr>
      <w:rFonts w:ascii="Calibri" w:hAnsi="Calibri" w:eastAsia="宋体" w:cs="Times New Roman"/>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21288</Words>
  <Characters>22728</Characters>
  <Lines>178</Lines>
  <Paragraphs>50</Paragraphs>
  <TotalTime>21</TotalTime>
  <ScaleCrop>false</ScaleCrop>
  <LinksUpToDate>false</LinksUpToDate>
  <CharactersWithSpaces>25253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2020-12-14T05:10:00Z</dcterms:created>
  <dc:creator>1209????</dc:creator>
  <cp:lastModifiedBy>听见你的背影</cp:lastModifiedBy>
  <cp:lastPrinted>2022-06-06T03:56:00Z</cp:lastPrinted>
  <dcterms:modified xsi:type="dcterms:W3CDTF">2022-06-29T08:13:55Z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2252F8B744DA49A0932EC92AEFC32CD6</vt:lpwstr>
  </property>
</Properties>
</file>