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玛纳斯县北五岔镇大庙村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中草药加工厂房建设项目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竞争性磋商公告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玛纳斯县北五岔镇大庙村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中草药加工厂房建设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none"/>
        </w:rPr>
        <w:t>的</w:t>
      </w:r>
      <w:r>
        <w:rPr>
          <w:rFonts w:hint="eastAsia" w:ascii="仿宋" w:hAnsi="仿宋" w:eastAsia="仿宋"/>
          <w:sz w:val="28"/>
          <w:szCs w:val="28"/>
        </w:rPr>
        <w:t>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新疆建业建设工程项目管理有限公司（昌吉市北京南路25-1号）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点30分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0" w:name="_Toc35393798"/>
      <w:bookmarkStart w:id="1" w:name="_Toc28359012"/>
      <w:bookmarkStart w:id="2" w:name="_Toc35393629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XJJY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037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玛纳斯县北五岔镇大庙村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中草药加工厂房建设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采购方式：竞争性磋商 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165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1599425.22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新建450平方米的肉苁蓉、枸杞等中药材加工厂房一处，购置安装空气能烘干加工设备3套及其配套设施。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合同履行期限：合同签订之日起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完成。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本项目（不）接受联合体。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4" w:name="_Toc28359013"/>
      <w:bookmarkStart w:id="5" w:name="_Toc35393630"/>
      <w:bookmarkStart w:id="6" w:name="_Toc28359090"/>
      <w:bookmarkStart w:id="7" w:name="_Toc35393799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bookmarkStart w:id="8" w:name="_Toc28359091"/>
      <w:bookmarkStart w:id="9" w:name="_Toc2835901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bookmarkStart w:id="10" w:name="_Toc35393631"/>
      <w:bookmarkStart w:id="11" w:name="_Toc35393800"/>
      <w:r>
        <w:rPr>
          <w:rFonts w:hint="eastAsia" w:ascii="仿宋" w:hAnsi="仿宋" w:eastAsia="仿宋" w:cs="Times New Roman"/>
          <w:sz w:val="28"/>
          <w:szCs w:val="28"/>
        </w:rPr>
        <w:t>①持有效的营业执照；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Times New Roman"/>
          <w:sz w:val="28"/>
          <w:szCs w:val="28"/>
        </w:rPr>
        <w:t>具有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独立法人资格的建筑工程</w:t>
      </w:r>
      <w:r>
        <w:rPr>
          <w:rFonts w:hint="eastAsia" w:ascii="仿宋" w:hAnsi="仿宋" w:eastAsia="仿宋" w:cs="Times New Roman"/>
          <w:sz w:val="28"/>
          <w:szCs w:val="28"/>
        </w:rPr>
        <w:t>施工总承包叁级及以上资质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钢结构工程专业承包叁级及以上资质，以及</w:t>
      </w:r>
      <w:r>
        <w:rPr>
          <w:rFonts w:hint="eastAsia" w:ascii="仿宋" w:hAnsi="仿宋" w:eastAsia="仿宋" w:cs="Times New Roman"/>
          <w:sz w:val="28"/>
          <w:szCs w:val="28"/>
        </w:rPr>
        <w:t>有效期内的安全生产许可证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项目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负责人</w:t>
      </w:r>
      <w:r>
        <w:rPr>
          <w:rFonts w:hint="eastAsia" w:ascii="仿宋" w:hAnsi="仿宋" w:eastAsia="仿宋" w:cs="Times New Roman"/>
          <w:sz w:val="28"/>
          <w:szCs w:val="28"/>
        </w:rPr>
        <w:t>具有有效的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建筑工程</w:t>
      </w:r>
      <w:r>
        <w:rPr>
          <w:rFonts w:hint="eastAsia" w:ascii="仿宋" w:hAnsi="仿宋" w:eastAsia="仿宋" w:cs="Times New Roman"/>
          <w:sz w:val="28"/>
          <w:szCs w:val="28"/>
        </w:rPr>
        <w:t>二级及以上注册建造师资格及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有效的</w:t>
      </w:r>
      <w:r>
        <w:rPr>
          <w:rFonts w:hint="eastAsia" w:ascii="仿宋" w:hAnsi="仿宋" w:eastAsia="仿宋" w:cs="Times New Roman"/>
          <w:sz w:val="28"/>
          <w:szCs w:val="28"/>
        </w:rPr>
        <w:t>安全生产考核合格证书；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Times New Roman"/>
          <w:sz w:val="28"/>
          <w:szCs w:val="28"/>
        </w:rPr>
        <w:t>在“中国政府采购网”（http://www.ccgp.gov.cn）及信用中国（www.creditchina.gov.cn）无违法违规行为纪录，查询时间为公告发布期内。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Times New Roman"/>
          <w:sz w:val="28"/>
          <w:szCs w:val="28"/>
        </w:rPr>
        <w:t>单位负责人为同一人或者存在直接控股、管理关系的不同供应商，不得参加同一合同项下的政府采购活动。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  <w:bookmarkStart w:id="42" w:name="_GoBack"/>
      <w:bookmarkEnd w:id="42"/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10：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宋体"/>
          <w:sz w:val="28"/>
          <w:szCs w:val="28"/>
          <w:u w:val="single"/>
        </w:rPr>
        <w:t>: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sz w:val="28"/>
          <w:szCs w:val="28"/>
          <w:u w:val="single"/>
        </w:rPr>
        <w:t>: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地点：新疆建业建设工程项目管理有限公司（昌吉市北京南路25-1号）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bookmarkStart w:id="12" w:name="_Toc35393632"/>
      <w:bookmarkStart w:id="13" w:name="_Toc28359092"/>
      <w:bookmarkStart w:id="14" w:name="_Toc35393801"/>
      <w:bookmarkStart w:id="15" w:name="_Toc28359015"/>
      <w:r>
        <w:rPr>
          <w:rFonts w:hint="eastAsia" w:ascii="仿宋" w:hAnsi="仿宋" w:eastAsia="仿宋" w:cs="宋体"/>
          <w:sz w:val="28"/>
          <w:szCs w:val="28"/>
        </w:rPr>
        <w:t>方式：现场领取竞争性磋商文件时需携带：法定代表人授权委托书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（原件）</w:t>
      </w:r>
      <w:r>
        <w:rPr>
          <w:rFonts w:hint="eastAsia" w:ascii="仿宋" w:hAnsi="仿宋" w:eastAsia="仿宋" w:cs="宋体"/>
          <w:sz w:val="28"/>
          <w:szCs w:val="28"/>
        </w:rPr>
        <w:t>、被委托人身份证、营业执照、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资质证书、安全生产许可证、项目负责人注册证及安考证、</w:t>
      </w:r>
      <w:r>
        <w:rPr>
          <w:rFonts w:hint="eastAsia" w:ascii="仿宋" w:hAnsi="仿宋" w:eastAsia="仿宋" w:cs="宋体"/>
          <w:sz w:val="28"/>
          <w:szCs w:val="28"/>
        </w:rPr>
        <w:t>“中国政府采购网”及信用中国无违法违规行为纪录查询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截图（公告期内），以上资料提供复印件两</w:t>
      </w:r>
      <w:r>
        <w:rPr>
          <w:rFonts w:hint="eastAsia" w:ascii="仿宋" w:hAnsi="仿宋" w:eastAsia="仿宋" w:cs="宋体"/>
          <w:sz w:val="28"/>
          <w:szCs w:val="28"/>
        </w:rPr>
        <w:t>套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复印件需加盖单位公章。（以上申请人报名时携带的资料不齐全，不予发售竞争性磋商文件）。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00元/份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点30分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玛纳斯县文体中心二楼政府采购中心开标室（中华碧玉园）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6" w:name="_Toc35393633"/>
      <w:bookmarkStart w:id="17" w:name="_Toc28359016"/>
      <w:bookmarkStart w:id="18" w:name="_Toc28359093"/>
      <w:bookmarkStart w:id="19" w:name="_Toc35393802"/>
      <w:r>
        <w:rPr>
          <w:rFonts w:hint="eastAsia" w:ascii="黑体" w:hAnsi="黑体" w:cs="宋体"/>
          <w:b w:val="0"/>
          <w:sz w:val="28"/>
          <w:szCs w:val="28"/>
        </w:rPr>
        <w:t>五、开启（</w:t>
      </w:r>
      <w:r>
        <w:rPr>
          <w:rFonts w:hint="eastAsia" w:ascii="黑体" w:hAnsi="黑体" w:cs="宋体"/>
          <w:b w:val="0"/>
          <w:i/>
          <w:sz w:val="28"/>
          <w:szCs w:val="28"/>
        </w:rPr>
        <w:t>竞争性磋商方式必须填写</w:t>
      </w:r>
      <w:r>
        <w:rPr>
          <w:rFonts w:hint="eastAsia" w:ascii="黑体" w:hAnsi="黑体" w:cs="宋体"/>
          <w:b w:val="0"/>
          <w:sz w:val="28"/>
          <w:szCs w:val="28"/>
        </w:rPr>
        <w:t>）</w:t>
      </w:r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点30分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玛纳斯县文体中心二楼政府采购中心开标室（中华碧玉园）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0" w:name="_Toc35393634"/>
      <w:bookmarkStart w:id="21" w:name="_Toc28359094"/>
      <w:bookmarkStart w:id="22" w:name="_Toc28359017"/>
      <w:bookmarkStart w:id="23" w:name="_Toc35393803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4"/>
      <w:bookmarkEnd w:id="25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新疆政府采购网、昌吉州公共资源交易网、昌吉州人民政府网、中国昌吉网。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6" w:name="_Toc28359095"/>
      <w:bookmarkStart w:id="27" w:name="_Toc35393636"/>
      <w:bookmarkStart w:id="28" w:name="_Toc28359018"/>
      <w:bookmarkStart w:id="29" w:name="_Toc35393805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30" w:name="_Toc35393637"/>
      <w:bookmarkStart w:id="31" w:name="_Toc28359096"/>
      <w:bookmarkStart w:id="32" w:name="_Toc35393806"/>
      <w:bookmarkStart w:id="33" w:name="_Toc2835901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eastAsia="zh-CN"/>
        </w:rPr>
        <w:instrText xml:space="preserve"> HYPERLINK "https://ditu.so.com/?pid=9cb4622461a34812&amp;src=onebox" \t "https://www.so.com/_blank" </w:instrTex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separate"/>
      </w:r>
      <w:r>
        <w:rPr>
          <w:rFonts w:hint="default" w:ascii="仿宋" w:hAnsi="仿宋" w:eastAsia="仿宋"/>
          <w:sz w:val="28"/>
          <w:szCs w:val="28"/>
          <w:lang w:eastAsia="zh-CN"/>
        </w:rPr>
        <w:t>玛纳斯县</w:t>
      </w:r>
      <w:r>
        <w:rPr>
          <w:rFonts w:hint="eastAsia" w:ascii="仿宋" w:hAnsi="仿宋" w:eastAsia="仿宋"/>
          <w:sz w:val="28"/>
          <w:szCs w:val="28"/>
          <w:lang w:eastAsia="zh-CN"/>
        </w:rPr>
        <w:t>北</w:t>
      </w:r>
      <w:r>
        <w:rPr>
          <w:rFonts w:hint="default" w:ascii="仿宋" w:hAnsi="仿宋" w:eastAsia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eastAsia="zh-CN"/>
        </w:rPr>
        <w:t>五岔镇人民政府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eastAsia="zh-CN"/>
        </w:rPr>
        <w:instrText xml:space="preserve"> HYPERLINK "https://ditu.so.com/?pid=9cb4622461a34812&amp;src=onebox" \t "https://www.so.com/_blank" </w:instrTex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separate"/>
      </w:r>
      <w:r>
        <w:rPr>
          <w:rFonts w:hint="default" w:ascii="仿宋" w:hAnsi="仿宋" w:eastAsia="仿宋"/>
          <w:sz w:val="28"/>
          <w:szCs w:val="28"/>
          <w:lang w:eastAsia="zh-CN"/>
        </w:rPr>
        <w:t>玛纳斯县</w:t>
      </w:r>
      <w:r>
        <w:rPr>
          <w:rFonts w:hint="eastAsia" w:ascii="仿宋" w:hAnsi="仿宋" w:eastAsia="仿宋"/>
          <w:sz w:val="28"/>
          <w:szCs w:val="28"/>
          <w:lang w:eastAsia="zh-CN"/>
        </w:rPr>
        <w:t>北</w:t>
      </w:r>
      <w:r>
        <w:rPr>
          <w:rFonts w:hint="default" w:ascii="仿宋" w:hAnsi="仿宋" w:eastAsia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eastAsia="zh-CN"/>
        </w:rPr>
        <w:t>五岔镇</w:t>
      </w:r>
      <w:r>
        <w:rPr>
          <w:rFonts w:hint="eastAsia" w:ascii="仿宋" w:hAnsi="仿宋" w:eastAsia="仿宋"/>
          <w:sz w:val="28"/>
          <w:szCs w:val="28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张涛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18290650604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34" w:name="_Toc35393638"/>
      <w:bookmarkStart w:id="35" w:name="_Toc28359097"/>
      <w:bookmarkStart w:id="36" w:name="_Toc35393807"/>
      <w:bookmarkStart w:id="37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bookmarkStart w:id="38" w:name="_Toc35393808"/>
      <w:bookmarkStart w:id="39" w:name="_Toc28359021"/>
      <w:bookmarkStart w:id="40" w:name="_Toc35393639"/>
      <w:bookmarkStart w:id="41" w:name="_Toc28359098"/>
      <w:r>
        <w:rPr>
          <w:rFonts w:hint="eastAsia" w:ascii="仿宋" w:hAnsi="仿宋" w:eastAsia="仿宋"/>
          <w:sz w:val="28"/>
          <w:szCs w:val="28"/>
        </w:rPr>
        <w:t>名    称：新疆建业建设工程项目管理有限公司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址：（昌吉市北京南路25-1号）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840" w:firstLineChars="3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许园园</w:t>
      </w:r>
      <w:r>
        <w:rPr>
          <w:rFonts w:hint="eastAsia" w:ascii="仿宋" w:hAnsi="仿宋" w:eastAsia="仿宋" w:cs="宋体"/>
          <w:b w:val="0"/>
          <w:sz w:val="28"/>
          <w:szCs w:val="28"/>
        </w:rPr>
        <w:t>、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路紫婷</w:t>
      </w:r>
      <w:r>
        <w:rPr>
          <w:rFonts w:hint="eastAsia" w:ascii="仿宋" w:hAnsi="仿宋" w:eastAsia="仿宋" w:cs="宋体"/>
          <w:b w:val="0"/>
          <w:sz w:val="28"/>
          <w:szCs w:val="28"/>
        </w:rPr>
        <w:t xml:space="preserve">    0994-6551881</w:t>
      </w:r>
    </w:p>
    <w:bookmarkEnd w:id="38"/>
    <w:bookmarkEnd w:id="39"/>
    <w:bookmarkEnd w:id="40"/>
    <w:bookmarkEnd w:id="41"/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840" w:firstLineChars="3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sz w:val="28"/>
          <w:szCs w:val="28"/>
        </w:rPr>
        <w:t>监督管理部门名称：玛纳斯县财政局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840" w:firstLineChars="300"/>
        <w:textAlignment w:val="auto"/>
        <w:rPr>
          <w:rFonts w:hint="default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联系人：魏录宏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840" w:firstLineChars="300"/>
        <w:textAlignment w:val="auto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监督投诉电话：0994-6650069</w:t>
      </w:r>
    </w:p>
    <w:p>
      <w:pPr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ZWZkYzNhNTU5OTIzNjM1NzJkYzNjNzdhYTEyYzUifQ=="/>
  </w:docVars>
  <w:rsids>
    <w:rsidRoot w:val="44E836D2"/>
    <w:rsid w:val="00002DCA"/>
    <w:rsid w:val="0011767A"/>
    <w:rsid w:val="0015410C"/>
    <w:rsid w:val="0029591B"/>
    <w:rsid w:val="00362D23"/>
    <w:rsid w:val="003B6C17"/>
    <w:rsid w:val="003C172C"/>
    <w:rsid w:val="00460B9A"/>
    <w:rsid w:val="00490A8A"/>
    <w:rsid w:val="00587DBB"/>
    <w:rsid w:val="006C6FDD"/>
    <w:rsid w:val="007D65F9"/>
    <w:rsid w:val="009068BC"/>
    <w:rsid w:val="00A02B48"/>
    <w:rsid w:val="00A1238C"/>
    <w:rsid w:val="00A34742"/>
    <w:rsid w:val="00B73966"/>
    <w:rsid w:val="00BC71D5"/>
    <w:rsid w:val="00CC38A3"/>
    <w:rsid w:val="00DB5AB3"/>
    <w:rsid w:val="00F50A62"/>
    <w:rsid w:val="00F628D9"/>
    <w:rsid w:val="04CA4D43"/>
    <w:rsid w:val="08816C72"/>
    <w:rsid w:val="1171161B"/>
    <w:rsid w:val="12291E74"/>
    <w:rsid w:val="18C55C08"/>
    <w:rsid w:val="21FF581D"/>
    <w:rsid w:val="281D0338"/>
    <w:rsid w:val="294A0003"/>
    <w:rsid w:val="2BA93C97"/>
    <w:rsid w:val="2E476EBB"/>
    <w:rsid w:val="30FD69D3"/>
    <w:rsid w:val="31722740"/>
    <w:rsid w:val="322E709A"/>
    <w:rsid w:val="323F560A"/>
    <w:rsid w:val="341809A0"/>
    <w:rsid w:val="367D7CAE"/>
    <w:rsid w:val="3C9127F6"/>
    <w:rsid w:val="3E9B5922"/>
    <w:rsid w:val="3FD348A3"/>
    <w:rsid w:val="411839DA"/>
    <w:rsid w:val="41947551"/>
    <w:rsid w:val="44E836D2"/>
    <w:rsid w:val="45D100FD"/>
    <w:rsid w:val="4D8A55F6"/>
    <w:rsid w:val="542A33C9"/>
    <w:rsid w:val="54773244"/>
    <w:rsid w:val="556700DB"/>
    <w:rsid w:val="57D12A81"/>
    <w:rsid w:val="58B7227A"/>
    <w:rsid w:val="59C11AC2"/>
    <w:rsid w:val="60765767"/>
    <w:rsid w:val="641747CB"/>
    <w:rsid w:val="659D0EE2"/>
    <w:rsid w:val="65A704BC"/>
    <w:rsid w:val="65F56278"/>
    <w:rsid w:val="693B2651"/>
    <w:rsid w:val="6AC06409"/>
    <w:rsid w:val="6AD771B3"/>
    <w:rsid w:val="6B1F7B23"/>
    <w:rsid w:val="6CE47B22"/>
    <w:rsid w:val="6E3D3C91"/>
    <w:rsid w:val="702C56A3"/>
    <w:rsid w:val="72316A6E"/>
    <w:rsid w:val="7290327C"/>
    <w:rsid w:val="7306148A"/>
    <w:rsid w:val="76245B34"/>
    <w:rsid w:val="790F35AB"/>
    <w:rsid w:val="7AAA1E6A"/>
    <w:rsid w:val="7BA94B57"/>
    <w:rsid w:val="7DB70FFB"/>
    <w:rsid w:val="7E6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28" w:lineRule="auto"/>
      <w:ind w:left="840" w:right="-120"/>
      <w:jc w:val="left"/>
    </w:pPr>
    <w:rPr>
      <w:sz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1130</Words>
  <Characters>1285</Characters>
  <Lines>9</Lines>
  <Paragraphs>2</Paragraphs>
  <TotalTime>9</TotalTime>
  <ScaleCrop>false</ScaleCrop>
  <LinksUpToDate>false</LinksUpToDate>
  <CharactersWithSpaces>1312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2021-01-04T02:15:00Z</dcterms:created>
  <dc:creator>NTKO</dc:creator>
  <cp:lastModifiedBy>Lenovo</cp:lastModifiedBy>
  <cp:lastPrinted>2022-06-30T04:47:21Z</cp:lastPrinted>
  <dcterms:modified xsi:type="dcterms:W3CDTF">2022-06-30T04:47:27Z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384B801F983449EF8B97019FE1C6A5D5</vt:lpwstr>
  </property>
</Properties>
</file>