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tabs>
          <w:tab w:val="left" w:pos="0"/>
          <w:tab w:val="left" w:pos="3165"/>
          <w:tab w:val="center" w:pos="415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ind w:left="0"/>
        <w:jc w:val="center"/>
        <w:textAlignment w:val="auto"/>
        <w:rPr>
          <w:rFonts w:ascii="华文中宋" w:hAnsi="华文中宋" w:eastAsia="华文中宋"/>
          <w:color w:val="auto"/>
        </w:rPr>
      </w:pPr>
      <w:bookmarkStart w:id="0" w:name="_Toc35393789"/>
      <w:bookmarkStart w:id="1" w:name="_Toc28359001"/>
      <w:r>
        <w:rPr>
          <w:rFonts w:hint="eastAsia" w:ascii="华文中宋" w:hAnsi="华文中宋" w:eastAsia="华文中宋"/>
          <w:color w:val="auto"/>
        </w:rPr>
        <w:t>招标公告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  <w:t>昌吉州阜康市人民医院基础设施能力提升建设项目—体检中心配套医疗设备采购项目（一包）</w:t>
      </w:r>
      <w:r>
        <w:rPr>
          <w:rFonts w:hint="eastAsia" w:ascii="仿宋" w:hAnsi="仿宋" w:eastAsia="仿宋"/>
          <w:color w:val="auto"/>
          <w:sz w:val="28"/>
          <w:szCs w:val="28"/>
        </w:rPr>
        <w:t>招标项目的潜在投标人应在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新疆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昌吉州昌吉市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屯河北路时代广场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C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座1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1219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室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获取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招标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文件，并于</w:t>
      </w:r>
      <w:r>
        <w:rPr>
          <w:rFonts w:ascii="仿宋" w:hAnsi="仿宋" w:eastAsia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分（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北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京时间）前递交投标</w:t>
      </w:r>
      <w:r>
        <w:rPr>
          <w:rFonts w:ascii="仿宋" w:hAnsi="仿宋" w:eastAsia="仿宋"/>
          <w:bCs/>
          <w:color w:val="auto"/>
          <w:sz w:val="28"/>
          <w:szCs w:val="28"/>
          <w:highlight w:val="none"/>
        </w:rPr>
        <w:t>文件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pStyle w:val="5"/>
        <w:spacing w:line="360" w:lineRule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2" w:name="_Toc35393790"/>
      <w:bookmarkStart w:id="3" w:name="_Toc35393621"/>
      <w:bookmarkStart w:id="4" w:name="_Toc28359079"/>
      <w:bookmarkStart w:id="5" w:name="_Toc28359002"/>
      <w:bookmarkStart w:id="6" w:name="_Hlk24379207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一、项目基本情况</w:t>
      </w:r>
      <w:bookmarkEnd w:id="2"/>
      <w:bookmarkEnd w:id="3"/>
      <w:bookmarkEnd w:id="4"/>
      <w:bookmarkEnd w:id="5"/>
    </w:p>
    <w:p>
      <w:pPr>
        <w:ind w:firstLine="560" w:firstLineChars="2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项目编号：XJ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H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J-202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-CG-0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05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昌吉州阜康市人民医院基础设施能力提升建设项目—体检中心配套医疗设备采购项目（一包）</w:t>
      </w:r>
    </w:p>
    <w:bookmarkEnd w:id="6"/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预算金额：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340万元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最高限价（如有）：340万元</w:t>
      </w:r>
    </w:p>
    <w:p>
      <w:pPr>
        <w:pStyle w:val="2"/>
        <w:numPr>
          <w:ilvl w:val="0"/>
          <w:numId w:val="0"/>
        </w:numPr>
        <w:ind w:right="0" w:rightChars="0" w:firstLine="560" w:firstLineChars="200"/>
        <w:rPr>
          <w:rFonts w:hint="default" w:ascii="仿宋" w:hAnsi="仿宋" w:eastAsia="仿宋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  <w:t>资金来源:专项债券资金</w:t>
      </w:r>
    </w:p>
    <w:p>
      <w:pPr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  <w:t>采购内容：采购乳腺钼靶X线摄影检查系统、直接数字化X射线摄影系统（DR）等配套医疗设备。（具体参数及技术要求详见采购文件）。</w:t>
      </w:r>
    </w:p>
    <w:p>
      <w:pPr>
        <w:ind w:firstLine="560" w:firstLineChars="200"/>
        <w:rPr>
          <w:rFonts w:hint="eastAsia" w:ascii="仿宋" w:hAnsi="仿宋" w:eastAsia="仿宋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/>
          <w:color w:val="auto"/>
          <w:spacing w:val="0"/>
          <w:kern w:val="2"/>
          <w:sz w:val="28"/>
          <w:szCs w:val="28"/>
          <w:highlight w:val="none"/>
          <w:lang w:val="en-US" w:eastAsia="zh-CN" w:bidi="ar-SA"/>
        </w:rPr>
        <w:t>合同履行期限：以签订的合同为准 。</w:t>
      </w:r>
    </w:p>
    <w:p>
      <w:pPr>
        <w:spacing w:line="360" w:lineRule="auto"/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本项目（否）接受联合体投标。</w:t>
      </w:r>
    </w:p>
    <w:p>
      <w:pPr>
        <w:pStyle w:val="5"/>
        <w:spacing w:line="360" w:lineRule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7" w:name="_Toc28359080"/>
      <w:bookmarkStart w:id="8" w:name="_Toc28359003"/>
      <w:bookmarkStart w:id="9" w:name="_Toc35393622"/>
      <w:bookmarkStart w:id="10" w:name="_Toc35393791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二、申请人的资格要求：</w:t>
      </w:r>
      <w:bookmarkEnd w:id="7"/>
      <w:bookmarkEnd w:id="8"/>
      <w:bookmarkEnd w:id="9"/>
      <w:bookmarkEnd w:id="10"/>
    </w:p>
    <w:p>
      <w:pPr>
        <w:ind w:firstLine="560" w:firstLineChars="20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1.满足《中华人民共和国政府采购法》第二十二条规定；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bookmarkStart w:id="11" w:name="_Toc28359004"/>
      <w:bookmarkStart w:id="12" w:name="_Toc28359081"/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.本项目的特定资格要求：</w:t>
      </w:r>
    </w:p>
    <w:p>
      <w:pPr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投标人具有独立法人资格，且具有有效的工商营业执照副本原件、税务登记证副本原件、组织机构代码证副本原件或“三证合一”的营业执照副本原件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eastAsia="zh-CN"/>
        </w:rPr>
        <w:t>（有能力提供本项目全部产品及服务能力的供应商）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）投标人具有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kern w:val="2"/>
          <w:sz w:val="28"/>
          <w:szCs w:val="28"/>
          <w:highlight w:val="none"/>
          <w:lang w:val="en-US" w:eastAsia="zh-CN" w:bidi="ar-SA"/>
        </w:rPr>
        <w:t>《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医疗器械经营许可证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kern w:val="2"/>
          <w:sz w:val="28"/>
          <w:szCs w:val="28"/>
          <w:highlight w:val="none"/>
          <w:lang w:val="en-US" w:eastAsia="zh-CN" w:bidi="ar-SA"/>
        </w:rPr>
        <w:t>》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或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kern w:val="2"/>
          <w:sz w:val="28"/>
          <w:szCs w:val="28"/>
          <w:highlight w:val="none"/>
          <w:lang w:val="en-US" w:eastAsia="zh-CN" w:bidi="ar-SA"/>
        </w:rPr>
        <w:t>《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医疗器械生产许可证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kern w:val="2"/>
          <w:sz w:val="28"/>
          <w:szCs w:val="28"/>
          <w:highlight w:val="none"/>
          <w:lang w:val="en-US" w:eastAsia="zh-CN" w:bidi="ar-SA"/>
        </w:rPr>
        <w:t>》；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（3）投标人不能是被列入“信用中国”网(www.creditchina.gov.cn)失信被执行人、重大税收违法案件当事人名单的供应商，不能是被列入“中国政府采购网”网站（www.ccgp.gov.cn）政府采购严重违法失信行为记录名单中仍在处罚期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将拒绝其参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加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本次政府采购活动；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ab/>
      </w:r>
    </w:p>
    <w:p>
      <w:pPr>
        <w:pStyle w:val="5"/>
        <w:spacing w:line="360" w:lineRule="auto"/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</w:pPr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 xml:space="preserve"> </w:t>
      </w:r>
      <w:bookmarkStart w:id="13" w:name="_Toc35393792"/>
      <w:bookmarkStart w:id="14" w:name="_Toc35393623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三、获取招标文件</w:t>
      </w:r>
      <w:bookmarkEnd w:id="11"/>
      <w:bookmarkEnd w:id="12"/>
      <w:bookmarkEnd w:id="13"/>
      <w:bookmarkEnd w:id="14"/>
      <w:bookmarkStart w:id="33" w:name="_GoBack"/>
      <w:bookmarkEnd w:id="33"/>
    </w:p>
    <w:p>
      <w:pPr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时间：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21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28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，每天上午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9:30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13:30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，下午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16:00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至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u w:val="single"/>
          <w:lang w:val="en-US" w:eastAsia="zh-CN"/>
        </w:rPr>
        <w:t>20:00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（北京时间，</w:t>
      </w:r>
      <w:r>
        <w:rPr>
          <w:rFonts w:ascii="仿宋" w:hAnsi="仿宋" w:eastAsia="仿宋" w:cs="宋体"/>
          <w:color w:val="auto"/>
          <w:sz w:val="28"/>
          <w:szCs w:val="28"/>
          <w:highlight w:val="none"/>
        </w:rPr>
        <w:t>法定节假日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除外）</w:t>
      </w:r>
    </w:p>
    <w:p>
      <w:pPr>
        <w:spacing w:line="360" w:lineRule="auto"/>
        <w:ind w:left="1119" w:leftChars="266" w:hanging="560" w:hangingChars="200"/>
        <w:rPr>
          <w:rFonts w:ascii="仿宋" w:hAnsi="仿宋" w:eastAsia="仿宋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地点：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新疆昌吉州昌吉市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eastAsia="zh-CN"/>
        </w:rPr>
        <w:t>屯河北路时代广场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C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座1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1219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</w:rPr>
        <w:t>室</w:t>
      </w:r>
    </w:p>
    <w:p>
      <w:pPr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方式：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eastAsia="zh-CN"/>
        </w:rPr>
        <w:t>现场获取</w:t>
      </w:r>
    </w:p>
    <w:p>
      <w:pPr>
        <w:spacing w:line="360" w:lineRule="auto"/>
        <w:ind w:firstLine="540"/>
        <w:rPr>
          <w:rFonts w:ascii="仿宋" w:hAnsi="仿宋" w:eastAsia="仿宋" w:cs="宋体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sz w:val="28"/>
          <w:szCs w:val="28"/>
          <w:highlight w:val="none"/>
        </w:rPr>
        <w:t>售价：</w:t>
      </w:r>
      <w:r>
        <w:rPr>
          <w:rFonts w:hint="eastAsia" w:ascii="仿宋" w:hAnsi="仿宋" w:eastAsia="仿宋" w:cs="宋体"/>
          <w:color w:val="auto"/>
          <w:sz w:val="28"/>
          <w:szCs w:val="28"/>
          <w:highlight w:val="none"/>
          <w:lang w:val="en-US" w:eastAsia="zh-CN"/>
        </w:rPr>
        <w:t>500元/份，售后不退。</w:t>
      </w:r>
    </w:p>
    <w:p>
      <w:pPr>
        <w:pStyle w:val="5"/>
        <w:spacing w:line="360" w:lineRule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15" w:name="_Toc28359082"/>
      <w:bookmarkStart w:id="16" w:name="_Toc28359005"/>
      <w:bookmarkStart w:id="17" w:name="_Toc35393624"/>
      <w:bookmarkStart w:id="18" w:name="_Toc35393793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四、提交投标文件</w:t>
      </w:r>
      <w:bookmarkEnd w:id="15"/>
      <w:bookmarkEnd w:id="16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截止时间、开标时间和地点</w:t>
      </w:r>
      <w:bookmarkEnd w:id="17"/>
      <w:bookmarkEnd w:id="18"/>
    </w:p>
    <w:p>
      <w:pPr>
        <w:ind w:firstLine="560" w:firstLineChars="200"/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2022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7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14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点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  <w:t>00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  <w:u w:val="single"/>
        </w:rPr>
        <w:t>分</w:t>
      </w:r>
      <w:r>
        <w:rPr>
          <w:rFonts w:hint="eastAsia" w:ascii="仿宋" w:hAnsi="仿宋" w:eastAsia="仿宋"/>
          <w:bCs/>
          <w:color w:val="auto"/>
          <w:sz w:val="28"/>
          <w:szCs w:val="28"/>
          <w:highlight w:val="none"/>
        </w:rPr>
        <w:t>（北京时间）</w:t>
      </w:r>
    </w:p>
    <w:p>
      <w:pPr>
        <w:ind w:firstLine="560" w:firstLineChars="200"/>
        <w:jc w:val="both"/>
        <w:rPr>
          <w:rFonts w:hint="default" w:ascii="仿宋" w:hAnsi="仿宋" w:eastAsia="仿宋"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地点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：昌吉州公共资源交易大厅开标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厅【昌吉市宁边西路与世纪大道交汇处（科技馆北侧负一层）】</w:t>
      </w:r>
    </w:p>
    <w:p>
      <w:pPr>
        <w:pStyle w:val="5"/>
        <w:spacing w:line="360" w:lineRule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19" w:name="_Toc35393794"/>
      <w:bookmarkStart w:id="20" w:name="_Toc28359007"/>
      <w:bookmarkStart w:id="21" w:name="_Toc35393625"/>
      <w:bookmarkStart w:id="22" w:name="_Toc28359084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五、公告期限</w:t>
      </w:r>
      <w:bookmarkEnd w:id="19"/>
      <w:bookmarkEnd w:id="20"/>
      <w:bookmarkEnd w:id="21"/>
      <w:bookmarkEnd w:id="22"/>
    </w:p>
    <w:p>
      <w:pPr>
        <w:ind w:firstLine="560" w:firstLineChars="200"/>
        <w:rPr>
          <w:rFonts w:ascii="仿宋" w:hAnsi="仿宋" w:eastAsia="仿宋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color w:val="auto"/>
          <w:kern w:val="0"/>
          <w:sz w:val="28"/>
          <w:szCs w:val="28"/>
          <w:highlight w:val="none"/>
        </w:rPr>
        <w:t>自本公告发布之日起5个工作日。</w:t>
      </w:r>
    </w:p>
    <w:p>
      <w:pPr>
        <w:pStyle w:val="5"/>
        <w:numPr>
          <w:ilvl w:val="0"/>
          <w:numId w:val="2"/>
        </w:numPr>
        <w:spacing w:line="360" w:lineRule="auto"/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</w:pPr>
      <w:bookmarkStart w:id="23" w:name="_Toc35393626"/>
      <w:bookmarkStart w:id="24" w:name="_Toc35393795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其他补充事宜</w:t>
      </w:r>
      <w:bookmarkEnd w:id="23"/>
      <w:bookmarkEnd w:id="24"/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投标保证金：68000.00元整（陆万捌仟元整）。必须采用电汇或网银转账的方式，由潜在投标人单位基本账户汇至新疆弘锦工程项目管理有限公司（开户银行：兴业银行股份有限公司乌鲁木齐高新区支行，账户号码：512040100100925093，行号：309881002044）。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FF0000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(1)不得以现金和其他形式缴纳，潜在投标人在缴纳投标保证金时，需在进账凭证上明确资金用途和投标项目名称，并注明联系人及电话，以便查对核实。投标人应充分考虑资金到账时间，在规定的时限前自行办妥投标保证金缴纳手续，投标保证金的缴付时间以电汇凭证和网银对账单上的时间为准，超过缴纳的时限缴纳投标保证金视为报名无效。投标保证金的缴纳开始至结束时间（2022年6月21日10:00时－2022年7月14日16:00时）</w:t>
      </w:r>
    </w:p>
    <w:p>
      <w:pPr>
        <w:ind w:firstLine="560" w:firstLineChars="200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（2）报名方式：1）法定代表人领取采购文件的，应提供法定代表人居民身份证；法定代表人授权人领取采购文件的，应提供法定代表人授权书及被授权人居民身份证；2）企业营业执照副本、组织机构代码证、税务登记证副本（或三证合一营业执照）；3）</w:t>
      </w:r>
      <w:r>
        <w:rPr>
          <w:rFonts w:hint="eastAsia" w:ascii="仿宋" w:hAnsi="仿宋" w:eastAsia="仿宋" w:cs="仿宋"/>
          <w:b w:val="0"/>
          <w:bCs w:val="0"/>
          <w:color w:val="auto"/>
          <w:spacing w:val="10"/>
          <w:kern w:val="2"/>
          <w:sz w:val="28"/>
          <w:szCs w:val="28"/>
          <w:highlight w:val="none"/>
          <w:lang w:val="en-US" w:eastAsia="zh-CN" w:bidi="ar-SA"/>
        </w:rPr>
        <w:t>《医疗器械生产企业许可证》或《医疗器械经营企业许可证》；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4）提供</w:t>
      </w:r>
      <w:r>
        <w:rPr>
          <w:rFonts w:ascii="仿宋" w:hAnsi="仿宋" w:eastAsia="仿宋" w:cs="仿宋"/>
          <w:i w:val="0"/>
          <w:caps w:val="0"/>
          <w:color w:val="auto"/>
          <w:spacing w:val="0"/>
          <w:sz w:val="27"/>
          <w:szCs w:val="27"/>
          <w:highlight w:val="none"/>
        </w:rPr>
        <w:t>在“信用中国”（www.creditchina.gov.cn）网站上未被列入失信被执行人、重大税收违法案件当事人名单以及中国政府采购网（www.ccgp.gov.cn）网站上政府采购严重违法失信行为记录名单的网页打印件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（查询时间不得早于公告发布时间）并加盖公章；</w:t>
      </w:r>
    </w:p>
    <w:p>
      <w:pPr>
        <w:pStyle w:val="11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仿宋" w:hAnsi="仿宋" w:eastAsia="仿宋" w:cs="仿宋"/>
          <w:b/>
          <w:bCs/>
          <w:color w:val="auto"/>
          <w:spacing w:val="1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    注：报名时以上资料需提供复印件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lang w:eastAsia="zh-CN"/>
        </w:rPr>
        <w:t>两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份（加盖公章），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lang w:eastAsia="zh-CN"/>
        </w:rPr>
        <w:t>并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携带原件查验。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以上资料提供不齐全者，将不予发放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招标文件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未向采购代理机构购买采购文件并在代理机构登记备案的潜在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均无资格参加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  <w:lang w:eastAsia="zh-CN"/>
        </w:rPr>
        <w:t>此次投标</w:t>
      </w: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highlight w:val="none"/>
        </w:rPr>
        <w:t>。</w:t>
      </w:r>
    </w:p>
    <w:p>
      <w:pPr>
        <w:numPr>
          <w:ilvl w:val="0"/>
          <w:numId w:val="0"/>
        </w:numPr>
        <w:rPr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pacing w:val="1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10"/>
          <w:kern w:val="2"/>
          <w:sz w:val="28"/>
          <w:szCs w:val="28"/>
          <w:highlight w:val="none"/>
          <w:lang w:val="en-US" w:eastAsia="zh-CN" w:bidi="ar-SA"/>
        </w:rPr>
        <w:t>发布公告的媒介：新疆政府采购网，昌吉州公共资源交易网</w:t>
      </w:r>
    </w:p>
    <w:p>
      <w:pPr>
        <w:pStyle w:val="5"/>
        <w:spacing w:line="360" w:lineRule="auto"/>
        <w:rPr>
          <w:rFonts w:ascii="黑体" w:hAnsi="黑体" w:cs="宋体"/>
          <w:b w:val="0"/>
          <w:color w:val="auto"/>
          <w:sz w:val="28"/>
          <w:szCs w:val="28"/>
          <w:highlight w:val="none"/>
        </w:rPr>
      </w:pPr>
      <w:bookmarkStart w:id="25" w:name="_Toc28359085"/>
      <w:bookmarkStart w:id="26" w:name="_Toc35393627"/>
      <w:bookmarkStart w:id="27" w:name="_Toc35393796"/>
      <w:bookmarkStart w:id="28" w:name="_Toc28359008"/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七、对本次招标提出询问，请按</w:t>
      </w:r>
      <w:r>
        <w:rPr>
          <w:rFonts w:ascii="黑体" w:hAnsi="黑体" w:cs="宋体"/>
          <w:b w:val="0"/>
          <w:color w:val="auto"/>
          <w:sz w:val="28"/>
          <w:szCs w:val="28"/>
          <w:highlight w:val="none"/>
        </w:rPr>
        <w:t>以下方式</w:t>
      </w:r>
      <w:r>
        <w:rPr>
          <w:rFonts w:hint="eastAsia" w:ascii="黑体" w:hAnsi="黑体" w:cs="宋体"/>
          <w:b w:val="0"/>
          <w:color w:val="auto"/>
          <w:sz w:val="28"/>
          <w:szCs w:val="28"/>
          <w:highlight w:val="none"/>
        </w:rPr>
        <w:t>联系。</w:t>
      </w:r>
      <w:bookmarkEnd w:id="25"/>
      <w:bookmarkEnd w:id="26"/>
      <w:bookmarkEnd w:id="27"/>
      <w:bookmarkEnd w:id="28"/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1.采购人信息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名 称：阜康市卫生健康委员会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联系人：杨国财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联系方式：</w:t>
      </w:r>
      <w:bookmarkStart w:id="29" w:name="_Toc28359086"/>
      <w:bookmarkStart w:id="30" w:name="_Toc28359009"/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u w:val="none"/>
          <w:lang w:val="zh-CN" w:eastAsia="zh-CN"/>
        </w:rPr>
        <w:t>0994-3226870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2.采购代理机构信息</w:t>
      </w:r>
      <w:bookmarkEnd w:id="29"/>
      <w:bookmarkEnd w:id="30"/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bookmarkStart w:id="31" w:name="_Toc28359010"/>
      <w:bookmarkStart w:id="32" w:name="_Toc28359087"/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名    称：新疆弘锦工程项目管理有限公司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地　　址：新疆昌吉州昌吉市屯河北路时代广场C座1219层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项目联系人：刘中山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default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电　　 话：13209940512</w:t>
      </w:r>
    </w:p>
    <w:bookmarkEnd w:id="31"/>
    <w:bookmarkEnd w:id="32"/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3.财政监督电话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名 称：阜康市财政局政府采购办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联 系 人：刘震</w:t>
      </w:r>
    </w:p>
    <w:p>
      <w:pPr>
        <w:adjustRightInd w:val="0"/>
        <w:snapToGrid w:val="0"/>
        <w:spacing w:line="360" w:lineRule="auto"/>
        <w:ind w:firstLine="280" w:firstLineChars="100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highlight w:val="none"/>
          <w:lang w:val="en-US" w:eastAsia="zh-CN" w:bidi="ar"/>
        </w:rPr>
        <w:t>监督投诉电话：0994-3222516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409BB"/>
    <w:multiLevelType w:val="multilevel"/>
    <w:tmpl w:val="24E409BB"/>
    <w:lvl w:ilvl="0" w:tentative="0">
      <w:start w:val="1"/>
      <w:numFmt w:val="decimal"/>
      <w:pStyle w:val="14"/>
      <w:lvlText w:val="表%1："/>
      <w:lvlJc w:val="left"/>
      <w:pPr>
        <w:ind w:left="900" w:hanging="420"/>
      </w:pPr>
      <w:rPr>
        <w:rFonts w:hint="eastAsia"/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2399588"/>
    <w:multiLevelType w:val="singleLevel"/>
    <w:tmpl w:val="3239958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zMDY1ZTljMmFjOWI0NmQ1MWY5MDNlMjQwMzkxZTMifQ=="/>
  </w:docVars>
  <w:rsids>
    <w:rsidRoot w:val="00000000"/>
    <w:rsid w:val="00A63FDF"/>
    <w:rsid w:val="018145D2"/>
    <w:rsid w:val="02370EAC"/>
    <w:rsid w:val="028614B0"/>
    <w:rsid w:val="037D6D07"/>
    <w:rsid w:val="03910A25"/>
    <w:rsid w:val="055C72FD"/>
    <w:rsid w:val="07F628B0"/>
    <w:rsid w:val="080C632A"/>
    <w:rsid w:val="093508DC"/>
    <w:rsid w:val="0A1459BD"/>
    <w:rsid w:val="0A7D7F9A"/>
    <w:rsid w:val="0B8014B0"/>
    <w:rsid w:val="0C88730F"/>
    <w:rsid w:val="0D7C16AC"/>
    <w:rsid w:val="0DEB248D"/>
    <w:rsid w:val="0EE2085E"/>
    <w:rsid w:val="11774ECB"/>
    <w:rsid w:val="14590C5D"/>
    <w:rsid w:val="14C43D49"/>
    <w:rsid w:val="161204F9"/>
    <w:rsid w:val="180F6EBE"/>
    <w:rsid w:val="18FF6B91"/>
    <w:rsid w:val="1965277E"/>
    <w:rsid w:val="1A3056F0"/>
    <w:rsid w:val="1A8C6ED6"/>
    <w:rsid w:val="1A9F6484"/>
    <w:rsid w:val="1AEE239B"/>
    <w:rsid w:val="1E823857"/>
    <w:rsid w:val="1F142216"/>
    <w:rsid w:val="1FAD419D"/>
    <w:rsid w:val="20996584"/>
    <w:rsid w:val="209D251A"/>
    <w:rsid w:val="20A75014"/>
    <w:rsid w:val="23512489"/>
    <w:rsid w:val="25B951F5"/>
    <w:rsid w:val="26D52E4F"/>
    <w:rsid w:val="27090ED4"/>
    <w:rsid w:val="27187D0A"/>
    <w:rsid w:val="27781479"/>
    <w:rsid w:val="27F23989"/>
    <w:rsid w:val="28B861BB"/>
    <w:rsid w:val="29D611A9"/>
    <w:rsid w:val="2A4301B8"/>
    <w:rsid w:val="2A6F4CE9"/>
    <w:rsid w:val="2B9A62BF"/>
    <w:rsid w:val="2C4B6B1F"/>
    <w:rsid w:val="2DD54F10"/>
    <w:rsid w:val="2FC25EF4"/>
    <w:rsid w:val="304F00B6"/>
    <w:rsid w:val="304F401E"/>
    <w:rsid w:val="31217DD7"/>
    <w:rsid w:val="312E1520"/>
    <w:rsid w:val="31643F9F"/>
    <w:rsid w:val="31D20319"/>
    <w:rsid w:val="31FB2CE2"/>
    <w:rsid w:val="32D1717F"/>
    <w:rsid w:val="345003FF"/>
    <w:rsid w:val="34635F53"/>
    <w:rsid w:val="362001D2"/>
    <w:rsid w:val="363A41BE"/>
    <w:rsid w:val="367B3B0B"/>
    <w:rsid w:val="36EE3139"/>
    <w:rsid w:val="37C037F9"/>
    <w:rsid w:val="37C0385F"/>
    <w:rsid w:val="3C563E92"/>
    <w:rsid w:val="3CBB2C90"/>
    <w:rsid w:val="3CD70CBD"/>
    <w:rsid w:val="3E014B3D"/>
    <w:rsid w:val="3EA55213"/>
    <w:rsid w:val="3F883C71"/>
    <w:rsid w:val="401D7D26"/>
    <w:rsid w:val="40717E80"/>
    <w:rsid w:val="40882020"/>
    <w:rsid w:val="40A95DC2"/>
    <w:rsid w:val="422F1822"/>
    <w:rsid w:val="4234573D"/>
    <w:rsid w:val="429C348A"/>
    <w:rsid w:val="43D75F67"/>
    <w:rsid w:val="44744C01"/>
    <w:rsid w:val="4513038D"/>
    <w:rsid w:val="468A2A67"/>
    <w:rsid w:val="46DD28E5"/>
    <w:rsid w:val="46E2098A"/>
    <w:rsid w:val="475A439B"/>
    <w:rsid w:val="48CB5360"/>
    <w:rsid w:val="48FE23DC"/>
    <w:rsid w:val="496E3B70"/>
    <w:rsid w:val="49A27A6C"/>
    <w:rsid w:val="4A862FDD"/>
    <w:rsid w:val="4F286F1C"/>
    <w:rsid w:val="50632B24"/>
    <w:rsid w:val="51CB4651"/>
    <w:rsid w:val="54931D1F"/>
    <w:rsid w:val="552309F5"/>
    <w:rsid w:val="558B5C2F"/>
    <w:rsid w:val="566B0C6B"/>
    <w:rsid w:val="56D902CE"/>
    <w:rsid w:val="5755514A"/>
    <w:rsid w:val="5832062A"/>
    <w:rsid w:val="58365FE7"/>
    <w:rsid w:val="595214E1"/>
    <w:rsid w:val="59B46EB3"/>
    <w:rsid w:val="59B5057E"/>
    <w:rsid w:val="5B6B4A53"/>
    <w:rsid w:val="5BB84860"/>
    <w:rsid w:val="5D53048C"/>
    <w:rsid w:val="5D7853AB"/>
    <w:rsid w:val="5E8C66B8"/>
    <w:rsid w:val="5F0B61A7"/>
    <w:rsid w:val="5F1B6ACD"/>
    <w:rsid w:val="5FBC0FE4"/>
    <w:rsid w:val="624C4B4A"/>
    <w:rsid w:val="63CA7634"/>
    <w:rsid w:val="63F937B7"/>
    <w:rsid w:val="640C4449"/>
    <w:rsid w:val="642D7D20"/>
    <w:rsid w:val="65BA4B55"/>
    <w:rsid w:val="69136B48"/>
    <w:rsid w:val="69686176"/>
    <w:rsid w:val="6A5F4C97"/>
    <w:rsid w:val="6B913FA7"/>
    <w:rsid w:val="6C253293"/>
    <w:rsid w:val="6C6721BF"/>
    <w:rsid w:val="6CDF2D01"/>
    <w:rsid w:val="6D463232"/>
    <w:rsid w:val="6D583F5D"/>
    <w:rsid w:val="6E930D4C"/>
    <w:rsid w:val="6FAC76B7"/>
    <w:rsid w:val="71B05E3D"/>
    <w:rsid w:val="71BC4CE0"/>
    <w:rsid w:val="73642669"/>
    <w:rsid w:val="7365271E"/>
    <w:rsid w:val="741B1AAC"/>
    <w:rsid w:val="74421EEC"/>
    <w:rsid w:val="76097194"/>
    <w:rsid w:val="763D2529"/>
    <w:rsid w:val="76665993"/>
    <w:rsid w:val="78A42045"/>
    <w:rsid w:val="78BD3B0F"/>
    <w:rsid w:val="79377D91"/>
    <w:rsid w:val="7A5E57F8"/>
    <w:rsid w:val="7B032A18"/>
    <w:rsid w:val="7B404568"/>
    <w:rsid w:val="7BBC6927"/>
    <w:rsid w:val="7D5B16D8"/>
    <w:rsid w:val="7FEA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/>
      <w:snapToGrid/>
      <w:spacing w:line="360" w:lineRule="auto"/>
      <w:ind w:firstLineChars="200"/>
      <w:jc w:val="both"/>
    </w:pPr>
    <w:rPr>
      <w:rFonts w:ascii="Times New Roman" w:hAnsi="Times New Roman" w:eastAsia="仿宋_GB2312"/>
      <w:spacing w:val="15"/>
      <w:kern w:val="10"/>
      <w:sz w:val="24"/>
    </w:rPr>
  </w:style>
  <w:style w:type="paragraph" w:styleId="3">
    <w:name w:val="Body Text Indent"/>
    <w:basedOn w:val="1"/>
    <w:next w:val="1"/>
    <w:qFormat/>
    <w:uiPriority w:val="0"/>
    <w:pPr>
      <w:adjustRightInd w:val="0"/>
      <w:ind w:firstLine="4685" w:firstLineChars="1300"/>
      <w:textAlignment w:val="baseline"/>
    </w:pPr>
    <w:rPr>
      <w:rFonts w:ascii="楷体_GB2312" w:eastAsia="楷体_GB2312"/>
      <w:b/>
      <w:sz w:val="36"/>
      <w:szCs w:val="20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qFormat/>
    <w:uiPriority w:val="39"/>
    <w:pPr>
      <w:tabs>
        <w:tab w:val="right" w:leader="dot" w:pos="9854"/>
      </w:tabs>
      <w:spacing w:before="120" w:beforeLines="0" w:after="120" w:afterLines="0" w:line="400" w:lineRule="exact"/>
      <w:ind w:firstLine="210"/>
      <w:jc w:val="left"/>
    </w:pPr>
    <w:rPr>
      <w:rFonts w:ascii="Calibri" w:hAnsi="Calibri"/>
      <w:b/>
      <w:bCs/>
      <w:caps/>
      <w:sz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表名称"/>
    <w:basedOn w:val="6"/>
    <w:qFormat/>
    <w:uiPriority w:val="0"/>
    <w:pPr>
      <w:numPr>
        <w:ilvl w:val="0"/>
        <w:numId w:val="1"/>
      </w:numPr>
      <w:ind w:firstLine="0" w:firstLineChars="0"/>
      <w:jc w:val="center"/>
    </w:p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1580</Words>
  <Characters>1808</Characters>
  <Lines>0</Lines>
  <Paragraphs>0</Paragraphs>
  <TotalTime>77</TotalTime>
  <ScaleCrop>false</ScaleCrop>
  <LinksUpToDate>false</LinksUpToDate>
  <CharactersWithSpaces>1829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2021-07-12T08:51:00Z</dcterms:created>
  <dc:creator>Administrator</dc:creator>
  <cp:lastModifiedBy>生人勿近</cp:lastModifiedBy>
  <dcterms:modified xsi:type="dcterms:W3CDTF">2022-06-20T11:48:13Z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0647A06DACEF4411A9BBA52CE44B7DC7</vt:lpwstr>
  </property>
</Properties>
</file>